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keepNext w:val="0"/>
        <w:keepLines w:val="0"/>
        <w:pageBreakBefore w:val="0"/>
        <w:widowControl/>
        <w:kinsoku/>
        <w:wordWrap/>
        <w:overflowPunct/>
        <w:topLinePunct w:val="0"/>
        <w:autoSpaceDE/>
        <w:autoSpaceDN/>
        <w:bidi w:val="0"/>
        <w:adjustRightInd/>
        <w:snapToGrid/>
        <w:spacing w:line="320" w:lineRule="exact"/>
        <w:ind w:right="198"/>
        <w:jc w:val="left"/>
        <w:textAlignment w:val="auto"/>
        <w:outlineLvl w:val="9"/>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株洲市芦淞区贺家土街道办事处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r>
        <w:rPr>
          <w:rFonts w:ascii="Times New Roman" w:hAnsi="Times New Roman" w:eastAsia="仿宋_GB2312" w:cs="Times New Roman"/>
          <w:color w:val="000000"/>
          <w:kern w:val="0"/>
          <w:szCs w:val="21"/>
        </w:rPr>
        <w:t xml:space="preserve">                                                                                                </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1437.3</w:t>
            </w:r>
            <w:r>
              <w:rPr>
                <w:rFonts w:hint="eastAsia" w:ascii="Times New Roman" w:hAnsi="Times New Roman" w:eastAsia="仿宋_GB2312" w:cs="Times New Roman"/>
                <w:kern w:val="0"/>
                <w:szCs w:val="21"/>
                <w:lang w:val="en-US" w:eastAsia="zh-CN"/>
              </w:rPr>
              <w:t>9</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1681.13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532.56</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七、文化体育与传媒支出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八、社会保障和就业支出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226.33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九、医疗卫生与计划生育支出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2.20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十、节能环保支出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十一、城乡社区支出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十二、农林水支出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十三、交通运输支出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十四、资源勘探信息等支出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0.44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十五、商业服务业等支出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45</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十六、金融支出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十七、援助其他地区支出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十八、国土海洋气象等支出</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十九、住房保障支出</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二十、粮油物资储备支出</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二十一、其他支出</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48</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224" w:type="dxa"/>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二十二、其他支出</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w:t>
            </w:r>
          </w:p>
        </w:tc>
        <w:tc>
          <w:tcPr>
            <w:tcW w:w="1681" w:type="dxa"/>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1920.11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bookmarkStart w:id="2" w:name="_GoBack"/>
            <w:bookmarkEnd w:id="2"/>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51</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0.00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86.38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w:t>
            </w:r>
          </w:p>
        </w:tc>
        <w:tc>
          <w:tcPr>
            <w:tcW w:w="1224"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w:t>
            </w:r>
          </w:p>
        </w:tc>
        <w:tc>
          <w:tcPr>
            <w:tcW w:w="1681" w:type="dxa"/>
            <w:tcBorders>
              <w:top w:val="nil"/>
              <w:left w:val="nil"/>
              <w:bottom w:val="single" w:color="auto" w:sz="4" w:space="0"/>
              <w:right w:val="single" w:color="auto" w:sz="4" w:space="0"/>
            </w:tcBorders>
            <w:vAlign w:val="center"/>
          </w:tcPr>
          <w:p>
            <w:pPr>
              <w:jc w:val="center"/>
              <w:rPr>
                <w:rFonts w:hint="eastAsia"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w:t>
            </w:r>
          </w:p>
        </w:tc>
        <w:tc>
          <w:tcPr>
            <w:tcW w:w="1224"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2006.49</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w:t>
            </w:r>
          </w:p>
        </w:tc>
        <w:tc>
          <w:tcPr>
            <w:tcW w:w="1681"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 xml:space="preserve">2006.49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株洲市芦淞区贺家土街道办事处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公开02表                                                                                                        </w:t>
      </w:r>
      <w:r>
        <w:rPr>
          <w:rFonts w:hint="eastAsia" w:ascii="Times New Roman" w:hAnsi="Times New Roman" w:eastAsia="仿宋_GB2312" w:cs="Times New Roman"/>
          <w:color w:val="000000"/>
          <w:kern w:val="0"/>
          <w:szCs w:val="21"/>
        </w:rPr>
        <w:t xml:space="preserve">  </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1950"/>
        <w:gridCol w:w="1613"/>
        <w:gridCol w:w="1406"/>
        <w:gridCol w:w="1388"/>
        <w:gridCol w:w="1312"/>
        <w:gridCol w:w="1406"/>
        <w:gridCol w:w="1530"/>
        <w:gridCol w:w="2011"/>
      </w:tblGrid>
      <w:tr>
        <w:tblPrEx>
          <w:tblCellMar>
            <w:top w:w="0" w:type="dxa"/>
            <w:left w:w="108" w:type="dxa"/>
            <w:bottom w:w="0" w:type="dxa"/>
            <w:right w:w="108" w:type="dxa"/>
          </w:tblCellMar>
        </w:tblPrEx>
        <w:trPr>
          <w:trHeight w:val="450" w:hRule="atLeast"/>
          <w:jc w:val="center"/>
        </w:trPr>
        <w:tc>
          <w:tcPr>
            <w:tcW w:w="3147"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13"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40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388"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0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53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95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0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0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3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95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0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0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3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147"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147"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1,969.95</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1,437.39</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532.56</w:t>
            </w:r>
          </w:p>
        </w:tc>
      </w:tr>
      <w:tr>
        <w:tblPrEx>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1,730.98</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1,198.41</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532.56</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人大事务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2010107</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人大代表履职能力提升</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1,602.94</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1,070.37</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532.56</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432.61</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432.61</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2010302</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47.87</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47.87</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1,122.46</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589.90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532.56</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2010505</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专项统计业务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39.13</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39.13</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2010602</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2010605</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财政国库业务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其他财政事务支出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10.99</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10.99</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纪检监察事务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2011199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其他纪检监察事务支出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2012906</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工会事务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党委办公厅（室）及相关机构事务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2013102</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56.60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56.60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56.60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56.60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226.33</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226.33</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民政管理事务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167.00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167.00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2080208</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基层政权和社区建设</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166.00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166.00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其他民政管理事务支出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20807</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就业补助</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2080799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其他就业补助支出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其他社会保障和就业支出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38.24</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38.24</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2089901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其他社会保障和就业支出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38.24</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38.24</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卫生健康管理事务</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2100199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其他卫生健康管理事务支出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资源勘探信息等支出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21501</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资源勘探开发</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2150199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其他资源勘探业支出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彩票公益金安排的支出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用于社会福利的彩票公益金支出</w:t>
            </w:r>
          </w:p>
        </w:tc>
        <w:tc>
          <w:tcPr>
            <w:tcW w:w="16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38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lang w:eastAsia="zh-CN"/>
        </w:rPr>
        <w:t>株洲市芦淞区贺家土街道办事处</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                                                                                                         </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383"/>
        <w:gridCol w:w="1369"/>
        <w:gridCol w:w="1800"/>
        <w:gridCol w:w="1763"/>
        <w:gridCol w:w="1837"/>
        <w:gridCol w:w="1913"/>
        <w:gridCol w:w="2062"/>
        <w:gridCol w:w="18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54" w:type="dxa"/>
            <w:gridSpan w:val="3"/>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80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76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3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91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206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86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752" w:type="dxa"/>
            <w:gridSpan w:val="2"/>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80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6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3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1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06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60"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52" w:type="dxa"/>
            <w:gridSpan w:val="2"/>
            <w:vMerge w:val="continue"/>
            <w:shd w:val="clear" w:color="auto" w:fill="auto"/>
            <w:vAlign w:val="center"/>
          </w:tcPr>
          <w:p>
            <w:pPr>
              <w:widowControl/>
              <w:jc w:val="left"/>
              <w:rPr>
                <w:rFonts w:ascii="Times New Roman" w:hAnsi="Times New Roman" w:eastAsia="仿宋_GB2312" w:cs="Times New Roman"/>
                <w:kern w:val="0"/>
                <w:szCs w:val="21"/>
              </w:rPr>
            </w:pPr>
          </w:p>
        </w:tc>
        <w:tc>
          <w:tcPr>
            <w:tcW w:w="180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6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3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1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06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60"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54" w:type="dxa"/>
            <w:gridSpan w:val="3"/>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54" w:type="dxa"/>
            <w:gridSpan w:val="3"/>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合计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1,920.11</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1,870.24</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49.87</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1,681.13</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1,631.27</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49.87</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人大事务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2010107</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人大代表履职能力提升</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1,553.09</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1,505.23</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47.87</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432.61</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432.61</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2010302</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47.87</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47.87</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1,072.61</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1,072.61</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2010505</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专项统计业务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39.13</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37.13</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2010602</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2010605</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财政国库业务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其他财政事务支出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10.99</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10.99</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纪检监察事务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2011199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其他纪检监察事务支出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8.41</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2012906</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工会事务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党委办公厅（室）及相关机构事务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2013102</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56.60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56.60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2013299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56.60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56.60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2013699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226.33</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226.33</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民政管理事务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167.00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167.00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2080208</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基层政权和社区建设</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166.00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166.00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2080299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其他民政管理事务支出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20807</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就业补助</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2080799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其他就业补助支出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其他社会保障和就业支出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38.24</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38.24</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2089901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其他社会保障和就业支出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38.24</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38.24</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卫生健康管理事务</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2100199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其他卫生健康管理事务支出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资源勘探信息等支出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21501</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资源勘探开发</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2150199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其他资源勘探业支出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彩票公益金安排的支出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85" w:type="dxa"/>
            <w:gridSpan w:val="2"/>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369"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用于社会福利的彩票公益金支出</w:t>
            </w:r>
          </w:p>
        </w:tc>
        <w:tc>
          <w:tcPr>
            <w:tcW w:w="18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76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37"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13"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6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rPr>
        <w:t>株洲市芦淞区贺家土街道办事处</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栏    次</w:t>
            </w:r>
          </w:p>
        </w:tc>
        <w:tc>
          <w:tcPr>
            <w:tcW w:w="480" w:type="dxa"/>
            <w:shd w:val="clear" w:color="auto" w:fill="auto"/>
            <w:vAlign w:val="center"/>
          </w:tcPr>
          <w:p>
            <w:pPr>
              <w:jc w:val="center"/>
              <w:rPr>
                <w:rFonts w:ascii="Times New Roman" w:hAnsi="Times New Roman" w:eastAsia="仿宋_GB2312" w:cs="Times New Roman"/>
                <w:kern w:val="0"/>
                <w:szCs w:val="21"/>
              </w:rPr>
            </w:pP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一、一般公共预算财政拨款</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w:t>
            </w:r>
          </w:p>
        </w:tc>
        <w:tc>
          <w:tcPr>
            <w:tcW w:w="188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1,427.39</w:t>
            </w: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一、一般公共服务支出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1,198.41</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1,198.41</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二、政府性基金预算财政拨款</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w:t>
            </w:r>
          </w:p>
        </w:tc>
        <w:tc>
          <w:tcPr>
            <w:tcW w:w="188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w:t>
            </w: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二、外交支出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三、国防支出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四、公共安全支出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五、教育支出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六、科学技术支出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7</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七、文化旅游体育与传媒支出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八、社会保障和就业支出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226.33</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226.33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9</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九、卫生健康支出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十、节能环保支出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11</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十一、城乡社区支出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十二、农林水支出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十三、交通运输支出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14</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十四、资源勘探信息等支出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0.44</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十五、商业服务业等支出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16</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十六、金融支出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十七、援助其他地区支出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十八、自然资源海洋气象等支出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19</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十九、住房保障支出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二十、粮油物资储备支出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二十一、灾害防治及应急管理支出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left"/>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i w:val="0"/>
                <w:color w:val="000000"/>
                <w:kern w:val="0"/>
                <w:sz w:val="21"/>
                <w:szCs w:val="21"/>
                <w:u w:val="none"/>
                <w:lang w:val="en-US" w:eastAsia="zh-CN" w:bidi="ar"/>
              </w:rPr>
              <w:t>二十二、其他支出</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b/>
                <w:bCs/>
                <w:kern w:val="0"/>
                <w:sz w:val="21"/>
                <w:szCs w:val="21"/>
                <w:lang w:val="en-US" w:eastAsia="zh-CN" w:bidi="ar-SA"/>
              </w:rPr>
              <w:t>本年收入合计</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23</w:t>
            </w:r>
          </w:p>
        </w:tc>
        <w:tc>
          <w:tcPr>
            <w:tcW w:w="1880" w:type="dxa"/>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1,437.39</w:t>
            </w:r>
          </w:p>
        </w:tc>
        <w:tc>
          <w:tcPr>
            <w:tcW w:w="376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b/>
                <w:i w:val="0"/>
                <w:color w:val="000000"/>
                <w:kern w:val="0"/>
                <w:sz w:val="21"/>
                <w:szCs w:val="21"/>
                <w:u w:val="none"/>
                <w:lang w:val="en-US" w:eastAsia="zh-CN" w:bidi="ar"/>
              </w:rPr>
              <w:t>本年支出合计</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1,437.39</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1,427.39</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年初财政拨款结转和结余</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24</w:t>
            </w:r>
          </w:p>
        </w:tc>
        <w:tc>
          <w:tcPr>
            <w:tcW w:w="1880" w:type="dxa"/>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0.00</w:t>
            </w:r>
          </w:p>
        </w:tc>
        <w:tc>
          <w:tcPr>
            <w:tcW w:w="376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年末财政拨款结转和结余</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 xml:space="preserve">      一般公共预算财政拨款</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25</w:t>
            </w:r>
          </w:p>
        </w:tc>
        <w:tc>
          <w:tcPr>
            <w:tcW w:w="1880" w:type="dxa"/>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0.00</w:t>
            </w:r>
          </w:p>
        </w:tc>
        <w:tc>
          <w:tcPr>
            <w:tcW w:w="3761" w:type="dxa"/>
            <w:shd w:val="clear" w:color="auto" w:fill="auto"/>
            <w:vAlign w:val="center"/>
          </w:tcPr>
          <w:p>
            <w:pPr>
              <w:jc w:val="left"/>
              <w:rPr>
                <w:rFonts w:hint="eastAsia" w:ascii="仿宋_GB2312" w:hAnsi="仿宋_GB2312" w:eastAsia="仿宋_GB2312" w:cs="仿宋_GB2312"/>
                <w:kern w:val="0"/>
                <w:sz w:val="21"/>
                <w:szCs w:val="21"/>
              </w:rPr>
            </w:pP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53</w:t>
            </w:r>
          </w:p>
        </w:tc>
        <w:tc>
          <w:tcPr>
            <w:tcW w:w="1880"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 xml:space="preserve">        政府性基金预算财政拨款</w:t>
            </w: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w:t>
            </w:r>
          </w:p>
        </w:tc>
        <w:tc>
          <w:tcPr>
            <w:tcW w:w="1880" w:type="dxa"/>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0.00</w:t>
            </w:r>
          </w:p>
        </w:tc>
        <w:tc>
          <w:tcPr>
            <w:tcW w:w="3761" w:type="dxa"/>
            <w:shd w:val="clear" w:color="auto" w:fill="auto"/>
            <w:vAlign w:val="center"/>
          </w:tcPr>
          <w:p>
            <w:pPr>
              <w:jc w:val="left"/>
              <w:rPr>
                <w:rFonts w:hint="eastAsia" w:ascii="仿宋_GB2312" w:hAnsi="仿宋_GB2312" w:eastAsia="仿宋_GB2312" w:cs="仿宋_GB2312"/>
                <w:kern w:val="0"/>
                <w:sz w:val="21"/>
                <w:szCs w:val="21"/>
              </w:rPr>
            </w:pP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w:t>
            </w:r>
          </w:p>
        </w:tc>
        <w:tc>
          <w:tcPr>
            <w:tcW w:w="1880"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c>
          <w:tcPr>
            <w:tcW w:w="48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27</w:t>
            </w:r>
          </w:p>
        </w:tc>
        <w:tc>
          <w:tcPr>
            <w:tcW w:w="1880" w:type="dxa"/>
            <w:shd w:val="clear" w:color="auto" w:fill="auto"/>
            <w:vAlign w:val="center"/>
          </w:tcPr>
          <w:p>
            <w:pPr>
              <w:jc w:val="center"/>
              <w:rPr>
                <w:rFonts w:hint="eastAsia" w:ascii="Times New Roman" w:hAnsi="Times New Roman" w:eastAsia="仿宋_GB2312" w:cs="Times New Roman"/>
                <w:kern w:val="0"/>
                <w:sz w:val="21"/>
                <w:szCs w:val="21"/>
                <w:lang w:val="en-US" w:eastAsia="zh-CN" w:bidi="ar-SA"/>
              </w:rPr>
            </w:pPr>
          </w:p>
        </w:tc>
        <w:tc>
          <w:tcPr>
            <w:tcW w:w="3761" w:type="dxa"/>
            <w:shd w:val="clear" w:color="auto" w:fill="auto"/>
            <w:vAlign w:val="center"/>
          </w:tcPr>
          <w:p>
            <w:pPr>
              <w:jc w:val="left"/>
              <w:rPr>
                <w:rFonts w:hint="eastAsia" w:ascii="仿宋_GB2312" w:hAnsi="仿宋_GB2312" w:eastAsia="仿宋_GB2312" w:cs="仿宋_GB2312"/>
                <w:b/>
                <w:bCs/>
                <w:kern w:val="0"/>
                <w:sz w:val="21"/>
                <w:szCs w:val="21"/>
              </w:rPr>
            </w:pP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55</w:t>
            </w:r>
          </w:p>
        </w:tc>
        <w:tc>
          <w:tcPr>
            <w:tcW w:w="1880"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pPr>
              <w:jc w:val="center"/>
              <w:rPr>
                <w:rFonts w:ascii="Times New Roman" w:hAnsi="Times New Roman" w:eastAsia="仿宋_GB2312" w:cs="Times New Roman"/>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b/>
                <w:bCs/>
                <w:kern w:val="0"/>
                <w:sz w:val="21"/>
                <w:szCs w:val="21"/>
                <w:lang w:val="en-US" w:eastAsia="zh-CN" w:bidi="ar-SA"/>
              </w:rPr>
              <w:t>总计</w:t>
            </w:r>
          </w:p>
        </w:tc>
        <w:tc>
          <w:tcPr>
            <w:tcW w:w="480" w:type="dxa"/>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28</w:t>
            </w:r>
          </w:p>
        </w:tc>
        <w:tc>
          <w:tcPr>
            <w:tcW w:w="1880" w:type="dxa"/>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1,437.39</w:t>
            </w:r>
          </w:p>
        </w:tc>
        <w:tc>
          <w:tcPr>
            <w:tcW w:w="376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i w:val="0"/>
                <w:color w:val="000000"/>
                <w:kern w:val="0"/>
                <w:sz w:val="21"/>
                <w:szCs w:val="21"/>
                <w:u w:val="none"/>
                <w:lang w:val="en-US" w:eastAsia="zh-CN" w:bidi="ar"/>
              </w:rPr>
              <w:t>总计</w:t>
            </w:r>
          </w:p>
        </w:tc>
        <w:tc>
          <w:tcPr>
            <w:tcW w:w="43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56</w:t>
            </w:r>
          </w:p>
        </w:tc>
        <w:tc>
          <w:tcPr>
            <w:tcW w:w="188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1,437.39</w:t>
            </w:r>
          </w:p>
        </w:tc>
        <w:tc>
          <w:tcPr>
            <w:tcW w:w="1660"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1,427.39</w:t>
            </w:r>
          </w:p>
        </w:tc>
        <w:tc>
          <w:tcPr>
            <w:tcW w:w="1572" w:type="dxa"/>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株洲市芦淞区贺家土街道办事处</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1,427.39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1,377.52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49.87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1,198.41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1,148.55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49.87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人大事务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2010107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人大代表履职能力提升</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1,070.37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1,022.51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47.87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432.61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432.61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47.87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47.87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589.90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589.90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统计信息事务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2010505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专项统计业务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39.13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37.13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1.14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2010605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财政国库业务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2010699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其他财政事务支出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10.99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10.99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纪检监察事务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8.41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2011199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其他纪检监察事务支出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8.41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20129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2012906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工会事务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20131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党委办公厅（室）及相关机构事务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2013102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组织事务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56.60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56.60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56.60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56.60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20136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其他共产党事务支出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1.40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2013699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其他共产党事务支出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1.40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226.33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226.33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167.00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167.00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2080208</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基层政权和社区建设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166.00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166.00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2080299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其他民政管理事务支出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20807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就业补助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21.10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21.10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2080799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其他就业补助支出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21.10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21.10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38.24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38.24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2089901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38.24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38.24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21001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卫生健康管理事务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2100199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其他卫生健康管理事务支出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2.20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资源勘探信息等支出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0.44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0.44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21501</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资源勘探开发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0.44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0.44</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2150199</w:t>
            </w:r>
          </w:p>
        </w:tc>
        <w:tc>
          <w:tcPr>
            <w:tcW w:w="3527"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其他资源勘探业支出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0.44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0.44</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株洲市芦淞区贺家土街道办事处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单位：万元</w:t>
      </w:r>
    </w:p>
    <w:p>
      <w:pPr>
        <w:widowControl/>
        <w:jc w:val="left"/>
        <w:rPr>
          <w:rFonts w:ascii="Times New Roman" w:hAnsi="Times New Roman" w:eastAsia="仿宋_GB2312" w:cs="Times New Roman"/>
          <w:color w:val="000000"/>
          <w:kern w:val="0"/>
          <w:szCs w:val="21"/>
        </w:rPr>
      </w:pP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工资福利支出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325.61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967.78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资本性支出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1.25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30101</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基本工资</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71.79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30201</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办公费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2.70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31001</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6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30102</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津贴补贴</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65.57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30202</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印刷费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1.87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31002</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办公设备购置</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1.25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30103</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奖金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85.04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30203</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咨询费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0.36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31003</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专用设备购置</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30106</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伙食补助费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5.34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30204</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手续费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31005</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基础设施建设</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30107</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绩效工资</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30205</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0.08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31006</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大型修缮</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30108</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机关事业单位基本养老保险费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36.68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30206</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2.36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31007</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30109</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职业年金缴费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3.36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30207</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邮电费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0.58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31008</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物资储备</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30110</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18.49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30208</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取暖费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31009</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土地补偿</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30111</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8.42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30209</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物业管理费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31010</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安置补助</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30112</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30211</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差旅费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0.44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31011</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30113</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住房公积金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26.52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30212</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31012</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拆迁补偿</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30114</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医疗费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0.36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30213</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维修（护）费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7.78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31013</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公务用车购置</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30199</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4.03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30214</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租赁费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4.46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31019</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对个人和家庭的补助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82.89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30215</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会议费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31021</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30301</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离休费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30216</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培训费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31022</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无形资产购置</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30302</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退休费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30217</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公务招待费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31099</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30303</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退职（役）费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30218</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专用材料费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0.44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312</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对企业补助</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30304</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抚恤金</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30224</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被装购置费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31201</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资本金注入</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30305</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生活补助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75.69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30225</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专用燃料费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31203</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政府投资基金股权投资</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30306</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救济费</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30226</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劳务费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1.59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31204</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费用补贴</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30307</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医疗费补助</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30227</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委托业务费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890.79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31205</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利息补贴</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30308</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助学金</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30228</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工会经费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3.64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31299</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30309</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奖励金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5.00 </w:t>
            </w: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30229</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福利费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0.11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313</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对社会保障基金补助</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30310</w:t>
            </w:r>
          </w:p>
        </w:tc>
        <w:tc>
          <w:tcPr>
            <w:tcW w:w="330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30231</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31302</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对社会保险基金补助</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30399</w:t>
            </w:r>
          </w:p>
        </w:tc>
        <w:tc>
          <w:tcPr>
            <w:tcW w:w="330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2.20 </w:t>
            </w:r>
          </w:p>
        </w:tc>
        <w:tc>
          <w:tcPr>
            <w:tcW w:w="111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30239</w:t>
            </w:r>
          </w:p>
        </w:tc>
        <w:tc>
          <w:tcPr>
            <w:tcW w:w="2297"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16.46 </w:t>
            </w:r>
          </w:p>
        </w:tc>
        <w:tc>
          <w:tcPr>
            <w:tcW w:w="107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31303</w:t>
            </w:r>
          </w:p>
        </w:tc>
        <w:tc>
          <w:tcPr>
            <w:tcW w:w="4394"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补充全国社会保障基金</w:t>
            </w:r>
          </w:p>
        </w:tc>
        <w:tc>
          <w:tcPr>
            <w:tcW w:w="856" w:type="dxa"/>
            <w:tcBorders>
              <w:top w:val="single" w:color="auto" w:sz="8" w:space="0"/>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330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30240</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399</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其他支出</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330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30299</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34.12 </w:t>
            </w: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39906</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  赠与</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330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39907</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330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30701</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国内债务付息</w:t>
            </w:r>
          </w:p>
        </w:tc>
        <w:tc>
          <w:tcPr>
            <w:tcW w:w="856"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39908</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330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30702</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国外债务付息</w:t>
            </w:r>
          </w:p>
        </w:tc>
        <w:tc>
          <w:tcPr>
            <w:tcW w:w="856"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107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39999</w:t>
            </w:r>
          </w:p>
        </w:tc>
        <w:tc>
          <w:tcPr>
            <w:tcW w:w="439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c>
          <w:tcPr>
            <w:tcW w:w="330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30703</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国内债务发行费用</w:t>
            </w:r>
          </w:p>
        </w:tc>
        <w:tc>
          <w:tcPr>
            <w:tcW w:w="856"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1076"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4394"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vAlign w:val="center"/>
          </w:tcPr>
          <w:p>
            <w:pPr>
              <w:jc w:val="center"/>
              <w:rPr>
                <w:rFonts w:ascii="Times New Roman" w:hAnsi="Times New Roman" w:eastAsia="宋体" w:cs="Times New Roman"/>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30704</w:t>
            </w:r>
          </w:p>
        </w:tc>
        <w:tc>
          <w:tcPr>
            <w:tcW w:w="22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国外债务发行费用</w:t>
            </w:r>
          </w:p>
        </w:tc>
        <w:tc>
          <w:tcPr>
            <w:tcW w:w="856"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1076"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4394" w:type="dxa"/>
            <w:tcBorders>
              <w:top w:val="nil"/>
              <w:left w:val="nil"/>
              <w:bottom w:val="single" w:color="auto" w:sz="8" w:space="0"/>
              <w:right w:val="single" w:color="auto" w:sz="8" w:space="0"/>
            </w:tcBorders>
            <w:shd w:val="clear" w:color="auto" w:fill="auto"/>
            <w:vAlign w:val="center"/>
          </w:tcPr>
          <w:p>
            <w:pPr>
              <w:rPr>
                <w:rFonts w:hint="eastAsia" w:ascii="宋体" w:hAnsi="宋体" w:eastAsia="宋体" w:cs="宋体"/>
                <w:i w:val="0"/>
                <w:color w:val="000000"/>
                <w:kern w:val="0"/>
                <w:sz w:val="20"/>
                <w:szCs w:val="20"/>
                <w:u w:val="none"/>
                <w:lang w:val="en-US" w:eastAsia="zh-CN" w:bidi="ar"/>
              </w:rPr>
            </w:pPr>
          </w:p>
        </w:tc>
        <w:tc>
          <w:tcPr>
            <w:tcW w:w="856" w:type="dxa"/>
            <w:tcBorders>
              <w:top w:val="nil"/>
              <w:left w:val="nil"/>
              <w:bottom w:val="single" w:color="auto" w:sz="8" w:space="0"/>
              <w:right w:val="single" w:color="auto" w:sz="8" w:space="0"/>
            </w:tcBorders>
            <w:shd w:val="clear" w:color="auto" w:fill="auto"/>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人员经费合计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 xml:space="preserve">408.50 </w:t>
            </w:r>
          </w:p>
        </w:tc>
        <w:tc>
          <w:tcPr>
            <w:tcW w:w="9733" w:type="dxa"/>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969.02 </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株洲市芦淞区贺家土街道办事处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株洲市芦淞区贺家土街道办事处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8</w:t>
      </w:r>
      <w:r>
        <w:rPr>
          <w:rFonts w:ascii="Times New Roman" w:hAnsi="Times New Roman" w:eastAsia="仿宋_GB2312" w:cs="Times New Roman"/>
          <w:color w:val="000000"/>
          <w:kern w:val="0"/>
          <w:szCs w:val="21"/>
        </w:rPr>
        <w:t>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p>
      <w:pPr>
        <w:widowControl/>
        <w:wordWrap w:val="0"/>
        <w:jc w:val="center"/>
        <w:rPr>
          <w:rFonts w:ascii="Times New Roman" w:hAnsi="Times New Roman" w:eastAsia="仿宋_GB2312" w:cs="Times New Roman"/>
          <w:color w:val="000000"/>
          <w:kern w:val="0"/>
          <w:szCs w:val="21"/>
        </w:rPr>
      </w:pP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14"/>
        <w:gridCol w:w="6"/>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3"/>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仿宋_GB2312" w:hAnsi="仿宋_GB2312" w:eastAsia="仿宋_GB2312" w:cs="仿宋_GB2312"/>
                <w:i w:val="0"/>
                <w:color w:val="000000"/>
                <w:kern w:val="0"/>
                <w:sz w:val="21"/>
                <w:szCs w:val="21"/>
                <w:u w:val="none"/>
                <w:lang w:val="en-US" w:eastAsia="zh-CN" w:bidi="ar"/>
              </w:rPr>
              <w:t>栏次</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3</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4</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5</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3"/>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仿宋_GB2312" w:hAnsi="仿宋_GB2312" w:eastAsia="仿宋_GB2312" w:cs="仿宋_GB2312"/>
                <w:i w:val="0"/>
                <w:color w:val="000000"/>
                <w:kern w:val="0"/>
                <w:sz w:val="21"/>
                <w:szCs w:val="21"/>
                <w:u w:val="none"/>
                <w:lang w:val="en-US" w:eastAsia="zh-CN" w:bidi="ar"/>
              </w:rPr>
              <w:t>合计</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b/>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b/>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b/>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b/>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b/>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b/>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1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1"/>
                <w:szCs w:val="21"/>
                <w:u w:val="none"/>
                <w:lang w:val="en-US" w:eastAsia="zh-CN" w:bidi="ar"/>
              </w:rPr>
              <w:t>229</w:t>
            </w:r>
          </w:p>
        </w:tc>
        <w:tc>
          <w:tcPr>
            <w:tcW w:w="1326" w:type="dxa"/>
            <w:gridSpan w:val="2"/>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1"/>
                <w:szCs w:val="21"/>
                <w:u w:val="none"/>
                <w:lang w:val="en-US" w:eastAsia="zh-CN" w:bidi="ar"/>
              </w:rPr>
              <w:t>其他支出</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1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1"/>
                <w:szCs w:val="21"/>
                <w:u w:val="none"/>
                <w:lang w:val="en-US" w:eastAsia="zh-CN" w:bidi="ar"/>
              </w:rPr>
              <w:t>22960</w:t>
            </w:r>
          </w:p>
        </w:tc>
        <w:tc>
          <w:tcPr>
            <w:tcW w:w="1326" w:type="dxa"/>
            <w:gridSpan w:val="2"/>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1"/>
                <w:szCs w:val="21"/>
                <w:u w:val="none"/>
                <w:lang w:val="en-US" w:eastAsia="zh-CN" w:bidi="ar"/>
              </w:rPr>
              <w:t>彩票公益金安排的支出</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1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仿宋_GB2312" w:cs="Times New Roman"/>
                <w:i w:val="0"/>
                <w:color w:val="000000"/>
                <w:kern w:val="0"/>
                <w:sz w:val="21"/>
                <w:szCs w:val="21"/>
                <w:u w:val="none"/>
                <w:lang w:val="en-US" w:eastAsia="zh-CN" w:bidi="ar"/>
              </w:rPr>
              <w:t>2296002</w:t>
            </w:r>
          </w:p>
        </w:tc>
        <w:tc>
          <w:tcPr>
            <w:tcW w:w="1326" w:type="dxa"/>
            <w:gridSpan w:val="2"/>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Cs w:val="21"/>
              </w:rPr>
            </w:pPr>
            <w:r>
              <w:rPr>
                <w:rFonts w:hint="eastAsia" w:ascii="仿宋_GB2312" w:hAnsi="仿宋_GB2312" w:eastAsia="仿宋_GB2312" w:cs="仿宋_GB2312"/>
                <w:i w:val="0"/>
                <w:color w:val="000000"/>
                <w:kern w:val="0"/>
                <w:sz w:val="21"/>
                <w:szCs w:val="21"/>
                <w:u w:val="none"/>
                <w:lang w:val="en-US" w:eastAsia="zh-CN" w:bidi="ar"/>
              </w:rPr>
              <w:t>用于社会福利的彩票公益金支出</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9"/>
        <w:rPr>
          <w:rFonts w:hint="eastAsia" w:asciiTheme="minorEastAsia" w:hAnsiTheme="minorEastAsia"/>
          <w:sz w:val="10"/>
          <w:szCs w:val="10"/>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99F49F1"/>
    <w:rsid w:val="10753826"/>
    <w:rsid w:val="12CD1EEA"/>
    <w:rsid w:val="1F017679"/>
    <w:rsid w:val="1FA47DEC"/>
    <w:rsid w:val="227A56B3"/>
    <w:rsid w:val="25772C14"/>
    <w:rsid w:val="415A2F86"/>
    <w:rsid w:val="43C94C7F"/>
    <w:rsid w:val="44AB6179"/>
    <w:rsid w:val="5A0C5031"/>
    <w:rsid w:val="603B2F32"/>
    <w:rsid w:val="6F6D1DB1"/>
    <w:rsid w:val="7C3E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10</TotalTime>
  <ScaleCrop>false</ScaleCrop>
  <LinksUpToDate>false</LinksUpToDate>
  <CharactersWithSpaces>4864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刘博</cp:lastModifiedBy>
  <cp:lastPrinted>2020-07-15T07:25:00Z</cp:lastPrinted>
  <dcterms:modified xsi:type="dcterms:W3CDTF">2021-05-09T15:52:19Z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