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754.62</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160.08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61.78</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八、社会保障和就业支出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2.08　</w:t>
            </w:r>
          </w:p>
        </w:tc>
      </w:tr>
      <w:tr>
        <w:tblPrEx>
          <w:tblLayout w:type="fixed"/>
          <w:tblCellMar>
            <w:top w:w="0" w:type="dxa"/>
            <w:left w:w="108" w:type="dxa"/>
            <w:bottom w:w="0" w:type="dxa"/>
            <w:right w:w="108" w:type="dxa"/>
          </w:tblCellMar>
        </w:tblPrEx>
        <w:trPr>
          <w:trHeight w:val="37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hint="eastAsia" w:ascii="仿宋" w:hAnsi="仿宋" w:eastAsia="仿宋" w:cs="仿宋"/>
                <w:kern w:val="0"/>
                <w:szCs w:val="21"/>
              </w:rPr>
            </w:pPr>
            <w:r>
              <w:rPr>
                <w:rFonts w:hint="eastAsia" w:ascii="仿宋" w:hAnsi="仿宋" w:eastAsia="仿宋" w:cs="仿宋"/>
                <w:kern w:val="0"/>
                <w:szCs w:val="21"/>
              </w:rPr>
              <w:t>636.62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816.40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798.78</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67.35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84.97</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883.75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883.75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2245"/>
        <w:gridCol w:w="1095"/>
        <w:gridCol w:w="1119"/>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344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0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11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24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0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24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3442"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1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3442"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816.40</w:t>
            </w:r>
          </w:p>
        </w:tc>
        <w:tc>
          <w:tcPr>
            <w:tcW w:w="11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754.62</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61.78</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2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0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1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2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0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1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2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0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1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22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社会保障和就业支出</w:t>
            </w:r>
          </w:p>
        </w:tc>
        <w:tc>
          <w:tcPr>
            <w:tcW w:w="10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1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20801</w:t>
            </w:r>
          </w:p>
        </w:tc>
        <w:tc>
          <w:tcPr>
            <w:tcW w:w="224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人力资源和社会保障管理事务</w:t>
            </w:r>
          </w:p>
        </w:tc>
        <w:tc>
          <w:tcPr>
            <w:tcW w:w="10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11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2080102</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654.24</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592.46</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61.78</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城乡社区管理事务</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376.90</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315.12</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61.78</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2120101</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163.38</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101.59</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61.78</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2120102</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37.23</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37.24</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2120104</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城管执法</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176.29</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176.29</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城乡社区公共设施</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2120399</w:t>
            </w:r>
          </w:p>
        </w:tc>
        <w:tc>
          <w:tcPr>
            <w:tcW w:w="224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其他城乡社区公共设施支出</w:t>
            </w:r>
          </w:p>
        </w:tc>
        <w:tc>
          <w:tcPr>
            <w:tcW w:w="10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119"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523"/>
        <w:gridCol w:w="1740"/>
        <w:gridCol w:w="1230"/>
        <w:gridCol w:w="1358"/>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62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4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23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35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2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4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5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52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4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3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5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62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4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5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3625"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798.78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759.47</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39.31</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社会保障和就业支出</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20801</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人力资源和社会保障管理事务</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2080102</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636.62</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599.39</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城乡社区管理事务</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359.10</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321.86</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2120101</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145.57</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145.57</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2120102</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37.24</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37.24</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2120104</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城管执法</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176.29</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176.29</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城乡社区公共设施</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2120399</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其他城乡社区公共设施支出</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21208</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国有土地使用权出让收入及对应专项债务收入安排的支出</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2120899</w:t>
            </w:r>
          </w:p>
        </w:tc>
        <w:tc>
          <w:tcPr>
            <w:tcW w:w="2523"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其他国有土地使用权出让收入安排的支出</w:t>
            </w:r>
          </w:p>
        </w:tc>
        <w:tc>
          <w:tcPr>
            <w:tcW w:w="174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123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1358"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754.62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八、社会保障和就业支出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1572" w:type="dxa"/>
            <w:shd w:val="clear" w:color="auto" w:fill="auto"/>
            <w:noWrap/>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九、医疗卫生与计划生育支出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十、节能环保支出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592.64</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592.46</w:t>
            </w:r>
          </w:p>
        </w:tc>
        <w:tc>
          <w:tcPr>
            <w:tcW w:w="157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754.62</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754.80</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754.62</w:t>
            </w:r>
          </w:p>
        </w:tc>
        <w:tc>
          <w:tcPr>
            <w:tcW w:w="157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0.18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6.22</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6.04</w:t>
            </w: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6.22</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right"/>
              <w:rPr>
                <w:rFonts w:hint="eastAsia" w:ascii="仿宋" w:hAnsi="仿宋" w:eastAsia="仿宋" w:cs="仿宋"/>
                <w:kern w:val="0"/>
                <w:sz w:val="21"/>
                <w:szCs w:val="21"/>
              </w:rPr>
            </w:pPr>
          </w:p>
        </w:tc>
        <w:tc>
          <w:tcPr>
            <w:tcW w:w="1660" w:type="dxa"/>
            <w:shd w:val="clear" w:color="auto" w:fill="auto"/>
            <w:noWrap/>
            <w:vAlign w:val="center"/>
          </w:tcPr>
          <w:p>
            <w:pPr>
              <w:jc w:val="right"/>
              <w:rPr>
                <w:rFonts w:hint="eastAsia" w:ascii="仿宋" w:hAnsi="仿宋" w:eastAsia="仿宋" w:cs="仿宋"/>
                <w:kern w:val="0"/>
                <w:sz w:val="21"/>
                <w:szCs w:val="21"/>
              </w:rPr>
            </w:pPr>
          </w:p>
        </w:tc>
        <w:tc>
          <w:tcPr>
            <w:tcW w:w="1572" w:type="dxa"/>
            <w:shd w:val="clear" w:color="auto" w:fill="auto"/>
            <w:noWrap/>
            <w:vAlign w:val="center"/>
          </w:tcPr>
          <w:p>
            <w:pPr>
              <w:jc w:val="right"/>
              <w:rPr>
                <w:rFonts w:hint="eastAsia" w:ascii="仿宋" w:hAnsi="仿宋" w:eastAsia="仿宋" w:cs="仿宋"/>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760.84</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760.84</w:t>
            </w:r>
          </w:p>
        </w:tc>
        <w:tc>
          <w:tcPr>
            <w:tcW w:w="1660"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754.62</w:t>
            </w:r>
          </w:p>
        </w:tc>
        <w:tc>
          <w:tcPr>
            <w:tcW w:w="1572" w:type="dxa"/>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kern w:val="0"/>
                <w:sz w:val="21"/>
                <w:szCs w:val="21"/>
              </w:rPr>
            </w:pPr>
            <w:r>
              <w:rPr>
                <w:rFonts w:hint="eastAsia" w:ascii="仿宋" w:hAnsi="仿宋" w:eastAsia="仿宋" w:cs="仿宋"/>
                <w:i w:val="0"/>
                <w:color w:val="000000"/>
                <w:kern w:val="0"/>
                <w:sz w:val="21"/>
                <w:szCs w:val="21"/>
                <w:u w:val="none"/>
                <w:lang w:val="en-US" w:eastAsia="zh-CN" w:bidi="ar"/>
              </w:rPr>
              <w:t>6.22</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754.62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715.31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39.31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160.08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2080102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592.46</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555.23</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315.12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277.88</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101.59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101.59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37.23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2120104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城管执法</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176.29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176.29</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2120399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其他城乡社区公共设施支出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277.34</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229.89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351.78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60.77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47.94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20.31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3.68</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3.68</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25.05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3.55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0.40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16.43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22.79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36.59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129.96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25.20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279.42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14.23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104.14</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4.82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18.67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0.55</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0.28</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jc w:val="right"/>
              <w:rPr>
                <w:rFonts w:hint="eastAsia" w:ascii="仿宋" w:hAnsi="仿宋" w:eastAsia="仿宋" w:cs="仿宋"/>
                <w:color w:val="000000"/>
                <w:kern w:val="0"/>
                <w:sz w:val="21"/>
                <w:szCs w:val="21"/>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24.59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color w:val="000000"/>
                <w:kern w:val="0"/>
                <w:sz w:val="21"/>
                <w:szCs w:val="21"/>
                <w:u w:val="none"/>
                <w:lang w:val="en-US" w:eastAsia="zh-CN" w:bidi="ar"/>
              </w:rPr>
              <w:t>359.85</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355.46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31.8</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31.8</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31.8</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18.67</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18.67</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18.67</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株洲市芦淞区拆除违法建筑综合管理大队</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2170"/>
        <w:gridCol w:w="1725"/>
        <w:gridCol w:w="1425"/>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29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72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425"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17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725" w:type="dxa"/>
            <w:vMerge w:val="continue"/>
            <w:vAlign w:val="center"/>
          </w:tcPr>
          <w:p>
            <w:pPr>
              <w:widowControl/>
              <w:jc w:val="left"/>
              <w:rPr>
                <w:rFonts w:ascii="Times New Roman" w:hAnsi="Times New Roman" w:eastAsia="仿宋_GB2312" w:cs="Times New Roman"/>
                <w:b/>
                <w:kern w:val="0"/>
                <w:szCs w:val="21"/>
              </w:rPr>
            </w:pPr>
          </w:p>
        </w:tc>
        <w:tc>
          <w:tcPr>
            <w:tcW w:w="1425"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2170" w:type="dxa"/>
            <w:vMerge w:val="continue"/>
            <w:vAlign w:val="center"/>
          </w:tcPr>
          <w:p>
            <w:pPr>
              <w:widowControl/>
              <w:jc w:val="left"/>
              <w:rPr>
                <w:rFonts w:ascii="Times New Roman" w:hAnsi="Times New Roman" w:eastAsia="仿宋_GB2312" w:cs="Times New Roman"/>
                <w:kern w:val="0"/>
                <w:szCs w:val="21"/>
              </w:rPr>
            </w:pPr>
          </w:p>
        </w:tc>
        <w:tc>
          <w:tcPr>
            <w:tcW w:w="1725" w:type="dxa"/>
            <w:vMerge w:val="continue"/>
            <w:vAlign w:val="center"/>
          </w:tcPr>
          <w:p>
            <w:pPr>
              <w:widowControl/>
              <w:jc w:val="left"/>
              <w:rPr>
                <w:rFonts w:ascii="Times New Roman" w:hAnsi="Times New Roman" w:eastAsia="仿宋_GB2312" w:cs="Times New Roman"/>
                <w:kern w:val="0"/>
                <w:szCs w:val="21"/>
              </w:rPr>
            </w:pPr>
          </w:p>
        </w:tc>
        <w:tc>
          <w:tcPr>
            <w:tcW w:w="1425"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2170" w:type="dxa"/>
            <w:vMerge w:val="continue"/>
            <w:vAlign w:val="center"/>
          </w:tcPr>
          <w:p>
            <w:pPr>
              <w:widowControl/>
              <w:jc w:val="left"/>
              <w:rPr>
                <w:rFonts w:ascii="Times New Roman" w:hAnsi="Times New Roman" w:eastAsia="仿宋_GB2312" w:cs="Times New Roman"/>
                <w:kern w:val="0"/>
                <w:szCs w:val="21"/>
              </w:rPr>
            </w:pPr>
          </w:p>
        </w:tc>
        <w:tc>
          <w:tcPr>
            <w:tcW w:w="1725" w:type="dxa"/>
            <w:vMerge w:val="continue"/>
            <w:vAlign w:val="center"/>
          </w:tcPr>
          <w:p>
            <w:pPr>
              <w:widowControl/>
              <w:jc w:val="left"/>
              <w:rPr>
                <w:rFonts w:ascii="Times New Roman" w:hAnsi="Times New Roman" w:eastAsia="仿宋_GB2312" w:cs="Times New Roman"/>
                <w:kern w:val="0"/>
                <w:szCs w:val="21"/>
              </w:rPr>
            </w:pPr>
          </w:p>
        </w:tc>
        <w:tc>
          <w:tcPr>
            <w:tcW w:w="1425"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29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329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25" w:type="dxa"/>
            <w:shd w:val="clear" w:color="auto" w:fill="auto"/>
            <w:vAlign w:val="center"/>
          </w:tcPr>
          <w:p>
            <w:pPr>
              <w:widowControl/>
              <w:jc w:val="center"/>
              <w:rPr>
                <w:rFonts w:ascii="Times New Roman" w:hAnsi="Times New Roman" w:eastAsia="仿宋_GB2312" w:cs="Times New Roman"/>
                <w:kern w:val="0"/>
                <w:szCs w:val="21"/>
              </w:rPr>
            </w:pPr>
            <w:bookmarkStart w:id="2" w:name="_GoBack"/>
            <w:bookmarkEnd w:id="2"/>
            <w:r>
              <w:rPr>
                <w:rFonts w:ascii="Times New Roman" w:hAnsi="Times New Roman" w:eastAsia="仿宋_GB2312" w:cs="Times New Roman"/>
                <w:kern w:val="0"/>
                <w:szCs w:val="21"/>
              </w:rPr>
              <w:t>　</w:t>
            </w:r>
          </w:p>
        </w:tc>
        <w:tc>
          <w:tcPr>
            <w:tcW w:w="142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w:t>
            </w:r>
          </w:p>
        </w:tc>
        <w:tc>
          <w:tcPr>
            <w:tcW w:w="217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城乡社区支出</w:t>
            </w:r>
          </w:p>
        </w:tc>
        <w:tc>
          <w:tcPr>
            <w:tcW w:w="172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6.22</w:t>
            </w:r>
          </w:p>
        </w:tc>
        <w:tc>
          <w:tcPr>
            <w:tcW w:w="1425"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21208</w:t>
            </w:r>
          </w:p>
        </w:tc>
        <w:tc>
          <w:tcPr>
            <w:tcW w:w="217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国有土地使用权出让收入及对应专项债务收入安排的支出</w:t>
            </w:r>
          </w:p>
        </w:tc>
        <w:tc>
          <w:tcPr>
            <w:tcW w:w="172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6.22</w:t>
            </w:r>
          </w:p>
        </w:tc>
        <w:tc>
          <w:tcPr>
            <w:tcW w:w="1425"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2120899</w:t>
            </w:r>
          </w:p>
        </w:tc>
        <w:tc>
          <w:tcPr>
            <w:tcW w:w="2170"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其他国有土地使用权出让收入安排的支出</w:t>
            </w:r>
          </w:p>
        </w:tc>
        <w:tc>
          <w:tcPr>
            <w:tcW w:w="172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6.22</w:t>
            </w:r>
          </w:p>
        </w:tc>
        <w:tc>
          <w:tcPr>
            <w:tcW w:w="1425"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0.18</w:t>
            </w:r>
          </w:p>
        </w:tc>
        <w:tc>
          <w:tcPr>
            <w:tcW w:w="2000" w:type="dxa"/>
            <w:shd w:val="clear" w:color="auto" w:fill="auto"/>
            <w:vAlign w:val="center"/>
          </w:tcPr>
          <w:p>
            <w:pPr>
              <w:jc w:val="right"/>
              <w:rPr>
                <w:rFonts w:hint="eastAsia" w:ascii="仿宋" w:hAnsi="仿宋" w:eastAsia="仿宋" w:cs="仿宋"/>
                <w:kern w:val="0"/>
                <w:sz w:val="21"/>
                <w:szCs w:val="21"/>
              </w:rPr>
            </w:pPr>
          </w:p>
        </w:tc>
        <w:tc>
          <w:tcPr>
            <w:tcW w:w="200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7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2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7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2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17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2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25"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auto"/>
    <w:pitch w:val="default"/>
    <w:sig w:usb0="B00002AF" w:usb1="69D77CFB" w:usb2="00000030" w:usb3="00000000" w:csb0="4008009F" w:csb1="DFD7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2F127A0F"/>
    <w:rsid w:val="52FE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2021-05-08T14:16:51Z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