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4D" w:rsidRPr="00076662" w:rsidRDefault="00796244" w:rsidP="002E65C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                                                                                                                                                        </w:t>
      </w:r>
      <w:r w:rsidR="007D5EB6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                            </w:t>
      </w:r>
      <w:r w:rsidR="0038313E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201</w:t>
      </w:r>
      <w:r w:rsidR="002E65C9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8</w:t>
      </w:r>
      <w:r w:rsidR="0038313E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年度</w:t>
      </w:r>
      <w:r w:rsidR="002E65C9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炎陵县图书馆</w:t>
      </w:r>
      <w:r w:rsidR="0038313E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公共文化服务体系建设</w:t>
      </w:r>
      <w:r w:rsidR="001F6AD0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中央专项转移支付绩效自评报告</w:t>
      </w:r>
    </w:p>
    <w:p w:rsidR="00A1394D" w:rsidRPr="00076662" w:rsidRDefault="001F6AD0" w:rsidP="00174F84">
      <w:pPr>
        <w:numPr>
          <w:ilvl w:val="0"/>
          <w:numId w:val="1"/>
        </w:numPr>
        <w:spacing w:beforeLines="100"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基本情况</w:t>
      </w:r>
    </w:p>
    <w:p w:rsidR="00FC64FF" w:rsidRPr="00EC3D4A" w:rsidRDefault="00FC64FF" w:rsidP="00FC64FF">
      <w:pPr>
        <w:pStyle w:val="a9"/>
        <w:ind w:left="420" w:firstLineChars="0" w:firstLine="0"/>
        <w:jc w:val="left"/>
        <w:rPr>
          <w:rFonts w:ascii="仿宋" w:eastAsia="仿宋" w:hAnsi="仿宋" w:cs="Times New Roman"/>
          <w:bCs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Cs/>
          <w:color w:val="000000" w:themeColor="text1"/>
          <w:sz w:val="30"/>
          <w:szCs w:val="30"/>
        </w:rPr>
        <w:t xml:space="preserve"> </w:t>
      </w:r>
      <w:r w:rsidRPr="00EC3D4A">
        <w:rPr>
          <w:rFonts w:ascii="仿宋" w:eastAsia="仿宋" w:hAnsi="仿宋" w:hint="eastAsia"/>
          <w:bCs/>
          <w:color w:val="000000" w:themeColor="text1"/>
          <w:sz w:val="30"/>
          <w:szCs w:val="30"/>
        </w:rPr>
        <w:t xml:space="preserve"> </w:t>
      </w:r>
      <w:r w:rsidR="002E65C9" w:rsidRPr="00EC3D4A">
        <w:rPr>
          <w:rFonts w:ascii="仿宋" w:eastAsia="仿宋" w:hAnsi="仿宋" w:hint="eastAsia"/>
          <w:bCs/>
          <w:color w:val="000000" w:themeColor="text1"/>
          <w:sz w:val="30"/>
          <w:szCs w:val="30"/>
        </w:rPr>
        <w:t>炎陵县图书馆</w:t>
      </w:r>
      <w:r w:rsidRPr="00EC3D4A">
        <w:rPr>
          <w:rFonts w:ascii="仿宋" w:eastAsia="仿宋" w:hAnsi="仿宋" w:hint="eastAsia"/>
          <w:bCs/>
          <w:color w:val="000000" w:themeColor="text1"/>
          <w:sz w:val="30"/>
          <w:szCs w:val="30"/>
        </w:rPr>
        <w:t>共收到中央专项资金</w:t>
      </w:r>
      <w:r w:rsidR="000F3C6C" w:rsidRPr="00EC3D4A">
        <w:rPr>
          <w:rFonts w:ascii="仿宋" w:eastAsia="仿宋" w:hAnsi="仿宋" w:hint="eastAsia"/>
          <w:bCs/>
          <w:color w:val="000000" w:themeColor="text1"/>
          <w:sz w:val="30"/>
          <w:szCs w:val="30"/>
        </w:rPr>
        <w:t>60</w:t>
      </w:r>
      <w:r w:rsidRPr="00EC3D4A">
        <w:rPr>
          <w:rFonts w:ascii="仿宋" w:eastAsia="仿宋" w:hAnsi="仿宋" w:hint="eastAsia"/>
          <w:bCs/>
          <w:color w:val="000000" w:themeColor="text1"/>
          <w:sz w:val="30"/>
          <w:szCs w:val="30"/>
        </w:rPr>
        <w:t>万元。</w:t>
      </w:r>
    </w:p>
    <w:p w:rsidR="00486361" w:rsidRPr="00EC3D4A" w:rsidRDefault="00FC64FF" w:rsidP="00680B18">
      <w:pPr>
        <w:ind w:firstLineChars="200" w:firstLine="640"/>
        <w:jc w:val="left"/>
        <w:rPr>
          <w:rFonts w:ascii="仿宋" w:eastAsia="仿宋" w:hAnsi="仿宋" w:cs="Times New Roman"/>
          <w:bCs/>
          <w:color w:val="000000" w:themeColor="text1"/>
          <w:sz w:val="30"/>
          <w:szCs w:val="30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收到指标情况</w:t>
      </w:r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  <w:r w:rsidR="00680B18" w:rsidRPr="00EC3D4A">
        <w:rPr>
          <w:rFonts w:ascii="仿宋" w:eastAsia="仿宋" w:hAnsi="仿宋" w:cs="Times New Roman"/>
          <w:bCs/>
          <w:color w:val="000000" w:themeColor="text1"/>
          <w:sz w:val="30"/>
          <w:szCs w:val="30"/>
        </w:rPr>
        <w:t>湘财文指〔2018〕12号</w:t>
      </w:r>
      <w:r w:rsidR="00486361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，</w:t>
      </w:r>
      <w:r w:rsidR="00680B18" w:rsidRPr="00EC3D4A">
        <w:rPr>
          <w:rFonts w:ascii="仿宋" w:eastAsia="仿宋" w:hAnsi="仿宋" w:cs="Times New Roman"/>
          <w:bCs/>
          <w:color w:val="000000" w:themeColor="text1"/>
          <w:sz w:val="30"/>
          <w:szCs w:val="30"/>
        </w:rPr>
        <w:t>2018年中央补助地方公共文化服务体系建设（一般项目）专项资金</w:t>
      </w:r>
      <w:r w:rsidR="00680B18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60万元</w:t>
      </w:r>
      <w:r w:rsidR="000F3C6C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。</w:t>
      </w:r>
    </w:p>
    <w:p w:rsidR="00A1394D" w:rsidRPr="00076662" w:rsidRDefault="00486361" w:rsidP="00486361">
      <w:pPr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绩效自评工作开展情况</w:t>
      </w:r>
    </w:p>
    <w:p w:rsidR="00A1394D" w:rsidRPr="00076662" w:rsidRDefault="001F6AD0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前期准备</w:t>
      </w:r>
    </w:p>
    <w:p w:rsidR="009A076E" w:rsidRPr="00EC3D4A" w:rsidRDefault="00680B18" w:rsidP="009A076E">
      <w:pPr>
        <w:pStyle w:val="a9"/>
        <w:spacing w:line="600" w:lineRule="exact"/>
        <w:ind w:firstLineChars="131" w:firstLine="419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="009A076E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严格按照</w:t>
      </w:r>
      <w:r w:rsidR="009A076E" w:rsidRPr="00EC3D4A">
        <w:rPr>
          <w:rFonts w:ascii="仿宋" w:eastAsia="仿宋" w:hAnsi="仿宋" w:cs="仿宋"/>
          <w:sz w:val="32"/>
          <w:szCs w:val="32"/>
        </w:rPr>
        <w:t>《中央补助地方文化服务体系建设专项资金管理暂</w:t>
      </w:r>
      <w:r w:rsidR="009A076E" w:rsidRPr="00EC3D4A">
        <w:rPr>
          <w:rFonts w:ascii="仿宋" w:eastAsia="仿宋" w:hAnsi="仿宋"/>
          <w:sz w:val="32"/>
          <w:szCs w:val="32"/>
        </w:rPr>
        <w:t>行办法》（财教〔2015〕527号）</w:t>
      </w:r>
      <w:r w:rsidR="009A076E" w:rsidRPr="00EC3D4A">
        <w:rPr>
          <w:rFonts w:ascii="仿宋" w:eastAsia="仿宋" w:hAnsi="仿宋" w:cs="仿宋" w:hint="eastAsia"/>
          <w:sz w:val="32"/>
          <w:szCs w:val="32"/>
        </w:rPr>
        <w:t>等相关文件要求，加强组织领导，落实责任，将绩效考核工作作为当</w:t>
      </w:r>
      <w:r w:rsidR="009A076E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前重点工作进行部署和落实。</w:t>
      </w:r>
    </w:p>
    <w:p w:rsidR="00A1394D" w:rsidRPr="00076662" w:rsidRDefault="001F6AD0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组织过程</w:t>
      </w:r>
    </w:p>
    <w:p w:rsidR="00A1394D" w:rsidRPr="00EC3D4A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根据相关规定严格开展绩效自评工作。由于201</w:t>
      </w:r>
      <w:r w:rsidR="00674629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 w:rsidR="00680B18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中央补助地方公共文化服务体系建设（一般项目）专项资金</w:t>
      </w: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下拨至</w:t>
      </w:r>
      <w:r w:rsidR="00A626B7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县图书馆本级</w:t>
      </w:r>
      <w:r w:rsidR="009A076E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，我</w:t>
      </w:r>
      <w:r w:rsidR="00674629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馆认真汇总资料，制定</w:t>
      </w:r>
      <w:r w:rsidR="009A076E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专项资金使用明细，并填报《中央对地方专项转移支付项目绩效目标自评表》，撰写自评报告。</w:t>
      </w:r>
    </w:p>
    <w:p w:rsidR="002D004A" w:rsidRPr="00076662" w:rsidRDefault="001F6AD0" w:rsidP="002D004A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分析评价</w:t>
      </w:r>
    </w:p>
    <w:p w:rsidR="002C3A1E" w:rsidRPr="00EC3D4A" w:rsidRDefault="00680B18" w:rsidP="00680B18">
      <w:pPr>
        <w:ind w:firstLineChars="200" w:firstLine="60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中央补助地方公共文化服务体系建设（一般项目）专项资金</w:t>
      </w:r>
      <w:r w:rsidR="002C3A1E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及时足额到位，管理制度健全且得到了有效执行，对</w:t>
      </w: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</w:t>
      </w:r>
      <w:r w:rsidR="002C3A1E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公共文化建设起到了积极的推动作用。严格按照资金的使用范围与原则、申报与管理，最大限度地发挥专项资金的使用效益。</w:t>
      </w:r>
    </w:p>
    <w:p w:rsidR="00A1394D" w:rsidRPr="00EC3D4A" w:rsidRDefault="00CB6FB4" w:rsidP="00EC3D4A">
      <w:pPr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EC3D4A">
        <w:rPr>
          <w:rFonts w:ascii="黑体" w:eastAsia="黑体" w:hAnsi="黑体" w:cs="仿宋" w:hint="eastAsia"/>
          <w:color w:val="000000" w:themeColor="text1"/>
          <w:sz w:val="32"/>
          <w:szCs w:val="32"/>
        </w:rPr>
        <w:t>三、</w:t>
      </w:r>
      <w:r w:rsidR="001F6AD0" w:rsidRPr="00EC3D4A">
        <w:rPr>
          <w:rFonts w:ascii="黑体" w:eastAsia="黑体" w:hAnsi="黑体" w:cs="黑体" w:hint="eastAsia"/>
          <w:color w:val="000000" w:themeColor="text1"/>
          <w:sz w:val="32"/>
          <w:szCs w:val="32"/>
        </w:rPr>
        <w:t>综合评价结论</w:t>
      </w:r>
    </w:p>
    <w:p w:rsidR="00680B18" w:rsidRPr="00EC3D4A" w:rsidRDefault="002C3A1E" w:rsidP="00680B18">
      <w:pPr>
        <w:pStyle w:val="a9"/>
        <w:spacing w:line="600" w:lineRule="exact"/>
        <w:ind w:firstLineChars="231" w:firstLine="739"/>
        <w:rPr>
          <w:rFonts w:ascii="仿宋" w:eastAsia="仿宋" w:hAnsi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/>
          <w:color w:val="000000" w:themeColor="text1"/>
          <w:sz w:val="32"/>
          <w:szCs w:val="32"/>
        </w:rPr>
        <w:t>通过中央专项资金的投入，为</w:t>
      </w:r>
      <w:r w:rsidRPr="00EC3D4A">
        <w:rPr>
          <w:rFonts w:ascii="仿宋" w:eastAsia="仿宋" w:hAnsi="仿宋" w:hint="eastAsia"/>
          <w:color w:val="000000" w:themeColor="text1"/>
          <w:sz w:val="32"/>
          <w:szCs w:val="32"/>
        </w:rPr>
        <w:t>我</w:t>
      </w:r>
      <w:r w:rsidR="00680B18" w:rsidRPr="00EC3D4A">
        <w:rPr>
          <w:rFonts w:ascii="仿宋" w:eastAsia="仿宋" w:hAnsi="仿宋" w:hint="eastAsia"/>
          <w:color w:val="000000" w:themeColor="text1"/>
          <w:sz w:val="32"/>
          <w:szCs w:val="32"/>
        </w:rPr>
        <w:t>县</w:t>
      </w:r>
      <w:r w:rsidR="00674629" w:rsidRPr="00EC3D4A">
        <w:rPr>
          <w:rFonts w:ascii="仿宋" w:eastAsia="仿宋" w:hAnsi="仿宋" w:hint="eastAsia"/>
          <w:color w:val="000000" w:themeColor="text1"/>
          <w:sz w:val="32"/>
          <w:szCs w:val="32"/>
        </w:rPr>
        <w:t>图书馆文化</w:t>
      </w:r>
      <w:r w:rsidRPr="00EC3D4A">
        <w:rPr>
          <w:rFonts w:ascii="仿宋" w:eastAsia="仿宋" w:hAnsi="仿宋"/>
          <w:color w:val="000000" w:themeColor="text1"/>
          <w:sz w:val="32"/>
          <w:szCs w:val="32"/>
        </w:rPr>
        <w:t>事业的发展提供坚实的经济基础，达到改善基础设施条件</w:t>
      </w:r>
      <w:r w:rsidRPr="00EC3D4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C3D4A">
        <w:rPr>
          <w:rFonts w:ascii="仿宋" w:eastAsia="仿宋" w:hAnsi="仿宋"/>
          <w:color w:val="000000" w:themeColor="text1"/>
          <w:sz w:val="32"/>
          <w:szCs w:val="32"/>
        </w:rPr>
        <w:t>丰富群众的文化生活</w:t>
      </w:r>
      <w:r w:rsidRPr="00EC3D4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C3D4A">
        <w:rPr>
          <w:rFonts w:ascii="仿宋" w:eastAsia="仿宋" w:hAnsi="仿宋"/>
          <w:color w:val="000000" w:themeColor="text1"/>
          <w:sz w:val="32"/>
          <w:szCs w:val="32"/>
        </w:rPr>
        <w:t>实现和保障我</w:t>
      </w:r>
      <w:r w:rsidR="00674629" w:rsidRPr="00EC3D4A">
        <w:rPr>
          <w:rFonts w:ascii="仿宋" w:eastAsia="仿宋" w:hAnsi="仿宋" w:hint="eastAsia"/>
          <w:color w:val="000000" w:themeColor="text1"/>
          <w:sz w:val="32"/>
          <w:szCs w:val="32"/>
        </w:rPr>
        <w:t>县</w:t>
      </w:r>
      <w:r w:rsidRPr="00EC3D4A">
        <w:rPr>
          <w:rFonts w:ascii="仿宋" w:eastAsia="仿宋" w:hAnsi="仿宋"/>
          <w:color w:val="000000" w:themeColor="text1"/>
          <w:sz w:val="32"/>
          <w:szCs w:val="32"/>
        </w:rPr>
        <w:t>群众基本文化权益</w:t>
      </w:r>
      <w:r w:rsidRPr="00EC3D4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C3D4A">
        <w:rPr>
          <w:rFonts w:ascii="仿宋" w:eastAsia="仿宋" w:hAnsi="仿宋"/>
          <w:color w:val="000000" w:themeColor="text1"/>
          <w:sz w:val="32"/>
          <w:szCs w:val="32"/>
        </w:rPr>
        <w:t>满足广大人民群众基本文化需求的总体目标，全面推进</w:t>
      </w:r>
      <w:r w:rsidR="0088254D" w:rsidRPr="00EC3D4A">
        <w:rPr>
          <w:rFonts w:ascii="仿宋" w:eastAsia="仿宋" w:hAnsi="仿宋" w:hint="eastAsia"/>
          <w:color w:val="000000" w:themeColor="text1"/>
          <w:sz w:val="32"/>
          <w:szCs w:val="32"/>
        </w:rPr>
        <w:t>炎陵县</w:t>
      </w:r>
      <w:r w:rsidRPr="00EC3D4A">
        <w:rPr>
          <w:rFonts w:ascii="仿宋" w:eastAsia="仿宋" w:hAnsi="仿宋"/>
          <w:color w:val="000000" w:themeColor="text1"/>
          <w:sz w:val="32"/>
          <w:szCs w:val="32"/>
        </w:rPr>
        <w:t>公共文化服务体系建设。</w:t>
      </w:r>
    </w:p>
    <w:p w:rsidR="00A1394D" w:rsidRPr="00EC3D4A" w:rsidRDefault="00B70272" w:rsidP="00EC3D4A">
      <w:pPr>
        <w:spacing w:line="600" w:lineRule="exact"/>
        <w:ind w:firstLineChars="200" w:firstLine="640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EC3D4A">
        <w:rPr>
          <w:rFonts w:ascii="黑体" w:eastAsia="黑体" w:hAnsi="黑体" w:cs="黑体" w:hint="eastAsia"/>
          <w:color w:val="000000" w:themeColor="text1"/>
          <w:sz w:val="32"/>
          <w:szCs w:val="32"/>
        </w:rPr>
        <w:t>四、</w:t>
      </w:r>
      <w:r w:rsidR="001F6AD0" w:rsidRPr="00EC3D4A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绩效目标实现情况分析</w:t>
      </w:r>
    </w:p>
    <w:p w:rsidR="00A1394D" w:rsidRPr="00076662" w:rsidRDefault="001F6AD0">
      <w:p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（一）项目资金情况分析</w:t>
      </w:r>
    </w:p>
    <w:p w:rsidR="00D2270E" w:rsidRPr="00EC3D4A" w:rsidRDefault="0088254D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D2270E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炎陵县图书馆项目资金到位情况分析：</w:t>
      </w:r>
      <w:r w:rsidR="00680B18" w:rsidRPr="00EC3D4A">
        <w:rPr>
          <w:rFonts w:ascii="仿宋" w:eastAsia="仿宋" w:hAnsi="仿宋" w:cs="Times New Roman"/>
          <w:bCs/>
          <w:color w:val="000000" w:themeColor="text1"/>
          <w:sz w:val="30"/>
          <w:szCs w:val="30"/>
        </w:rPr>
        <w:t>中央补助地方公共文化服务体系建设（一般项目）专项资金</w:t>
      </w:r>
      <w:r w:rsidR="00D2270E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60万元全部到账。</w:t>
      </w:r>
    </w:p>
    <w:p w:rsidR="00A1394D" w:rsidRPr="00EC3D4A" w:rsidRDefault="00D2270E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项目资金</w:t>
      </w:r>
      <w:r w:rsidR="0088254D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执行</w:t>
      </w:r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情况分析：</w:t>
      </w:r>
      <w:r w:rsidR="00680B18" w:rsidRPr="00EC3D4A">
        <w:rPr>
          <w:rFonts w:ascii="仿宋" w:eastAsia="仿宋" w:hAnsi="仿宋" w:cs="Times New Roman"/>
          <w:bCs/>
          <w:color w:val="000000" w:themeColor="text1"/>
          <w:sz w:val="30"/>
          <w:szCs w:val="30"/>
        </w:rPr>
        <w:t>中央补助地方公共文化服务体系建设（一般项目）专项资金</w:t>
      </w:r>
      <w:r w:rsidR="0088254D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已使用</w:t>
      </w: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完毕</w:t>
      </w:r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 w:rsidR="0088254D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具体情况如下：</w:t>
      </w:r>
    </w:p>
    <w:p w:rsidR="00B66FF6" w:rsidRPr="00EC3D4A" w:rsidRDefault="00680B18" w:rsidP="00680B18">
      <w:pPr>
        <w:spacing w:line="360" w:lineRule="auto"/>
        <w:ind w:firstLineChars="200" w:firstLine="643"/>
        <w:rPr>
          <w:rFonts w:ascii="仿宋" w:eastAsia="仿宋" w:hAnsi="仿宋" w:cs="Times New Roman"/>
          <w:bCs/>
          <w:color w:val="000000" w:themeColor="text1"/>
          <w:sz w:val="30"/>
          <w:szCs w:val="30"/>
        </w:rPr>
      </w:pPr>
      <w:r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图书馆馆舍维修改造工程费用</w:t>
      </w:r>
      <w:r w:rsidR="00095711"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7.</w:t>
      </w:r>
      <w:r w:rsidR="00183E8D"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6</w:t>
      </w:r>
      <w:r w:rsidR="00095711"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423</w:t>
      </w:r>
      <w:r w:rsidR="00ED394F"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万</w:t>
      </w:r>
      <w:r w:rsidR="00B66FF6"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元</w:t>
      </w:r>
      <w:r w:rsidR="00ED394F"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：</w:t>
      </w:r>
      <w:r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图书馆舍维修工程预算咨询费0.3万元；工程监理费2万元；工程设计服务费0.5万元；卫生清理费用0.4万元；</w:t>
      </w: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窗口清洁及图书、设备搬运等费用0.5395万元；馆舍</w:t>
      </w:r>
      <w:r w:rsidR="00ED394F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土地平整等费用0.544万元；苗木栽种费用1.952万元；</w:t>
      </w:r>
      <w:r w:rsidR="001244CC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图书馆零星维修费用1.4068万元。</w:t>
      </w:r>
      <w:r w:rsidRPr="00EC3D4A">
        <w:rPr>
          <w:rFonts w:ascii="仿宋" w:eastAsia="仿宋" w:hAnsi="仿宋" w:cs="Times New Roman"/>
          <w:bCs/>
          <w:color w:val="000000" w:themeColor="text1"/>
          <w:sz w:val="30"/>
          <w:szCs w:val="30"/>
        </w:rPr>
        <w:t xml:space="preserve"> </w:t>
      </w:r>
    </w:p>
    <w:p w:rsidR="00A1394D" w:rsidRPr="00EC3D4A" w:rsidRDefault="00680B18" w:rsidP="00095711">
      <w:pPr>
        <w:spacing w:line="360" w:lineRule="auto"/>
        <w:ind w:firstLineChars="200" w:firstLine="643"/>
        <w:rPr>
          <w:rFonts w:ascii="仿宋" w:eastAsia="仿宋" w:hAnsi="仿宋" w:cs="Times New Roman"/>
          <w:bCs/>
          <w:color w:val="000000" w:themeColor="text1"/>
          <w:sz w:val="30"/>
          <w:szCs w:val="30"/>
        </w:rPr>
      </w:pPr>
      <w:r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图书馆荟英亭区域园林维修改造工程费用</w:t>
      </w:r>
      <w:r w:rsidR="00095711"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22.4587</w:t>
      </w:r>
      <w:r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万元：</w:t>
      </w:r>
      <w:r w:rsidR="00B66FF6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用于山体清表、土方整形、护栏安装、路面铺装、砖砌台阶</w:t>
      </w:r>
      <w:r w:rsidR="00B66FF6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lastRenderedPageBreak/>
        <w:t>和围墙</w:t>
      </w:r>
      <w:r w:rsidR="005B4CB8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、亭子翻修等</w:t>
      </w:r>
      <w:r w:rsidR="001244CC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费用共计19.7817万元；</w:t>
      </w:r>
      <w:r w:rsidR="00095711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荟英亭绿化改造工程费用2.677万元。</w:t>
      </w:r>
    </w:p>
    <w:p w:rsidR="000F3C6C" w:rsidRPr="00EC3D4A" w:rsidRDefault="00095711" w:rsidP="00095711">
      <w:pPr>
        <w:ind w:firstLineChars="200" w:firstLine="643"/>
        <w:jc w:val="left"/>
        <w:rPr>
          <w:rFonts w:ascii="仿宋" w:eastAsia="仿宋" w:hAnsi="仿宋" w:cs="Times New Roman"/>
          <w:bCs/>
          <w:color w:val="000000" w:themeColor="text1"/>
          <w:sz w:val="30"/>
          <w:szCs w:val="30"/>
        </w:rPr>
      </w:pPr>
      <w:r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图书馆院内道路及室外改造工程费用29.899万元</w:t>
      </w:r>
      <w:r w:rsidR="00D2270E" w:rsidRPr="00EC3D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：</w:t>
      </w:r>
      <w:r w:rsidR="00D2270E" w:rsidRPr="00EC3D4A">
        <w:rPr>
          <w:rFonts w:ascii="仿宋" w:eastAsia="仿宋" w:hAnsi="仿宋" w:cs="Times New Roman" w:hint="eastAsia"/>
          <w:bCs/>
          <w:color w:val="000000" w:themeColor="text1"/>
          <w:sz w:val="30"/>
          <w:szCs w:val="30"/>
        </w:rPr>
        <w:t>图书馆院内道路及室外改造工程造价咨询服务费0.3万元；院内道路及室外改造工程招标代理服务费0.4712万元；院内道路及室外改造工程设计费0.8万元；院内道路及室外改造工程监理费1.178万元；院内道路及室外改造工程工程费23.5813万元；供水管网改造工程费3.5685万元。</w:t>
      </w:r>
    </w:p>
    <w:p w:rsidR="00A1394D" w:rsidRPr="00076662" w:rsidRDefault="001F6AD0" w:rsidP="00CB6FB4">
      <w:pPr>
        <w:spacing w:line="360" w:lineRule="auto"/>
        <w:ind w:firstLineChars="200" w:firstLine="643"/>
        <w:rPr>
          <w:rFonts w:ascii="仿宋" w:eastAsia="仿宋" w:hAnsi="仿宋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（二）项目绩效指标完成情况分析</w:t>
      </w:r>
    </w:p>
    <w:p w:rsidR="00A1394D" w:rsidRPr="00EC3D4A" w:rsidRDefault="005B4CB8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1.</w:t>
      </w:r>
      <w:r w:rsidR="001F6AD0" w:rsidRPr="00EC3D4A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产出指标完成情况分析</w:t>
      </w:r>
    </w:p>
    <w:p w:rsidR="00C133FD" w:rsidRPr="00EC3D4A" w:rsidRDefault="005B4CB8" w:rsidP="00C133FD">
      <w:pPr>
        <w:spacing w:line="600" w:lineRule="exact"/>
        <w:ind w:firstLine="709"/>
        <w:rPr>
          <w:rFonts w:ascii="仿宋" w:eastAsia="仿宋" w:hAnsi="仿宋"/>
          <w:sz w:val="32"/>
          <w:szCs w:val="32"/>
        </w:rPr>
      </w:pPr>
      <w:r w:rsidRPr="00EC3D4A">
        <w:rPr>
          <w:rFonts w:ascii="仿宋" w:eastAsia="仿宋" w:hAnsi="仿宋" w:hint="eastAsia"/>
          <w:sz w:val="32"/>
          <w:szCs w:val="32"/>
        </w:rPr>
        <w:t>（1）完成图书馆</w:t>
      </w:r>
      <w:r w:rsidR="00F26128" w:rsidRPr="00EC3D4A">
        <w:rPr>
          <w:rFonts w:ascii="仿宋" w:eastAsia="仿宋" w:hAnsi="仿宋" w:hint="eastAsia"/>
          <w:sz w:val="32"/>
          <w:szCs w:val="32"/>
        </w:rPr>
        <w:t>馆舍</w:t>
      </w:r>
      <w:r w:rsidR="00D2270E" w:rsidRPr="00EC3D4A">
        <w:rPr>
          <w:rFonts w:ascii="仿宋" w:eastAsia="仿宋" w:hAnsi="仿宋" w:hint="eastAsia"/>
          <w:sz w:val="32"/>
          <w:szCs w:val="32"/>
        </w:rPr>
        <w:t>整体</w:t>
      </w:r>
      <w:r w:rsidR="00A7759C" w:rsidRPr="00EC3D4A">
        <w:rPr>
          <w:rFonts w:ascii="仿宋" w:eastAsia="仿宋" w:hAnsi="仿宋" w:hint="eastAsia"/>
          <w:sz w:val="32"/>
          <w:szCs w:val="32"/>
        </w:rPr>
        <w:t>改造。</w:t>
      </w:r>
      <w:r w:rsidR="00D2270E" w:rsidRPr="00EC3D4A">
        <w:rPr>
          <w:rFonts w:ascii="仿宋" w:eastAsia="仿宋" w:hAnsi="仿宋" w:hint="eastAsia"/>
          <w:sz w:val="32"/>
          <w:szCs w:val="32"/>
        </w:rPr>
        <w:t>图书馆馆舍墙体</w:t>
      </w:r>
      <w:r w:rsidR="00A7759C" w:rsidRPr="00EC3D4A">
        <w:rPr>
          <w:rFonts w:ascii="仿宋" w:eastAsia="仿宋" w:hAnsi="仿宋" w:hint="eastAsia"/>
          <w:sz w:val="32"/>
          <w:szCs w:val="32"/>
        </w:rPr>
        <w:t>（含室内、室外）</w:t>
      </w:r>
      <w:r w:rsidR="00D2270E" w:rsidRPr="00EC3D4A">
        <w:rPr>
          <w:rFonts w:ascii="仿宋" w:eastAsia="仿宋" w:hAnsi="仿宋" w:hint="eastAsia"/>
          <w:sz w:val="32"/>
          <w:szCs w:val="32"/>
        </w:rPr>
        <w:t>进行修复、粉刷；对</w:t>
      </w:r>
      <w:r w:rsidR="00A7759C" w:rsidRPr="00EC3D4A">
        <w:rPr>
          <w:rFonts w:ascii="仿宋" w:eastAsia="仿宋" w:hAnsi="仿宋" w:hint="eastAsia"/>
          <w:sz w:val="32"/>
          <w:szCs w:val="32"/>
        </w:rPr>
        <w:t>馆舍木质门窗腐朽、线路老化、屋顶漏水等问题进行整改装修，并新建公共卫生间两个，不仅消除了图书馆馆舍安全隐患，也大大改善了图书馆馆舍环境，为读者来馆借阅书籍、学习提供了良好的环境。</w:t>
      </w:r>
    </w:p>
    <w:p w:rsidR="00A7759C" w:rsidRPr="00EC3D4A" w:rsidRDefault="00C133FD" w:rsidP="00A7759C">
      <w:pPr>
        <w:spacing w:line="600" w:lineRule="exact"/>
        <w:ind w:firstLine="709"/>
        <w:rPr>
          <w:rFonts w:ascii="仿宋" w:eastAsia="仿宋" w:hAnsi="仿宋"/>
          <w:sz w:val="32"/>
          <w:szCs w:val="32"/>
        </w:rPr>
      </w:pPr>
      <w:r w:rsidRPr="00EC3D4A">
        <w:rPr>
          <w:rFonts w:ascii="仿宋" w:eastAsia="仿宋" w:hAnsi="仿宋"/>
          <w:sz w:val="32"/>
          <w:szCs w:val="32"/>
        </w:rPr>
        <w:t>（</w:t>
      </w:r>
      <w:r w:rsidRPr="00EC3D4A">
        <w:rPr>
          <w:rFonts w:ascii="仿宋" w:eastAsia="仿宋" w:hAnsi="仿宋" w:hint="eastAsia"/>
          <w:sz w:val="32"/>
          <w:szCs w:val="32"/>
        </w:rPr>
        <w:t>2</w:t>
      </w:r>
      <w:r w:rsidRPr="00EC3D4A">
        <w:rPr>
          <w:rFonts w:ascii="仿宋" w:eastAsia="仿宋" w:hAnsi="仿宋"/>
          <w:sz w:val="32"/>
          <w:szCs w:val="32"/>
        </w:rPr>
        <w:t>）</w:t>
      </w:r>
      <w:r w:rsidR="00A7759C" w:rsidRPr="00EC3D4A">
        <w:rPr>
          <w:rFonts w:ascii="仿宋" w:eastAsia="仿宋" w:hAnsi="仿宋" w:hint="eastAsia"/>
          <w:sz w:val="32"/>
          <w:szCs w:val="32"/>
        </w:rPr>
        <w:t>保障了人民群众的精神文明需求，丰富百姓精神文明生活。图书馆在对馆舍进行维修改造的同时，也对图书馆区域内的荟英亭、室外道路进行修整、改造、翻新，</w:t>
      </w:r>
      <w:r w:rsidR="00F27210" w:rsidRPr="00EC3D4A">
        <w:rPr>
          <w:rFonts w:ascii="仿宋" w:eastAsia="仿宋" w:hAnsi="仿宋" w:hint="eastAsia"/>
          <w:sz w:val="32"/>
          <w:szCs w:val="32"/>
        </w:rPr>
        <w:t>不仅让读者在书的海洋开阔视野，也能在闲暇之余放松心情、增添乐趣。</w:t>
      </w:r>
    </w:p>
    <w:p w:rsidR="009A076E" w:rsidRPr="00EC3D4A" w:rsidRDefault="00C133FD" w:rsidP="00F27210">
      <w:pPr>
        <w:spacing w:line="600" w:lineRule="exact"/>
        <w:ind w:firstLine="709"/>
        <w:rPr>
          <w:rFonts w:ascii="仿宋" w:eastAsia="仿宋" w:hAnsi="仿宋"/>
          <w:sz w:val="32"/>
          <w:szCs w:val="32"/>
        </w:rPr>
      </w:pPr>
      <w:r w:rsidRPr="00EC3D4A">
        <w:rPr>
          <w:rFonts w:ascii="仿宋" w:eastAsia="仿宋" w:hAnsi="仿宋"/>
          <w:sz w:val="32"/>
          <w:szCs w:val="32"/>
        </w:rPr>
        <w:t>（</w:t>
      </w:r>
      <w:r w:rsidRPr="00EC3D4A">
        <w:rPr>
          <w:rFonts w:ascii="仿宋" w:eastAsia="仿宋" w:hAnsi="仿宋" w:hint="eastAsia"/>
          <w:sz w:val="32"/>
          <w:szCs w:val="32"/>
        </w:rPr>
        <w:t>3</w:t>
      </w:r>
      <w:r w:rsidRPr="00EC3D4A">
        <w:rPr>
          <w:rFonts w:ascii="仿宋" w:eastAsia="仿宋" w:hAnsi="仿宋"/>
          <w:sz w:val="32"/>
          <w:szCs w:val="32"/>
        </w:rPr>
        <w:t>）</w:t>
      </w:r>
      <w:r w:rsidRPr="00EC3D4A">
        <w:rPr>
          <w:rFonts w:ascii="仿宋" w:eastAsia="仿宋" w:hAnsi="仿宋" w:hint="eastAsia"/>
          <w:sz w:val="32"/>
          <w:szCs w:val="32"/>
        </w:rPr>
        <w:t>促进了</w:t>
      </w:r>
      <w:r w:rsidRPr="00EC3D4A">
        <w:rPr>
          <w:rFonts w:ascii="仿宋" w:eastAsia="仿宋" w:hAnsi="仿宋"/>
          <w:sz w:val="32"/>
          <w:szCs w:val="32"/>
        </w:rPr>
        <w:t>公共文化服务体系建设，</w:t>
      </w:r>
      <w:r w:rsidR="00F27210" w:rsidRPr="00EC3D4A">
        <w:rPr>
          <w:rFonts w:ascii="仿宋" w:eastAsia="仿宋" w:hAnsi="仿宋" w:hint="eastAsia"/>
          <w:sz w:val="32"/>
          <w:szCs w:val="32"/>
        </w:rPr>
        <w:t>有力推动炎陵县创建公共文化服务体系示范区工作深入开展。</w:t>
      </w:r>
    </w:p>
    <w:p w:rsidR="00A1394D" w:rsidRPr="00EC3D4A" w:rsidRDefault="001F6AD0">
      <w:pPr>
        <w:numPr>
          <w:ilvl w:val="0"/>
          <w:numId w:val="3"/>
        </w:num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效益指标完成情况分析</w:t>
      </w:r>
    </w:p>
    <w:p w:rsidR="009A076E" w:rsidRPr="00EC3D4A" w:rsidRDefault="001F6AD0" w:rsidP="009A076E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项目实施的社会效益分析：</w:t>
      </w:r>
    </w:p>
    <w:p w:rsidR="00484274" w:rsidRPr="00EC3D4A" w:rsidRDefault="00193511" w:rsidP="0017385A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EC3D4A">
        <w:rPr>
          <w:rFonts w:ascii="仿宋" w:eastAsia="仿宋" w:hAnsi="仿宋" w:cs="仿宋" w:hint="eastAsia"/>
          <w:b/>
          <w:sz w:val="32"/>
          <w:szCs w:val="32"/>
        </w:rPr>
        <w:t xml:space="preserve">     </w:t>
      </w:r>
      <w:r w:rsidR="00484274" w:rsidRPr="00EC3D4A">
        <w:rPr>
          <w:rFonts w:ascii="仿宋" w:eastAsia="仿宋" w:hAnsi="仿宋" w:hint="eastAsia"/>
          <w:color w:val="000000"/>
          <w:sz w:val="30"/>
          <w:szCs w:val="30"/>
        </w:rPr>
        <w:t>为城乡居民提供优质高效、普遍均等的公共文化产品和服务，</w:t>
      </w:r>
      <w:r w:rsidR="00FC64FF" w:rsidRPr="00EC3D4A">
        <w:rPr>
          <w:rFonts w:ascii="仿宋" w:eastAsia="仿宋" w:hAnsi="仿宋" w:cs="仿宋" w:hint="eastAsia"/>
          <w:sz w:val="32"/>
          <w:szCs w:val="32"/>
        </w:rPr>
        <w:t>通过对</w:t>
      </w:r>
      <w:r w:rsidR="00F27210" w:rsidRPr="00EC3D4A">
        <w:rPr>
          <w:rFonts w:ascii="仿宋" w:eastAsia="仿宋" w:hAnsi="仿宋" w:cs="仿宋" w:hint="eastAsia"/>
          <w:sz w:val="32"/>
          <w:szCs w:val="32"/>
        </w:rPr>
        <w:t>图书馆</w:t>
      </w:r>
      <w:r w:rsidR="00FC64FF" w:rsidRPr="00EC3D4A">
        <w:rPr>
          <w:rFonts w:ascii="仿宋" w:eastAsia="仿宋" w:hAnsi="仿宋" w:cs="仿宋" w:hint="eastAsia"/>
          <w:sz w:val="32"/>
          <w:szCs w:val="32"/>
        </w:rPr>
        <w:t>的</w:t>
      </w:r>
      <w:r w:rsidR="00F27210" w:rsidRPr="00EC3D4A">
        <w:rPr>
          <w:rFonts w:ascii="仿宋" w:eastAsia="仿宋" w:hAnsi="仿宋" w:cs="仿宋" w:hint="eastAsia"/>
          <w:sz w:val="32"/>
          <w:szCs w:val="32"/>
        </w:rPr>
        <w:t>维修</w:t>
      </w:r>
      <w:r w:rsidR="00FC64FF" w:rsidRPr="00EC3D4A">
        <w:rPr>
          <w:rFonts w:ascii="仿宋" w:eastAsia="仿宋" w:hAnsi="仿宋" w:cs="仿宋" w:hint="eastAsia"/>
          <w:sz w:val="32"/>
          <w:szCs w:val="32"/>
        </w:rPr>
        <w:t>改造提升，</w:t>
      </w:r>
      <w:r w:rsidR="0017385A" w:rsidRPr="00EC3D4A">
        <w:rPr>
          <w:rFonts w:ascii="仿宋" w:eastAsia="仿宋" w:hAnsi="仿宋" w:cs="仿宋" w:hint="eastAsia"/>
          <w:sz w:val="32"/>
          <w:szCs w:val="32"/>
        </w:rPr>
        <w:t>阅读环境的改善，吸引更多的读者前来图书馆借阅书籍，查阅资料，不断推动</w:t>
      </w:r>
      <w:r w:rsidR="00FC64FF" w:rsidRPr="00EC3D4A">
        <w:rPr>
          <w:rFonts w:ascii="仿宋" w:eastAsia="仿宋" w:hAnsi="仿宋" w:cs="仿宋" w:hint="eastAsia"/>
          <w:sz w:val="32"/>
          <w:szCs w:val="32"/>
        </w:rPr>
        <w:t>全民阅读氛围日益浓厚。</w:t>
      </w:r>
    </w:p>
    <w:p w:rsidR="009A076E" w:rsidRPr="00EC3D4A" w:rsidRDefault="00193511" w:rsidP="00193511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（2）</w:t>
      </w:r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项目实施的可持续影响分析：</w:t>
      </w:r>
    </w:p>
    <w:p w:rsidR="0017385A" w:rsidRPr="00EC3D4A" w:rsidRDefault="0017385A" w:rsidP="00193511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激发各类社会主体参与公共文化服务的积极性，提供多样化的产品与服务。通过图书馆馆舍维修改造提升，为公共文化服务搭建坚实的硬实力，在此基础上，不断增强图书馆的软实力，开展多样多才的文化活动，提高群众精神文化生活水平。</w:t>
      </w:r>
    </w:p>
    <w:p w:rsidR="00A1394D" w:rsidRPr="00EC3D4A" w:rsidRDefault="001F6AD0">
      <w:pPr>
        <w:numPr>
          <w:ilvl w:val="0"/>
          <w:numId w:val="3"/>
        </w:num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满意度指标完成情况分析</w:t>
      </w:r>
    </w:p>
    <w:p w:rsidR="00A1394D" w:rsidRPr="00EC3D4A" w:rsidRDefault="003326A5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为广大人民群众提供更好和更优良的文化环境</w:t>
      </w:r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使</w:t>
      </w:r>
      <w:r w:rsidR="0017385A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人民群众的基本文化群益得到了有效的保障，也不断推进基本公共文化服务均等化建设</w:t>
      </w:r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，群众精神文化生活逐渐</w:t>
      </w:r>
      <w:bookmarkStart w:id="0" w:name="_GoBack"/>
      <w:bookmarkEnd w:id="0"/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丰富，满意度不断提高。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五、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绩效目标未完成原因和下一步改进措施</w:t>
      </w:r>
    </w:p>
    <w:p w:rsidR="00112979" w:rsidRPr="00EC3D4A" w:rsidRDefault="001F6AD0" w:rsidP="00FC64FF">
      <w:pPr>
        <w:spacing w:line="360" w:lineRule="auto"/>
        <w:ind w:firstLineChars="200" w:firstLine="64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存在问题：</w:t>
      </w:r>
      <w:r w:rsidR="00B0306A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无</w:t>
      </w:r>
    </w:p>
    <w:p w:rsidR="00193511" w:rsidRPr="00EC3D4A" w:rsidRDefault="00112979" w:rsidP="00193511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</w:t>
      </w:r>
      <w:r w:rsidR="001F6AD0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改进措施：</w:t>
      </w:r>
      <w:r w:rsidR="00B0306A"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无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六、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绩效自评结果拟应用和公开情况</w:t>
      </w:r>
    </w:p>
    <w:p w:rsidR="00A1394D" w:rsidRPr="00EC3D4A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绩效自评结果将作为改进预算管理的重要依据，对于发</w:t>
      </w: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现的问题，要及时整改到位。</w:t>
      </w:r>
    </w:p>
    <w:p w:rsidR="00A1394D" w:rsidRPr="00EC3D4A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" w:hint="eastAsia"/>
          <w:color w:val="000000" w:themeColor="text1"/>
          <w:sz w:val="32"/>
          <w:szCs w:val="32"/>
        </w:rPr>
        <w:t>绩效评价结果按照政府信息公开有关规定，在一定范围内公开。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</w:t>
      </w:r>
      <w:r w:rsidR="002C3A1E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</w:t>
      </w: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七、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绩效自评工作的经验、问题和建议</w:t>
      </w:r>
    </w:p>
    <w:p w:rsidR="00CB6FB4" w:rsidRPr="00EC3D4A" w:rsidRDefault="00CB6FB4" w:rsidP="00CB6FB4">
      <w:pPr>
        <w:pStyle w:val="a9"/>
        <w:ind w:leftChars="-132" w:left="-2" w:hangingChars="86" w:hanging="275"/>
        <w:rPr>
          <w:rFonts w:ascii="仿宋" w:eastAsia="仿宋" w:hAnsi="仿宋"/>
          <w:color w:val="000000" w:themeColor="text1"/>
          <w:sz w:val="32"/>
          <w:szCs w:val="32"/>
        </w:rPr>
      </w:pP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   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（一）、绩效管理工作按照“谁分配、谁管理，谁使用、谁负责”的要求，由</w:t>
      </w:r>
      <w:r w:rsidR="0088254D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县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财政局、</w:t>
      </w:r>
      <w:r w:rsidR="0088254D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县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文</w:t>
      </w:r>
      <w:r w:rsidR="0088254D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化旅游广电体育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局统一组织、分配实施。</w:t>
      </w:r>
      <w:r w:rsidR="0088254D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本单位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根据各自职责，专款专用，做好</w:t>
      </w:r>
      <w:r w:rsidRPr="00EC3D4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中央补助地方专项资金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绩效管理工作。</w:t>
      </w:r>
    </w:p>
    <w:p w:rsidR="00CB6FB4" w:rsidRPr="00EC3D4A" w:rsidRDefault="00CB6FB4" w:rsidP="0088254D">
      <w:pPr>
        <w:shd w:val="clear" w:color="auto" w:fill="FFFFFF"/>
        <w:spacing w:line="580" w:lineRule="exac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（二）、</w:t>
      </w:r>
      <w:r w:rsidRPr="00EC3D4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科学合理编制项目绩效目标，积极配合项目绩效管理工作。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按要求及时报送有关材料，并对所报送材料的真实性、准确性和完整性负责。</w:t>
      </w:r>
    </w:p>
    <w:p w:rsidR="00A1394D" w:rsidRPr="00EC3D4A" w:rsidRDefault="00CB6FB4" w:rsidP="002C3A1E">
      <w:pPr>
        <w:pStyle w:val="a9"/>
        <w:spacing w:line="580" w:lineRule="exact"/>
        <w:ind w:firstLineChars="131" w:firstLine="419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（</w:t>
      </w:r>
      <w:r w:rsidR="005014C6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三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）、</w:t>
      </w:r>
      <w:r w:rsidRPr="00EC3D4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对项目实施中产生的问题要及时进行纠正和整改；未按要求实施整改的，将依照有关财经法律法规的规定，追究相关人员的责任。</w:t>
      </w:r>
    </w:p>
    <w:p w:rsidR="002C3A1E" w:rsidRPr="00076662" w:rsidRDefault="002C3A1E" w:rsidP="002C3A1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hint="eastAsia"/>
          <w:color w:val="000000" w:themeColor="text1"/>
          <w:sz w:val="32"/>
          <w:szCs w:val="32"/>
        </w:rPr>
        <w:t>八、其他需要说明的问题</w:t>
      </w:r>
    </w:p>
    <w:p w:rsidR="002C3A1E" w:rsidRPr="00EC3D4A" w:rsidRDefault="0088254D" w:rsidP="002C3A1E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无</w:t>
      </w:r>
      <w:r w:rsidR="00174F84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A1394D" w:rsidRPr="00EC3D4A" w:rsidRDefault="00A1394D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A1394D" w:rsidRPr="00EC3D4A" w:rsidRDefault="00A1394D">
      <w:pPr>
        <w:rPr>
          <w:rFonts w:ascii="仿宋" w:eastAsia="仿宋" w:hAnsi="仿宋"/>
          <w:color w:val="000000" w:themeColor="text1"/>
        </w:rPr>
      </w:pPr>
    </w:p>
    <w:p w:rsidR="002C3A1E" w:rsidRPr="00EC3D4A" w:rsidRDefault="00115AC1" w:rsidP="002C3A1E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</w:t>
      </w:r>
      <w:r w:rsidR="002C3A1E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附：中央对地方专项转移支付区域（项目）绩效目标自评表</w:t>
      </w:r>
    </w:p>
    <w:p w:rsidR="002C3A1E" w:rsidRPr="00EC3D4A" w:rsidRDefault="002C3A1E" w:rsidP="002C3A1E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C3A1E" w:rsidRPr="00EC3D4A" w:rsidRDefault="00115AC1" w:rsidP="002C3A1E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 </w:t>
      </w:r>
      <w:r w:rsidR="0088254D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炎陵县图书馆</w:t>
      </w:r>
    </w:p>
    <w:p w:rsidR="00A1394D" w:rsidRPr="00EC3D4A" w:rsidRDefault="002C3A1E" w:rsidP="0088254D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      </w:t>
      </w:r>
      <w:r w:rsidR="00115AC1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2018年</w:t>
      </w:r>
      <w:r w:rsidR="0088254D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6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月</w:t>
      </w:r>
      <w:r w:rsidR="0088254D"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11</w:t>
      </w:r>
      <w:r w:rsidRPr="00EC3D4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</w:t>
      </w:r>
    </w:p>
    <w:sectPr w:rsidR="00A1394D" w:rsidRPr="00EC3D4A" w:rsidSect="00A1394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0FE" w:rsidRDefault="000F10FE" w:rsidP="00743DBF">
      <w:r>
        <w:separator/>
      </w:r>
    </w:p>
  </w:endnote>
  <w:endnote w:type="continuationSeparator" w:id="1">
    <w:p w:rsidR="000F10FE" w:rsidRDefault="000F10FE" w:rsidP="0074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766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1D6158" w:rsidRDefault="001D6158">
            <w:pPr>
              <w:pStyle w:val="a8"/>
              <w:jc w:val="right"/>
            </w:pPr>
            <w:r>
              <w:rPr>
                <w:lang w:val="zh-CN"/>
              </w:rPr>
              <w:t xml:space="preserve"> </w:t>
            </w:r>
            <w:r w:rsidR="00F860C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860C9">
              <w:rPr>
                <w:b/>
                <w:sz w:val="24"/>
                <w:szCs w:val="24"/>
              </w:rPr>
              <w:fldChar w:fldCharType="separate"/>
            </w:r>
            <w:r w:rsidR="00174F84">
              <w:rPr>
                <w:b/>
                <w:noProof/>
              </w:rPr>
              <w:t>5</w:t>
            </w:r>
            <w:r w:rsidR="00F860C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860C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860C9">
              <w:rPr>
                <w:b/>
                <w:sz w:val="24"/>
                <w:szCs w:val="24"/>
              </w:rPr>
              <w:fldChar w:fldCharType="separate"/>
            </w:r>
            <w:r w:rsidR="00174F84">
              <w:rPr>
                <w:b/>
                <w:noProof/>
              </w:rPr>
              <w:t>5</w:t>
            </w:r>
            <w:r w:rsidR="00F860C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6244" w:rsidRDefault="00796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0FE" w:rsidRDefault="000F10FE" w:rsidP="00743DBF">
      <w:r>
        <w:separator/>
      </w:r>
    </w:p>
  </w:footnote>
  <w:footnote w:type="continuationSeparator" w:id="1">
    <w:p w:rsidR="000F10FE" w:rsidRDefault="000F10FE" w:rsidP="00743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E4E925"/>
    <w:multiLevelType w:val="singleLevel"/>
    <w:tmpl w:val="C4E4E92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6D58D9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2">
    <w:nsid w:val="367A2768"/>
    <w:multiLevelType w:val="singleLevel"/>
    <w:tmpl w:val="367A27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8CB153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4">
    <w:nsid w:val="3B9A4C97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5">
    <w:nsid w:val="5D953BE9"/>
    <w:multiLevelType w:val="singleLevel"/>
    <w:tmpl w:val="5D953B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1394D"/>
    <w:rsid w:val="00011ACD"/>
    <w:rsid w:val="00030D93"/>
    <w:rsid w:val="00076662"/>
    <w:rsid w:val="00095711"/>
    <w:rsid w:val="000F10FE"/>
    <w:rsid w:val="000F2820"/>
    <w:rsid w:val="000F3C6C"/>
    <w:rsid w:val="000F6829"/>
    <w:rsid w:val="00112979"/>
    <w:rsid w:val="00115AC1"/>
    <w:rsid w:val="001244CC"/>
    <w:rsid w:val="0017385A"/>
    <w:rsid w:val="00174F84"/>
    <w:rsid w:val="00183E8D"/>
    <w:rsid w:val="00193511"/>
    <w:rsid w:val="001D6158"/>
    <w:rsid w:val="001E4C7A"/>
    <w:rsid w:val="001F6AD0"/>
    <w:rsid w:val="0020669B"/>
    <w:rsid w:val="0027616B"/>
    <w:rsid w:val="002C3A1E"/>
    <w:rsid w:val="002D004A"/>
    <w:rsid w:val="002E65C9"/>
    <w:rsid w:val="00325B30"/>
    <w:rsid w:val="003326A5"/>
    <w:rsid w:val="003326F6"/>
    <w:rsid w:val="00346475"/>
    <w:rsid w:val="00351442"/>
    <w:rsid w:val="00354459"/>
    <w:rsid w:val="00382CEE"/>
    <w:rsid w:val="0038313E"/>
    <w:rsid w:val="003926C0"/>
    <w:rsid w:val="003B625A"/>
    <w:rsid w:val="00445AC1"/>
    <w:rsid w:val="00454D27"/>
    <w:rsid w:val="00484274"/>
    <w:rsid w:val="00486361"/>
    <w:rsid w:val="004C12D1"/>
    <w:rsid w:val="004D3A8F"/>
    <w:rsid w:val="005014C6"/>
    <w:rsid w:val="005312CF"/>
    <w:rsid w:val="005B4CB8"/>
    <w:rsid w:val="005D001D"/>
    <w:rsid w:val="00674629"/>
    <w:rsid w:val="00680B18"/>
    <w:rsid w:val="006A11D1"/>
    <w:rsid w:val="006C5172"/>
    <w:rsid w:val="006F3DB1"/>
    <w:rsid w:val="00725110"/>
    <w:rsid w:val="00743DBF"/>
    <w:rsid w:val="00796244"/>
    <w:rsid w:val="007D5EB6"/>
    <w:rsid w:val="00833E6A"/>
    <w:rsid w:val="00841E1A"/>
    <w:rsid w:val="00863976"/>
    <w:rsid w:val="008801EC"/>
    <w:rsid w:val="0088254D"/>
    <w:rsid w:val="008A4213"/>
    <w:rsid w:val="008C0CA7"/>
    <w:rsid w:val="008C5051"/>
    <w:rsid w:val="008C6B39"/>
    <w:rsid w:val="008C7D3F"/>
    <w:rsid w:val="008F141A"/>
    <w:rsid w:val="00915503"/>
    <w:rsid w:val="009A076E"/>
    <w:rsid w:val="009E3F66"/>
    <w:rsid w:val="00A1394D"/>
    <w:rsid w:val="00A379F2"/>
    <w:rsid w:val="00A42A77"/>
    <w:rsid w:val="00A60417"/>
    <w:rsid w:val="00A626B7"/>
    <w:rsid w:val="00A7759C"/>
    <w:rsid w:val="00B0306A"/>
    <w:rsid w:val="00B35717"/>
    <w:rsid w:val="00B66FF6"/>
    <w:rsid w:val="00B70272"/>
    <w:rsid w:val="00B73EA7"/>
    <w:rsid w:val="00BA47CB"/>
    <w:rsid w:val="00C133FD"/>
    <w:rsid w:val="00C35535"/>
    <w:rsid w:val="00C3777B"/>
    <w:rsid w:val="00C57A2E"/>
    <w:rsid w:val="00CA4C57"/>
    <w:rsid w:val="00CB6FB4"/>
    <w:rsid w:val="00CE233F"/>
    <w:rsid w:val="00CF6818"/>
    <w:rsid w:val="00CF6E93"/>
    <w:rsid w:val="00D01FCE"/>
    <w:rsid w:val="00D10114"/>
    <w:rsid w:val="00D1085A"/>
    <w:rsid w:val="00D14243"/>
    <w:rsid w:val="00D2270E"/>
    <w:rsid w:val="00D8023C"/>
    <w:rsid w:val="00D86230"/>
    <w:rsid w:val="00DF4BF2"/>
    <w:rsid w:val="00E00991"/>
    <w:rsid w:val="00E204C2"/>
    <w:rsid w:val="00E42DBB"/>
    <w:rsid w:val="00E9496A"/>
    <w:rsid w:val="00EC0510"/>
    <w:rsid w:val="00EC3D4A"/>
    <w:rsid w:val="00ED394F"/>
    <w:rsid w:val="00F21DC9"/>
    <w:rsid w:val="00F26128"/>
    <w:rsid w:val="00F26C22"/>
    <w:rsid w:val="00F27210"/>
    <w:rsid w:val="00F65DE9"/>
    <w:rsid w:val="00F66570"/>
    <w:rsid w:val="00F81457"/>
    <w:rsid w:val="00F860C9"/>
    <w:rsid w:val="00FC64FF"/>
    <w:rsid w:val="00FF5974"/>
    <w:rsid w:val="4ECB0A95"/>
    <w:rsid w:val="5689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9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13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rsid w:val="00A1394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1394D"/>
    <w:rPr>
      <w:color w:val="2B2B2B"/>
      <w:u w:val="none"/>
    </w:rPr>
  </w:style>
  <w:style w:type="character" w:styleId="a5">
    <w:name w:val="Emphasis"/>
    <w:basedOn w:val="a0"/>
    <w:qFormat/>
    <w:rsid w:val="00A1394D"/>
  </w:style>
  <w:style w:type="character" w:styleId="HTML0">
    <w:name w:val="HTML Definition"/>
    <w:basedOn w:val="a0"/>
    <w:qFormat/>
    <w:rsid w:val="00A1394D"/>
  </w:style>
  <w:style w:type="character" w:styleId="HTML1">
    <w:name w:val="HTML Variable"/>
    <w:basedOn w:val="a0"/>
    <w:qFormat/>
    <w:rsid w:val="00A1394D"/>
  </w:style>
  <w:style w:type="character" w:styleId="a6">
    <w:name w:val="Hyperlink"/>
    <w:basedOn w:val="a0"/>
    <w:qFormat/>
    <w:rsid w:val="00A1394D"/>
    <w:rPr>
      <w:color w:val="2B2B2B"/>
      <w:u w:val="none"/>
    </w:rPr>
  </w:style>
  <w:style w:type="character" w:styleId="HTML2">
    <w:name w:val="HTML Code"/>
    <w:basedOn w:val="a0"/>
    <w:qFormat/>
    <w:rsid w:val="00A1394D"/>
    <w:rPr>
      <w:rFonts w:ascii="Courier New" w:hAnsi="Courier New"/>
      <w:sz w:val="20"/>
    </w:rPr>
  </w:style>
  <w:style w:type="character" w:styleId="HTML3">
    <w:name w:val="HTML Cite"/>
    <w:basedOn w:val="a0"/>
    <w:qFormat/>
    <w:rsid w:val="00A1394D"/>
  </w:style>
  <w:style w:type="character" w:customStyle="1" w:styleId="more">
    <w:name w:val="more"/>
    <w:basedOn w:val="a0"/>
    <w:qFormat/>
    <w:rsid w:val="00A1394D"/>
  </w:style>
  <w:style w:type="character" w:customStyle="1" w:styleId="more1">
    <w:name w:val="more1"/>
    <w:basedOn w:val="a0"/>
    <w:qFormat/>
    <w:rsid w:val="00A1394D"/>
  </w:style>
  <w:style w:type="character" w:customStyle="1" w:styleId="ff">
    <w:name w:val="ff"/>
    <w:basedOn w:val="a0"/>
    <w:qFormat/>
    <w:rsid w:val="00A1394D"/>
  </w:style>
  <w:style w:type="character" w:customStyle="1" w:styleId="tl">
    <w:name w:val="tl"/>
    <w:basedOn w:val="a0"/>
    <w:qFormat/>
    <w:rsid w:val="00A1394D"/>
    <w:rPr>
      <w:color w:val="0068B7"/>
    </w:rPr>
  </w:style>
  <w:style w:type="paragraph" w:styleId="a7">
    <w:name w:val="header"/>
    <w:basedOn w:val="a"/>
    <w:link w:val="Char"/>
    <w:rsid w:val="00743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43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743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43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2D00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F2F1C-7D5D-4C56-B870-1F789C57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5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Lenovo</cp:lastModifiedBy>
  <cp:revision>39</cp:revision>
  <cp:lastPrinted>2019-06-12T09:18:00Z</cp:lastPrinted>
  <dcterms:created xsi:type="dcterms:W3CDTF">2018-05-02T08:24:00Z</dcterms:created>
  <dcterms:modified xsi:type="dcterms:W3CDTF">2021-05-09T08:14:00Z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