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附件1</w:t>
      </w:r>
    </w:p>
    <w:p>
      <w:pPr>
        <w:jc w:val="center"/>
        <w:rPr>
          <w:rFonts w:hint="default" w:ascii="Times New Roman" w:hAnsi="Times New Roman" w:eastAsia="楷体_GB2312" w:cs="Times New Roman"/>
          <w:bCs/>
          <w:kern w:val="0"/>
          <w:sz w:val="32"/>
          <w:szCs w:val="32"/>
        </w:rPr>
      </w:pPr>
      <w:r>
        <w:rPr>
          <w:rFonts w:hint="eastAsia" w:eastAsia="方正小标宋简体" w:cs="Times New Roman"/>
          <w:bCs/>
          <w:kern w:val="0"/>
          <w:sz w:val="44"/>
          <w:szCs w:val="44"/>
          <w:lang w:val="en-US" w:eastAsia="zh-CN"/>
        </w:rPr>
        <w:t>2019</w:t>
      </w:r>
      <w:r>
        <w:rPr>
          <w:rFonts w:hint="default" w:ascii="Times New Roman" w:hAnsi="Times New Roman" w:eastAsia="方正小标宋简体" w:cs="Times New Roman"/>
          <w:bCs/>
          <w:kern w:val="0"/>
          <w:sz w:val="44"/>
          <w:szCs w:val="44"/>
          <w:lang w:val="en-US" w:eastAsia="zh-CN"/>
        </w:rPr>
        <w:t>年度部门</w:t>
      </w:r>
      <w:r>
        <w:rPr>
          <w:rFonts w:hint="default" w:ascii="Times New Roman" w:hAnsi="Times New Roman" w:eastAsia="方正小标宋简体" w:cs="Times New Roman"/>
          <w:bCs/>
          <w:kern w:val="0"/>
          <w:sz w:val="44"/>
          <w:szCs w:val="44"/>
        </w:rPr>
        <w:t>整体支出绩效自评报告</w:t>
      </w:r>
      <w:r>
        <w:rPr>
          <w:rFonts w:hint="default" w:ascii="Times New Roman" w:hAnsi="Times New Roman" w:eastAsia="方正小标宋简体" w:cs="Times New Roman"/>
          <w:bCs/>
          <w:kern w:val="0"/>
          <w:sz w:val="44"/>
          <w:szCs w:val="44"/>
        </w:rPr>
        <w:br w:type="textWrapping"/>
      </w: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jc w:val="both"/>
        <w:rPr>
          <w:rFonts w:hint="default" w:ascii="Times New Roman" w:hAnsi="Times New Roman" w:eastAsia="仿宋" w:cs="Times New Roman"/>
          <w:sz w:val="32"/>
          <w:szCs w:val="32"/>
          <w:lang w:eastAsia="zh-CN"/>
        </w:rPr>
      </w:pPr>
    </w:p>
    <w:p>
      <w:pPr>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单位名称（盖章）</w:t>
      </w:r>
    </w:p>
    <w:p>
      <w:pPr>
        <w:ind w:left="-3" w:leftChars="-257" w:hanging="537" w:hangingChars="168"/>
        <w:jc w:val="center"/>
        <w:rPr>
          <w:rFonts w:hint="default" w:ascii="Times New Roman" w:hAnsi="Times New Roman" w:eastAsia="仿宋_GB2312" w:cs="Times New Roman"/>
          <w:sz w:val="32"/>
          <w:szCs w:val="32"/>
          <w:lang w:eastAsia="zh-CN"/>
        </w:rPr>
      </w:pPr>
    </w:p>
    <w:p>
      <w:pPr>
        <w:ind w:left="-3" w:leftChars="-257" w:hanging="537" w:hangingChars="168"/>
        <w:jc w:val="center"/>
        <w:rPr>
          <w:rFonts w:hint="default" w:ascii="Times New Roman" w:hAnsi="Times New Roman" w:eastAsia="仿宋_GB2312" w:cs="Times New Roman"/>
          <w:sz w:val="32"/>
          <w:szCs w:val="32"/>
          <w:lang w:eastAsia="zh-CN"/>
        </w:rPr>
      </w:pPr>
    </w:p>
    <w:p>
      <w:pPr>
        <w:jc w:val="center"/>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eastAsia="zh-CN"/>
        </w:rPr>
        <w:t>（此页为封面）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1" w:leftChars="48"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预算单位基本情况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芦淞区拆除违法建筑综合管理大队（下称区拆违大队）于2008年10月，根据芦编办〔2008〕10号文件和芦发〔2008〕10号文件，成立区直属副科级全额拨款事业性单位，2018年3月我大队已成建制转隶芦淞区城管局，作为区城管局二极机构</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大队设立业务室和综合办公室两科室，直属中队四个；涉农办事处中队五个，非涉农办事处派驻四人。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大队共计在编3</w:t>
      </w:r>
      <w:r>
        <w:rPr>
          <w:rFonts w:hint="eastAsia" w:ascii="仿宋" w:hAnsi="仿宋" w:eastAsia="仿宋" w:cs="仿宋"/>
          <w:sz w:val="32"/>
          <w:szCs w:val="32"/>
          <w:lang w:val="en-US" w:eastAsia="zh-CN"/>
        </w:rPr>
        <w:t>0</w:t>
      </w:r>
      <w:r>
        <w:rPr>
          <w:rFonts w:hint="eastAsia" w:ascii="仿宋" w:hAnsi="仿宋" w:eastAsia="仿宋" w:cs="仿宋"/>
          <w:sz w:val="32"/>
          <w:szCs w:val="32"/>
        </w:rPr>
        <w:t>名正式队员，其中城管参公14名、拆违事业</w:t>
      </w:r>
      <w:r>
        <w:rPr>
          <w:rFonts w:hint="eastAsia" w:ascii="仿宋" w:hAnsi="仿宋" w:eastAsia="仿宋" w:cs="仿宋"/>
          <w:sz w:val="32"/>
          <w:szCs w:val="32"/>
          <w:lang w:val="en-US" w:eastAsia="zh-CN"/>
        </w:rPr>
        <w:t>16</w:t>
      </w:r>
      <w:r>
        <w:rPr>
          <w:rFonts w:hint="eastAsia" w:ascii="仿宋" w:hAnsi="仿宋" w:eastAsia="仿宋" w:cs="仿宋"/>
          <w:sz w:val="32"/>
          <w:szCs w:val="32"/>
        </w:rPr>
        <w:t>名；现大队协管员</w:t>
      </w:r>
      <w:r>
        <w:rPr>
          <w:rFonts w:hint="eastAsia" w:ascii="仿宋" w:hAnsi="仿宋" w:eastAsia="仿宋" w:cs="仿宋"/>
          <w:sz w:val="32"/>
          <w:szCs w:val="32"/>
          <w:lang w:val="en-US" w:eastAsia="zh-CN"/>
        </w:rPr>
        <w:t>60</w:t>
      </w:r>
      <w:r>
        <w:rPr>
          <w:rFonts w:hint="eastAsia" w:ascii="仿宋" w:hAnsi="仿宋" w:eastAsia="仿宋" w:cs="仿宋"/>
          <w:sz w:val="32"/>
          <w:szCs w:val="32"/>
        </w:rPr>
        <w:t>名，大队共计</w:t>
      </w:r>
      <w:r>
        <w:rPr>
          <w:rFonts w:hint="eastAsia" w:ascii="仿宋" w:hAnsi="仿宋" w:eastAsia="仿宋" w:cs="仿宋"/>
          <w:sz w:val="32"/>
          <w:szCs w:val="32"/>
          <w:lang w:val="en-US" w:eastAsia="zh-CN"/>
        </w:rPr>
        <w:t>90</w:t>
      </w:r>
      <w:r>
        <w:rPr>
          <w:rFonts w:hint="eastAsia" w:ascii="仿宋" w:hAnsi="仿宋" w:eastAsia="仿宋" w:cs="仿宋"/>
          <w:sz w:val="32"/>
          <w:szCs w:val="32"/>
        </w:rPr>
        <w:t>人</w:t>
      </w:r>
      <w:r>
        <w:rPr>
          <w:rFonts w:hint="eastAsia" w:ascii="仿宋" w:hAnsi="仿宋" w:eastAsia="仿宋" w:cs="仿宋"/>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1" w:leftChars="48"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预算单位支出及绩效情况（参考绩效自评的主要内容）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预决算及信息公开情况</w:t>
      </w:r>
      <w:r>
        <w:rPr>
          <w:rFonts w:hint="eastAsia"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1.年初预算资金540.44万元。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2.单位年度总收入907.67万元，其中：财政拨款 648.03      万元，其他收入  259.64万元，其中2018年第四季度拆控违奖励经费85.39万元；2019年第一季度拆控违奖励经费104.12万元；大棚房整治经费16.37万元；双月考评奖金53万元；党费返还、退保险0.76万元。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3.单位年度总支出 811.2万元，其中：项目支出  163.17万元，基本支出 648.03万元，人员支出 324.27万元，公用经费支出486.93万元，比上年增加了17.02 %，三公经费 9 .94万元，比上年减少46.75 %，公车购置和维护费9.94 万元，公务接待费 0万元，出国经费0万元。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4.单位基建维修支出 0万元。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资金使用及绩效情况。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Cs/>
          <w:sz w:val="32"/>
          <w:szCs w:val="32"/>
          <w:lang w:bidi="zh-CN"/>
        </w:rPr>
        <w:t>201</w:t>
      </w:r>
      <w:r>
        <w:rPr>
          <w:rFonts w:hint="eastAsia" w:ascii="仿宋_GB2312" w:hAnsi="仿宋_GB2312" w:eastAsia="仿宋_GB2312" w:cs="仿宋_GB2312"/>
          <w:bCs/>
          <w:sz w:val="32"/>
          <w:szCs w:val="32"/>
          <w:lang w:val="en-US" w:bidi="zh-CN"/>
        </w:rPr>
        <w:t>9</w:t>
      </w:r>
      <w:r>
        <w:rPr>
          <w:rFonts w:hint="eastAsia" w:ascii="仿宋_GB2312" w:hAnsi="仿宋_GB2312" w:eastAsia="仿宋_GB2312" w:cs="仿宋_GB2312"/>
          <w:bCs/>
          <w:sz w:val="32"/>
          <w:szCs w:val="32"/>
          <w:lang w:bidi="zh-CN"/>
        </w:rPr>
        <w:t>年 “三公”经费实际支出数为</w:t>
      </w:r>
      <w:r>
        <w:rPr>
          <w:rFonts w:hint="eastAsia" w:ascii="仿宋_GB2312" w:hAnsi="仿宋_GB2312" w:eastAsia="仿宋_GB2312" w:cs="仿宋_GB2312"/>
          <w:bCs/>
          <w:sz w:val="32"/>
          <w:szCs w:val="32"/>
          <w:lang w:val="en-US" w:bidi="zh-CN"/>
        </w:rPr>
        <w:t>9.94</w:t>
      </w:r>
      <w:r>
        <w:rPr>
          <w:rFonts w:hint="eastAsia" w:ascii="仿宋_GB2312" w:hAnsi="仿宋_GB2312" w:eastAsia="仿宋_GB2312" w:cs="仿宋_GB2312"/>
          <w:bCs/>
          <w:sz w:val="32"/>
          <w:szCs w:val="32"/>
          <w:lang w:bidi="zh-CN"/>
        </w:rPr>
        <w:t>万元，其中：公务接待费0万元，主要原因是认真贯彻落实中央八项规定及地方各级政府相关规定要求，严格控制规模及接待标准，因公出国费0万元，公务用车购置及运行维护费</w:t>
      </w:r>
      <w:r>
        <w:rPr>
          <w:rFonts w:hint="eastAsia" w:ascii="仿宋_GB2312" w:hAnsi="仿宋_GB2312" w:eastAsia="仿宋_GB2312" w:cs="仿宋_GB2312"/>
          <w:bCs/>
          <w:sz w:val="32"/>
          <w:szCs w:val="32"/>
          <w:lang w:val="en-US" w:bidi="zh-CN"/>
        </w:rPr>
        <w:t>9.94</w:t>
      </w:r>
      <w:r>
        <w:rPr>
          <w:rFonts w:hint="eastAsia" w:ascii="仿宋_GB2312" w:hAnsi="仿宋_GB2312" w:eastAsia="仿宋_GB2312" w:cs="仿宋_GB2312"/>
          <w:bCs/>
          <w:sz w:val="32"/>
          <w:szCs w:val="32"/>
          <w:lang w:bidi="zh-CN"/>
        </w:rPr>
        <w:t>万元，</w:t>
      </w:r>
      <w:r>
        <w:rPr>
          <w:rFonts w:hint="eastAsia" w:ascii="仿宋_GB2312" w:hAnsi="仿宋_GB2312" w:eastAsia="仿宋_GB2312" w:cs="仿宋_GB2312"/>
          <w:bCs/>
          <w:sz w:val="32"/>
          <w:szCs w:val="32"/>
          <w:lang w:val="en-US" w:bidi="zh-CN"/>
        </w:rPr>
        <w:t>2019年公务用车改革，</w:t>
      </w:r>
      <w:r>
        <w:rPr>
          <w:rFonts w:hint="eastAsia" w:ascii="仿宋_GB2312" w:hAnsi="仿宋_GB2312" w:eastAsia="仿宋_GB2312" w:cs="仿宋_GB2312"/>
          <w:bCs/>
          <w:sz w:val="32"/>
          <w:szCs w:val="32"/>
          <w:lang w:bidi="zh-CN"/>
        </w:rPr>
        <w:t>我单位原本有7台汽车,改革后只留下</w:t>
      </w:r>
      <w:r>
        <w:rPr>
          <w:rFonts w:hint="eastAsia" w:ascii="仿宋_GB2312" w:hAnsi="仿宋_GB2312" w:eastAsia="仿宋_GB2312" w:cs="仿宋_GB2312"/>
          <w:bCs/>
          <w:sz w:val="32"/>
          <w:szCs w:val="32"/>
          <w:lang w:val="en-US" w:bidi="zh-CN"/>
        </w:rPr>
        <w:t>3台做为执法专用车辆，还有</w:t>
      </w:r>
      <w:r>
        <w:rPr>
          <w:rFonts w:hint="eastAsia" w:ascii="仿宋_GB2312" w:hAnsi="仿宋_GB2312" w:eastAsia="仿宋_GB2312" w:cs="仿宋_GB2312"/>
          <w:bCs/>
          <w:sz w:val="32"/>
          <w:szCs w:val="32"/>
          <w:lang w:bidi="zh-CN"/>
        </w:rPr>
        <w:t>4台摩托车</w:t>
      </w:r>
      <w:r>
        <w:rPr>
          <w:rFonts w:hint="eastAsia" w:ascii="仿宋_GB2312" w:hAnsi="仿宋_GB2312" w:eastAsia="仿宋_GB2312" w:cs="仿宋_GB2312"/>
          <w:sz w:val="32"/>
          <w:szCs w:val="32"/>
          <w:lang w:val="en-US" w:eastAsia="zh-CN"/>
        </w:rPr>
        <w:t>。</w:t>
      </w:r>
    </w:p>
    <w:p>
      <w:pPr>
        <w:shd w:val="solid" w:color="FFFFFF" w:fill="auto"/>
        <w:autoSpaceDN w:val="0"/>
        <w:spacing w:line="560" w:lineRule="exact"/>
        <w:ind w:firstLine="640" w:firstLineChars="200"/>
        <w:jc w:val="left"/>
        <w:rPr>
          <w:rFonts w:hint="eastAsia" w:ascii="仿宋" w:hAnsi="仿宋" w:eastAsia="仿宋" w:cs="仿宋_GB2312"/>
          <w:sz w:val="32"/>
          <w:szCs w:val="32"/>
        </w:rPr>
      </w:pPr>
      <w:r>
        <w:rPr>
          <w:rFonts w:hint="eastAsia" w:ascii="仿宋" w:hAnsi="仿宋" w:eastAsia="仿宋"/>
          <w:sz w:val="32"/>
          <w:szCs w:val="32"/>
          <w:lang w:val="en-US" w:eastAsia="zh-CN"/>
        </w:rPr>
        <w:t>2.2019年，</w:t>
      </w:r>
      <w:r>
        <w:rPr>
          <w:rFonts w:hint="eastAsia" w:ascii="仿宋" w:hAnsi="仿宋" w:eastAsia="仿宋"/>
          <w:sz w:val="32"/>
          <w:szCs w:val="32"/>
        </w:rPr>
        <w:t>我队注重发挥党支部的核心作用，坚持以党建为引领，狠抓作风建设，以高标准、严要求、强落实、勇担当的工作理念；以全力保障我区城乡建设有序，促进我区经济可持续发展为使命；</w:t>
      </w:r>
      <w:r>
        <w:rPr>
          <w:rFonts w:hint="eastAsia" w:ascii="仿宋" w:hAnsi="仿宋" w:eastAsia="仿宋"/>
          <w:color w:val="000000"/>
          <w:sz w:val="32"/>
          <w:szCs w:val="32"/>
        </w:rPr>
        <w:t>以芦淞城管我最认真的工作态度</w:t>
      </w:r>
      <w:r>
        <w:rPr>
          <w:rFonts w:hint="eastAsia" w:ascii="仿宋" w:hAnsi="仿宋" w:eastAsia="仿宋"/>
          <w:sz w:val="32"/>
          <w:szCs w:val="32"/>
        </w:rPr>
        <w:t>、理顺工作机制、创新工作思路，在各部门的积极配合和大力协助下，堵源头、治顽疾、标本兼治扎实做好了我区违建增量零增长、存量违建逐步消除的工作。全年我队共完成申报任务143720.33平方米，完成率达336%；完成交办任务94938.71平方米，完成率达123%。仅</w:t>
      </w:r>
      <w:r>
        <w:rPr>
          <w:rFonts w:hint="eastAsia" w:ascii="仿宋" w:hAnsi="仿宋" w:eastAsia="仿宋" w:cs="仿宋_GB2312"/>
          <w:sz w:val="32"/>
          <w:szCs w:val="32"/>
        </w:rPr>
        <w:t>四季度我队就拆除违建228处，面积97640.2平方米；其中完成上级交办项目58 处,面积34563.83平方米；完成申报项目178处,面积28633.03平方米；完成专项交办督办任务2处、拆除面积45803.02平方米</w:t>
      </w:r>
      <w:r>
        <w:rPr>
          <w:rFonts w:hint="eastAsia" w:ascii="仿宋" w:hAnsi="仿宋" w:eastAsia="仿宋" w:cs="仿宋_GB2312"/>
          <w:sz w:val="32"/>
          <w:szCs w:val="32"/>
          <w:lang w:val="en-US" w:eastAsia="zh-CN"/>
        </w:rPr>
        <w:t>,</w:t>
      </w:r>
      <w:r>
        <w:rPr>
          <w:rFonts w:hint="eastAsia" w:ascii="仿宋_GB2312" w:hAnsi="仿宋_GB2312" w:eastAsia="仿宋_GB2312" w:cs="仿宋_GB2312"/>
          <w:sz w:val="32"/>
          <w:szCs w:val="32"/>
        </w:rPr>
        <w:t>整体支出绩效为90分</w:t>
      </w:r>
      <w:r>
        <w:rPr>
          <w:rFonts w:hint="eastAsia" w:ascii="宋体" w:hAnsi="宋体"/>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三、资金管理及绩效存在的主要问题及下一步改进措施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主要反映项目支出和基本支出执行偏离绩效目标的情况，并分析其原因，提出改进的措施、工作建议等。</w:t>
      </w:r>
      <w:r>
        <w:rPr>
          <w:rFonts w:hint="eastAsia" w:eastAsia="仿宋_GB2312" w:cs="Times New Roman"/>
          <w:sz w:val="32"/>
          <w:szCs w:val="32"/>
          <w:lang w:val="en-US" w:eastAsia="zh-CN"/>
        </w:rPr>
        <w:t>2019年我队</w:t>
      </w:r>
      <w:r>
        <w:rPr>
          <w:rFonts w:hint="eastAsia" w:ascii="仿宋_GB2312" w:hAnsi="仿宋_GB2312" w:eastAsia="仿宋_GB2312" w:cs="仿宋_GB2312"/>
          <w:sz w:val="32"/>
          <w:szCs w:val="32"/>
          <w:lang w:val="en-US" w:eastAsia="zh-CN"/>
        </w:rPr>
        <w:t>人员支出 324.27万元，公用经费支出486.93万元，比上年增加了17.02 %，主要是劳务费较去年增加了54.34万，其他商品服务支出多了26.03万。2019年我队为了有效的遏制违法建筑的产生，组织的拆除行动较多，导致拆除费用增加，同时，协管员的工资较去年有所提高。</w:t>
      </w:r>
      <w:r>
        <w:rPr>
          <w:rFonts w:hint="eastAsia" w:ascii="仿宋_GB2312" w:hAnsi="宋体" w:eastAsia="仿宋_GB2312" w:cs="仿宋_GB2312"/>
          <w:bCs/>
          <w:sz w:val="32"/>
          <w:szCs w:val="32"/>
          <w:lang w:bidi="zh-CN"/>
        </w:rPr>
        <w:t>对存在问题的改进措施（一）要加强预算约束，实现“三公经费”透明化管理。（二）加强内部管理，完善制度建设。（三）建立监督机制，加大行政问责力度。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48"/>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48"/>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3D6CC"/>
    <w:multiLevelType w:val="singleLevel"/>
    <w:tmpl w:val="4B93D6CC"/>
    <w:lvl w:ilvl="0" w:tentative="0">
      <w:start w:val="1"/>
      <w:numFmt w:val="chineseCounting"/>
      <w:suff w:val="nothing"/>
      <w:lvlText w:val="（%1）"/>
      <w:lvlJc w:val="left"/>
      <w:rPr>
        <w:rFonts w:hint="eastAsia"/>
      </w:rPr>
    </w:lvl>
  </w:abstractNum>
  <w:abstractNum w:abstractNumId="1">
    <w:nsid w:val="6B0F1036"/>
    <w:multiLevelType w:val="singleLevel"/>
    <w:tmpl w:val="6B0F103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A557E"/>
    <w:rsid w:val="123943B1"/>
    <w:rsid w:val="21815B54"/>
    <w:rsid w:val="2BE06CB5"/>
    <w:rsid w:val="39BE1A61"/>
    <w:rsid w:val="440542C6"/>
    <w:rsid w:val="487D04FD"/>
    <w:rsid w:val="4DCC421A"/>
    <w:rsid w:val="5B7213D6"/>
    <w:rsid w:val="679D1838"/>
    <w:rsid w:val="68250A7C"/>
    <w:rsid w:val="6D067450"/>
    <w:rsid w:val="71DC78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2020-04-29T03:36:30Z</dcterms:created>
  <dc:creator>Administrator.BF-20190731HTSG</dc:creator>
  <cp:lastModifiedBy>不二</cp:lastModifiedBy>
  <dcterms:modified xsi:type="dcterms:W3CDTF">2021-05-09T01:49:11Z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