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部门：株洲市芦淞区交通运输局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427.37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50.14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236.51 </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八、交通运输支出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140.50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427.37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427.15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0.22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427.37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427.37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株洲市芦淞区交通运输局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197"/>
        <w:gridCol w:w="1683"/>
        <w:gridCol w:w="1181"/>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880"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181"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68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18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6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8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88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880"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427.37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427.37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w:t>
            </w:r>
          </w:p>
        </w:tc>
        <w:tc>
          <w:tcPr>
            <w:tcW w:w="16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一</w:t>
            </w:r>
            <w:r>
              <w:rPr>
                <w:rFonts w:hint="eastAsia" w:ascii="Times New Roman" w:hAnsi="Times New Roman" w:eastAsia="仿宋_GB2312" w:cs="Times New Roman"/>
                <w:kern w:val="0"/>
                <w:szCs w:val="21"/>
              </w:rPr>
              <w:t>般公共服务支出</w:t>
            </w:r>
          </w:p>
        </w:tc>
        <w:tc>
          <w:tcPr>
            <w:tcW w:w="11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50.14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50.14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20103</w:t>
            </w:r>
          </w:p>
        </w:tc>
        <w:tc>
          <w:tcPr>
            <w:tcW w:w="16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政府办公厅（室）及相关机构事务</w:t>
            </w:r>
          </w:p>
        </w:tc>
        <w:tc>
          <w:tcPr>
            <w:tcW w:w="11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50.14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50.14</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2010301</w:t>
            </w:r>
          </w:p>
        </w:tc>
        <w:tc>
          <w:tcPr>
            <w:tcW w:w="16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11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17.09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17.09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2010302</w:t>
            </w:r>
          </w:p>
        </w:tc>
        <w:tc>
          <w:tcPr>
            <w:tcW w:w="16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一般行政管理事务</w:t>
            </w:r>
          </w:p>
        </w:tc>
        <w:tc>
          <w:tcPr>
            <w:tcW w:w="11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19.90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19.90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2010399</w:t>
            </w:r>
          </w:p>
        </w:tc>
        <w:tc>
          <w:tcPr>
            <w:tcW w:w="1683"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其他政府办公厅（室）及相关机构事务支出</w:t>
            </w:r>
          </w:p>
        </w:tc>
        <w:tc>
          <w:tcPr>
            <w:tcW w:w="1181"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13.16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13.16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p>
        </w:tc>
        <w:tc>
          <w:tcPr>
            <w:tcW w:w="1683"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p>
        </w:tc>
        <w:tc>
          <w:tcPr>
            <w:tcW w:w="1181"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236.72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236.72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21201</w:t>
            </w:r>
          </w:p>
        </w:tc>
        <w:tc>
          <w:tcPr>
            <w:tcW w:w="16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城乡社区管理事务</w:t>
            </w:r>
          </w:p>
        </w:tc>
        <w:tc>
          <w:tcPr>
            <w:tcW w:w="11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Cs w:val="21"/>
                <w:lang w:val="en-US"/>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2120101</w:t>
            </w:r>
          </w:p>
        </w:tc>
        <w:tc>
          <w:tcPr>
            <w:tcW w:w="1683" w:type="dxa"/>
            <w:tcBorders>
              <w:top w:val="single" w:color="auto" w:sz="4" w:space="0"/>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行政运行</w:t>
            </w:r>
          </w:p>
        </w:tc>
        <w:tc>
          <w:tcPr>
            <w:tcW w:w="1181"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595"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 </w:t>
            </w:r>
          </w:p>
        </w:tc>
        <w:tc>
          <w:tcPr>
            <w:tcW w:w="1382"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21203</w:t>
            </w:r>
          </w:p>
        </w:tc>
        <w:tc>
          <w:tcPr>
            <w:tcW w:w="1683"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城乡社区公共设施</w:t>
            </w:r>
          </w:p>
        </w:tc>
        <w:tc>
          <w:tcPr>
            <w:tcW w:w="1181"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222.98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222.98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2120399</w:t>
            </w:r>
          </w:p>
        </w:tc>
        <w:tc>
          <w:tcPr>
            <w:tcW w:w="16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其他城乡社区公共设施支出</w:t>
            </w:r>
          </w:p>
        </w:tc>
        <w:tc>
          <w:tcPr>
            <w:tcW w:w="11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222.98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222.98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21208</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国有土地使用权出让收入及对应专项债务收入安排的支出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华文中宋" w:hAnsi="华文中宋" w:eastAsia="华文中宋" w:cs="华文中宋"/>
                <w:i w:val="0"/>
                <w:iCs w:val="0"/>
                <w:color w:val="000000"/>
                <w:kern w:val="2"/>
                <w:sz w:val="24"/>
                <w:szCs w:val="24"/>
                <w:u w:val="none"/>
                <w:lang w:val="en-US" w:eastAsia="zh-CN" w:bidi="ar-SA"/>
              </w:rPr>
            </w:pPr>
            <w:r>
              <w:rPr>
                <w:rFonts w:hint="default" w:ascii="华文中宋" w:hAnsi="华文中宋" w:eastAsia="华文中宋" w:cs="华文中宋"/>
                <w:i w:val="0"/>
                <w:iCs w:val="0"/>
                <w:color w:val="000000"/>
                <w:kern w:val="0"/>
                <w:sz w:val="24"/>
                <w:szCs w:val="24"/>
                <w:u w:val="none"/>
                <w:lang w:val="en-US" w:eastAsia="zh-CN" w:bidi="ar"/>
              </w:rPr>
              <w:t xml:space="preserve">3.74 </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华文中宋" w:hAnsi="华文中宋" w:eastAsia="华文中宋" w:cs="华文中宋"/>
                <w:i w:val="0"/>
                <w:iCs w:val="0"/>
                <w:color w:val="000000"/>
                <w:kern w:val="2"/>
                <w:sz w:val="24"/>
                <w:szCs w:val="24"/>
                <w:u w:val="none"/>
                <w:lang w:val="en-US" w:eastAsia="zh-CN" w:bidi="ar-SA"/>
              </w:rPr>
            </w:pPr>
            <w:r>
              <w:rPr>
                <w:rFonts w:hint="default" w:ascii="华文中宋" w:hAnsi="华文中宋" w:eastAsia="华文中宋" w:cs="华文中宋"/>
                <w:i w:val="0"/>
                <w:iCs w:val="0"/>
                <w:color w:val="000000"/>
                <w:kern w:val="0"/>
                <w:sz w:val="24"/>
                <w:szCs w:val="24"/>
                <w:u w:val="none"/>
                <w:lang w:val="en-US" w:eastAsia="zh-CN" w:bidi="ar"/>
              </w:rPr>
              <w:t xml:space="preserve">3.74 </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2120899</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其他国有土地使用权出让收入安排的支出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华文中宋" w:hAnsi="华文中宋" w:eastAsia="华文中宋" w:cs="华文中宋"/>
                <w:i w:val="0"/>
                <w:iCs w:val="0"/>
                <w:color w:val="000000"/>
                <w:kern w:val="2"/>
                <w:sz w:val="24"/>
                <w:szCs w:val="24"/>
                <w:u w:val="none"/>
                <w:lang w:val="en-US" w:eastAsia="zh-CN" w:bidi="ar-SA"/>
              </w:rPr>
            </w:pPr>
            <w:r>
              <w:rPr>
                <w:rFonts w:hint="default" w:ascii="华文中宋" w:hAnsi="华文中宋" w:eastAsia="华文中宋" w:cs="华文中宋"/>
                <w:i w:val="0"/>
                <w:iCs w:val="0"/>
                <w:color w:val="000000"/>
                <w:kern w:val="0"/>
                <w:sz w:val="24"/>
                <w:szCs w:val="24"/>
                <w:u w:val="none"/>
                <w:lang w:val="en-US" w:eastAsia="zh-CN" w:bidi="ar"/>
              </w:rPr>
              <w:t xml:space="preserve">3.74 </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华文中宋" w:hAnsi="华文中宋" w:eastAsia="华文中宋" w:cs="华文中宋"/>
                <w:i w:val="0"/>
                <w:iCs w:val="0"/>
                <w:color w:val="000000"/>
                <w:kern w:val="2"/>
                <w:sz w:val="24"/>
                <w:szCs w:val="24"/>
                <w:u w:val="none"/>
                <w:lang w:val="en-US" w:eastAsia="zh-CN" w:bidi="ar-SA"/>
              </w:rPr>
            </w:pPr>
            <w:r>
              <w:rPr>
                <w:rFonts w:hint="default" w:ascii="华文中宋" w:hAnsi="华文中宋" w:eastAsia="华文中宋" w:cs="华文中宋"/>
                <w:i w:val="0"/>
                <w:iCs w:val="0"/>
                <w:color w:val="000000"/>
                <w:kern w:val="0"/>
                <w:sz w:val="24"/>
                <w:szCs w:val="24"/>
                <w:u w:val="none"/>
                <w:lang w:val="en-US" w:eastAsia="zh-CN" w:bidi="ar"/>
              </w:rPr>
              <w:t xml:space="preserve">3.74 </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w:t>
            </w:r>
          </w:p>
        </w:tc>
        <w:tc>
          <w:tcPr>
            <w:tcW w:w="1683" w:type="dxa"/>
            <w:tcBorders>
              <w:top w:val="single" w:color="auto" w:sz="4" w:space="0"/>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交通运输支出</w:t>
            </w:r>
          </w:p>
        </w:tc>
        <w:tc>
          <w:tcPr>
            <w:tcW w:w="1181"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140.50 </w:t>
            </w:r>
          </w:p>
        </w:tc>
        <w:tc>
          <w:tcPr>
            <w:tcW w:w="1595"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140.50 </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97" w:firstLineChars="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21401</w:t>
            </w:r>
          </w:p>
        </w:tc>
        <w:tc>
          <w:tcPr>
            <w:tcW w:w="168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公路水路运输</w:t>
            </w:r>
          </w:p>
        </w:tc>
        <w:tc>
          <w:tcPr>
            <w:tcW w:w="118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2140104</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公路建设</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21404</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成品油价格改革对交通运输的补贴</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2140499</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成品油价格改革补贴其他支出</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4"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株洲市芦淞区交通运输局</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53"/>
        <w:gridCol w:w="1680"/>
        <w:gridCol w:w="1185"/>
        <w:gridCol w:w="1605"/>
        <w:gridCol w:w="1680"/>
        <w:gridCol w:w="229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3033"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1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60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68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229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68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1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0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8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29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8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0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8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29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033"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0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29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033"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8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427.15 </w:t>
            </w:r>
          </w:p>
        </w:tc>
        <w:tc>
          <w:tcPr>
            <w:tcW w:w="160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37.73 </w:t>
            </w:r>
          </w:p>
        </w:tc>
        <w:tc>
          <w:tcPr>
            <w:tcW w:w="16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389.42 </w:t>
            </w:r>
          </w:p>
        </w:tc>
        <w:tc>
          <w:tcPr>
            <w:tcW w:w="229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w:t>
            </w:r>
          </w:p>
        </w:tc>
        <w:tc>
          <w:tcPr>
            <w:tcW w:w="1680"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一</w:t>
            </w:r>
            <w:r>
              <w:rPr>
                <w:rFonts w:hint="eastAsia" w:ascii="Times New Roman" w:hAnsi="Times New Roman" w:eastAsia="仿宋_GB2312" w:cs="Times New Roman"/>
                <w:kern w:val="0"/>
                <w:szCs w:val="21"/>
              </w:rPr>
              <w:t>般公共服务支出</w:t>
            </w:r>
          </w:p>
        </w:tc>
        <w:tc>
          <w:tcPr>
            <w:tcW w:w="118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50.14 </w:t>
            </w:r>
          </w:p>
        </w:tc>
        <w:tc>
          <w:tcPr>
            <w:tcW w:w="160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29.24 </w:t>
            </w:r>
          </w:p>
        </w:tc>
        <w:tc>
          <w:tcPr>
            <w:tcW w:w="16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20.90 </w:t>
            </w:r>
          </w:p>
        </w:tc>
        <w:tc>
          <w:tcPr>
            <w:tcW w:w="229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3"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20103</w:t>
            </w:r>
          </w:p>
        </w:tc>
        <w:tc>
          <w:tcPr>
            <w:tcW w:w="1680"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政府办公厅（室）及相关机构事务</w:t>
            </w:r>
          </w:p>
        </w:tc>
        <w:tc>
          <w:tcPr>
            <w:tcW w:w="118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50.14 </w:t>
            </w:r>
          </w:p>
        </w:tc>
        <w:tc>
          <w:tcPr>
            <w:tcW w:w="160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29.24 </w:t>
            </w:r>
          </w:p>
        </w:tc>
        <w:tc>
          <w:tcPr>
            <w:tcW w:w="16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20.90 </w:t>
            </w:r>
          </w:p>
        </w:tc>
        <w:tc>
          <w:tcPr>
            <w:tcW w:w="229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 w:hRule="atLeast"/>
          <w:jc w:val="center"/>
        </w:trPr>
        <w:tc>
          <w:tcPr>
            <w:tcW w:w="1353"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2010301</w:t>
            </w:r>
          </w:p>
        </w:tc>
        <w:tc>
          <w:tcPr>
            <w:tcW w:w="1680"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118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17.09 </w:t>
            </w:r>
          </w:p>
        </w:tc>
        <w:tc>
          <w:tcPr>
            <w:tcW w:w="160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17.09 </w:t>
            </w:r>
          </w:p>
        </w:tc>
        <w:tc>
          <w:tcPr>
            <w:tcW w:w="16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29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2010302</w:t>
            </w:r>
          </w:p>
        </w:tc>
        <w:tc>
          <w:tcPr>
            <w:tcW w:w="1680"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一般行政管理事务</w:t>
            </w:r>
          </w:p>
        </w:tc>
        <w:tc>
          <w:tcPr>
            <w:tcW w:w="118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19.90 </w:t>
            </w:r>
          </w:p>
        </w:tc>
        <w:tc>
          <w:tcPr>
            <w:tcW w:w="160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19.90 </w:t>
            </w:r>
          </w:p>
        </w:tc>
        <w:tc>
          <w:tcPr>
            <w:tcW w:w="229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2010399</w:t>
            </w:r>
          </w:p>
        </w:tc>
        <w:tc>
          <w:tcPr>
            <w:tcW w:w="1680"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其他政府办公厅（室）及相关机构事务支出</w:t>
            </w:r>
          </w:p>
        </w:tc>
        <w:tc>
          <w:tcPr>
            <w:tcW w:w="118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13.16 </w:t>
            </w:r>
          </w:p>
        </w:tc>
        <w:tc>
          <w:tcPr>
            <w:tcW w:w="160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12.16 </w:t>
            </w:r>
          </w:p>
        </w:tc>
        <w:tc>
          <w:tcPr>
            <w:tcW w:w="16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 </w:t>
            </w:r>
          </w:p>
        </w:tc>
        <w:tc>
          <w:tcPr>
            <w:tcW w:w="229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w:t>
            </w:r>
          </w:p>
        </w:tc>
        <w:tc>
          <w:tcPr>
            <w:tcW w:w="1680"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城乡社区支出</w:t>
            </w:r>
          </w:p>
        </w:tc>
        <w:tc>
          <w:tcPr>
            <w:tcW w:w="1185" w:type="dxa"/>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236.51</w:t>
            </w:r>
          </w:p>
        </w:tc>
        <w:tc>
          <w:tcPr>
            <w:tcW w:w="160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8.48 </w:t>
            </w:r>
          </w:p>
        </w:tc>
        <w:tc>
          <w:tcPr>
            <w:tcW w:w="16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228.02 </w:t>
            </w:r>
          </w:p>
        </w:tc>
        <w:tc>
          <w:tcPr>
            <w:tcW w:w="229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21201</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城乡社区管理事务</w:t>
            </w:r>
          </w:p>
        </w:tc>
        <w:tc>
          <w:tcPr>
            <w:tcW w:w="1185" w:type="dxa"/>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9.78</w:t>
            </w:r>
          </w:p>
        </w:tc>
        <w:tc>
          <w:tcPr>
            <w:tcW w:w="1605" w:type="dxa"/>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8.48</w:t>
            </w: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1.30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2120101</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行政运行</w:t>
            </w:r>
          </w:p>
        </w:tc>
        <w:tc>
          <w:tcPr>
            <w:tcW w:w="1185" w:type="dxa"/>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 xml:space="preserve">9.78 </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 xml:space="preserve">8.48 </w:t>
            </w: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1.30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21203</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城乡社区公共设施</w:t>
            </w:r>
          </w:p>
        </w:tc>
        <w:tc>
          <w:tcPr>
            <w:tcW w:w="118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222.98 </w:t>
            </w:r>
          </w:p>
        </w:tc>
        <w:tc>
          <w:tcPr>
            <w:tcW w:w="1605" w:type="dxa"/>
          </w:tcPr>
          <w:p>
            <w:pPr>
              <w:widowControl/>
              <w:jc w:val="right"/>
              <w:rPr>
                <w:rFonts w:ascii="Times New Roman" w:hAnsi="Times New Roman" w:eastAsia="仿宋_GB2312" w:cs="Times New Roman"/>
                <w:kern w:val="0"/>
                <w:szCs w:val="21"/>
              </w:rPr>
            </w:pP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222.98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2120399</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其他城乡社区公共设施支出</w:t>
            </w:r>
          </w:p>
        </w:tc>
        <w:tc>
          <w:tcPr>
            <w:tcW w:w="118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222.98 </w:t>
            </w:r>
          </w:p>
        </w:tc>
        <w:tc>
          <w:tcPr>
            <w:tcW w:w="1605" w:type="dxa"/>
          </w:tcPr>
          <w:p>
            <w:pPr>
              <w:widowControl/>
              <w:jc w:val="right"/>
              <w:rPr>
                <w:rFonts w:ascii="Times New Roman" w:hAnsi="Times New Roman" w:eastAsia="仿宋_GB2312" w:cs="Times New Roman"/>
                <w:kern w:val="0"/>
                <w:szCs w:val="21"/>
              </w:rPr>
            </w:pP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222.98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21208</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国有土地使用权出让收入及对应专项债务收入安排的支出</w:t>
            </w:r>
          </w:p>
        </w:tc>
        <w:tc>
          <w:tcPr>
            <w:tcW w:w="1185" w:type="dxa"/>
            <w:vAlign w:val="center"/>
          </w:tcPr>
          <w:p>
            <w:pPr>
              <w:keepNext w:val="0"/>
              <w:keepLines w:val="0"/>
              <w:widowControl/>
              <w:suppressLineNumbers w:val="0"/>
              <w:jc w:val="right"/>
              <w:textAlignment w:val="center"/>
              <w:rPr>
                <w:rFonts w:ascii="华文中宋" w:hAnsi="华文中宋" w:eastAsia="华文中宋" w:cs="华文中宋"/>
                <w:i w:val="0"/>
                <w:iCs w:val="0"/>
                <w:color w:val="000000"/>
                <w:kern w:val="2"/>
                <w:sz w:val="24"/>
                <w:szCs w:val="24"/>
                <w:u w:val="none"/>
                <w:lang w:val="en-US" w:eastAsia="zh-CN" w:bidi="ar-SA"/>
              </w:rPr>
            </w:pPr>
            <w:r>
              <w:rPr>
                <w:rFonts w:hint="default" w:ascii="华文中宋" w:hAnsi="华文中宋" w:eastAsia="华文中宋" w:cs="华文中宋"/>
                <w:i w:val="0"/>
                <w:iCs w:val="0"/>
                <w:color w:val="000000"/>
                <w:kern w:val="0"/>
                <w:sz w:val="24"/>
                <w:szCs w:val="24"/>
                <w:u w:val="none"/>
                <w:lang w:val="en-US" w:eastAsia="zh-CN" w:bidi="ar"/>
              </w:rPr>
              <w:t xml:space="preserve">3.74 </w:t>
            </w:r>
          </w:p>
        </w:tc>
        <w:tc>
          <w:tcPr>
            <w:tcW w:w="1605" w:type="dxa"/>
          </w:tcPr>
          <w:p>
            <w:pPr>
              <w:widowControl/>
              <w:jc w:val="right"/>
              <w:rPr>
                <w:rFonts w:ascii="Times New Roman" w:hAnsi="Times New Roman" w:eastAsia="仿宋_GB2312" w:cs="Times New Roman"/>
                <w:kern w:val="0"/>
                <w:szCs w:val="21"/>
              </w:rPr>
            </w:pP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3.74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2120899</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其他国有土地使用权出让收入安排的支出</w:t>
            </w:r>
          </w:p>
        </w:tc>
        <w:tc>
          <w:tcPr>
            <w:tcW w:w="1185" w:type="dxa"/>
            <w:vAlign w:val="center"/>
          </w:tcPr>
          <w:p>
            <w:pPr>
              <w:keepNext w:val="0"/>
              <w:keepLines w:val="0"/>
              <w:widowControl/>
              <w:suppressLineNumbers w:val="0"/>
              <w:jc w:val="right"/>
              <w:textAlignment w:val="center"/>
              <w:rPr>
                <w:rFonts w:ascii="华文中宋" w:hAnsi="华文中宋" w:eastAsia="华文中宋" w:cs="华文中宋"/>
                <w:i w:val="0"/>
                <w:iCs w:val="0"/>
                <w:color w:val="000000"/>
                <w:kern w:val="2"/>
                <w:sz w:val="24"/>
                <w:szCs w:val="24"/>
                <w:u w:val="none"/>
                <w:lang w:val="en-US" w:eastAsia="zh-CN" w:bidi="ar-SA"/>
              </w:rPr>
            </w:pPr>
            <w:r>
              <w:rPr>
                <w:rFonts w:hint="default" w:ascii="华文中宋" w:hAnsi="华文中宋" w:eastAsia="华文中宋" w:cs="华文中宋"/>
                <w:i w:val="0"/>
                <w:iCs w:val="0"/>
                <w:color w:val="000000"/>
                <w:kern w:val="0"/>
                <w:sz w:val="24"/>
                <w:szCs w:val="24"/>
                <w:u w:val="none"/>
                <w:lang w:val="en-US" w:eastAsia="zh-CN" w:bidi="ar"/>
              </w:rPr>
              <w:t xml:space="preserve">3.74 </w:t>
            </w:r>
          </w:p>
        </w:tc>
        <w:tc>
          <w:tcPr>
            <w:tcW w:w="1605" w:type="dxa"/>
          </w:tcPr>
          <w:p>
            <w:pPr>
              <w:widowControl/>
              <w:jc w:val="right"/>
              <w:rPr>
                <w:rFonts w:ascii="Times New Roman" w:hAnsi="Times New Roman" w:eastAsia="仿宋_GB2312" w:cs="Times New Roman"/>
                <w:kern w:val="0"/>
                <w:szCs w:val="21"/>
              </w:rPr>
            </w:pP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3.74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214</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交通运输支出</w:t>
            </w:r>
          </w:p>
        </w:tc>
        <w:tc>
          <w:tcPr>
            <w:tcW w:w="118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140.50 </w:t>
            </w:r>
          </w:p>
        </w:tc>
        <w:tc>
          <w:tcPr>
            <w:tcW w:w="1605" w:type="dxa"/>
          </w:tcPr>
          <w:p>
            <w:pPr>
              <w:widowControl/>
              <w:jc w:val="right"/>
              <w:rPr>
                <w:rFonts w:ascii="Times New Roman" w:hAnsi="Times New Roman" w:eastAsia="仿宋_GB2312" w:cs="Times New Roman"/>
                <w:kern w:val="0"/>
                <w:szCs w:val="21"/>
              </w:rPr>
            </w:pP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140.50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ind w:firstLine="297" w:firstLineChars="0"/>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21401</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公路水路运输</w:t>
            </w:r>
          </w:p>
        </w:tc>
        <w:tc>
          <w:tcPr>
            <w:tcW w:w="118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c>
          <w:tcPr>
            <w:tcW w:w="1605" w:type="dxa"/>
          </w:tcPr>
          <w:p>
            <w:pPr>
              <w:widowControl/>
              <w:jc w:val="right"/>
              <w:rPr>
                <w:rFonts w:ascii="Times New Roman" w:hAnsi="Times New Roman" w:eastAsia="仿宋_GB2312" w:cs="Times New Roman"/>
                <w:kern w:val="0"/>
                <w:szCs w:val="21"/>
              </w:rPr>
            </w:pP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2140104</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公路建设</w:t>
            </w:r>
          </w:p>
        </w:tc>
        <w:tc>
          <w:tcPr>
            <w:tcW w:w="118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c>
          <w:tcPr>
            <w:tcW w:w="1605" w:type="dxa"/>
          </w:tcPr>
          <w:p>
            <w:pPr>
              <w:widowControl/>
              <w:jc w:val="right"/>
              <w:rPr>
                <w:rFonts w:ascii="Times New Roman" w:hAnsi="Times New Roman" w:eastAsia="仿宋_GB2312" w:cs="Times New Roman"/>
                <w:kern w:val="0"/>
                <w:szCs w:val="21"/>
              </w:rPr>
            </w:pP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21404</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成品油价格改革对交通运输的补贴</w:t>
            </w:r>
          </w:p>
        </w:tc>
        <w:tc>
          <w:tcPr>
            <w:tcW w:w="118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1605" w:type="dxa"/>
          </w:tcPr>
          <w:p>
            <w:pPr>
              <w:widowControl/>
              <w:jc w:val="right"/>
              <w:rPr>
                <w:rFonts w:ascii="Times New Roman" w:hAnsi="Times New Roman" w:eastAsia="仿宋_GB2312" w:cs="Times New Roman"/>
                <w:kern w:val="0"/>
                <w:szCs w:val="21"/>
              </w:rPr>
            </w:pP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353"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2140499</w:t>
            </w:r>
          </w:p>
        </w:tc>
        <w:tc>
          <w:tcPr>
            <w:tcW w:w="1680"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成品油价格改革补贴其他支出</w:t>
            </w:r>
          </w:p>
        </w:tc>
        <w:tc>
          <w:tcPr>
            <w:tcW w:w="118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1605" w:type="dxa"/>
          </w:tcPr>
          <w:p>
            <w:pPr>
              <w:widowControl/>
              <w:jc w:val="right"/>
              <w:rPr>
                <w:rFonts w:ascii="Times New Roman" w:hAnsi="Times New Roman" w:eastAsia="仿宋_GB2312" w:cs="Times New Roman"/>
                <w:kern w:val="0"/>
                <w:szCs w:val="21"/>
              </w:rPr>
            </w:pPr>
          </w:p>
        </w:tc>
        <w:tc>
          <w:tcPr>
            <w:tcW w:w="16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2293"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株洲市芦淞区交通运输局</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423.63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50.14</w:t>
            </w:r>
          </w:p>
        </w:tc>
        <w:tc>
          <w:tcPr>
            <w:tcW w:w="16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50.14</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3.74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236.51</w:t>
            </w:r>
          </w:p>
        </w:tc>
        <w:tc>
          <w:tcPr>
            <w:tcW w:w="16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232.76</w:t>
            </w:r>
          </w:p>
        </w:tc>
        <w:tc>
          <w:tcPr>
            <w:tcW w:w="15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3.74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八、</w:t>
            </w:r>
            <w:r>
              <w:rPr>
                <w:rFonts w:hint="eastAsia" w:ascii="Times New Roman" w:hAnsi="Times New Roman" w:eastAsia="仿宋_GB2312" w:cs="Times New Roman"/>
                <w:kern w:val="0"/>
                <w:szCs w:val="21"/>
              </w:rPr>
              <w:t>交通运输支出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140.5</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140.5</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427.37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427.15</w:t>
            </w:r>
          </w:p>
        </w:tc>
        <w:tc>
          <w:tcPr>
            <w:tcW w:w="16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423.41</w:t>
            </w:r>
          </w:p>
        </w:tc>
        <w:tc>
          <w:tcPr>
            <w:tcW w:w="15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6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0.22</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7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427.37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427.37</w:t>
            </w:r>
          </w:p>
        </w:tc>
        <w:tc>
          <w:tcPr>
            <w:tcW w:w="16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423.62</w:t>
            </w:r>
          </w:p>
        </w:tc>
        <w:tc>
          <w:tcPr>
            <w:tcW w:w="15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株洲市芦淞区交通运输局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423.41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37.73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389.68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一</w:t>
            </w:r>
            <w:r>
              <w:rPr>
                <w:rFonts w:hint="eastAsia" w:ascii="Times New Roman" w:hAnsi="Times New Roman" w:eastAsia="仿宋_GB2312" w:cs="Times New Roman"/>
                <w:kern w:val="0"/>
                <w:szCs w:val="21"/>
              </w:rPr>
              <w:t>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50.14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17.09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19.90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19.90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13.16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12.16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236.76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224.28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bookmarkStart w:id="2" w:name="_GoBack" w:colFirst="2" w:colLast="2"/>
            <w:r>
              <w:rPr>
                <w:rFonts w:hint="eastAsia" w:ascii="Times New Roman" w:hAnsi="Times New Roman" w:eastAsia="仿宋_GB2312" w:cs="Times New Roman"/>
                <w:kern w:val="0"/>
                <w:szCs w:val="21"/>
              </w:rPr>
              <w:t>21201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9.78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1.30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2120101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 xml:space="preserve">9.78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1.30 </w:t>
            </w:r>
          </w:p>
        </w:tc>
      </w:tr>
      <w:bookmarkEnd w:id="2"/>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城乡社区公共设施</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222.98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222.98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2120399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其他城乡社区公共设施支出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222.98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222.98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交通运输支出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140.50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140.50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97" w:firstLineChars="0"/>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21401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公路水路运输</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2140104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公路建设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135.50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21404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成品油价格改革对交通运输的补贴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2140499</w:t>
            </w:r>
          </w:p>
        </w:tc>
        <w:tc>
          <w:tcPr>
            <w:tcW w:w="3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成品油价格改革补贴其他支出</w:t>
            </w:r>
          </w:p>
        </w:tc>
        <w:tc>
          <w:tcPr>
            <w:tcW w:w="3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c>
          <w:tcPr>
            <w:tcW w:w="34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single" w:color="auto" w:sz="4" w:space="0"/>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株洲市芦淞区交通运输局</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9"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12.86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1.79</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1.79</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1.15</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23.08</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14.65</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株洲市芦淞区交通运输局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株洲市芦淞区交通运输局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城乡社区支出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21208</w:t>
            </w: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国有土地使用权出让收入及对应专项债务收入安排的支出</w:t>
            </w: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2120899</w:t>
            </w:r>
          </w:p>
        </w:tc>
        <w:tc>
          <w:tcPr>
            <w:tcW w:w="1320" w:type="dxa"/>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其他国有土地使用权出让收入安排的支出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3.74</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31565E4"/>
    <w:rsid w:val="096E4ACC"/>
    <w:rsid w:val="0B3066C0"/>
    <w:rsid w:val="0F3E51A2"/>
    <w:rsid w:val="119F1531"/>
    <w:rsid w:val="141135CE"/>
    <w:rsid w:val="170B227A"/>
    <w:rsid w:val="1A064595"/>
    <w:rsid w:val="1D5B2320"/>
    <w:rsid w:val="22C62E79"/>
    <w:rsid w:val="247F6A8E"/>
    <w:rsid w:val="260E4EFF"/>
    <w:rsid w:val="28DD14F3"/>
    <w:rsid w:val="332A7FF4"/>
    <w:rsid w:val="3A2F3D1B"/>
    <w:rsid w:val="3E7B0CF8"/>
    <w:rsid w:val="42F113E3"/>
    <w:rsid w:val="462971E2"/>
    <w:rsid w:val="4F05326D"/>
    <w:rsid w:val="53F156DC"/>
    <w:rsid w:val="56A02E8D"/>
    <w:rsid w:val="5CA67A97"/>
    <w:rsid w:val="5FDD1051"/>
    <w:rsid w:val="61177E20"/>
    <w:rsid w:val="64B41416"/>
    <w:rsid w:val="6EAA2861"/>
    <w:rsid w:val="6F4A6216"/>
    <w:rsid w:val="72DB3B43"/>
    <w:rsid w:val="74DD6013"/>
    <w:rsid w:val="7539419D"/>
    <w:rsid w:val="75C03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12</TotalTime>
  <ScaleCrop>false</ScaleCrop>
  <LinksUpToDate>false</LinksUpToDate>
  <CharactersWithSpaces>4864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2021-05-08T07:01:55Z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82A5BB66C462421DB6049EA68C7671E3</vt:lpwstr>
  </property>
</Properties>
</file>