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jc w:val="left"/>
              <w:textAlignment w:val="auto"/>
              <w:rPr>
                <w:rFonts w:hint="eastAsia" w:eastAsia="宋体"/>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株云环表[2020]19号</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一、株洲九方制动设备有限公司</w:t>
            </w:r>
            <w:r>
              <w:rPr>
                <w:rFonts w:hint="eastAsia" w:ascii="仿宋" w:hAnsi="仿宋" w:eastAsia="仿宋" w:cs="仿宋"/>
                <w:sz w:val="24"/>
                <w:szCs w:val="24"/>
                <w:lang w:val="en-US" w:eastAsia="zh-CN"/>
              </w:rPr>
              <w:t>投资1050万元在龙头铺街道</w:t>
            </w:r>
            <w:r>
              <w:rPr>
                <w:rFonts w:hint="eastAsia" w:ascii="仿宋" w:hAnsi="仿宋" w:eastAsia="仿宋" w:cs="仿宋"/>
                <w:sz w:val="24"/>
                <w:szCs w:val="24"/>
                <w:lang w:eastAsia="zh-CN"/>
              </w:rPr>
              <w:t>兴隆山社区</w:t>
            </w:r>
            <w:r>
              <w:rPr>
                <w:rFonts w:hint="eastAsia" w:ascii="仿宋" w:hAnsi="仿宋" w:eastAsia="仿宋" w:cs="仿宋"/>
                <w:sz w:val="24"/>
                <w:szCs w:val="24"/>
                <w:lang w:val="en-US" w:eastAsia="zh-CN"/>
              </w:rPr>
              <w:t>建设贯通道、风道扩建项目。该项目占地面积6384.35m</w:t>
            </w:r>
            <w:r>
              <w:rPr>
                <w:rFonts w:hint="eastAsia" w:ascii="仿宋" w:hAnsi="仿宋" w:eastAsia="仿宋" w:cs="仿宋"/>
                <w:sz w:val="24"/>
                <w:szCs w:val="24"/>
                <w:vertAlign w:val="superscript"/>
                <w:lang w:val="en-US" w:eastAsia="zh-CN"/>
              </w:rPr>
              <w:t>2</w:t>
            </w:r>
            <w:r>
              <w:rPr>
                <w:rFonts w:hint="eastAsia" w:ascii="仿宋" w:hAnsi="仿宋" w:eastAsia="仿宋" w:cs="仿宋"/>
                <w:sz w:val="24"/>
                <w:szCs w:val="24"/>
                <w:lang w:val="en-US" w:eastAsia="zh-CN"/>
              </w:rPr>
              <w:t>，主要生产城市轨道交通装备部件及零配件、轨道牵引机车制动装置、车辆连接装置、通风过滤除尘装置及配件。扩建后，可年产贯通道720套、风道210套。</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根据湖南汇恒环境保护科技发展有限公司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三、在工程建设中必须严格执行环保“三同时”制度，重点注意以下几个问题。</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加强大气污染防治。粘接房有机废气须经“光催化氧化+活性炭吸附”处理后经15m排气筒达标排放；加强车间通风，减少车间粉尘对周边环境的影响。</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2.排水系统须采取雨污分流制，清污分流制。淋雨试验废水经淋雨房下方沉淀池沉淀后循环使用，不外排；</w:t>
            </w:r>
            <w:r>
              <w:rPr>
                <w:rFonts w:hint="eastAsia" w:ascii="仿宋" w:hAnsi="仿宋" w:eastAsia="仿宋" w:cs="仿宋"/>
                <w:sz w:val="24"/>
                <w:szCs w:val="24"/>
                <w:lang w:val="ru-RU" w:eastAsia="zh-CN"/>
              </w:rPr>
              <w:t>生活污水经化粪池及一体化污水处理设施处理达标后排放</w:t>
            </w:r>
            <w:r>
              <w:rPr>
                <w:rFonts w:hint="eastAsia" w:ascii="仿宋" w:hAnsi="仿宋" w:eastAsia="仿宋" w:cs="仿宋"/>
                <w:sz w:val="24"/>
                <w:szCs w:val="24"/>
                <w:lang w:val="en-US" w:eastAsia="zh-CN"/>
              </w:rPr>
              <w:t>。</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3.加强噪声防护，须采取减震、隔声等措施措施，减少噪声对周边环境的影响。</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4.应加强对危险废物的收集处理和厂区防渗措施的实施，确保不会对土壤产生影响。</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妥善处置固体废物和危险废物。营运期产生的生活垃圾分类收集后由环卫部门统一清运；金属废料、废篷布、焊渣、废保温棉、废包装材料等固体废物经收集后回收利用；废机油、废液压油、废乳化液、废桶、废手套、废布条、废活性炭及废催化剂等危险废物经分类收集于危废暂存间，定期交资质单位处理。</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四、由株洲云龙示范区生态环境局负责该项目“三同时”监督检查及日常监</w:t>
            </w:r>
            <w:bookmarkStart w:id="0" w:name="_GoBack"/>
            <w:bookmarkEnd w:id="0"/>
            <w:r>
              <w:rPr>
                <w:rFonts w:hint="eastAsia" w:ascii="仿宋" w:hAnsi="仿宋" w:eastAsia="仿宋" w:cs="仿宋"/>
                <w:sz w:val="24"/>
                <w:szCs w:val="24"/>
                <w:lang w:val="en-US" w:eastAsia="zh-CN"/>
              </w:rPr>
              <w:t>督检查。</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五、你单位应在收到本批复后10个工作日内，将批准后的环境影响报告表送株洲云龙示范区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六、环境影响报告表经批准后，若项目的性质、规模、地点和环境保护措施等发生重大变动的，须重新报批环境影响报告。</w:t>
            </w:r>
          </w:p>
          <w:p>
            <w:pPr>
              <w:keepNext w:val="0"/>
              <w:keepLines w:val="0"/>
              <w:pageBreakBefore w:val="0"/>
              <w:widowControl w:val="0"/>
              <w:tabs>
                <w:tab w:val="left" w:pos="540"/>
              </w:tabs>
              <w:kinsoku/>
              <w:wordWrap/>
              <w:overflowPunct/>
              <w:topLinePunct w:val="0"/>
              <w:autoSpaceDE/>
              <w:autoSpaceDN/>
              <w:bidi w:val="0"/>
              <w:adjustRightInd/>
              <w:snapToGrid w:val="0"/>
              <w:spacing w:line="420" w:lineRule="exact"/>
              <w:ind w:right="25" w:rightChars="12"/>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val="0"/>
              <w:tabs>
                <w:tab w:val="left" w:pos="540"/>
              </w:tabs>
              <w:kinsoku/>
              <w:wordWrap w:val="0"/>
              <w:overflowPunct/>
              <w:topLinePunct w:val="0"/>
              <w:autoSpaceDE/>
              <w:autoSpaceDN/>
              <w:bidi w:val="0"/>
              <w:adjustRightInd/>
              <w:snapToGrid w:val="0"/>
              <w:spacing w:line="420" w:lineRule="exact"/>
              <w:ind w:right="25" w:rightChars="12"/>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tabs>
                <w:tab w:val="left" w:pos="540"/>
              </w:tabs>
              <w:kinsoku/>
              <w:wordWrap w:val="0"/>
              <w:overflowPunct/>
              <w:topLinePunct w:val="0"/>
              <w:autoSpaceDE/>
              <w:autoSpaceDN/>
              <w:bidi w:val="0"/>
              <w:adjustRightInd/>
              <w:snapToGrid w:val="0"/>
              <w:spacing w:line="420" w:lineRule="exact"/>
              <w:ind w:right="25" w:rightChars="12"/>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20</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4EC445D"/>
    <w:rsid w:val="071C4EAB"/>
    <w:rsid w:val="0A875556"/>
    <w:rsid w:val="0B6053C4"/>
    <w:rsid w:val="0D053AE0"/>
    <w:rsid w:val="1225037D"/>
    <w:rsid w:val="13697E29"/>
    <w:rsid w:val="13C82FD3"/>
    <w:rsid w:val="219540C6"/>
    <w:rsid w:val="236D67F5"/>
    <w:rsid w:val="287C257F"/>
    <w:rsid w:val="2C096E9D"/>
    <w:rsid w:val="317449F2"/>
    <w:rsid w:val="38387EDA"/>
    <w:rsid w:val="3B0020C3"/>
    <w:rsid w:val="3D401C4C"/>
    <w:rsid w:val="40001AF4"/>
    <w:rsid w:val="429B784F"/>
    <w:rsid w:val="44905C46"/>
    <w:rsid w:val="49F9509D"/>
    <w:rsid w:val="4D91290E"/>
    <w:rsid w:val="4E361CF0"/>
    <w:rsid w:val="55991982"/>
    <w:rsid w:val="5D5126E7"/>
    <w:rsid w:val="5F260237"/>
    <w:rsid w:val="5F5C7277"/>
    <w:rsid w:val="61835E98"/>
    <w:rsid w:val="62E213A9"/>
    <w:rsid w:val="631132AE"/>
    <w:rsid w:val="65193D86"/>
    <w:rsid w:val="65C77561"/>
    <w:rsid w:val="68D32702"/>
    <w:rsid w:val="6ADA2AB2"/>
    <w:rsid w:val="6B4C61B5"/>
    <w:rsid w:val="6C52154A"/>
    <w:rsid w:val="71007CDB"/>
    <w:rsid w:val="71020A0B"/>
    <w:rsid w:val="71910486"/>
    <w:rsid w:val="738E6AB6"/>
    <w:rsid w:val="7564464D"/>
    <w:rsid w:val="7C9F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0"/>
    </w:rPr>
  </w:style>
  <w:style w:type="paragraph" w:customStyle="1" w:styleId="6">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2020-12-31T07:15:39Z</cp:lastPrinted>
  <dcterms:modified xsi:type="dcterms:W3CDTF">2020-12-31T07:15:59Z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