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宋体" w:hAnsi="宋体"/>
          <w:b/>
          <w:bCs/>
          <w:sz w:val="36"/>
          <w:szCs w:val="36"/>
        </w:rPr>
      </w:pPr>
      <w:r>
        <w:rPr>
          <w:rFonts w:ascii="宋体" w:hAnsi="宋体"/>
          <w:b/>
          <w:bCs/>
          <w:sz w:val="36"/>
          <w:szCs w:val="36"/>
        </w:rPr>
        <w:t>2019年炎陵县</w:t>
      </w:r>
      <w:r>
        <w:rPr>
          <w:rFonts w:hint="eastAsia" w:ascii="宋体" w:hAnsi="宋体"/>
          <w:b/>
          <w:bCs/>
          <w:sz w:val="36"/>
          <w:szCs w:val="36"/>
        </w:rPr>
        <w:t>农业农村局</w:t>
      </w:r>
      <w:r>
        <w:rPr>
          <w:rFonts w:hint="eastAsia" w:ascii="宋体" w:hAnsi="宋体"/>
          <w:b/>
          <w:bCs/>
          <w:sz w:val="36"/>
          <w:szCs w:val="36"/>
          <w:lang w:eastAsia="zh-CN"/>
        </w:rPr>
        <w:t>解决</w:t>
      </w:r>
      <w:r>
        <w:rPr>
          <w:rFonts w:hint="eastAsia" w:ascii="宋体" w:hAnsi="宋体"/>
          <w:b/>
          <w:bCs/>
          <w:sz w:val="36"/>
          <w:szCs w:val="36"/>
        </w:rPr>
        <w:t>非洲猪瘟防控经费</w:t>
      </w:r>
    </w:p>
    <w:p>
      <w:pPr>
        <w:spacing w:line="600" w:lineRule="exact"/>
        <w:jc w:val="center"/>
        <w:rPr>
          <w:rFonts w:ascii="宋体" w:hAnsi="宋体"/>
          <w:b/>
          <w:bCs/>
          <w:sz w:val="36"/>
          <w:szCs w:val="36"/>
        </w:rPr>
      </w:pPr>
      <w:r>
        <w:rPr>
          <w:rFonts w:ascii="宋体" w:hAnsi="宋体"/>
          <w:b/>
          <w:bCs/>
          <w:sz w:val="36"/>
          <w:szCs w:val="36"/>
        </w:rPr>
        <w:t>专项资金绩效自评报告</w:t>
      </w:r>
    </w:p>
    <w:p>
      <w:pPr>
        <w:spacing w:line="600" w:lineRule="exact"/>
        <w:rPr>
          <w:rFonts w:hint="eastAsia" w:ascii="黑体" w:hAnsi="黑体" w:eastAsia="黑体"/>
          <w:sz w:val="32"/>
          <w:szCs w:val="32"/>
        </w:rPr>
      </w:pPr>
    </w:p>
    <w:p>
      <w:pPr>
        <w:adjustRightInd w:val="0"/>
        <w:snapToGrid w:val="0"/>
        <w:spacing w:line="560" w:lineRule="exact"/>
        <w:ind w:firstLine="640" w:firstLineChars="200"/>
        <w:outlineLvl w:val="0"/>
        <w:rPr>
          <w:rFonts w:eastAsia="黑体"/>
          <w:sz w:val="32"/>
          <w:szCs w:val="32"/>
        </w:rPr>
      </w:pPr>
      <w:r>
        <w:rPr>
          <w:rFonts w:eastAsia="黑体"/>
          <w:sz w:val="32"/>
          <w:szCs w:val="32"/>
        </w:rPr>
        <w:t>一、项目概况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（一）项目单位基本情况。</w:t>
      </w:r>
    </w:p>
    <w:p>
      <w:pPr>
        <w:numPr>
          <w:ilvl w:val="0"/>
          <w:numId w:val="0"/>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贯彻执行国家种植业、畜牧业、渔业、农业机械化、农产品加工业、农垦等农业各产业发展的方针政策</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负责全县农业、农村工作的协调和综合工作。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指导、扶持农业社会化服务体系、农村合作经济组织、农民专业合作社和农产品行业协会的建设与发展。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（4）</w:t>
      </w:r>
      <w:r>
        <w:rPr>
          <w:rFonts w:hint="eastAsia" w:ascii="仿宋_GB2312" w:hAnsi="仿宋_GB2312" w:eastAsia="仿宋_GB2312" w:cs="仿宋_GB2312"/>
          <w:sz w:val="32"/>
          <w:szCs w:val="32"/>
        </w:rPr>
        <w:t>依法负责</w:t>
      </w:r>
      <w:r>
        <w:rPr>
          <w:rFonts w:hint="eastAsia" w:ascii="仿宋_GB2312" w:hAnsi="仿宋_GB2312" w:cs="仿宋_GB2312"/>
          <w:sz w:val="32"/>
          <w:szCs w:val="32"/>
          <w:lang w:eastAsia="zh-CN"/>
        </w:rPr>
        <w:t>农业生产</w:t>
      </w:r>
      <w:r>
        <w:rPr>
          <w:rFonts w:hint="eastAsia" w:ascii="仿宋_GB2312" w:hAnsi="仿宋_GB2312" w:eastAsia="仿宋_GB2312" w:cs="仿宋_GB2312"/>
          <w:sz w:val="32"/>
          <w:szCs w:val="32"/>
        </w:rPr>
        <w:t xml:space="preserve">的监督管理，组织实施农机惠农政策。负责农作物重大病虫害防治。       </w:t>
      </w:r>
    </w:p>
    <w:p>
      <w:pPr>
        <w:widowControl/>
        <w:spacing w:line="600" w:lineRule="exact"/>
        <w:ind w:firstLine="640" w:firstLineChars="200"/>
        <w:rPr>
          <w:rFonts w:hint="eastAsia" w:ascii="仿宋_GB2312" w:eastAsia="仿宋_GB2312"/>
          <w:color w:val="auto"/>
          <w:sz w:val="32"/>
          <w:szCs w:val="32"/>
        </w:rPr>
      </w:pPr>
      <w:r>
        <w:rPr>
          <w:rFonts w:hint="eastAsia" w:ascii="仿宋_GB2312" w:hAnsi="仿宋" w:eastAsia="仿宋_GB2312"/>
          <w:sz w:val="32"/>
          <w:szCs w:val="32"/>
        </w:rPr>
        <w:t>2．机构情况</w:t>
      </w:r>
      <w:r>
        <w:rPr>
          <w:rFonts w:hint="eastAsia" w:ascii="仿宋_GB2312" w:hAnsi="仿宋" w:eastAsia="仿宋_GB2312"/>
          <w:sz w:val="32"/>
          <w:szCs w:val="32"/>
          <w:lang w:eastAsia="zh-CN"/>
        </w:rPr>
        <w:t>。</w:t>
      </w:r>
      <w:r>
        <w:rPr>
          <w:rFonts w:hint="eastAsia" w:ascii="仿宋_GB2312" w:eastAsia="仿宋_GB2312" w:cs="仿宋_GB2312"/>
          <w:sz w:val="32"/>
          <w:szCs w:val="32"/>
          <w:lang w:val="en-US" w:eastAsia="zh-CN" w:bidi="ar-SA"/>
        </w:rPr>
        <w:t>2019年</w:t>
      </w:r>
      <w:r>
        <w:rPr>
          <w:rFonts w:hint="eastAsia" w:ascii="仿宋_GB2312" w:eastAsia="仿宋_GB2312" w:cs="仿宋_GB2312"/>
          <w:sz w:val="32"/>
          <w:szCs w:val="32"/>
          <w:lang w:eastAsia="zh-CN" w:bidi="ar-SA"/>
        </w:rPr>
        <w:t>机构改革后，</w:t>
      </w:r>
      <w:r>
        <w:rPr>
          <w:rFonts w:hint="eastAsia" w:ascii="仿宋" w:hAnsi="仿宋" w:eastAsia="仿宋" w:cs="仿宋"/>
          <w:i w:val="0"/>
          <w:caps w:val="0"/>
          <w:color w:val="auto"/>
          <w:spacing w:val="0"/>
          <w:sz w:val="32"/>
          <w:szCs w:val="32"/>
        </w:rPr>
        <w:t>我</w:t>
      </w:r>
      <w:r>
        <w:rPr>
          <w:rFonts w:hint="eastAsia" w:ascii="仿宋" w:hAnsi="仿宋" w:eastAsia="仿宋" w:cs="仿宋"/>
          <w:i w:val="0"/>
          <w:caps w:val="0"/>
          <w:color w:val="auto"/>
          <w:spacing w:val="0"/>
          <w:sz w:val="32"/>
          <w:szCs w:val="32"/>
          <w:lang w:eastAsia="zh-CN"/>
        </w:rPr>
        <w:t>单位</w:t>
      </w:r>
      <w:r>
        <w:rPr>
          <w:rFonts w:hint="eastAsia" w:ascii="仿宋" w:hAnsi="仿宋" w:eastAsia="仿宋" w:cs="仿宋"/>
          <w:i w:val="0"/>
          <w:caps w:val="0"/>
          <w:color w:val="auto"/>
          <w:spacing w:val="0"/>
          <w:sz w:val="32"/>
          <w:szCs w:val="32"/>
          <w:lang w:val="en-US" w:eastAsia="zh-CN"/>
        </w:rPr>
        <w:t>所属事业单位分为两类，其中公益一类8个和</w:t>
      </w:r>
      <w:r>
        <w:rPr>
          <w:rFonts w:hint="eastAsia" w:ascii="仿宋" w:hAnsi="仿宋" w:eastAsia="仿宋" w:cs="仿宋"/>
          <w:i w:val="0"/>
          <w:caps w:val="0"/>
          <w:color w:val="auto"/>
          <w:spacing w:val="0"/>
          <w:sz w:val="32"/>
          <w:szCs w:val="32"/>
          <w:lang w:eastAsia="zh-CN"/>
        </w:rPr>
        <w:t>公益二类</w:t>
      </w:r>
      <w:r>
        <w:rPr>
          <w:rFonts w:hint="eastAsia" w:ascii="仿宋" w:hAnsi="仿宋" w:eastAsia="仿宋" w:cs="仿宋"/>
          <w:i w:val="0"/>
          <w:caps w:val="0"/>
          <w:color w:val="auto"/>
          <w:spacing w:val="0"/>
          <w:sz w:val="32"/>
          <w:szCs w:val="32"/>
          <w:lang w:val="en-US" w:eastAsia="zh-CN"/>
        </w:rPr>
        <w:t>1个。公益一类：（1）</w:t>
      </w:r>
      <w:r>
        <w:rPr>
          <w:rFonts w:hint="eastAsia" w:ascii="仿宋" w:hAnsi="仿宋" w:eastAsia="仿宋" w:cs="仿宋"/>
          <w:i w:val="0"/>
          <w:caps w:val="0"/>
          <w:color w:val="auto"/>
          <w:spacing w:val="0"/>
          <w:sz w:val="32"/>
          <w:szCs w:val="32"/>
          <w:lang w:eastAsia="zh-CN"/>
        </w:rPr>
        <w:t>畜牧水产事务中心、</w:t>
      </w:r>
      <w:r>
        <w:rPr>
          <w:rFonts w:hint="eastAsia" w:ascii="仿宋" w:hAnsi="仿宋" w:eastAsia="仿宋" w:cs="仿宋"/>
          <w:i w:val="0"/>
          <w:caps w:val="0"/>
          <w:color w:val="auto"/>
          <w:spacing w:val="0"/>
          <w:sz w:val="32"/>
          <w:szCs w:val="32"/>
          <w:lang w:val="en-US" w:eastAsia="zh-CN"/>
        </w:rPr>
        <w:t>（2）</w:t>
      </w:r>
      <w:r>
        <w:rPr>
          <w:rFonts w:hint="eastAsia" w:ascii="仿宋" w:hAnsi="仿宋" w:eastAsia="仿宋" w:cs="仿宋"/>
          <w:i w:val="0"/>
          <w:caps w:val="0"/>
          <w:color w:val="auto"/>
          <w:spacing w:val="0"/>
          <w:sz w:val="32"/>
          <w:szCs w:val="32"/>
          <w:lang w:eastAsia="zh-CN"/>
        </w:rPr>
        <w:t>农机事务中心、</w:t>
      </w:r>
      <w:r>
        <w:rPr>
          <w:rFonts w:hint="eastAsia" w:ascii="仿宋" w:hAnsi="仿宋" w:eastAsia="仿宋" w:cs="仿宋"/>
          <w:i w:val="0"/>
          <w:caps w:val="0"/>
          <w:color w:val="auto"/>
          <w:spacing w:val="0"/>
          <w:sz w:val="32"/>
          <w:szCs w:val="32"/>
          <w:lang w:val="en-US" w:eastAsia="zh-CN"/>
        </w:rPr>
        <w:t>（3）</w:t>
      </w:r>
      <w:r>
        <w:rPr>
          <w:rFonts w:hint="eastAsia" w:ascii="仿宋" w:hAnsi="仿宋" w:eastAsia="仿宋" w:cs="仿宋"/>
          <w:i w:val="0"/>
          <w:caps w:val="0"/>
          <w:color w:val="auto"/>
          <w:spacing w:val="0"/>
          <w:sz w:val="32"/>
          <w:szCs w:val="32"/>
          <w:lang w:eastAsia="zh-CN"/>
        </w:rPr>
        <w:t>农业综合服务中心、</w:t>
      </w:r>
      <w:r>
        <w:rPr>
          <w:rFonts w:hint="eastAsia" w:ascii="仿宋" w:hAnsi="仿宋" w:eastAsia="仿宋" w:cs="仿宋"/>
          <w:i w:val="0"/>
          <w:caps w:val="0"/>
          <w:color w:val="auto"/>
          <w:spacing w:val="0"/>
          <w:sz w:val="32"/>
          <w:szCs w:val="32"/>
          <w:lang w:val="en-US" w:eastAsia="zh-CN"/>
        </w:rPr>
        <w:t>（4）</w:t>
      </w:r>
      <w:r>
        <w:rPr>
          <w:rFonts w:hint="eastAsia" w:ascii="仿宋" w:hAnsi="仿宋" w:eastAsia="仿宋" w:cs="仿宋"/>
          <w:i w:val="0"/>
          <w:caps w:val="0"/>
          <w:color w:val="auto"/>
          <w:spacing w:val="0"/>
          <w:sz w:val="32"/>
          <w:szCs w:val="32"/>
          <w:lang w:eastAsia="zh-CN"/>
        </w:rPr>
        <w:t>农业技术推广中心、</w:t>
      </w:r>
      <w:r>
        <w:rPr>
          <w:rFonts w:hint="eastAsia" w:ascii="仿宋" w:hAnsi="仿宋" w:eastAsia="仿宋" w:cs="仿宋"/>
          <w:i w:val="0"/>
          <w:caps w:val="0"/>
          <w:color w:val="auto"/>
          <w:spacing w:val="0"/>
          <w:sz w:val="32"/>
          <w:szCs w:val="32"/>
          <w:lang w:val="en-US" w:eastAsia="zh-CN"/>
        </w:rPr>
        <w:t>（5）</w:t>
      </w:r>
      <w:r>
        <w:rPr>
          <w:rFonts w:hint="eastAsia" w:ascii="仿宋" w:hAnsi="仿宋" w:eastAsia="仿宋" w:cs="仿宋"/>
          <w:i w:val="0"/>
          <w:caps w:val="0"/>
          <w:color w:val="auto"/>
          <w:spacing w:val="0"/>
          <w:sz w:val="32"/>
          <w:szCs w:val="32"/>
          <w:lang w:eastAsia="zh-CN"/>
        </w:rPr>
        <w:t>湖南省农业广播电视学校炎陵县分校、</w:t>
      </w:r>
      <w:r>
        <w:rPr>
          <w:rFonts w:hint="eastAsia" w:ascii="仿宋" w:hAnsi="仿宋" w:eastAsia="仿宋" w:cs="仿宋"/>
          <w:i w:val="0"/>
          <w:caps w:val="0"/>
          <w:color w:val="auto"/>
          <w:spacing w:val="0"/>
          <w:sz w:val="32"/>
          <w:szCs w:val="32"/>
          <w:lang w:val="en-US" w:eastAsia="zh-CN"/>
        </w:rPr>
        <w:t>（6）</w:t>
      </w:r>
      <w:r>
        <w:rPr>
          <w:rFonts w:hint="eastAsia" w:ascii="仿宋" w:hAnsi="仿宋" w:eastAsia="仿宋" w:cs="仿宋"/>
          <w:i w:val="0"/>
          <w:caps w:val="0"/>
          <w:color w:val="auto"/>
          <w:spacing w:val="0"/>
          <w:sz w:val="32"/>
          <w:szCs w:val="32"/>
          <w:lang w:eastAsia="zh-CN"/>
        </w:rPr>
        <w:t>农产品质量安全检测中心、</w:t>
      </w:r>
      <w:r>
        <w:rPr>
          <w:rFonts w:hint="eastAsia" w:ascii="仿宋" w:hAnsi="仿宋" w:eastAsia="仿宋" w:cs="仿宋"/>
          <w:i w:val="0"/>
          <w:caps w:val="0"/>
          <w:color w:val="auto"/>
          <w:spacing w:val="0"/>
          <w:sz w:val="32"/>
          <w:szCs w:val="32"/>
          <w:lang w:val="en-US" w:eastAsia="zh-CN"/>
        </w:rPr>
        <w:t>（7）炎陵黄桃产业发展中心、（8）</w:t>
      </w:r>
      <w:r>
        <w:rPr>
          <w:rFonts w:hint="eastAsia" w:ascii="仿宋" w:hAnsi="仿宋" w:eastAsia="仿宋" w:cs="仿宋"/>
          <w:i w:val="0"/>
          <w:caps w:val="0"/>
          <w:color w:val="auto"/>
          <w:spacing w:val="0"/>
          <w:sz w:val="32"/>
          <w:szCs w:val="32"/>
          <w:lang w:eastAsia="zh-CN"/>
        </w:rPr>
        <w:t>炎陵县农业综合行政执法大队。公益二类：农业技术服务中心。</w:t>
      </w:r>
    </w:p>
    <w:p>
      <w:pPr>
        <w:snapToGrid w:val="0"/>
        <w:spacing w:line="520" w:lineRule="exact"/>
        <w:ind w:firstLine="640" w:firstLineChars="200"/>
        <w:rPr>
          <w:rFonts w:hint="eastAsia" w:ascii="仿宋_GB2312" w:eastAsia="仿宋_GB2312" w:cs="仿宋_GB2312"/>
          <w:sz w:val="32"/>
          <w:szCs w:val="32"/>
          <w:lang w:eastAsia="zh-CN" w:bidi="ar-SA"/>
        </w:rPr>
      </w:pPr>
      <w:r>
        <w:rPr>
          <w:rFonts w:hint="eastAsia" w:ascii="仿宋_GB2312" w:hAnsi="仿宋" w:eastAsia="仿宋_GB2312"/>
          <w:sz w:val="32"/>
          <w:szCs w:val="32"/>
        </w:rPr>
        <w:t>3．人员情况</w:t>
      </w:r>
      <w:r>
        <w:rPr>
          <w:rFonts w:hint="eastAsia" w:ascii="仿宋_GB2312" w:hAnsi="仿宋" w:eastAsia="仿宋_GB2312"/>
          <w:sz w:val="32"/>
          <w:szCs w:val="32"/>
          <w:lang w:eastAsia="zh-CN"/>
        </w:rPr>
        <w:t>。</w:t>
      </w:r>
      <w:r>
        <w:rPr>
          <w:rFonts w:hint="eastAsia" w:ascii="仿宋_GB2312" w:eastAsia="仿宋_GB2312" w:cs="仿宋_GB2312"/>
          <w:sz w:val="32"/>
          <w:szCs w:val="32"/>
          <w:lang w:bidi="ar-SA"/>
        </w:rPr>
        <w:t>截止201</w:t>
      </w:r>
      <w:r>
        <w:rPr>
          <w:rFonts w:hint="eastAsia" w:ascii="仿宋_GB2312" w:eastAsia="仿宋_GB2312" w:cs="仿宋_GB2312"/>
          <w:sz w:val="32"/>
          <w:szCs w:val="32"/>
          <w:lang w:val="en-US" w:eastAsia="zh-CN" w:bidi="ar-SA"/>
        </w:rPr>
        <w:t>9</w:t>
      </w:r>
      <w:r>
        <w:rPr>
          <w:rFonts w:hint="eastAsia" w:ascii="仿宋_GB2312" w:eastAsia="仿宋_GB2312" w:cs="仿宋_GB2312"/>
          <w:sz w:val="32"/>
          <w:szCs w:val="32"/>
          <w:lang w:bidi="ar-SA"/>
        </w:rPr>
        <w:t>年12月底，人员编制</w:t>
      </w:r>
      <w:r>
        <w:rPr>
          <w:rFonts w:hint="eastAsia" w:ascii="仿宋_GB2312" w:eastAsia="仿宋_GB2312" w:cs="仿宋_GB2312"/>
          <w:sz w:val="32"/>
          <w:szCs w:val="32"/>
          <w:lang w:val="en-US" w:eastAsia="zh-CN" w:bidi="ar-SA"/>
        </w:rPr>
        <w:t>144</w:t>
      </w:r>
      <w:r>
        <w:rPr>
          <w:rFonts w:hint="eastAsia" w:ascii="仿宋_GB2312" w:eastAsia="仿宋_GB2312" w:cs="仿宋_GB2312"/>
          <w:sz w:val="32"/>
          <w:szCs w:val="32"/>
          <w:lang w:bidi="ar-SA"/>
        </w:rPr>
        <w:t>人（行政编10人、机关后勤编2人、全额事业编</w:t>
      </w:r>
      <w:r>
        <w:rPr>
          <w:rFonts w:hint="eastAsia" w:ascii="仿宋_GB2312" w:eastAsia="仿宋_GB2312" w:cs="仿宋_GB2312"/>
          <w:sz w:val="32"/>
          <w:szCs w:val="32"/>
          <w:lang w:val="en-US" w:eastAsia="zh-CN" w:bidi="ar-SA"/>
        </w:rPr>
        <w:t>132</w:t>
      </w:r>
      <w:r>
        <w:rPr>
          <w:rFonts w:hint="eastAsia" w:ascii="仿宋_GB2312" w:eastAsia="仿宋_GB2312" w:cs="仿宋_GB2312"/>
          <w:sz w:val="32"/>
          <w:szCs w:val="32"/>
          <w:lang w:bidi="ar-SA"/>
        </w:rPr>
        <w:t>人)，年末实有</w:t>
      </w:r>
      <w:r>
        <w:rPr>
          <w:rFonts w:hint="eastAsia" w:ascii="仿宋_GB2312" w:eastAsia="仿宋_GB2312" w:cs="仿宋_GB2312"/>
          <w:sz w:val="32"/>
          <w:szCs w:val="32"/>
          <w:lang w:val="en-US" w:eastAsia="zh-CN" w:bidi="ar-SA"/>
        </w:rPr>
        <w:t>266人，其中</w:t>
      </w:r>
      <w:r>
        <w:rPr>
          <w:rFonts w:hint="eastAsia" w:ascii="仿宋_GB2312" w:eastAsia="仿宋_GB2312" w:cs="仿宋_GB2312"/>
          <w:sz w:val="32"/>
          <w:szCs w:val="32"/>
          <w:lang w:bidi="ar-SA"/>
        </w:rPr>
        <w:t>在职人员</w:t>
      </w:r>
      <w:r>
        <w:rPr>
          <w:rFonts w:hint="eastAsia" w:ascii="仿宋_GB2312" w:eastAsia="仿宋_GB2312" w:cs="仿宋_GB2312"/>
          <w:sz w:val="32"/>
          <w:szCs w:val="32"/>
          <w:lang w:val="en-US" w:eastAsia="zh-CN" w:bidi="ar-SA"/>
        </w:rPr>
        <w:t>143</w:t>
      </w:r>
      <w:r>
        <w:rPr>
          <w:rFonts w:hint="eastAsia" w:ascii="仿宋_GB2312" w:eastAsia="仿宋_GB2312" w:cs="仿宋_GB2312"/>
          <w:sz w:val="32"/>
          <w:szCs w:val="32"/>
          <w:lang w:bidi="ar-SA"/>
        </w:rPr>
        <w:t>人，</w:t>
      </w:r>
      <w:r>
        <w:rPr>
          <w:rFonts w:hint="eastAsia" w:ascii="仿宋_GB2312" w:eastAsia="仿宋_GB2312" w:cs="仿宋_GB2312"/>
          <w:sz w:val="32"/>
          <w:szCs w:val="32"/>
          <w:lang w:eastAsia="zh-CN" w:bidi="ar-SA"/>
        </w:rPr>
        <w:t>离休</w:t>
      </w:r>
      <w:r>
        <w:rPr>
          <w:rFonts w:hint="eastAsia" w:ascii="仿宋_GB2312" w:eastAsia="仿宋_GB2312" w:cs="仿宋_GB2312"/>
          <w:sz w:val="32"/>
          <w:szCs w:val="32"/>
          <w:lang w:val="en-US" w:eastAsia="zh-CN" w:bidi="ar-SA"/>
        </w:rPr>
        <w:t>1人，</w:t>
      </w:r>
      <w:r>
        <w:rPr>
          <w:rFonts w:hint="eastAsia" w:ascii="仿宋_GB2312" w:eastAsia="仿宋_GB2312" w:cs="仿宋_GB2312"/>
          <w:sz w:val="32"/>
          <w:szCs w:val="32"/>
          <w:lang w:bidi="ar-SA"/>
        </w:rPr>
        <w:t>退休</w:t>
      </w:r>
      <w:r>
        <w:rPr>
          <w:rFonts w:hint="eastAsia" w:ascii="仿宋_GB2312" w:eastAsia="仿宋_GB2312" w:cs="仿宋_GB2312"/>
          <w:sz w:val="32"/>
          <w:szCs w:val="32"/>
          <w:lang w:val="en-US" w:eastAsia="zh-CN" w:bidi="ar-SA"/>
        </w:rPr>
        <w:t>122</w:t>
      </w:r>
      <w:r>
        <w:rPr>
          <w:rFonts w:hint="eastAsia" w:ascii="仿宋_GB2312" w:eastAsia="仿宋_GB2312" w:cs="仿宋_GB2312"/>
          <w:sz w:val="32"/>
          <w:szCs w:val="32"/>
          <w:lang w:bidi="ar-SA"/>
        </w:rPr>
        <w:t>人。</w:t>
      </w:r>
    </w:p>
    <w:p>
      <w:pPr>
        <w:ind w:firstLine="800" w:firstLineChars="250"/>
        <w:rPr>
          <w:rFonts w:eastAsia="仿宋_GB2312"/>
          <w:sz w:val="32"/>
          <w:szCs w:val="32"/>
        </w:rPr>
      </w:pPr>
      <w:r>
        <w:rPr>
          <w:rFonts w:eastAsia="仿宋_GB2312"/>
          <w:sz w:val="32"/>
          <w:szCs w:val="32"/>
        </w:rPr>
        <w:t>（二）项目基本情况简介。</w:t>
      </w:r>
    </w:p>
    <w:p>
      <w:pPr>
        <w:ind w:firstLine="800" w:firstLineChars="250"/>
        <w:rPr>
          <w:rFonts w:hint="eastAsia" w:ascii="仿宋_GB2312" w:hAnsi="黑体" w:eastAsia="仿宋_GB2312"/>
          <w:sz w:val="32"/>
          <w:szCs w:val="32"/>
        </w:rPr>
      </w:pPr>
      <w:r>
        <w:rPr>
          <w:rFonts w:hint="eastAsia" w:ascii="仿宋_GB2312" w:hAnsi="黑体" w:eastAsia="仿宋_GB2312"/>
          <w:sz w:val="32"/>
          <w:szCs w:val="32"/>
        </w:rPr>
        <w:t>为了深入贯彻落实全国和湖南省非洲猪瘟防控工作部署，《湖南省非洲猪瘟防控应急指挥部办公室关于进一步加强生猪及生猪产品调运监管的紧急通知》精神，严把生猪及肉类制品调运关，在辖区内的两个省际交界处设立了两个非洲猪瘟省际边境检查站，每个站点成立联合执法组实行24小时值守，通过加强对过往车辆的执法检查及消毒工作，有效防止非洲猪瘟通过公路运输传入扩散蔓延。</w:t>
      </w:r>
    </w:p>
    <w:p>
      <w:pPr>
        <w:adjustRightInd w:val="0"/>
        <w:snapToGrid w:val="0"/>
        <w:spacing w:line="560" w:lineRule="exact"/>
        <w:ind w:firstLine="640" w:firstLineChars="200"/>
        <w:outlineLvl w:val="0"/>
        <w:rPr>
          <w:rFonts w:eastAsia="黑体"/>
          <w:sz w:val="32"/>
          <w:szCs w:val="32"/>
        </w:rPr>
      </w:pPr>
      <w:r>
        <w:rPr>
          <w:rFonts w:eastAsia="黑体"/>
          <w:sz w:val="32"/>
          <w:szCs w:val="32"/>
        </w:rPr>
        <w:t>二、项目资金使用及管理情况</w:t>
      </w:r>
    </w:p>
    <w:p>
      <w:pPr>
        <w:ind w:firstLine="800" w:firstLineChars="250"/>
        <w:rPr>
          <w:rFonts w:eastAsia="仿宋_GB2312"/>
          <w:sz w:val="32"/>
          <w:szCs w:val="32"/>
        </w:rPr>
      </w:pPr>
      <w:r>
        <w:rPr>
          <w:rFonts w:eastAsia="仿宋_GB2312"/>
          <w:sz w:val="32"/>
          <w:szCs w:val="32"/>
        </w:rPr>
        <w:t>（一）项目资金安排落实、总投入等情况分析。</w:t>
      </w:r>
      <w:r>
        <w:rPr>
          <w:rFonts w:hint="eastAsia" w:ascii="仿宋" w:hAnsi="仿宋" w:eastAsia="仿宋" w:cs="仿宋_GB2312"/>
          <w:sz w:val="32"/>
          <w:szCs w:val="32"/>
          <w:lang w:val="en-US" w:eastAsia="zh-CN"/>
        </w:rPr>
        <w:t>2019年县财政预算安排农业农村局解决非洲猪瘟防控经费40万元，实际执行预算支出32.58万元,结余资金7.42万元。</w:t>
      </w:r>
    </w:p>
    <w:p>
      <w:pPr>
        <w:numPr>
          <w:ilvl w:val="0"/>
          <w:numId w:val="1"/>
        </w:numPr>
        <w:ind w:firstLine="800" w:firstLineChars="250"/>
        <w:rPr>
          <w:rFonts w:hint="eastAsia" w:ascii="仿宋_GB2312" w:hAnsi="黑体" w:eastAsia="仿宋_GB2312"/>
          <w:sz w:val="32"/>
          <w:szCs w:val="32"/>
        </w:rPr>
      </w:pPr>
      <w:r>
        <w:rPr>
          <w:rFonts w:eastAsia="仿宋_GB2312"/>
          <w:sz w:val="32"/>
          <w:szCs w:val="32"/>
        </w:rPr>
        <w:t>项目资金实际使用情况分析。</w:t>
      </w:r>
      <w:r>
        <w:rPr>
          <w:rFonts w:hint="eastAsia" w:ascii="仿宋_GB2312" w:hAnsi="黑体" w:eastAsia="仿宋_GB2312"/>
          <w:sz w:val="32"/>
          <w:szCs w:val="32"/>
        </w:rPr>
        <w:t>按</w:t>
      </w:r>
      <w:r>
        <w:rPr>
          <w:rFonts w:hint="eastAsia" w:ascii="仿宋_GB2312" w:hAnsi="黑体" w:eastAsia="仿宋_GB2312"/>
          <w:sz w:val="32"/>
          <w:szCs w:val="32"/>
          <w:lang w:eastAsia="zh-CN"/>
        </w:rPr>
        <w:t>专项</w:t>
      </w:r>
      <w:r>
        <w:rPr>
          <w:rFonts w:hint="eastAsia" w:ascii="仿宋_GB2312" w:hAnsi="黑体" w:eastAsia="仿宋_GB2312"/>
          <w:sz w:val="32"/>
          <w:szCs w:val="32"/>
        </w:rPr>
        <w:t>资金</w:t>
      </w:r>
      <w:r>
        <w:rPr>
          <w:rFonts w:hint="eastAsia" w:ascii="仿宋_GB2312" w:hAnsi="黑体" w:eastAsia="仿宋_GB2312"/>
          <w:sz w:val="32"/>
          <w:szCs w:val="32"/>
          <w:lang w:eastAsia="zh-CN"/>
        </w:rPr>
        <w:t>管理</w:t>
      </w:r>
      <w:r>
        <w:rPr>
          <w:rFonts w:hint="eastAsia" w:ascii="仿宋_GB2312" w:hAnsi="黑体" w:eastAsia="仿宋_GB2312"/>
          <w:sz w:val="32"/>
          <w:szCs w:val="32"/>
        </w:rPr>
        <w:t>要求，由农业农村局实行专项资金统一管理，统一安排，专款专用</w:t>
      </w:r>
      <w:r>
        <w:rPr>
          <w:rFonts w:hint="eastAsia" w:ascii="仿宋_GB2312" w:hAnsi="黑体" w:eastAsia="仿宋_GB2312"/>
          <w:sz w:val="32"/>
          <w:szCs w:val="32"/>
          <w:lang w:eastAsia="zh-CN"/>
        </w:rPr>
        <w:t>，本年度执行预算支出</w:t>
      </w:r>
      <w:r>
        <w:rPr>
          <w:rFonts w:hint="eastAsia" w:ascii="仿宋_GB2312" w:hAnsi="黑体" w:eastAsia="仿宋_GB2312"/>
          <w:sz w:val="32"/>
          <w:szCs w:val="32"/>
          <w:lang w:val="en-US" w:eastAsia="zh-CN"/>
        </w:rPr>
        <w:t>32.58万元</w:t>
      </w:r>
      <w:r>
        <w:rPr>
          <w:rFonts w:hint="eastAsia" w:ascii="仿宋_GB2312" w:hAnsi="黑体" w:eastAsia="仿宋_GB2312"/>
          <w:sz w:val="32"/>
          <w:szCs w:val="32"/>
        </w:rPr>
        <w:t>。资金主要用于乡镇政府、农业农村、畜牧水产、林业、交通、交警等部门值班人员非洲猪瘟防控临时性工作补助、值班人员餐费和防疫物资采购（消毒设备、消毒药物和个人防护用品）等费用支出。</w:t>
      </w:r>
    </w:p>
    <w:p>
      <w:pPr>
        <w:numPr>
          <w:ilvl w:val="0"/>
          <w:numId w:val="1"/>
        </w:numPr>
        <w:adjustRightInd w:val="0"/>
        <w:snapToGrid w:val="0"/>
        <w:spacing w:line="560" w:lineRule="exact"/>
        <w:ind w:left="0" w:leftChars="0" w:firstLine="800" w:firstLineChars="250"/>
        <w:rPr>
          <w:rFonts w:hint="eastAsia" w:ascii="仿宋_GB2312" w:hAnsi="黑体" w:eastAsia="仿宋_GB2312"/>
          <w:sz w:val="32"/>
          <w:szCs w:val="32"/>
        </w:rPr>
      </w:pPr>
      <w:r>
        <w:rPr>
          <w:rFonts w:eastAsia="仿宋_GB2312"/>
          <w:sz w:val="32"/>
          <w:szCs w:val="32"/>
        </w:rPr>
        <w:t>项目资金管理情况分析。</w:t>
      </w:r>
      <w:r>
        <w:rPr>
          <w:rFonts w:hint="eastAsia" w:eastAsia="仿宋_GB2312"/>
          <w:sz w:val="32"/>
          <w:szCs w:val="32"/>
          <w:lang w:eastAsia="zh-CN"/>
        </w:rPr>
        <w:t>按照县财政年初预算安排的专项工作经费制定了专项资金使用方案及工作实施方案，对工作中产生的相关费用严格按年初预算和资金使用方案执行。</w:t>
      </w:r>
    </w:p>
    <w:p>
      <w:pPr>
        <w:ind w:firstLine="640" w:firstLineChars="200"/>
        <w:rPr>
          <w:rFonts w:ascii="仿宋" w:hAnsi="仿宋" w:eastAsia="仿宋" w:cs="仿宋"/>
          <w:sz w:val="32"/>
          <w:szCs w:val="32"/>
        </w:rPr>
      </w:pPr>
      <w:r>
        <w:rPr>
          <w:rFonts w:eastAsia="黑体"/>
          <w:sz w:val="32"/>
          <w:szCs w:val="32"/>
        </w:rPr>
        <w:t>三、项目组织实施情况</w:t>
      </w:r>
    </w:p>
    <w:p>
      <w:pPr>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eastAsia="zh-CN"/>
        </w:rPr>
        <w:t>成立了</w:t>
      </w:r>
      <w:r>
        <w:rPr>
          <w:rFonts w:hint="eastAsia" w:ascii="仿宋_GB2312" w:hAnsi="黑体" w:eastAsia="仿宋_GB2312"/>
          <w:sz w:val="32"/>
          <w:szCs w:val="32"/>
        </w:rPr>
        <w:t>炎陵县重大动物疫病防治指挥部</w:t>
      </w:r>
      <w:r>
        <w:rPr>
          <w:rFonts w:hint="eastAsia" w:ascii="仿宋_GB2312" w:hAnsi="黑体" w:eastAsia="仿宋_GB2312"/>
          <w:sz w:val="32"/>
          <w:szCs w:val="32"/>
          <w:lang w:eastAsia="zh-CN"/>
        </w:rPr>
        <w:t>，制定了方案，成立工作领导小组，联合</w:t>
      </w:r>
      <w:r>
        <w:rPr>
          <w:rFonts w:hint="eastAsia" w:ascii="仿宋_GB2312" w:hAnsi="黑体" w:eastAsia="仿宋_GB2312"/>
          <w:sz w:val="32"/>
          <w:szCs w:val="32"/>
        </w:rPr>
        <w:t>乡镇政府、林业、交通、交警等部门</w:t>
      </w:r>
      <w:r>
        <w:rPr>
          <w:rFonts w:hint="eastAsia" w:ascii="仿宋_GB2312" w:hAnsi="黑体" w:eastAsia="仿宋_GB2312"/>
          <w:sz w:val="32"/>
          <w:szCs w:val="32"/>
          <w:lang w:eastAsia="zh-CN"/>
        </w:rPr>
        <w:t>安排人员在各站卡</w:t>
      </w:r>
      <w:r>
        <w:rPr>
          <w:rFonts w:hint="eastAsia" w:ascii="仿宋_GB2312" w:hAnsi="黑体" w:eastAsia="仿宋_GB2312"/>
          <w:sz w:val="32"/>
          <w:szCs w:val="32"/>
        </w:rPr>
        <w:t>值班</w:t>
      </w:r>
      <w:r>
        <w:rPr>
          <w:rFonts w:hint="eastAsia" w:ascii="仿宋_GB2312" w:hAnsi="黑体" w:eastAsia="仿宋_GB2312"/>
          <w:sz w:val="32"/>
          <w:szCs w:val="32"/>
          <w:lang w:eastAsia="zh-CN"/>
        </w:rPr>
        <w:t>，做好</w:t>
      </w:r>
      <w:r>
        <w:rPr>
          <w:rFonts w:hint="eastAsia" w:ascii="仿宋_GB2312" w:hAnsi="黑体" w:eastAsia="仿宋_GB2312"/>
          <w:sz w:val="32"/>
          <w:szCs w:val="32"/>
        </w:rPr>
        <w:t>非洲猪瘟防控</w:t>
      </w:r>
      <w:r>
        <w:rPr>
          <w:rFonts w:hint="eastAsia" w:ascii="仿宋_GB2312" w:hAnsi="黑体" w:eastAsia="仿宋_GB2312"/>
          <w:sz w:val="32"/>
          <w:szCs w:val="32"/>
          <w:lang w:eastAsia="zh-CN"/>
        </w:rPr>
        <w:t>疫情防控工作，</w:t>
      </w:r>
      <w:r>
        <w:rPr>
          <w:rFonts w:hint="eastAsia" w:ascii="仿宋_GB2312" w:hAnsi="黑体" w:eastAsia="仿宋_GB2312"/>
          <w:sz w:val="32"/>
          <w:szCs w:val="32"/>
        </w:rPr>
        <w:t>努力确保了我县无区域性非洲猪瘟等重大动物疫病发生与流行。</w:t>
      </w:r>
    </w:p>
    <w:p>
      <w:pPr>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炎陵县从乡镇政府、农业农村、畜牧水产、林业、交通、交警等部门组成临时联合办值班，分别在下村乡边境检查站、沔渡镇边境检查站设立了非洲猪瘟防控临时检查点，形成各部门联动，切实加强生猪及其产品的调运监管工作，有效降低非洲猪瘟疫情跨区域传播风险。</w:t>
      </w:r>
    </w:p>
    <w:p>
      <w:pPr>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2、储备消毒药品、喷雾消毒器、防护服、防护眼罩、防护口罩、防护鞋、尸体处理袋等防疫物资。。</w:t>
      </w:r>
    </w:p>
    <w:p>
      <w:pPr>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3、全县检查站点共查运输生猪及生猪产品的车辆1.3万辆，消毒车辆0.6万辆，检查运输生猪及生猪产品运输车辆，均未发现有违规调运生猪及生猪产品现象。</w:t>
      </w:r>
    </w:p>
    <w:p>
      <w:pPr>
        <w:numPr>
          <w:ilvl w:val="0"/>
          <w:numId w:val="0"/>
        </w:numPr>
        <w:spacing w:line="600" w:lineRule="exact"/>
        <w:ind w:firstLine="640" w:firstLineChars="200"/>
        <w:rPr>
          <w:rFonts w:hint="eastAsia" w:ascii="仿宋_GB2312" w:hAnsi="黑体" w:eastAsia="仿宋_GB2312"/>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、项目绩效情况</w:t>
      </w:r>
    </w:p>
    <w:p>
      <w:pPr>
        <w:spacing w:line="600" w:lineRule="exact"/>
        <w:ind w:firstLine="800" w:firstLineChars="250"/>
        <w:rPr>
          <w:rFonts w:ascii="仿宋_GB2312" w:hAnsi="黑体" w:eastAsia="仿宋_GB2312"/>
          <w:sz w:val="32"/>
          <w:szCs w:val="32"/>
        </w:rPr>
      </w:pPr>
      <w:bookmarkStart w:id="0" w:name="_Toc2579"/>
      <w:r>
        <w:rPr>
          <w:rFonts w:hint="eastAsia" w:ascii="仿宋_GB2312" w:eastAsia="仿宋_GB2312" w:cs="仿宋_GB2312"/>
          <w:sz w:val="32"/>
          <w:szCs w:val="32"/>
        </w:rPr>
        <w:t>1、经济效益：通过</w:t>
      </w:r>
      <w:r>
        <w:rPr>
          <w:rFonts w:hint="eastAsia" w:ascii="仿宋_GB2312" w:hAnsi="黑体" w:eastAsia="仿宋_GB2312"/>
          <w:sz w:val="32"/>
          <w:szCs w:val="32"/>
        </w:rPr>
        <w:t>非洲猪瘟防控工作实施，确保了我县无区域性非洲猪瘟等重大动物疫病发生与流行，为养猪户每出栏一头生猪平均增收2000元（均重250斤出栏、价格20元</w:t>
      </w:r>
      <w:r>
        <w:rPr>
          <w:rFonts w:ascii="仿宋_GB2312" w:eastAsia="仿宋_GB2312" w:cs="仿宋_GB2312"/>
          <w:sz w:val="32"/>
          <w:szCs w:val="32"/>
        </w:rPr>
        <w:t>/</w:t>
      </w:r>
      <w:r>
        <w:rPr>
          <w:rFonts w:hint="eastAsia" w:ascii="仿宋_GB2312" w:hAnsi="黑体" w:eastAsia="仿宋_GB2312"/>
          <w:sz w:val="32"/>
          <w:szCs w:val="32"/>
        </w:rPr>
        <w:t>斤、仔猪价格1600元</w:t>
      </w:r>
      <w:r>
        <w:rPr>
          <w:rFonts w:ascii="仿宋_GB2312" w:eastAsia="仿宋_GB2312" w:cs="仿宋_GB2312"/>
          <w:sz w:val="32"/>
          <w:szCs w:val="32"/>
        </w:rPr>
        <w:t>/</w:t>
      </w:r>
      <w:r>
        <w:rPr>
          <w:rFonts w:hint="eastAsia" w:ascii="仿宋_GB2312" w:eastAsia="仿宋_GB2312" w:cs="仿宋_GB2312"/>
          <w:sz w:val="32"/>
          <w:szCs w:val="32"/>
        </w:rPr>
        <w:t>头、饲料和管理成本1400元</w:t>
      </w:r>
      <w:r>
        <w:rPr>
          <w:rFonts w:ascii="仿宋_GB2312" w:eastAsia="仿宋_GB2312" w:cs="仿宋_GB2312"/>
          <w:sz w:val="32"/>
          <w:szCs w:val="32"/>
        </w:rPr>
        <w:t>/</w:t>
      </w:r>
      <w:r>
        <w:rPr>
          <w:rFonts w:hint="eastAsia" w:ascii="仿宋_GB2312" w:eastAsia="仿宋_GB2312" w:cs="仿宋_GB2312"/>
          <w:sz w:val="32"/>
          <w:szCs w:val="32"/>
        </w:rPr>
        <w:t>头</w:t>
      </w:r>
      <w:r>
        <w:rPr>
          <w:rFonts w:hint="eastAsia" w:ascii="仿宋_GB2312" w:hAnsi="黑体" w:eastAsia="仿宋_GB2312"/>
          <w:sz w:val="32"/>
          <w:szCs w:val="32"/>
        </w:rPr>
        <w:t>）</w:t>
      </w:r>
      <w:r>
        <w:rPr>
          <w:rFonts w:hint="eastAsia" w:ascii="仿宋_GB2312" w:eastAsia="仿宋_GB2312" w:cs="仿宋_GB2312"/>
          <w:sz w:val="32"/>
          <w:szCs w:val="32"/>
        </w:rPr>
        <w:t>，综合为全县养猪户增收8000万元以上。</w:t>
      </w:r>
      <w:bookmarkEnd w:id="0"/>
    </w:p>
    <w:p>
      <w:pPr>
        <w:shd w:val="clear" w:color="auto" w:fill="FFFFFF"/>
        <w:adjustRightInd w:val="0"/>
        <w:snapToGrid w:val="0"/>
        <w:spacing w:line="579" w:lineRule="atLeast"/>
        <w:ind w:firstLine="640" w:firstLineChars="200"/>
        <w:outlineLvl w:val="1"/>
        <w:rPr>
          <w:rFonts w:ascii="仿宋_GB2312" w:eastAsia="仿宋_GB2312" w:cs="仿宋_GB2312"/>
          <w:sz w:val="32"/>
          <w:szCs w:val="32"/>
        </w:rPr>
      </w:pPr>
      <w:bookmarkStart w:id="1" w:name="_Toc29594"/>
      <w:r>
        <w:rPr>
          <w:rFonts w:hint="eastAsia" w:ascii="仿宋_GB2312" w:eastAsia="仿宋_GB2312" w:cs="仿宋_GB2312"/>
          <w:sz w:val="32"/>
          <w:szCs w:val="32"/>
        </w:rPr>
        <w:t>2、社会效益：保障了炎陵县生猪养殖的稳产保供要求，同时，有效地推动炎陵县生猪养殖产业标准化建设进程，提高产业化经营水平，进一步提升了炎陵县重大动物疫病防控工作水平，促进和带动了炎陵县生猪产业发展步伐。促进县域农业增效、农民增收。</w:t>
      </w:r>
      <w:bookmarkEnd w:id="1"/>
    </w:p>
    <w:p>
      <w:pPr>
        <w:shd w:val="clear" w:color="auto" w:fill="FFFFFF"/>
        <w:adjustRightInd w:val="0"/>
        <w:snapToGrid w:val="0"/>
        <w:spacing w:line="579" w:lineRule="atLeast"/>
        <w:ind w:firstLine="640" w:firstLineChars="200"/>
        <w:outlineLvl w:val="1"/>
        <w:rPr>
          <w:rFonts w:ascii="仿宋_GB2312" w:eastAsia="仿宋_GB2312" w:cs="仿宋_GB2312"/>
          <w:sz w:val="32"/>
          <w:szCs w:val="32"/>
        </w:rPr>
      </w:pPr>
      <w:bookmarkStart w:id="2" w:name="_Toc27502"/>
      <w:r>
        <w:rPr>
          <w:rFonts w:hint="eastAsia" w:ascii="仿宋_GB2312" w:eastAsia="仿宋_GB2312" w:cs="仿宋_GB2312"/>
          <w:sz w:val="32"/>
          <w:szCs w:val="32"/>
        </w:rPr>
        <w:t>3、生态效益：项目属于炎陵县非洲猪瘟防控工作，在实施过程中严格管理投消毒药品的使用，及时回收使用过程中消毒药品的包装物及其他污染物，由当地垃圾回收单位统一回收，做无害化处理，没有造成外部环境面源污染。</w:t>
      </w:r>
      <w:bookmarkEnd w:id="2"/>
    </w:p>
    <w:p>
      <w:pPr>
        <w:ind w:firstLine="640" w:firstLineChars="200"/>
        <w:rPr>
          <w:rFonts w:hint="eastAsia" w:ascii="仿宋" w:hAnsi="仿宋" w:eastAsia="仿宋" w:cs="仿宋"/>
          <w:sz w:val="32"/>
          <w:szCs w:val="32"/>
        </w:rPr>
      </w:pPr>
      <w:r>
        <w:rPr>
          <w:rFonts w:eastAsia="黑体"/>
          <w:sz w:val="32"/>
          <w:szCs w:val="32"/>
        </w:rPr>
        <w:t>五、其他需要说明的问题</w:t>
      </w:r>
    </w:p>
    <w:p>
      <w:pPr>
        <w:adjustRightInd w:val="0"/>
        <w:snapToGrid w:val="0"/>
        <w:spacing w:line="560" w:lineRule="exact"/>
        <w:ind w:firstLine="640" w:firstLineChars="200"/>
        <w:jc w:val="both"/>
        <w:rPr>
          <w:rFonts w:hint="eastAsia" w:ascii="仿宋" w:hAnsi="仿宋" w:eastAsia="仿宋" w:cs="仿宋"/>
          <w:sz w:val="32"/>
          <w:szCs w:val="32"/>
        </w:rPr>
      </w:pPr>
      <w:r>
        <w:rPr>
          <w:rFonts w:eastAsia="仿宋_GB2312"/>
          <w:sz w:val="32"/>
          <w:szCs w:val="32"/>
        </w:rPr>
        <w:t>（一）后续工作计划。</w:t>
      </w:r>
    </w:p>
    <w:p>
      <w:pPr>
        <w:spacing w:line="600" w:lineRule="exact"/>
        <w:ind w:firstLine="800" w:firstLineChars="250"/>
        <w:outlineLvl w:val="0"/>
        <w:rPr>
          <w:rFonts w:hint="eastAsia" w:ascii="仿宋_GB2312" w:hAnsi="黑体" w:eastAsia="仿宋_GB2312"/>
          <w:sz w:val="32"/>
          <w:szCs w:val="32"/>
        </w:rPr>
      </w:pPr>
      <w:r>
        <w:rPr>
          <w:rFonts w:hint="eastAsia" w:ascii="仿宋_GB2312" w:eastAsia="仿宋_GB2312" w:cs="仿宋_GB2312"/>
          <w:sz w:val="32"/>
          <w:szCs w:val="32"/>
        </w:rPr>
        <w:t>1、</w:t>
      </w:r>
      <w:r>
        <w:rPr>
          <w:rFonts w:hint="eastAsia" w:ascii="仿宋_GB2312" w:hAnsi="黑体" w:eastAsia="仿宋_GB2312"/>
          <w:sz w:val="32"/>
          <w:szCs w:val="32"/>
        </w:rPr>
        <w:t>加强生猪及其产品的调运监管工作，有效降低非洲猪瘟疫情跨区域传播风险。</w:t>
      </w:r>
    </w:p>
    <w:p>
      <w:pPr>
        <w:spacing w:line="600" w:lineRule="exact"/>
        <w:ind w:firstLine="800" w:firstLineChars="250"/>
        <w:outlineLvl w:val="0"/>
        <w:rPr>
          <w:rFonts w:hint="eastAsia" w:ascii="仿宋_GB2312" w:hAnsi="黑体" w:eastAsia="仿宋_GB2312"/>
          <w:sz w:val="32"/>
          <w:szCs w:val="32"/>
        </w:rPr>
      </w:pPr>
      <w:r>
        <w:rPr>
          <w:rFonts w:hint="eastAsia" w:ascii="仿宋_GB2312" w:hAnsi="黑体" w:eastAsia="仿宋_GB2312"/>
          <w:sz w:val="32"/>
          <w:szCs w:val="32"/>
        </w:rPr>
        <w:t>2、提高非洲猪瘟检测能力，及时处理疫情隐患风险。</w:t>
      </w:r>
    </w:p>
    <w:p>
      <w:pPr>
        <w:spacing w:line="600" w:lineRule="exact"/>
        <w:ind w:firstLine="800" w:firstLineChars="250"/>
        <w:outlineLvl w:val="0"/>
        <w:rPr>
          <w:rFonts w:ascii="仿宋_GB2312" w:eastAsia="仿宋_GB2312" w:cs="仿宋_GB2312"/>
          <w:sz w:val="32"/>
          <w:szCs w:val="32"/>
        </w:rPr>
      </w:pPr>
    </w:p>
    <w:p>
      <w:pPr>
        <w:tabs>
          <w:tab w:val="left" w:pos="7371"/>
          <w:tab w:val="left" w:pos="7513"/>
        </w:tabs>
        <w:autoSpaceDE w:val="0"/>
        <w:autoSpaceDN w:val="0"/>
        <w:adjustRightInd w:val="0"/>
        <w:spacing w:line="580" w:lineRule="exact"/>
        <w:rPr>
          <w:rFonts w:hint="eastAsia" w:ascii="仿宋_GB2312" w:eastAsia="仿宋_GB2312" w:cs="仿宋_GB2312"/>
          <w:sz w:val="32"/>
          <w:szCs w:val="32"/>
        </w:rPr>
      </w:pPr>
      <w:r>
        <w:rPr>
          <w:rFonts w:hint="eastAsia" w:ascii="仿宋_GB2312" w:eastAsia="仿宋_GB2312" w:cs="仿宋_GB2312"/>
          <w:sz w:val="32"/>
          <w:szCs w:val="32"/>
        </w:rPr>
        <w:t xml:space="preserve">                                  炎陵县农业农村局</w:t>
      </w:r>
    </w:p>
    <w:p>
      <w:pPr>
        <w:tabs>
          <w:tab w:val="left" w:pos="7371"/>
          <w:tab w:val="left" w:pos="7513"/>
        </w:tabs>
        <w:autoSpaceDE w:val="0"/>
        <w:autoSpaceDN w:val="0"/>
        <w:adjustRightInd w:val="0"/>
        <w:spacing w:line="580" w:lineRule="exact"/>
        <w:ind w:firstLine="5760" w:firstLineChars="1800"/>
        <w:rPr>
          <w:rFonts w:hint="eastAsia" w:ascii="仿宋_GB2312" w:eastAsia="仿宋_GB2312" w:cs="仿宋_GB2312"/>
          <w:sz w:val="32"/>
          <w:szCs w:val="32"/>
        </w:rPr>
      </w:pPr>
      <w:r>
        <w:rPr>
          <w:rFonts w:hint="eastAsia" w:ascii="仿宋_GB2312" w:eastAsia="仿宋_GB2312" w:cs="仿宋_GB2312"/>
          <w:sz w:val="32"/>
          <w:szCs w:val="32"/>
        </w:rPr>
        <w:t>2020年</w:t>
      </w:r>
      <w:r>
        <w:rPr>
          <w:rFonts w:hint="eastAsia" w:ascii="仿宋_GB2312" w:eastAsia="仿宋_GB2312" w:cs="仿宋_GB2312"/>
          <w:sz w:val="32"/>
          <w:szCs w:val="32"/>
          <w:lang w:val="en-US" w:eastAsia="zh-CN"/>
        </w:rPr>
        <w:t>9</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20</w:t>
      </w:r>
      <w:r>
        <w:rPr>
          <w:rFonts w:hint="eastAsia" w:ascii="仿宋_GB2312" w:eastAsia="仿宋_GB2312" w:cs="仿宋_GB2312"/>
          <w:sz w:val="32"/>
          <w:szCs w:val="32"/>
        </w:rPr>
        <w:t xml:space="preserve">日 </w:t>
      </w:r>
    </w:p>
    <w:p>
      <w:pPr>
        <w:tabs>
          <w:tab w:val="left" w:pos="7371"/>
          <w:tab w:val="left" w:pos="7513"/>
        </w:tabs>
        <w:autoSpaceDE w:val="0"/>
        <w:autoSpaceDN w:val="0"/>
        <w:adjustRightInd w:val="0"/>
        <w:spacing w:line="580" w:lineRule="exact"/>
        <w:ind w:firstLine="5760" w:firstLineChars="1800"/>
        <w:rPr>
          <w:rFonts w:hint="eastAsia" w:ascii="仿宋_GB2312" w:eastAsia="仿宋_GB2312" w:cs="仿宋_GB2312"/>
          <w:sz w:val="32"/>
          <w:szCs w:val="32"/>
        </w:rPr>
      </w:pPr>
    </w:p>
    <w:p>
      <w:pPr>
        <w:tabs>
          <w:tab w:val="left" w:pos="7371"/>
          <w:tab w:val="left" w:pos="7513"/>
        </w:tabs>
        <w:autoSpaceDE w:val="0"/>
        <w:autoSpaceDN w:val="0"/>
        <w:adjustRightInd w:val="0"/>
        <w:spacing w:line="580" w:lineRule="exact"/>
        <w:ind w:firstLine="5760" w:firstLineChars="1800"/>
        <w:rPr>
          <w:rFonts w:hint="eastAsia" w:ascii="仿宋_GB2312" w:eastAsia="仿宋_GB2312" w:cs="仿宋_GB2312"/>
          <w:sz w:val="32"/>
          <w:szCs w:val="32"/>
        </w:rPr>
      </w:pPr>
    </w:p>
    <w:p>
      <w:pPr>
        <w:tabs>
          <w:tab w:val="left" w:pos="7371"/>
          <w:tab w:val="left" w:pos="7513"/>
        </w:tabs>
        <w:autoSpaceDE w:val="0"/>
        <w:autoSpaceDN w:val="0"/>
        <w:adjustRightInd w:val="0"/>
        <w:spacing w:line="580" w:lineRule="exact"/>
        <w:ind w:firstLine="5760" w:firstLineChars="1800"/>
        <w:rPr>
          <w:rFonts w:hint="eastAsia" w:ascii="仿宋_GB2312" w:eastAsia="仿宋_GB2312" w:cs="仿宋_GB2312"/>
          <w:sz w:val="32"/>
          <w:szCs w:val="32"/>
        </w:rPr>
      </w:pPr>
    </w:p>
    <w:p>
      <w:pPr>
        <w:tabs>
          <w:tab w:val="left" w:pos="7371"/>
          <w:tab w:val="left" w:pos="7513"/>
        </w:tabs>
        <w:autoSpaceDE w:val="0"/>
        <w:autoSpaceDN w:val="0"/>
        <w:adjustRightInd w:val="0"/>
        <w:spacing w:line="580" w:lineRule="exact"/>
        <w:ind w:firstLine="5760" w:firstLineChars="1800"/>
        <w:rPr>
          <w:rFonts w:hint="eastAsia" w:ascii="仿宋_GB2312" w:eastAsia="仿宋_GB2312" w:cs="仿宋_GB2312"/>
          <w:sz w:val="32"/>
          <w:szCs w:val="32"/>
        </w:rPr>
      </w:pPr>
    </w:p>
    <w:p>
      <w:pPr>
        <w:tabs>
          <w:tab w:val="left" w:pos="7371"/>
          <w:tab w:val="left" w:pos="7513"/>
        </w:tabs>
        <w:autoSpaceDE w:val="0"/>
        <w:autoSpaceDN w:val="0"/>
        <w:adjustRightInd w:val="0"/>
        <w:spacing w:line="580" w:lineRule="exact"/>
        <w:ind w:firstLine="5760" w:firstLineChars="1800"/>
        <w:rPr>
          <w:rFonts w:hint="eastAsia" w:ascii="仿宋_GB2312" w:eastAsia="仿宋_GB2312" w:cs="仿宋_GB2312"/>
          <w:sz w:val="32"/>
          <w:szCs w:val="32"/>
        </w:rPr>
      </w:pPr>
    </w:p>
    <w:p>
      <w:pPr>
        <w:tabs>
          <w:tab w:val="left" w:pos="7371"/>
          <w:tab w:val="left" w:pos="7513"/>
        </w:tabs>
        <w:autoSpaceDE w:val="0"/>
        <w:autoSpaceDN w:val="0"/>
        <w:adjustRightInd w:val="0"/>
        <w:spacing w:line="580" w:lineRule="exact"/>
        <w:ind w:firstLine="5760" w:firstLineChars="1800"/>
        <w:rPr>
          <w:rFonts w:hint="eastAsia" w:ascii="仿宋_GB2312" w:eastAsia="仿宋_GB2312" w:cs="仿宋_GB2312"/>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tbl>
      <w:tblPr>
        <w:tblStyle w:val="6"/>
        <w:tblW w:w="9575" w:type="dxa"/>
        <w:tblInd w:w="-346" w:type="dxa"/>
        <w:tblLayout w:type="fixed"/>
        <w:tblCellMar>
          <w:top w:w="0" w:type="dxa"/>
          <w:left w:w="0" w:type="dxa"/>
          <w:bottom w:w="0" w:type="dxa"/>
          <w:right w:w="0" w:type="dxa"/>
        </w:tblCellMar>
      </w:tblPr>
      <w:tblGrid>
        <w:gridCol w:w="852"/>
        <w:gridCol w:w="885"/>
        <w:gridCol w:w="462"/>
        <w:gridCol w:w="750"/>
        <w:gridCol w:w="231"/>
        <w:gridCol w:w="1002"/>
        <w:gridCol w:w="708"/>
        <w:gridCol w:w="992"/>
        <w:gridCol w:w="858"/>
        <w:gridCol w:w="133"/>
        <w:gridCol w:w="567"/>
        <w:gridCol w:w="151"/>
        <w:gridCol w:w="708"/>
        <w:gridCol w:w="522"/>
        <w:gridCol w:w="754"/>
      </w:tblGrid>
      <w:tr>
        <w:tblPrEx>
          <w:tblCellMar>
            <w:top w:w="0" w:type="dxa"/>
            <w:left w:w="0" w:type="dxa"/>
            <w:bottom w:w="0" w:type="dxa"/>
            <w:right w:w="0" w:type="dxa"/>
          </w:tblCellMar>
        </w:tblPrEx>
        <w:trPr>
          <w:trHeight w:val="669" w:hRule="atLeast"/>
        </w:trPr>
        <w:tc>
          <w:tcPr>
            <w:tcW w:w="9575" w:type="dxa"/>
            <w:gridSpan w:val="15"/>
            <w:tcBorders>
              <w:top w:val="nil"/>
              <w:left w:val="nil"/>
              <w:bottom w:val="nil"/>
              <w:right w:val="nil"/>
            </w:tcBorders>
            <w:tcMar>
              <w:top w:w="15" w:type="dxa"/>
              <w:left w:w="15" w:type="dxa"/>
              <w:right w:w="15" w:type="dxa"/>
            </w:tcMar>
          </w:tcPr>
          <w:p>
            <w:pPr>
              <w:adjustRightInd w:val="0"/>
              <w:snapToGrid w:val="0"/>
              <w:spacing w:line="500" w:lineRule="exact"/>
              <w:jc w:val="center"/>
              <w:outlineLvl w:val="0"/>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lang w:eastAsia="zh-CN"/>
              </w:rPr>
              <w:t>预算支出</w:t>
            </w:r>
            <w:r>
              <w:rPr>
                <w:rFonts w:hint="eastAsia" w:ascii="方正小标宋简体" w:hAnsi="方正小标宋简体" w:eastAsia="方正小标宋简体" w:cs="方正小标宋简体"/>
                <w:kern w:val="0"/>
                <w:sz w:val="36"/>
                <w:szCs w:val="36"/>
              </w:rPr>
              <w:t>绩效目标自评表</w:t>
            </w:r>
          </w:p>
        </w:tc>
      </w:tr>
      <w:tr>
        <w:tblPrEx>
          <w:tblCellMar>
            <w:top w:w="0" w:type="dxa"/>
            <w:left w:w="0" w:type="dxa"/>
            <w:bottom w:w="0" w:type="dxa"/>
            <w:right w:w="0" w:type="dxa"/>
          </w:tblCellMar>
        </w:tblPrEx>
        <w:trPr>
          <w:trHeight w:val="260" w:hRule="atLeast"/>
        </w:trPr>
        <w:tc>
          <w:tcPr>
            <w:tcW w:w="9575" w:type="dxa"/>
            <w:gridSpan w:val="15"/>
            <w:tcBorders>
              <w:top w:val="nil"/>
              <w:left w:val="nil"/>
              <w:bottom w:val="nil"/>
              <w:right w:val="nil"/>
            </w:tcBorders>
            <w:tcMar>
              <w:top w:w="15" w:type="dxa"/>
              <w:left w:w="15" w:type="dxa"/>
              <w:right w:w="15" w:type="dxa"/>
            </w:tcMar>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（2019年度）</w:t>
            </w:r>
          </w:p>
        </w:tc>
      </w:tr>
      <w:tr>
        <w:tblPrEx>
          <w:tblCellMar>
            <w:top w:w="0" w:type="dxa"/>
            <w:left w:w="0" w:type="dxa"/>
            <w:bottom w:w="0" w:type="dxa"/>
            <w:right w:w="0" w:type="dxa"/>
          </w:tblCellMar>
        </w:tblPrEx>
        <w:trPr>
          <w:trHeight w:val="408" w:hRule="atLeast"/>
        </w:trPr>
        <w:tc>
          <w:tcPr>
            <w:tcW w:w="219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项目支出名称</w:t>
            </w:r>
          </w:p>
        </w:tc>
        <w:tc>
          <w:tcPr>
            <w:tcW w:w="7376" w:type="dxa"/>
            <w:gridSpan w:val="1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农业农村局解决非洲猪瘟防控经费</w:t>
            </w:r>
          </w:p>
        </w:tc>
      </w:tr>
      <w:tr>
        <w:tblPrEx>
          <w:tblCellMar>
            <w:top w:w="0" w:type="dxa"/>
            <w:left w:w="0" w:type="dxa"/>
            <w:bottom w:w="0" w:type="dxa"/>
            <w:right w:w="0" w:type="dxa"/>
          </w:tblCellMar>
        </w:tblPrEx>
        <w:trPr>
          <w:trHeight w:val="402" w:hRule="atLeast"/>
        </w:trPr>
        <w:tc>
          <w:tcPr>
            <w:tcW w:w="219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主管部门</w:t>
            </w:r>
          </w:p>
        </w:tc>
        <w:tc>
          <w:tcPr>
            <w:tcW w:w="368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炎陵县农业农村局</w:t>
            </w:r>
          </w:p>
        </w:tc>
        <w:tc>
          <w:tcPr>
            <w:tcW w:w="9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实施单位</w:t>
            </w:r>
          </w:p>
        </w:tc>
        <w:tc>
          <w:tcPr>
            <w:tcW w:w="2702"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r>
              <w:rPr>
                <w:rFonts w:hint="eastAsia" w:ascii="华文仿宋" w:hAnsi="华文仿宋" w:eastAsia="华文仿宋" w:cs="华文仿宋"/>
                <w:b w:val="0"/>
                <w:bCs w:val="0"/>
                <w:color w:val="000000"/>
                <w:kern w:val="0"/>
                <w:sz w:val="21"/>
                <w:szCs w:val="21"/>
              </w:rPr>
              <w:t>动物卫生监督所</w:t>
            </w:r>
          </w:p>
        </w:tc>
      </w:tr>
      <w:tr>
        <w:tblPrEx>
          <w:tblCellMar>
            <w:top w:w="0" w:type="dxa"/>
            <w:left w:w="0" w:type="dxa"/>
            <w:bottom w:w="0" w:type="dxa"/>
            <w:right w:w="0" w:type="dxa"/>
          </w:tblCellMar>
        </w:tblPrEx>
        <w:trPr>
          <w:trHeight w:val="382" w:hRule="atLeast"/>
        </w:trPr>
        <w:tc>
          <w:tcPr>
            <w:tcW w:w="2199" w:type="dxa"/>
            <w:gridSpan w:val="3"/>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kern w:val="0"/>
                <w:sz w:val="21"/>
                <w:szCs w:val="21"/>
              </w:rPr>
            </w:pPr>
            <w:r>
              <w:rPr>
                <w:rFonts w:hint="eastAsia" w:ascii="华文仿宋" w:hAnsi="华文仿宋" w:eastAsia="华文仿宋" w:cs="华文仿宋"/>
                <w:kern w:val="0"/>
                <w:sz w:val="21"/>
                <w:szCs w:val="21"/>
              </w:rPr>
              <w:t>项目资金</w:t>
            </w:r>
          </w:p>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（万元）</w:t>
            </w:r>
          </w:p>
        </w:tc>
        <w:tc>
          <w:tcPr>
            <w:tcW w:w="19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p>
        </w:tc>
        <w:tc>
          <w:tcPr>
            <w:tcW w:w="70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年初预算数</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kern w:val="0"/>
                <w:sz w:val="21"/>
                <w:szCs w:val="21"/>
              </w:rPr>
            </w:pPr>
            <w:r>
              <w:rPr>
                <w:rFonts w:hint="eastAsia" w:ascii="华文仿宋" w:hAnsi="华文仿宋" w:eastAsia="华文仿宋" w:cs="华文仿宋"/>
                <w:kern w:val="0"/>
                <w:sz w:val="21"/>
                <w:szCs w:val="21"/>
              </w:rPr>
              <w:t>全年预</w:t>
            </w:r>
          </w:p>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算数</w:t>
            </w:r>
          </w:p>
        </w:tc>
        <w:tc>
          <w:tcPr>
            <w:tcW w:w="9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全年执行数</w:t>
            </w:r>
          </w:p>
        </w:tc>
        <w:tc>
          <w:tcPr>
            <w:tcW w:w="5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分值</w:t>
            </w:r>
          </w:p>
        </w:tc>
        <w:tc>
          <w:tcPr>
            <w:tcW w:w="1381" w:type="dxa"/>
            <w:gridSpan w:val="3"/>
            <w:tcBorders>
              <w:top w:val="single" w:color="000000" w:sz="4" w:space="0"/>
              <w:left w:val="single" w:color="auto" w:sz="4" w:space="0"/>
              <w:bottom w:val="single" w:color="000000" w:sz="4" w:space="0"/>
              <w:right w:val="single" w:color="auto" w:sz="4" w:space="0"/>
            </w:tcBorders>
            <w:vAlign w:val="center"/>
          </w:tcPr>
          <w:p>
            <w:pPr>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执行率</w:t>
            </w:r>
          </w:p>
        </w:tc>
        <w:tc>
          <w:tcPr>
            <w:tcW w:w="754"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得分</w:t>
            </w:r>
          </w:p>
        </w:tc>
      </w:tr>
      <w:tr>
        <w:tblPrEx>
          <w:tblCellMar>
            <w:top w:w="0" w:type="dxa"/>
            <w:left w:w="0" w:type="dxa"/>
            <w:bottom w:w="0" w:type="dxa"/>
            <w:right w:w="0" w:type="dxa"/>
          </w:tblCellMar>
        </w:tblPrEx>
        <w:trPr>
          <w:trHeight w:val="276" w:hRule="atLeast"/>
        </w:trPr>
        <w:tc>
          <w:tcPr>
            <w:tcW w:w="2199" w:type="dxa"/>
            <w:gridSpan w:val="3"/>
            <w:vMerge w:val="continue"/>
            <w:tcBorders>
              <w:left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p>
        </w:tc>
        <w:tc>
          <w:tcPr>
            <w:tcW w:w="19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年度资金总额：</w:t>
            </w:r>
          </w:p>
        </w:tc>
        <w:tc>
          <w:tcPr>
            <w:tcW w:w="70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r>
              <w:rPr>
                <w:rFonts w:hint="eastAsia" w:ascii="华文仿宋" w:hAnsi="华文仿宋" w:eastAsia="华文仿宋" w:cs="华文仿宋"/>
                <w:b w:val="0"/>
                <w:bCs w:val="0"/>
                <w:color w:val="000000"/>
                <w:kern w:val="0"/>
                <w:sz w:val="21"/>
                <w:szCs w:val="21"/>
                <w:lang w:val="en-US" w:eastAsia="zh-CN"/>
              </w:rPr>
              <w:t>40</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ascii="华文仿宋" w:hAnsi="华文仿宋" w:eastAsia="华文仿宋" w:cs="华文仿宋"/>
                <w:sz w:val="21"/>
                <w:szCs w:val="21"/>
                <w:lang w:val="en-US" w:eastAsia="zh-CN"/>
              </w:rPr>
            </w:pPr>
            <w:r>
              <w:rPr>
                <w:rFonts w:hint="eastAsia" w:ascii="华文仿宋" w:hAnsi="华文仿宋" w:eastAsia="华文仿宋" w:cs="华文仿宋"/>
                <w:b w:val="0"/>
                <w:bCs w:val="0"/>
                <w:color w:val="000000"/>
                <w:kern w:val="0"/>
                <w:sz w:val="21"/>
                <w:szCs w:val="21"/>
                <w:lang w:val="en-US" w:eastAsia="zh-CN"/>
              </w:rPr>
              <w:t>40</w:t>
            </w:r>
          </w:p>
        </w:tc>
        <w:tc>
          <w:tcPr>
            <w:tcW w:w="9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ascii="华文仿宋" w:hAnsi="华文仿宋" w:eastAsia="华文仿宋" w:cs="华文仿宋"/>
                <w:sz w:val="21"/>
                <w:szCs w:val="21"/>
                <w:lang w:val="en-US" w:eastAsia="zh-CN"/>
              </w:rPr>
            </w:pPr>
            <w:r>
              <w:rPr>
                <w:rFonts w:hint="eastAsia" w:ascii="华文仿宋" w:hAnsi="华文仿宋" w:eastAsia="华文仿宋" w:cs="华文仿宋"/>
                <w:b w:val="0"/>
                <w:bCs w:val="0"/>
                <w:color w:val="000000"/>
                <w:kern w:val="0"/>
                <w:sz w:val="21"/>
                <w:szCs w:val="21"/>
                <w:lang w:val="en-US" w:eastAsia="zh-CN"/>
              </w:rPr>
              <w:t>32.58</w:t>
            </w:r>
          </w:p>
        </w:tc>
        <w:tc>
          <w:tcPr>
            <w:tcW w:w="5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10</w:t>
            </w:r>
          </w:p>
        </w:tc>
        <w:tc>
          <w:tcPr>
            <w:tcW w:w="1381" w:type="dxa"/>
            <w:gridSpan w:val="3"/>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lang w:val="en-US" w:eastAsia="zh-CN"/>
              </w:rPr>
              <w:t>81.45</w:t>
            </w:r>
            <w:r>
              <w:rPr>
                <w:rFonts w:hint="eastAsia" w:ascii="华文仿宋" w:hAnsi="华文仿宋" w:eastAsia="华文仿宋" w:cs="华文仿宋"/>
                <w:sz w:val="21"/>
                <w:szCs w:val="21"/>
              </w:rPr>
              <w:t>%</w:t>
            </w:r>
          </w:p>
        </w:tc>
        <w:tc>
          <w:tcPr>
            <w:tcW w:w="754"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8.1</w:t>
            </w:r>
          </w:p>
        </w:tc>
      </w:tr>
      <w:tr>
        <w:tblPrEx>
          <w:tblCellMar>
            <w:top w:w="0" w:type="dxa"/>
            <w:left w:w="0" w:type="dxa"/>
            <w:bottom w:w="0" w:type="dxa"/>
            <w:right w:w="0" w:type="dxa"/>
          </w:tblCellMar>
        </w:tblPrEx>
        <w:trPr>
          <w:trHeight w:val="239" w:hRule="atLeast"/>
        </w:trPr>
        <w:tc>
          <w:tcPr>
            <w:tcW w:w="2199" w:type="dxa"/>
            <w:gridSpan w:val="3"/>
            <w:vMerge w:val="continue"/>
            <w:tcBorders>
              <w:left w:val="single" w:color="000000" w:sz="4" w:space="0"/>
              <w:right w:val="single" w:color="000000" w:sz="4" w:space="0"/>
            </w:tcBorders>
            <w:tcMar>
              <w:top w:w="15" w:type="dxa"/>
              <w:left w:w="15" w:type="dxa"/>
              <w:right w:w="15" w:type="dxa"/>
            </w:tcMar>
            <w:vAlign w:val="center"/>
          </w:tcPr>
          <w:p>
            <w:pPr>
              <w:spacing w:line="200" w:lineRule="exact"/>
              <w:rPr>
                <w:rFonts w:hint="eastAsia" w:ascii="华文仿宋" w:hAnsi="华文仿宋" w:eastAsia="华文仿宋" w:cs="华文仿宋"/>
                <w:sz w:val="21"/>
                <w:szCs w:val="21"/>
              </w:rPr>
            </w:pPr>
          </w:p>
        </w:tc>
        <w:tc>
          <w:tcPr>
            <w:tcW w:w="19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其中：</w:t>
            </w:r>
            <w:r>
              <w:rPr>
                <w:rFonts w:hint="eastAsia" w:ascii="华文仿宋" w:hAnsi="华文仿宋" w:eastAsia="华文仿宋" w:cs="华文仿宋"/>
                <w:kern w:val="0"/>
                <w:sz w:val="21"/>
                <w:szCs w:val="21"/>
                <w:lang w:eastAsia="zh-CN"/>
              </w:rPr>
              <w:t>当</w:t>
            </w:r>
            <w:r>
              <w:rPr>
                <w:rFonts w:hint="eastAsia" w:ascii="华文仿宋" w:hAnsi="华文仿宋" w:eastAsia="华文仿宋" w:cs="华文仿宋"/>
                <w:kern w:val="0"/>
                <w:sz w:val="21"/>
                <w:szCs w:val="21"/>
              </w:rPr>
              <w:t>年财政拨款</w:t>
            </w:r>
          </w:p>
        </w:tc>
        <w:tc>
          <w:tcPr>
            <w:tcW w:w="70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lang w:val="en-US" w:eastAsia="zh-CN"/>
              </w:rPr>
            </w:pP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lang w:val="en-US" w:eastAsia="zh-CN"/>
              </w:rPr>
            </w:pPr>
          </w:p>
        </w:tc>
        <w:tc>
          <w:tcPr>
            <w:tcW w:w="9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32.58</w:t>
            </w:r>
          </w:p>
        </w:tc>
        <w:tc>
          <w:tcPr>
            <w:tcW w:w="5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p>
        </w:tc>
        <w:tc>
          <w:tcPr>
            <w:tcW w:w="1381" w:type="dxa"/>
            <w:gridSpan w:val="3"/>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华文仿宋" w:hAnsi="华文仿宋" w:eastAsia="华文仿宋" w:cs="华文仿宋"/>
                <w:sz w:val="21"/>
                <w:szCs w:val="21"/>
              </w:rPr>
            </w:pPr>
          </w:p>
        </w:tc>
        <w:tc>
          <w:tcPr>
            <w:tcW w:w="754"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华文仿宋" w:hAnsi="华文仿宋" w:eastAsia="华文仿宋" w:cs="华文仿宋"/>
                <w:sz w:val="21"/>
                <w:szCs w:val="21"/>
                <w:lang w:val="en-US" w:eastAsia="zh-CN"/>
              </w:rPr>
            </w:pPr>
          </w:p>
        </w:tc>
      </w:tr>
      <w:tr>
        <w:tblPrEx>
          <w:tblCellMar>
            <w:top w:w="0" w:type="dxa"/>
            <w:left w:w="0" w:type="dxa"/>
            <w:bottom w:w="0" w:type="dxa"/>
            <w:right w:w="0" w:type="dxa"/>
          </w:tblCellMar>
        </w:tblPrEx>
        <w:trPr>
          <w:trHeight w:val="232" w:hRule="atLeast"/>
        </w:trPr>
        <w:tc>
          <w:tcPr>
            <w:tcW w:w="2199" w:type="dxa"/>
            <w:gridSpan w:val="3"/>
            <w:vMerge w:val="continue"/>
            <w:tcBorders>
              <w:left w:val="single" w:color="000000" w:sz="4" w:space="0"/>
              <w:right w:val="single" w:color="000000" w:sz="4" w:space="0"/>
            </w:tcBorders>
            <w:tcMar>
              <w:top w:w="15" w:type="dxa"/>
              <w:left w:w="15" w:type="dxa"/>
              <w:right w:w="15" w:type="dxa"/>
            </w:tcMar>
            <w:vAlign w:val="center"/>
          </w:tcPr>
          <w:p>
            <w:pPr>
              <w:spacing w:line="200" w:lineRule="exact"/>
              <w:rPr>
                <w:rFonts w:hint="eastAsia" w:ascii="华文仿宋" w:hAnsi="华文仿宋" w:eastAsia="华文仿宋" w:cs="华文仿宋"/>
                <w:sz w:val="21"/>
                <w:szCs w:val="21"/>
              </w:rPr>
            </w:pPr>
          </w:p>
        </w:tc>
        <w:tc>
          <w:tcPr>
            <w:tcW w:w="19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kern w:val="0"/>
                <w:sz w:val="21"/>
                <w:szCs w:val="21"/>
              </w:rPr>
            </w:pPr>
            <w:r>
              <w:rPr>
                <w:rFonts w:hint="eastAsia" w:ascii="华文仿宋" w:hAnsi="华文仿宋" w:eastAsia="华文仿宋" w:cs="华文仿宋"/>
                <w:kern w:val="0"/>
                <w:sz w:val="21"/>
                <w:szCs w:val="21"/>
              </w:rPr>
              <w:t>上年结转资金</w:t>
            </w:r>
          </w:p>
        </w:tc>
        <w:tc>
          <w:tcPr>
            <w:tcW w:w="70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p>
        </w:tc>
        <w:tc>
          <w:tcPr>
            <w:tcW w:w="9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p>
        </w:tc>
        <w:tc>
          <w:tcPr>
            <w:tcW w:w="5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p>
        </w:tc>
        <w:tc>
          <w:tcPr>
            <w:tcW w:w="1381" w:type="dxa"/>
            <w:gridSpan w:val="3"/>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华文仿宋" w:hAnsi="华文仿宋" w:eastAsia="华文仿宋" w:cs="华文仿宋"/>
                <w:sz w:val="21"/>
                <w:szCs w:val="21"/>
              </w:rPr>
            </w:pPr>
          </w:p>
        </w:tc>
        <w:tc>
          <w:tcPr>
            <w:tcW w:w="754"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华文仿宋" w:hAnsi="华文仿宋" w:eastAsia="华文仿宋" w:cs="华文仿宋"/>
                <w:sz w:val="21"/>
                <w:szCs w:val="21"/>
              </w:rPr>
            </w:pPr>
          </w:p>
        </w:tc>
      </w:tr>
      <w:tr>
        <w:tblPrEx>
          <w:tblCellMar>
            <w:top w:w="0" w:type="dxa"/>
            <w:left w:w="0" w:type="dxa"/>
            <w:bottom w:w="0" w:type="dxa"/>
            <w:right w:w="0" w:type="dxa"/>
          </w:tblCellMar>
        </w:tblPrEx>
        <w:trPr>
          <w:trHeight w:val="266" w:hRule="atLeast"/>
        </w:trPr>
        <w:tc>
          <w:tcPr>
            <w:tcW w:w="2199" w:type="dxa"/>
            <w:gridSpan w:val="3"/>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eastAsia" w:ascii="华文仿宋" w:hAnsi="华文仿宋" w:eastAsia="华文仿宋" w:cs="华文仿宋"/>
                <w:sz w:val="21"/>
                <w:szCs w:val="21"/>
              </w:rPr>
            </w:pPr>
          </w:p>
        </w:tc>
        <w:tc>
          <w:tcPr>
            <w:tcW w:w="19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其他资金</w:t>
            </w:r>
          </w:p>
        </w:tc>
        <w:tc>
          <w:tcPr>
            <w:tcW w:w="70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p>
        </w:tc>
        <w:tc>
          <w:tcPr>
            <w:tcW w:w="9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p>
        </w:tc>
        <w:tc>
          <w:tcPr>
            <w:tcW w:w="5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p>
        </w:tc>
        <w:tc>
          <w:tcPr>
            <w:tcW w:w="1381" w:type="dxa"/>
            <w:gridSpan w:val="3"/>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华文仿宋" w:hAnsi="华文仿宋" w:eastAsia="华文仿宋" w:cs="华文仿宋"/>
                <w:sz w:val="21"/>
                <w:szCs w:val="21"/>
              </w:rPr>
            </w:pPr>
          </w:p>
        </w:tc>
        <w:tc>
          <w:tcPr>
            <w:tcW w:w="754"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华文仿宋" w:hAnsi="华文仿宋" w:eastAsia="华文仿宋" w:cs="华文仿宋"/>
                <w:sz w:val="21"/>
                <w:szCs w:val="21"/>
              </w:rPr>
            </w:pPr>
          </w:p>
        </w:tc>
      </w:tr>
      <w:tr>
        <w:tblPrEx>
          <w:tblCellMar>
            <w:top w:w="0" w:type="dxa"/>
            <w:left w:w="0" w:type="dxa"/>
            <w:bottom w:w="0" w:type="dxa"/>
            <w:right w:w="0" w:type="dxa"/>
          </w:tblCellMar>
        </w:tblPrEx>
        <w:trPr>
          <w:trHeight w:val="372" w:hRule="atLeast"/>
        </w:trPr>
        <w:tc>
          <w:tcPr>
            <w:tcW w:w="8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年度总体目标</w:t>
            </w:r>
          </w:p>
        </w:tc>
        <w:tc>
          <w:tcPr>
            <w:tcW w:w="503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预期目标</w:t>
            </w:r>
          </w:p>
        </w:tc>
        <w:tc>
          <w:tcPr>
            <w:tcW w:w="3693"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实际完成情况</w:t>
            </w:r>
          </w:p>
        </w:tc>
      </w:tr>
      <w:tr>
        <w:tblPrEx>
          <w:tblCellMar>
            <w:top w:w="0" w:type="dxa"/>
            <w:left w:w="0" w:type="dxa"/>
            <w:bottom w:w="0" w:type="dxa"/>
            <w:right w:w="0" w:type="dxa"/>
          </w:tblCellMar>
        </w:tblPrEx>
        <w:trPr>
          <w:trHeight w:val="1159" w:hRule="atLeast"/>
        </w:trPr>
        <w:tc>
          <w:tcPr>
            <w:tcW w:w="8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p>
        </w:tc>
        <w:tc>
          <w:tcPr>
            <w:tcW w:w="503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left"/>
              <w:rPr>
                <w:rFonts w:hint="eastAsia" w:ascii="华文仿宋" w:hAnsi="华文仿宋" w:eastAsia="华文仿宋" w:cs="华文仿宋"/>
                <w:sz w:val="21"/>
                <w:szCs w:val="21"/>
              </w:rPr>
            </w:pPr>
            <w:r>
              <w:rPr>
                <w:rFonts w:hint="eastAsia" w:ascii="华文仿宋" w:hAnsi="华文仿宋" w:eastAsia="华文仿宋" w:cs="华文仿宋"/>
                <w:b w:val="0"/>
                <w:bCs w:val="0"/>
                <w:color w:val="000000"/>
                <w:kern w:val="0"/>
                <w:sz w:val="21"/>
                <w:szCs w:val="21"/>
              </w:rPr>
              <w:t>通过加强对过往车辆的执法检查及消毒工作，有效防止非洲猪瘟通过公路运输传入扩散蔓延。</w:t>
            </w:r>
          </w:p>
        </w:tc>
        <w:tc>
          <w:tcPr>
            <w:tcW w:w="3693"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left"/>
              <w:rPr>
                <w:rFonts w:hint="eastAsia" w:ascii="华文仿宋" w:hAnsi="华文仿宋" w:eastAsia="华文仿宋" w:cs="华文仿宋"/>
                <w:sz w:val="21"/>
                <w:szCs w:val="21"/>
                <w:lang w:eastAsia="zh-CN"/>
              </w:rPr>
            </w:pPr>
            <w:r>
              <w:rPr>
                <w:rFonts w:hint="eastAsia" w:ascii="华文仿宋" w:hAnsi="华文仿宋" w:eastAsia="华文仿宋" w:cs="华文仿宋"/>
                <w:b w:val="0"/>
                <w:bCs w:val="0"/>
                <w:color w:val="000000"/>
                <w:kern w:val="0"/>
                <w:sz w:val="21"/>
                <w:szCs w:val="21"/>
              </w:rPr>
              <w:t>完成全年任务</w:t>
            </w:r>
            <w:r>
              <w:rPr>
                <w:rFonts w:hint="eastAsia" w:ascii="华文仿宋" w:hAnsi="华文仿宋" w:eastAsia="华文仿宋" w:cs="华文仿宋"/>
                <w:b w:val="0"/>
                <w:bCs w:val="0"/>
                <w:color w:val="000000"/>
                <w:kern w:val="0"/>
                <w:sz w:val="21"/>
                <w:szCs w:val="21"/>
                <w:lang w:eastAsia="zh-CN"/>
              </w:rPr>
              <w:t>，</w:t>
            </w:r>
            <w:r>
              <w:rPr>
                <w:rFonts w:hint="eastAsia" w:ascii="华文仿宋" w:hAnsi="华文仿宋" w:eastAsia="华文仿宋" w:cs="华文仿宋"/>
                <w:b w:val="0"/>
                <w:bCs w:val="0"/>
                <w:color w:val="000000"/>
                <w:kern w:val="0"/>
                <w:sz w:val="21"/>
                <w:szCs w:val="21"/>
              </w:rPr>
              <w:t>无害化处理5165头</w:t>
            </w:r>
            <w:r>
              <w:rPr>
                <w:rFonts w:hint="eastAsia" w:ascii="华文仿宋" w:hAnsi="华文仿宋" w:eastAsia="华文仿宋" w:cs="华文仿宋"/>
                <w:b w:val="0"/>
                <w:bCs w:val="0"/>
                <w:color w:val="000000"/>
                <w:kern w:val="0"/>
                <w:sz w:val="21"/>
                <w:szCs w:val="21"/>
                <w:lang w:eastAsia="zh-CN"/>
              </w:rPr>
              <w:t>生猪</w:t>
            </w:r>
          </w:p>
        </w:tc>
      </w:tr>
      <w:tr>
        <w:tblPrEx>
          <w:tblCellMar>
            <w:top w:w="0" w:type="dxa"/>
            <w:left w:w="0" w:type="dxa"/>
            <w:bottom w:w="0" w:type="dxa"/>
            <w:right w:w="0" w:type="dxa"/>
          </w:tblCellMar>
        </w:tblPrEx>
        <w:trPr>
          <w:trHeight w:val="921" w:hRule="atLeast"/>
        </w:trPr>
        <w:tc>
          <w:tcPr>
            <w:tcW w:w="852" w:type="dxa"/>
            <w:vMerge w:val="restart"/>
            <w:tcBorders>
              <w:top w:val="single" w:color="000000" w:sz="4" w:space="0"/>
              <w:left w:val="single" w:color="000000" w:sz="4" w:space="0"/>
              <w:bottom w:val="nil"/>
              <w:right w:val="single" w:color="000000" w:sz="4" w:space="0"/>
            </w:tcBorders>
            <w:tcMar>
              <w:top w:w="15" w:type="dxa"/>
              <w:left w:w="15" w:type="dxa"/>
              <w:right w:w="15" w:type="dxa"/>
            </w:tcMar>
            <w:textDirection w:val="tbRlV"/>
            <w:vAlign w:val="center"/>
          </w:tcPr>
          <w:p>
            <w:pPr>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绩效指标</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一级指标</w:t>
            </w:r>
          </w:p>
        </w:tc>
        <w:tc>
          <w:tcPr>
            <w:tcW w:w="12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二级指标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三级指标</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年度指标值</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实际值</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分值</w:t>
            </w:r>
          </w:p>
        </w:tc>
        <w:tc>
          <w:tcPr>
            <w:tcW w:w="522" w:type="dxa"/>
            <w:tcBorders>
              <w:top w:val="single" w:color="000000" w:sz="4" w:space="0"/>
              <w:left w:val="single" w:color="auto" w:sz="4" w:space="0"/>
              <w:bottom w:val="single" w:color="000000" w:sz="4" w:space="0"/>
              <w:right w:val="single" w:color="auto" w:sz="4" w:space="0"/>
            </w:tcBorders>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得分</w:t>
            </w:r>
          </w:p>
        </w:tc>
        <w:tc>
          <w:tcPr>
            <w:tcW w:w="754"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lang w:eastAsia="zh-CN"/>
              </w:rPr>
              <w:t>偏差</w:t>
            </w:r>
            <w:r>
              <w:rPr>
                <w:rFonts w:hint="eastAsia" w:ascii="华文仿宋" w:hAnsi="华文仿宋" w:eastAsia="华文仿宋" w:cs="华文仿宋"/>
                <w:kern w:val="0"/>
                <w:sz w:val="21"/>
                <w:szCs w:val="21"/>
              </w:rPr>
              <w:t>原因及改进措施</w:t>
            </w:r>
          </w:p>
        </w:tc>
      </w:tr>
      <w:tr>
        <w:tblPrEx>
          <w:tblCellMar>
            <w:top w:w="0" w:type="dxa"/>
            <w:left w:w="0" w:type="dxa"/>
            <w:bottom w:w="0" w:type="dxa"/>
            <w:right w:w="0" w:type="dxa"/>
          </w:tblCellMar>
        </w:tblPrEx>
        <w:trPr>
          <w:trHeight w:val="470"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textAlignment w:val="center"/>
              <w:rPr>
                <w:rFonts w:hint="eastAsia" w:ascii="华文仿宋" w:hAnsi="华文仿宋" w:eastAsia="华文仿宋" w:cs="华文仿宋"/>
                <w:sz w:val="21"/>
                <w:szCs w:val="21"/>
              </w:rPr>
            </w:pPr>
          </w:p>
        </w:tc>
        <w:tc>
          <w:tcPr>
            <w:tcW w:w="88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产出指标（50分）</w:t>
            </w: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数量指标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hint="eastAsia" w:ascii="华文仿宋" w:hAnsi="华文仿宋" w:eastAsia="华文仿宋" w:cs="华文仿宋"/>
                <w:sz w:val="21"/>
                <w:szCs w:val="21"/>
              </w:rPr>
            </w:pPr>
            <w:r>
              <w:rPr>
                <w:rFonts w:hint="eastAsia" w:ascii="仿宋_GB2312" w:hAnsi="仿宋_GB2312" w:eastAsia="仿宋_GB2312" w:cs="仿宋_GB2312"/>
                <w:color w:val="000000"/>
                <w:kern w:val="0"/>
                <w:sz w:val="18"/>
                <w:szCs w:val="18"/>
              </w:rPr>
              <w:t>对过往车辆的执法检查及消毒工</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hint="eastAsia" w:ascii="华文仿宋" w:hAnsi="华文仿宋" w:eastAsia="华文仿宋" w:cs="华文仿宋"/>
                <w:sz w:val="21"/>
                <w:szCs w:val="21"/>
              </w:rPr>
            </w:pPr>
            <w:r>
              <w:rPr>
                <w:rFonts w:hint="eastAsia" w:ascii="仿宋_GB2312" w:hAnsi="宋体" w:eastAsia="仿宋_GB2312" w:cs="宋体"/>
                <w:color w:val="000000"/>
                <w:kern w:val="0"/>
                <w:szCs w:val="21"/>
              </w:rPr>
              <w:t>100%</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hint="eastAsia" w:ascii="华文仿宋" w:hAnsi="华文仿宋" w:eastAsia="华文仿宋" w:cs="华文仿宋"/>
                <w:sz w:val="21"/>
                <w:szCs w:val="21"/>
              </w:rPr>
            </w:pPr>
            <w:r>
              <w:rPr>
                <w:rFonts w:hint="eastAsia" w:ascii="仿宋_GB2312" w:hAnsi="宋体" w:eastAsia="仿宋_GB2312" w:cs="宋体"/>
                <w:color w:val="000000"/>
                <w:kern w:val="0"/>
                <w:szCs w:val="21"/>
              </w:rPr>
              <w:t>100%</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40" w:lineRule="exact"/>
              <w:jc w:val="center"/>
              <w:rPr>
                <w:rFonts w:hint="eastAsia" w:ascii="华文仿宋" w:hAnsi="华文仿宋" w:eastAsia="华文仿宋" w:cs="华文仿宋"/>
                <w:sz w:val="21"/>
                <w:szCs w:val="21"/>
                <w:lang w:val="en-US"/>
              </w:rPr>
            </w:pPr>
            <w:r>
              <w:rPr>
                <w:rFonts w:hint="eastAsia" w:ascii="仿宋_GB2312" w:hAnsi="宋体" w:eastAsia="仿宋_GB2312" w:cs="宋体"/>
                <w:color w:val="000000"/>
                <w:kern w:val="0"/>
                <w:szCs w:val="21"/>
                <w:lang w:val="en-US" w:eastAsia="zh-CN"/>
              </w:rPr>
              <w:t>15</w:t>
            </w:r>
          </w:p>
        </w:tc>
        <w:tc>
          <w:tcPr>
            <w:tcW w:w="522"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center"/>
              <w:rPr>
                <w:rFonts w:hint="eastAsia" w:ascii="华文仿宋" w:hAnsi="华文仿宋" w:eastAsia="华文仿宋" w:cs="华文仿宋"/>
                <w:sz w:val="21"/>
                <w:szCs w:val="21"/>
                <w:lang w:val="en-US"/>
              </w:rPr>
            </w:pPr>
            <w:r>
              <w:rPr>
                <w:rFonts w:hint="eastAsia" w:ascii="仿宋_GB2312" w:hAnsi="宋体" w:eastAsia="仿宋_GB2312" w:cs="宋体"/>
                <w:color w:val="000000"/>
                <w:kern w:val="0"/>
                <w:szCs w:val="21"/>
                <w:lang w:val="en-US" w:eastAsia="zh-CN"/>
              </w:rPr>
              <w:t>15</w:t>
            </w:r>
          </w:p>
        </w:tc>
        <w:tc>
          <w:tcPr>
            <w:tcW w:w="754"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华文仿宋" w:hAnsi="华文仿宋" w:eastAsia="华文仿宋" w:cs="华文仿宋"/>
                <w:sz w:val="21"/>
                <w:szCs w:val="21"/>
              </w:rPr>
            </w:pPr>
          </w:p>
        </w:tc>
      </w:tr>
      <w:tr>
        <w:tblPrEx>
          <w:tblCellMar>
            <w:top w:w="0" w:type="dxa"/>
            <w:left w:w="0" w:type="dxa"/>
            <w:bottom w:w="0" w:type="dxa"/>
            <w:right w:w="0" w:type="dxa"/>
          </w:tblCellMar>
        </w:tblPrEx>
        <w:trPr>
          <w:trHeight w:val="382"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textAlignment w:val="center"/>
              <w:rPr>
                <w:rFonts w:hint="eastAsia" w:ascii="华文仿宋" w:hAnsi="华文仿宋" w:eastAsia="华文仿宋" w:cs="华文仿宋"/>
                <w:sz w:val="21"/>
                <w:szCs w:val="21"/>
              </w:rPr>
            </w:pPr>
          </w:p>
        </w:tc>
        <w:tc>
          <w:tcPr>
            <w:tcW w:w="885" w:type="dxa"/>
            <w:vMerge w:val="continue"/>
            <w:tcBorders>
              <w:left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质量指标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hint="eastAsia" w:ascii="华文仿宋" w:hAnsi="华文仿宋" w:eastAsia="华文仿宋" w:cs="华文仿宋"/>
                <w:sz w:val="21"/>
                <w:szCs w:val="21"/>
              </w:rPr>
            </w:pPr>
            <w:r>
              <w:rPr>
                <w:rFonts w:hint="eastAsia" w:ascii="仿宋_GB2312" w:hAnsi="宋体" w:eastAsia="仿宋_GB2312" w:cs="宋体"/>
                <w:color w:val="000000"/>
                <w:kern w:val="0"/>
                <w:szCs w:val="21"/>
              </w:rPr>
              <w:t>对生猪及其产品的调运监管和疫情监测堵截。</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hint="eastAsia" w:ascii="华文仿宋" w:hAnsi="华文仿宋" w:eastAsia="华文仿宋" w:cs="华文仿宋"/>
                <w:sz w:val="21"/>
                <w:szCs w:val="21"/>
              </w:rPr>
            </w:pPr>
            <w:r>
              <w:rPr>
                <w:rFonts w:hint="eastAsia" w:ascii="仿宋_GB2312" w:hAnsi="宋体" w:eastAsia="仿宋_GB2312" w:cs="宋体"/>
                <w:color w:val="000000"/>
                <w:kern w:val="0"/>
                <w:szCs w:val="21"/>
              </w:rPr>
              <w:t>100%</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hint="eastAsia" w:ascii="华文仿宋" w:hAnsi="华文仿宋" w:eastAsia="华文仿宋" w:cs="华文仿宋"/>
                <w:sz w:val="21"/>
                <w:szCs w:val="21"/>
              </w:rPr>
            </w:pPr>
            <w:r>
              <w:rPr>
                <w:rFonts w:hint="eastAsia" w:ascii="仿宋_GB2312" w:hAnsi="宋体" w:eastAsia="仿宋_GB2312" w:cs="宋体"/>
                <w:color w:val="000000"/>
                <w:kern w:val="0"/>
                <w:szCs w:val="21"/>
              </w:rPr>
              <w:t>100%</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40" w:lineRule="exact"/>
              <w:jc w:val="center"/>
              <w:rPr>
                <w:rFonts w:hint="eastAsia" w:ascii="华文仿宋" w:hAnsi="华文仿宋" w:eastAsia="华文仿宋" w:cs="华文仿宋"/>
                <w:sz w:val="21"/>
                <w:szCs w:val="21"/>
                <w:lang w:val="en-US" w:eastAsia="zh-CN"/>
              </w:rPr>
            </w:pPr>
            <w:r>
              <w:rPr>
                <w:rFonts w:hint="eastAsia" w:ascii="仿宋_GB2312" w:hAnsi="宋体" w:eastAsia="仿宋_GB2312" w:cs="宋体"/>
                <w:color w:val="000000"/>
                <w:kern w:val="0"/>
                <w:szCs w:val="21"/>
                <w:lang w:val="en-US" w:eastAsia="zh-CN"/>
              </w:rPr>
              <w:t>15</w:t>
            </w:r>
          </w:p>
        </w:tc>
        <w:tc>
          <w:tcPr>
            <w:tcW w:w="522"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center"/>
              <w:rPr>
                <w:rFonts w:hint="eastAsia" w:ascii="华文仿宋" w:hAnsi="华文仿宋" w:eastAsia="华文仿宋" w:cs="华文仿宋"/>
                <w:sz w:val="21"/>
                <w:szCs w:val="21"/>
                <w:lang w:val="en-US"/>
              </w:rPr>
            </w:pPr>
            <w:r>
              <w:rPr>
                <w:rFonts w:hint="eastAsia" w:ascii="仿宋_GB2312" w:hAnsi="宋体" w:eastAsia="仿宋_GB2312" w:cs="宋体"/>
                <w:color w:val="000000"/>
                <w:kern w:val="0"/>
                <w:szCs w:val="21"/>
                <w:lang w:val="en-US" w:eastAsia="zh-CN"/>
              </w:rPr>
              <w:t>15</w:t>
            </w:r>
          </w:p>
        </w:tc>
        <w:tc>
          <w:tcPr>
            <w:tcW w:w="754"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华文仿宋" w:hAnsi="华文仿宋" w:eastAsia="华文仿宋" w:cs="华文仿宋"/>
                <w:sz w:val="21"/>
                <w:szCs w:val="21"/>
              </w:rPr>
            </w:pPr>
          </w:p>
        </w:tc>
      </w:tr>
      <w:tr>
        <w:tblPrEx>
          <w:tblCellMar>
            <w:top w:w="0" w:type="dxa"/>
            <w:left w:w="0" w:type="dxa"/>
            <w:bottom w:w="0" w:type="dxa"/>
            <w:right w:w="0" w:type="dxa"/>
          </w:tblCellMar>
        </w:tblPrEx>
        <w:trPr>
          <w:trHeight w:val="365"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textAlignment w:val="center"/>
              <w:rPr>
                <w:rFonts w:hint="eastAsia" w:ascii="华文仿宋" w:hAnsi="华文仿宋" w:eastAsia="华文仿宋" w:cs="华文仿宋"/>
                <w:sz w:val="21"/>
                <w:szCs w:val="21"/>
              </w:rPr>
            </w:pPr>
          </w:p>
        </w:tc>
        <w:tc>
          <w:tcPr>
            <w:tcW w:w="885" w:type="dxa"/>
            <w:vMerge w:val="continue"/>
            <w:tcBorders>
              <w:left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时效指标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hint="eastAsia" w:ascii="华文仿宋" w:hAnsi="华文仿宋" w:eastAsia="华文仿宋" w:cs="华文仿宋"/>
                <w:sz w:val="21"/>
                <w:szCs w:val="21"/>
              </w:rPr>
            </w:pPr>
            <w:r>
              <w:rPr>
                <w:rFonts w:hint="eastAsia" w:ascii="仿宋_GB2312" w:hAnsi="宋体" w:eastAsia="仿宋_GB2312" w:cs="宋体"/>
                <w:color w:val="000000"/>
                <w:kern w:val="0"/>
                <w:szCs w:val="21"/>
              </w:rPr>
              <w:t>全天24小时值班制：</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hint="eastAsia" w:ascii="华文仿宋" w:hAnsi="华文仿宋" w:eastAsia="华文仿宋" w:cs="华文仿宋"/>
                <w:sz w:val="21"/>
                <w:szCs w:val="21"/>
              </w:rPr>
            </w:pPr>
            <w:r>
              <w:rPr>
                <w:rFonts w:hint="eastAsia" w:ascii="仿宋_GB2312" w:hAnsi="宋体" w:eastAsia="仿宋_GB2312" w:cs="宋体"/>
                <w:color w:val="000000"/>
                <w:kern w:val="0"/>
                <w:szCs w:val="21"/>
              </w:rPr>
              <w:t>100%</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hint="eastAsia" w:ascii="华文仿宋" w:hAnsi="华文仿宋" w:eastAsia="华文仿宋" w:cs="华文仿宋"/>
                <w:sz w:val="21"/>
                <w:szCs w:val="21"/>
              </w:rPr>
            </w:pPr>
            <w:r>
              <w:rPr>
                <w:rFonts w:hint="eastAsia" w:ascii="仿宋_GB2312" w:hAnsi="宋体" w:eastAsia="仿宋_GB2312" w:cs="宋体"/>
                <w:color w:val="000000"/>
                <w:kern w:val="0"/>
                <w:szCs w:val="21"/>
              </w:rPr>
              <w:t>100%</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40" w:lineRule="exact"/>
              <w:jc w:val="center"/>
              <w:rPr>
                <w:rFonts w:hint="eastAsia" w:ascii="华文仿宋" w:hAnsi="华文仿宋" w:eastAsia="华文仿宋" w:cs="华文仿宋"/>
                <w:sz w:val="21"/>
                <w:szCs w:val="21"/>
              </w:rPr>
            </w:pPr>
            <w:r>
              <w:rPr>
                <w:rFonts w:hint="eastAsia" w:ascii="仿宋_GB2312" w:hAnsi="宋体" w:eastAsia="仿宋_GB2312" w:cs="宋体"/>
                <w:color w:val="000000"/>
                <w:kern w:val="0"/>
                <w:szCs w:val="21"/>
                <w:lang w:val="en-US" w:eastAsia="zh-CN"/>
              </w:rPr>
              <w:t>10</w:t>
            </w:r>
          </w:p>
        </w:tc>
        <w:tc>
          <w:tcPr>
            <w:tcW w:w="522"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center"/>
              <w:rPr>
                <w:rFonts w:hint="eastAsia" w:ascii="华文仿宋" w:hAnsi="华文仿宋" w:eastAsia="华文仿宋" w:cs="华文仿宋"/>
                <w:sz w:val="21"/>
                <w:szCs w:val="21"/>
              </w:rPr>
            </w:pPr>
            <w:r>
              <w:rPr>
                <w:rFonts w:hint="eastAsia" w:ascii="仿宋_GB2312" w:hAnsi="宋体" w:eastAsia="仿宋_GB2312" w:cs="宋体"/>
                <w:color w:val="000000"/>
                <w:kern w:val="0"/>
                <w:szCs w:val="21"/>
                <w:lang w:val="en-US" w:eastAsia="zh-CN"/>
              </w:rPr>
              <w:t>10</w:t>
            </w:r>
          </w:p>
        </w:tc>
        <w:tc>
          <w:tcPr>
            <w:tcW w:w="754"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华文仿宋" w:hAnsi="华文仿宋" w:eastAsia="华文仿宋" w:cs="华文仿宋"/>
                <w:sz w:val="21"/>
                <w:szCs w:val="21"/>
              </w:rPr>
            </w:pPr>
          </w:p>
        </w:tc>
      </w:tr>
      <w:tr>
        <w:tblPrEx>
          <w:tblCellMar>
            <w:top w:w="0" w:type="dxa"/>
            <w:left w:w="0" w:type="dxa"/>
            <w:bottom w:w="0" w:type="dxa"/>
            <w:right w:w="0" w:type="dxa"/>
          </w:tblCellMar>
        </w:tblPrEx>
        <w:trPr>
          <w:trHeight w:val="599"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textAlignment w:val="center"/>
              <w:rPr>
                <w:rFonts w:hint="eastAsia" w:ascii="华文仿宋" w:hAnsi="华文仿宋" w:eastAsia="华文仿宋" w:cs="华文仿宋"/>
                <w:sz w:val="21"/>
                <w:szCs w:val="21"/>
              </w:rPr>
            </w:pPr>
          </w:p>
        </w:tc>
        <w:tc>
          <w:tcPr>
            <w:tcW w:w="885" w:type="dxa"/>
            <w:vMerge w:val="continue"/>
            <w:tcBorders>
              <w:left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p>
        </w:tc>
        <w:tc>
          <w:tcPr>
            <w:tcW w:w="1212" w:type="dxa"/>
            <w:gridSpan w:val="2"/>
            <w:tcBorders>
              <w:top w:val="single" w:color="000000" w:sz="4" w:space="0"/>
              <w:left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成本指标</w:t>
            </w:r>
          </w:p>
        </w:tc>
        <w:tc>
          <w:tcPr>
            <w:tcW w:w="2933" w:type="dxa"/>
            <w:gridSpan w:val="4"/>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40" w:lineRule="exact"/>
              <w:jc w:val="center"/>
              <w:rPr>
                <w:rFonts w:hint="eastAsia" w:ascii="华文仿宋" w:hAnsi="华文仿宋" w:eastAsia="华文仿宋" w:cs="华文仿宋"/>
                <w:sz w:val="21"/>
                <w:szCs w:val="21"/>
              </w:rPr>
            </w:pPr>
            <w:r>
              <w:rPr>
                <w:rFonts w:hint="eastAsia" w:ascii="仿宋_GB2312" w:hAnsi="宋体" w:eastAsia="仿宋_GB2312" w:cs="宋体"/>
                <w:color w:val="000000"/>
                <w:kern w:val="0"/>
                <w:szCs w:val="21"/>
                <w:lang w:eastAsia="zh-CN"/>
              </w:rPr>
              <w:t>防控各项费用支出</w:t>
            </w:r>
          </w:p>
        </w:tc>
        <w:tc>
          <w:tcPr>
            <w:tcW w:w="858"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40" w:lineRule="exact"/>
              <w:jc w:val="center"/>
              <w:rPr>
                <w:rFonts w:hint="eastAsia" w:ascii="华文仿宋" w:hAnsi="华文仿宋" w:eastAsia="华文仿宋" w:cs="华文仿宋"/>
                <w:sz w:val="21"/>
                <w:szCs w:val="21"/>
              </w:rPr>
            </w:pPr>
            <w:r>
              <w:rPr>
                <w:rFonts w:hint="eastAsia" w:ascii="仿宋_GB2312" w:hAnsi="宋体" w:eastAsia="仿宋_GB2312" w:cs="宋体"/>
                <w:color w:val="000000"/>
                <w:kern w:val="0"/>
                <w:szCs w:val="21"/>
                <w:lang w:val="en-US" w:eastAsia="zh-CN"/>
              </w:rPr>
              <w:t>40万元</w:t>
            </w:r>
          </w:p>
        </w:tc>
        <w:tc>
          <w:tcPr>
            <w:tcW w:w="851" w:type="dxa"/>
            <w:gridSpan w:val="3"/>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40" w:lineRule="exact"/>
              <w:jc w:val="center"/>
              <w:rPr>
                <w:rFonts w:hint="eastAsia" w:ascii="华文仿宋" w:hAnsi="华文仿宋" w:eastAsia="华文仿宋" w:cs="华文仿宋"/>
                <w:sz w:val="21"/>
                <w:szCs w:val="21"/>
              </w:rPr>
            </w:pPr>
            <w:r>
              <w:rPr>
                <w:rFonts w:hint="eastAsia" w:ascii="仿宋_GB2312" w:hAnsi="宋体" w:eastAsia="仿宋_GB2312" w:cs="宋体"/>
                <w:color w:val="000000"/>
                <w:kern w:val="0"/>
                <w:szCs w:val="21"/>
                <w:lang w:val="en-US" w:eastAsia="zh-CN"/>
              </w:rPr>
              <w:t>32.58万元</w:t>
            </w:r>
          </w:p>
        </w:tc>
        <w:tc>
          <w:tcPr>
            <w:tcW w:w="708" w:type="dxa"/>
            <w:tcBorders>
              <w:top w:val="single" w:color="000000" w:sz="4" w:space="0"/>
              <w:left w:val="single" w:color="000000" w:sz="4" w:space="0"/>
              <w:right w:val="single" w:color="auto" w:sz="4" w:space="0"/>
            </w:tcBorders>
            <w:tcMar>
              <w:top w:w="15" w:type="dxa"/>
              <w:left w:w="15" w:type="dxa"/>
              <w:right w:w="15" w:type="dxa"/>
            </w:tcMar>
            <w:vAlign w:val="center"/>
          </w:tcPr>
          <w:p>
            <w:pPr>
              <w:widowControl/>
              <w:spacing w:line="240" w:lineRule="exact"/>
              <w:jc w:val="center"/>
              <w:rPr>
                <w:rFonts w:hint="eastAsia" w:ascii="华文仿宋" w:hAnsi="华文仿宋" w:eastAsia="华文仿宋" w:cs="华文仿宋"/>
                <w:sz w:val="21"/>
                <w:szCs w:val="21"/>
              </w:rPr>
            </w:pPr>
            <w:r>
              <w:rPr>
                <w:rFonts w:hint="eastAsia" w:ascii="仿宋_GB2312" w:hAnsi="宋体" w:eastAsia="仿宋_GB2312" w:cs="宋体"/>
                <w:color w:val="000000"/>
                <w:kern w:val="0"/>
                <w:szCs w:val="21"/>
                <w:lang w:val="en-US" w:eastAsia="zh-CN"/>
              </w:rPr>
              <w:t>10</w:t>
            </w:r>
          </w:p>
        </w:tc>
        <w:tc>
          <w:tcPr>
            <w:tcW w:w="522" w:type="dxa"/>
            <w:tcBorders>
              <w:top w:val="single" w:color="000000" w:sz="4" w:space="0"/>
              <w:left w:val="single" w:color="auto" w:sz="4" w:space="0"/>
              <w:right w:val="single" w:color="auto" w:sz="4" w:space="0"/>
            </w:tcBorders>
            <w:vAlign w:val="center"/>
          </w:tcPr>
          <w:p>
            <w:pPr>
              <w:widowControl/>
              <w:spacing w:line="240" w:lineRule="exact"/>
              <w:jc w:val="center"/>
              <w:rPr>
                <w:rFonts w:hint="default" w:ascii="华文仿宋" w:hAnsi="华文仿宋" w:eastAsia="华文仿宋" w:cs="华文仿宋"/>
                <w:sz w:val="21"/>
                <w:szCs w:val="21"/>
                <w:lang w:val="en-US"/>
              </w:rPr>
            </w:pPr>
            <w:r>
              <w:rPr>
                <w:rFonts w:hint="eastAsia" w:ascii="仿宋_GB2312" w:hAnsi="宋体" w:eastAsia="仿宋_GB2312" w:cs="宋体"/>
                <w:color w:val="000000"/>
                <w:kern w:val="0"/>
                <w:szCs w:val="21"/>
                <w:lang w:val="en-US" w:eastAsia="zh-CN"/>
              </w:rPr>
              <w:t>8.1</w:t>
            </w:r>
          </w:p>
        </w:tc>
        <w:tc>
          <w:tcPr>
            <w:tcW w:w="754" w:type="dxa"/>
            <w:tcBorders>
              <w:top w:val="single" w:color="000000" w:sz="4" w:space="0"/>
              <w:left w:val="single" w:color="auto" w:sz="4" w:space="0"/>
              <w:right w:val="single" w:color="000000" w:sz="4" w:space="0"/>
            </w:tcBorders>
            <w:vAlign w:val="center"/>
          </w:tcPr>
          <w:p>
            <w:pPr>
              <w:spacing w:line="200" w:lineRule="exact"/>
              <w:jc w:val="center"/>
              <w:rPr>
                <w:rFonts w:hint="eastAsia" w:ascii="华文仿宋" w:hAnsi="华文仿宋" w:eastAsia="华文仿宋" w:cs="华文仿宋"/>
                <w:sz w:val="21"/>
                <w:szCs w:val="21"/>
              </w:rPr>
            </w:pPr>
          </w:p>
        </w:tc>
      </w:tr>
      <w:tr>
        <w:tblPrEx>
          <w:tblCellMar>
            <w:top w:w="0" w:type="dxa"/>
            <w:left w:w="0" w:type="dxa"/>
            <w:bottom w:w="0" w:type="dxa"/>
            <w:right w:w="0" w:type="dxa"/>
          </w:tblCellMar>
        </w:tblPrEx>
        <w:trPr>
          <w:trHeight w:val="558" w:hRule="atLeast"/>
        </w:trPr>
        <w:tc>
          <w:tcPr>
            <w:tcW w:w="852" w:type="dxa"/>
            <w:vMerge w:val="continue"/>
            <w:tcBorders>
              <w:top w:val="nil"/>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hint="eastAsia" w:ascii="华文仿宋" w:hAnsi="华文仿宋" w:eastAsia="华文仿宋" w:cs="华文仿宋"/>
                <w:sz w:val="21"/>
                <w:szCs w:val="21"/>
              </w:rPr>
            </w:pPr>
          </w:p>
        </w:tc>
        <w:tc>
          <w:tcPr>
            <w:tcW w:w="885" w:type="dxa"/>
            <w:vMerge w:val="restart"/>
            <w:tcBorders>
              <w:top w:val="nil"/>
              <w:left w:val="single" w:color="000000" w:sz="4" w:space="0"/>
              <w:bottom w:val="nil"/>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经济效益指标（30分）</w:t>
            </w: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kern w:val="0"/>
                <w:sz w:val="21"/>
                <w:szCs w:val="21"/>
              </w:rPr>
            </w:pPr>
            <w:r>
              <w:rPr>
                <w:rFonts w:hint="eastAsia" w:ascii="华文仿宋" w:hAnsi="华文仿宋" w:eastAsia="华文仿宋" w:cs="华文仿宋"/>
                <w:kern w:val="0"/>
                <w:sz w:val="21"/>
                <w:szCs w:val="21"/>
              </w:rPr>
              <w:t>经济效益</w:t>
            </w:r>
          </w:p>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rPr>
                <w:rFonts w:hint="eastAsia" w:ascii="华文仿宋" w:hAnsi="华文仿宋" w:eastAsia="华文仿宋" w:cs="华文仿宋"/>
                <w:sz w:val="21"/>
                <w:szCs w:val="21"/>
              </w:rPr>
            </w:pPr>
            <w:r>
              <w:rPr>
                <w:rFonts w:hint="eastAsia" w:ascii="华文仿宋" w:hAnsi="华文仿宋" w:eastAsia="华文仿宋" w:cs="华文仿宋"/>
                <w:b w:val="0"/>
                <w:bCs w:val="0"/>
                <w:color w:val="000000"/>
                <w:kern w:val="0"/>
                <w:sz w:val="21"/>
                <w:szCs w:val="21"/>
              </w:rPr>
              <w:t>全县养猪户增收</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hint="eastAsia" w:ascii="华文仿宋" w:hAnsi="华文仿宋" w:eastAsia="华文仿宋" w:cs="华文仿宋"/>
                <w:sz w:val="21"/>
                <w:szCs w:val="21"/>
              </w:rPr>
            </w:pPr>
            <w:r>
              <w:rPr>
                <w:rFonts w:hint="eastAsia" w:ascii="华文仿宋" w:hAnsi="华文仿宋" w:eastAsia="华文仿宋" w:cs="华文仿宋"/>
                <w:b w:val="0"/>
                <w:bCs w:val="0"/>
                <w:color w:val="000000"/>
                <w:kern w:val="0"/>
                <w:sz w:val="21"/>
                <w:szCs w:val="21"/>
                <w:lang w:val="en-US" w:eastAsia="zh-CN"/>
              </w:rPr>
              <w:t>8000万元</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hint="eastAsia" w:ascii="华文仿宋" w:hAnsi="华文仿宋" w:eastAsia="华文仿宋" w:cs="华文仿宋"/>
                <w:sz w:val="21"/>
                <w:szCs w:val="21"/>
              </w:rPr>
            </w:pPr>
            <w:r>
              <w:rPr>
                <w:rFonts w:hint="eastAsia" w:ascii="华文仿宋" w:hAnsi="华文仿宋" w:eastAsia="华文仿宋" w:cs="华文仿宋"/>
                <w:b w:val="0"/>
                <w:bCs w:val="0"/>
                <w:color w:val="000000"/>
                <w:kern w:val="0"/>
                <w:sz w:val="21"/>
                <w:szCs w:val="21"/>
                <w:lang w:val="en-US" w:eastAsia="zh-CN"/>
              </w:rPr>
              <w:t>8000万元以上</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40" w:lineRule="exact"/>
              <w:jc w:val="center"/>
              <w:rPr>
                <w:rFonts w:hint="eastAsia" w:ascii="华文仿宋" w:hAnsi="华文仿宋" w:eastAsia="华文仿宋" w:cs="华文仿宋"/>
                <w:sz w:val="21"/>
                <w:szCs w:val="21"/>
              </w:rPr>
            </w:pPr>
            <w:r>
              <w:rPr>
                <w:rFonts w:hint="eastAsia" w:ascii="华文仿宋" w:hAnsi="华文仿宋" w:eastAsia="华文仿宋" w:cs="华文仿宋"/>
                <w:b w:val="0"/>
                <w:bCs w:val="0"/>
                <w:color w:val="000000"/>
                <w:kern w:val="0"/>
                <w:sz w:val="21"/>
                <w:szCs w:val="21"/>
              </w:rPr>
              <w:t>10</w:t>
            </w:r>
          </w:p>
        </w:tc>
        <w:tc>
          <w:tcPr>
            <w:tcW w:w="522"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center"/>
              <w:rPr>
                <w:rFonts w:hint="eastAsia" w:ascii="华文仿宋" w:hAnsi="华文仿宋" w:eastAsia="华文仿宋" w:cs="华文仿宋"/>
                <w:sz w:val="21"/>
                <w:szCs w:val="21"/>
              </w:rPr>
            </w:pPr>
            <w:r>
              <w:rPr>
                <w:rFonts w:hint="eastAsia" w:ascii="华文仿宋" w:hAnsi="华文仿宋" w:eastAsia="华文仿宋" w:cs="华文仿宋"/>
                <w:b w:val="0"/>
                <w:bCs w:val="0"/>
                <w:color w:val="000000"/>
                <w:kern w:val="0"/>
                <w:sz w:val="21"/>
                <w:szCs w:val="21"/>
              </w:rPr>
              <w:t>10</w:t>
            </w:r>
          </w:p>
        </w:tc>
        <w:tc>
          <w:tcPr>
            <w:tcW w:w="754"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华文仿宋" w:hAnsi="华文仿宋" w:eastAsia="华文仿宋" w:cs="华文仿宋"/>
                <w:sz w:val="21"/>
                <w:szCs w:val="21"/>
              </w:rPr>
            </w:pPr>
          </w:p>
        </w:tc>
      </w:tr>
      <w:tr>
        <w:tblPrEx>
          <w:tblCellMar>
            <w:top w:w="0" w:type="dxa"/>
            <w:left w:w="0" w:type="dxa"/>
            <w:bottom w:w="0" w:type="dxa"/>
            <w:right w:w="0" w:type="dxa"/>
          </w:tblCellMar>
        </w:tblPrEx>
        <w:trPr>
          <w:trHeight w:val="674"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hint="eastAsia" w:ascii="华文仿宋" w:hAnsi="华文仿宋" w:eastAsia="华文仿宋" w:cs="华文仿宋"/>
                <w:sz w:val="21"/>
                <w:szCs w:val="21"/>
              </w:rPr>
            </w:pPr>
          </w:p>
        </w:tc>
        <w:tc>
          <w:tcPr>
            <w:tcW w:w="88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kern w:val="0"/>
                <w:sz w:val="21"/>
                <w:szCs w:val="21"/>
              </w:rPr>
            </w:pPr>
            <w:r>
              <w:rPr>
                <w:rFonts w:hint="eastAsia" w:ascii="华文仿宋" w:hAnsi="华文仿宋" w:eastAsia="华文仿宋" w:cs="华文仿宋"/>
                <w:kern w:val="0"/>
                <w:sz w:val="21"/>
                <w:szCs w:val="21"/>
              </w:rPr>
              <w:t>社会效益</w:t>
            </w:r>
          </w:p>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rPr>
                <w:rFonts w:hint="eastAsia" w:ascii="华文仿宋" w:hAnsi="华文仿宋" w:eastAsia="华文仿宋" w:cs="华文仿宋"/>
                <w:sz w:val="21"/>
                <w:szCs w:val="21"/>
              </w:rPr>
            </w:pPr>
            <w:r>
              <w:rPr>
                <w:rFonts w:hint="eastAsia" w:ascii="华文仿宋" w:hAnsi="华文仿宋" w:eastAsia="华文仿宋" w:cs="华文仿宋"/>
                <w:b w:val="0"/>
                <w:bCs w:val="0"/>
                <w:color w:val="000000"/>
                <w:kern w:val="0"/>
                <w:sz w:val="21"/>
                <w:szCs w:val="21"/>
              </w:rPr>
              <w:t>保障了生猪养殖的稳产保供要求</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hint="eastAsia" w:ascii="华文仿宋" w:hAnsi="华文仿宋" w:eastAsia="华文仿宋" w:cs="华文仿宋"/>
                <w:sz w:val="21"/>
                <w:szCs w:val="21"/>
              </w:rPr>
            </w:pPr>
            <w:r>
              <w:rPr>
                <w:rFonts w:hint="eastAsia" w:ascii="华文仿宋" w:hAnsi="华文仿宋" w:eastAsia="华文仿宋" w:cs="华文仿宋"/>
                <w:b w:val="0"/>
                <w:bCs w:val="0"/>
                <w:color w:val="000000"/>
                <w:kern w:val="0"/>
                <w:sz w:val="21"/>
                <w:szCs w:val="21"/>
                <w:lang w:val="en-US" w:eastAsia="zh-CN"/>
              </w:rPr>
              <w:t>97%</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hint="eastAsia" w:ascii="华文仿宋" w:hAnsi="华文仿宋" w:eastAsia="华文仿宋" w:cs="华文仿宋"/>
                <w:sz w:val="21"/>
                <w:szCs w:val="21"/>
              </w:rPr>
            </w:pPr>
            <w:r>
              <w:rPr>
                <w:rFonts w:hint="eastAsia" w:ascii="华文仿宋" w:hAnsi="华文仿宋" w:eastAsia="华文仿宋" w:cs="华文仿宋"/>
                <w:b w:val="0"/>
                <w:bCs w:val="0"/>
                <w:color w:val="000000"/>
                <w:kern w:val="0"/>
                <w:sz w:val="21"/>
                <w:szCs w:val="21"/>
                <w:lang w:val="en-US" w:eastAsia="zh-CN"/>
              </w:rPr>
              <w:t>97%</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40" w:lineRule="exact"/>
              <w:jc w:val="center"/>
              <w:rPr>
                <w:rFonts w:hint="eastAsia" w:ascii="华文仿宋" w:hAnsi="华文仿宋" w:eastAsia="华文仿宋" w:cs="华文仿宋"/>
                <w:sz w:val="21"/>
                <w:szCs w:val="21"/>
              </w:rPr>
            </w:pPr>
            <w:r>
              <w:rPr>
                <w:rFonts w:hint="eastAsia" w:ascii="华文仿宋" w:hAnsi="华文仿宋" w:eastAsia="华文仿宋" w:cs="华文仿宋"/>
                <w:b w:val="0"/>
                <w:bCs w:val="0"/>
                <w:color w:val="000000"/>
                <w:kern w:val="0"/>
                <w:sz w:val="21"/>
                <w:szCs w:val="21"/>
                <w:lang w:val="en-US" w:eastAsia="zh-CN"/>
              </w:rPr>
              <w:t>10</w:t>
            </w:r>
          </w:p>
        </w:tc>
        <w:tc>
          <w:tcPr>
            <w:tcW w:w="522"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center"/>
              <w:rPr>
                <w:rFonts w:hint="eastAsia" w:ascii="华文仿宋" w:hAnsi="华文仿宋" w:eastAsia="华文仿宋" w:cs="华文仿宋"/>
                <w:sz w:val="21"/>
                <w:szCs w:val="21"/>
              </w:rPr>
            </w:pPr>
            <w:r>
              <w:rPr>
                <w:rFonts w:hint="eastAsia" w:ascii="华文仿宋" w:hAnsi="华文仿宋" w:eastAsia="华文仿宋" w:cs="华文仿宋"/>
                <w:b w:val="0"/>
                <w:bCs w:val="0"/>
                <w:color w:val="000000"/>
                <w:kern w:val="0"/>
                <w:sz w:val="21"/>
                <w:szCs w:val="21"/>
                <w:lang w:val="en-US" w:eastAsia="zh-CN"/>
              </w:rPr>
              <w:t>10</w:t>
            </w:r>
          </w:p>
        </w:tc>
        <w:tc>
          <w:tcPr>
            <w:tcW w:w="754"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华文仿宋" w:hAnsi="华文仿宋" w:eastAsia="华文仿宋" w:cs="华文仿宋"/>
                <w:sz w:val="21"/>
                <w:szCs w:val="21"/>
              </w:rPr>
            </w:pPr>
          </w:p>
        </w:tc>
      </w:tr>
      <w:tr>
        <w:tblPrEx>
          <w:tblCellMar>
            <w:top w:w="0" w:type="dxa"/>
            <w:left w:w="0" w:type="dxa"/>
            <w:bottom w:w="0" w:type="dxa"/>
            <w:right w:w="0" w:type="dxa"/>
          </w:tblCellMar>
        </w:tblPrEx>
        <w:trPr>
          <w:trHeight w:val="813"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hint="eastAsia" w:ascii="华文仿宋" w:hAnsi="华文仿宋" w:eastAsia="华文仿宋" w:cs="华文仿宋"/>
                <w:sz w:val="21"/>
                <w:szCs w:val="21"/>
              </w:rPr>
            </w:pPr>
          </w:p>
        </w:tc>
        <w:tc>
          <w:tcPr>
            <w:tcW w:w="88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kern w:val="0"/>
                <w:sz w:val="21"/>
                <w:szCs w:val="21"/>
              </w:rPr>
            </w:pPr>
            <w:r>
              <w:rPr>
                <w:rFonts w:hint="eastAsia" w:ascii="华文仿宋" w:hAnsi="华文仿宋" w:eastAsia="华文仿宋" w:cs="华文仿宋"/>
                <w:kern w:val="0"/>
                <w:sz w:val="21"/>
                <w:szCs w:val="21"/>
              </w:rPr>
              <w:t>生态效益</w:t>
            </w:r>
          </w:p>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rPr>
                <w:rFonts w:hint="eastAsia" w:ascii="华文仿宋" w:hAnsi="华文仿宋" w:eastAsia="华文仿宋" w:cs="华文仿宋"/>
                <w:sz w:val="21"/>
                <w:szCs w:val="21"/>
              </w:rPr>
            </w:pPr>
            <w:r>
              <w:rPr>
                <w:rFonts w:hint="eastAsia" w:ascii="华文仿宋" w:hAnsi="华文仿宋" w:eastAsia="华文仿宋" w:cs="华文仿宋"/>
                <w:b w:val="0"/>
                <w:bCs w:val="0"/>
                <w:color w:val="000000"/>
                <w:kern w:val="0"/>
                <w:sz w:val="21"/>
                <w:szCs w:val="21"/>
                <w:lang w:eastAsia="zh-CN"/>
              </w:rPr>
              <w:t>有效控制了</w:t>
            </w:r>
            <w:r>
              <w:rPr>
                <w:rFonts w:hint="eastAsia" w:ascii="华文仿宋" w:hAnsi="华文仿宋" w:eastAsia="华文仿宋" w:cs="华文仿宋"/>
                <w:b w:val="0"/>
                <w:bCs w:val="0"/>
                <w:color w:val="000000"/>
                <w:kern w:val="0"/>
                <w:sz w:val="21"/>
                <w:szCs w:val="21"/>
              </w:rPr>
              <w:t>非洲猪瘟疫情</w:t>
            </w:r>
            <w:r>
              <w:rPr>
                <w:rFonts w:hint="eastAsia" w:ascii="华文仿宋" w:hAnsi="华文仿宋" w:eastAsia="华文仿宋" w:cs="华文仿宋"/>
                <w:b w:val="0"/>
                <w:bCs w:val="0"/>
                <w:color w:val="000000"/>
                <w:kern w:val="0"/>
                <w:sz w:val="21"/>
                <w:szCs w:val="21"/>
                <w:lang w:eastAsia="zh-CN"/>
              </w:rPr>
              <w:t>传播</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hint="eastAsia" w:ascii="华文仿宋" w:hAnsi="华文仿宋" w:eastAsia="华文仿宋" w:cs="华文仿宋"/>
                <w:sz w:val="21"/>
                <w:szCs w:val="21"/>
              </w:rPr>
            </w:pPr>
            <w:r>
              <w:rPr>
                <w:rFonts w:hint="eastAsia" w:ascii="华文仿宋" w:hAnsi="华文仿宋" w:eastAsia="华文仿宋" w:cs="华文仿宋"/>
                <w:b w:val="0"/>
                <w:bCs w:val="0"/>
                <w:color w:val="000000"/>
                <w:kern w:val="0"/>
                <w:sz w:val="21"/>
                <w:szCs w:val="21"/>
              </w:rPr>
              <w:t>长期</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hint="eastAsia" w:ascii="华文仿宋" w:hAnsi="华文仿宋" w:eastAsia="华文仿宋" w:cs="华文仿宋"/>
                <w:sz w:val="21"/>
                <w:szCs w:val="21"/>
              </w:rPr>
            </w:pPr>
            <w:r>
              <w:rPr>
                <w:rFonts w:hint="eastAsia" w:ascii="华文仿宋" w:hAnsi="华文仿宋" w:eastAsia="华文仿宋" w:cs="华文仿宋"/>
                <w:b w:val="0"/>
                <w:bCs w:val="0"/>
                <w:color w:val="000000"/>
                <w:kern w:val="0"/>
                <w:sz w:val="21"/>
                <w:szCs w:val="21"/>
              </w:rPr>
              <w:t>长期</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40" w:lineRule="exact"/>
              <w:jc w:val="center"/>
              <w:rPr>
                <w:rFonts w:hint="eastAsia" w:ascii="华文仿宋" w:hAnsi="华文仿宋" w:eastAsia="华文仿宋" w:cs="华文仿宋"/>
                <w:sz w:val="21"/>
                <w:szCs w:val="21"/>
                <w:lang w:eastAsia="zh-CN"/>
              </w:rPr>
            </w:pPr>
            <w:r>
              <w:rPr>
                <w:rFonts w:hint="eastAsia" w:ascii="华文仿宋" w:hAnsi="华文仿宋" w:eastAsia="华文仿宋" w:cs="华文仿宋"/>
                <w:b w:val="0"/>
                <w:bCs w:val="0"/>
                <w:color w:val="000000"/>
                <w:kern w:val="0"/>
                <w:sz w:val="21"/>
                <w:szCs w:val="21"/>
              </w:rPr>
              <w:t>5</w:t>
            </w:r>
          </w:p>
        </w:tc>
        <w:tc>
          <w:tcPr>
            <w:tcW w:w="522" w:type="dxa"/>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center"/>
              <w:rPr>
                <w:rFonts w:hint="eastAsia" w:ascii="华文仿宋" w:hAnsi="华文仿宋" w:eastAsia="华文仿宋" w:cs="华文仿宋"/>
                <w:sz w:val="21"/>
                <w:szCs w:val="21"/>
                <w:lang w:eastAsia="zh-CN"/>
              </w:rPr>
            </w:pPr>
            <w:r>
              <w:rPr>
                <w:rFonts w:hint="eastAsia" w:ascii="华文仿宋" w:hAnsi="华文仿宋" w:eastAsia="华文仿宋" w:cs="华文仿宋"/>
                <w:b w:val="0"/>
                <w:bCs w:val="0"/>
                <w:color w:val="000000"/>
                <w:kern w:val="0"/>
                <w:sz w:val="21"/>
                <w:szCs w:val="21"/>
              </w:rPr>
              <w:t>5</w:t>
            </w:r>
          </w:p>
        </w:tc>
        <w:tc>
          <w:tcPr>
            <w:tcW w:w="754" w:type="dxa"/>
            <w:tcBorders>
              <w:top w:val="single" w:color="000000" w:sz="4" w:space="0"/>
              <w:left w:val="single" w:color="auto" w:sz="4" w:space="0"/>
              <w:bottom w:val="single" w:color="000000" w:sz="4" w:space="0"/>
              <w:right w:val="single" w:color="000000" w:sz="4" w:space="0"/>
            </w:tcBorders>
            <w:vAlign w:val="center"/>
          </w:tcPr>
          <w:p>
            <w:pPr>
              <w:spacing w:line="200" w:lineRule="exact"/>
              <w:rPr>
                <w:rFonts w:hint="eastAsia" w:ascii="华文仿宋" w:hAnsi="华文仿宋" w:eastAsia="华文仿宋" w:cs="华文仿宋"/>
                <w:sz w:val="21"/>
                <w:szCs w:val="21"/>
              </w:rPr>
            </w:pPr>
          </w:p>
        </w:tc>
      </w:tr>
      <w:tr>
        <w:tblPrEx>
          <w:tblCellMar>
            <w:top w:w="0" w:type="dxa"/>
            <w:left w:w="0" w:type="dxa"/>
            <w:bottom w:w="0" w:type="dxa"/>
            <w:right w:w="0" w:type="dxa"/>
          </w:tblCellMar>
        </w:tblPrEx>
        <w:trPr>
          <w:trHeight w:val="715"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hint="eastAsia" w:ascii="华文仿宋" w:hAnsi="华文仿宋" w:eastAsia="华文仿宋" w:cs="华文仿宋"/>
                <w:sz w:val="21"/>
                <w:szCs w:val="21"/>
              </w:rPr>
            </w:pPr>
          </w:p>
        </w:tc>
        <w:tc>
          <w:tcPr>
            <w:tcW w:w="88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可持续影响指标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left"/>
              <w:rPr>
                <w:rFonts w:hint="eastAsia" w:ascii="华文仿宋" w:hAnsi="华文仿宋" w:eastAsia="华文仿宋" w:cs="华文仿宋"/>
                <w:sz w:val="21"/>
                <w:szCs w:val="21"/>
              </w:rPr>
            </w:pPr>
            <w:r>
              <w:rPr>
                <w:rFonts w:hint="eastAsia" w:ascii="华文仿宋" w:hAnsi="华文仿宋" w:eastAsia="华文仿宋" w:cs="华文仿宋"/>
                <w:sz w:val="21"/>
                <w:szCs w:val="21"/>
              </w:rPr>
              <w:t>控制疫病传播，保障食品安全</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90%</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210" w:firstLineChars="100"/>
              <w:rPr>
                <w:rFonts w:hint="eastAsia" w:ascii="华文仿宋" w:hAnsi="华文仿宋" w:eastAsia="华文仿宋" w:cs="华文仿宋"/>
                <w:sz w:val="21"/>
                <w:szCs w:val="21"/>
              </w:rPr>
            </w:pPr>
            <w:r>
              <w:rPr>
                <w:rFonts w:hint="eastAsia" w:ascii="华文仿宋" w:hAnsi="华文仿宋" w:eastAsia="华文仿宋" w:cs="华文仿宋"/>
                <w:sz w:val="21"/>
                <w:szCs w:val="21"/>
              </w:rPr>
              <w:t>100%</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lang w:val="en-US" w:eastAsia="zh-CN"/>
              </w:rPr>
              <w:t>5</w:t>
            </w:r>
          </w:p>
        </w:tc>
        <w:tc>
          <w:tcPr>
            <w:tcW w:w="522" w:type="dxa"/>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华文仿宋" w:hAnsi="华文仿宋" w:eastAsia="华文仿宋" w:cs="华文仿宋"/>
                <w:sz w:val="21"/>
                <w:szCs w:val="21"/>
                <w:lang w:eastAsia="zh-CN"/>
              </w:rPr>
            </w:pPr>
            <w:r>
              <w:rPr>
                <w:rFonts w:hint="eastAsia" w:ascii="华文仿宋" w:hAnsi="华文仿宋" w:eastAsia="华文仿宋" w:cs="华文仿宋"/>
                <w:sz w:val="21"/>
                <w:szCs w:val="21"/>
                <w:lang w:val="en-US" w:eastAsia="zh-CN"/>
              </w:rPr>
              <w:t>5</w:t>
            </w:r>
          </w:p>
        </w:tc>
        <w:tc>
          <w:tcPr>
            <w:tcW w:w="754" w:type="dxa"/>
            <w:tcBorders>
              <w:top w:val="single" w:color="000000" w:sz="4" w:space="0"/>
              <w:left w:val="single" w:color="auto" w:sz="4" w:space="0"/>
              <w:bottom w:val="single" w:color="000000" w:sz="4" w:space="0"/>
              <w:right w:val="single" w:color="000000" w:sz="4" w:space="0"/>
            </w:tcBorders>
            <w:vAlign w:val="center"/>
          </w:tcPr>
          <w:p>
            <w:pPr>
              <w:spacing w:line="200" w:lineRule="exact"/>
              <w:rPr>
                <w:rFonts w:hint="eastAsia" w:ascii="华文仿宋" w:hAnsi="华文仿宋" w:eastAsia="华文仿宋" w:cs="华文仿宋"/>
                <w:sz w:val="21"/>
                <w:szCs w:val="21"/>
              </w:rPr>
            </w:pPr>
          </w:p>
        </w:tc>
      </w:tr>
      <w:tr>
        <w:tblPrEx>
          <w:tblCellMar>
            <w:top w:w="0" w:type="dxa"/>
            <w:left w:w="0" w:type="dxa"/>
            <w:bottom w:w="0" w:type="dxa"/>
            <w:right w:w="0" w:type="dxa"/>
          </w:tblCellMar>
        </w:tblPrEx>
        <w:trPr>
          <w:trHeight w:val="529" w:hRule="atLeast"/>
        </w:trPr>
        <w:tc>
          <w:tcPr>
            <w:tcW w:w="852" w:type="dxa"/>
            <w:vMerge w:val="continue"/>
            <w:tcBorders>
              <w:left w:val="single" w:color="000000" w:sz="4" w:space="0"/>
              <w:bottom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hint="eastAsia" w:ascii="华文仿宋" w:hAnsi="华文仿宋" w:eastAsia="华文仿宋" w:cs="华文仿宋"/>
                <w:sz w:val="21"/>
                <w:szCs w:val="21"/>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满意度指标（10分）</w:t>
            </w:r>
          </w:p>
        </w:tc>
        <w:tc>
          <w:tcPr>
            <w:tcW w:w="12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华文仿宋" w:hAnsi="华文仿宋" w:eastAsia="华文仿宋" w:cs="华文仿宋"/>
                <w:sz w:val="21"/>
                <w:szCs w:val="21"/>
              </w:rPr>
            </w:pPr>
            <w:r>
              <w:rPr>
                <w:rFonts w:hint="eastAsia" w:ascii="华文仿宋" w:hAnsi="华文仿宋" w:eastAsia="华文仿宋" w:cs="华文仿宋"/>
                <w:kern w:val="0"/>
                <w:sz w:val="21"/>
                <w:szCs w:val="21"/>
              </w:rPr>
              <w:t>服务对象满意度指标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left"/>
              <w:rPr>
                <w:rFonts w:hint="eastAsia" w:ascii="华文仿宋" w:hAnsi="华文仿宋" w:eastAsia="华文仿宋" w:cs="华文仿宋"/>
                <w:sz w:val="21"/>
                <w:szCs w:val="21"/>
              </w:rPr>
            </w:pPr>
            <w:r>
              <w:rPr>
                <w:rFonts w:hint="eastAsia" w:ascii="华文仿宋" w:hAnsi="华文仿宋" w:eastAsia="华文仿宋" w:cs="华文仿宋"/>
                <w:b w:val="0"/>
                <w:bCs w:val="0"/>
                <w:color w:val="000000"/>
                <w:kern w:val="0"/>
                <w:sz w:val="21"/>
                <w:szCs w:val="21"/>
              </w:rPr>
              <w:t>社会满意度</w:t>
            </w:r>
          </w:p>
        </w:tc>
        <w:tc>
          <w:tcPr>
            <w:tcW w:w="8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315" w:firstLineChars="150"/>
              <w:rPr>
                <w:rFonts w:hint="eastAsia" w:ascii="华文仿宋" w:hAnsi="华文仿宋" w:eastAsia="华文仿宋" w:cs="华文仿宋"/>
                <w:sz w:val="21"/>
                <w:szCs w:val="21"/>
              </w:rPr>
            </w:pPr>
            <w:r>
              <w:rPr>
                <w:rFonts w:hint="eastAsia" w:ascii="华文仿宋" w:hAnsi="华文仿宋" w:eastAsia="华文仿宋" w:cs="华文仿宋"/>
                <w:sz w:val="21"/>
                <w:szCs w:val="21"/>
                <w:lang w:val="en-US" w:eastAsia="zh-CN"/>
              </w:rPr>
              <w:t>100</w:t>
            </w:r>
            <w:r>
              <w:rPr>
                <w:rFonts w:hint="eastAsia" w:ascii="华文仿宋" w:hAnsi="华文仿宋" w:eastAsia="华文仿宋" w:cs="华文仿宋"/>
                <w:sz w:val="21"/>
                <w:szCs w:val="21"/>
              </w:rPr>
              <w:t>%</w:t>
            </w:r>
          </w:p>
        </w:tc>
        <w:tc>
          <w:tcPr>
            <w:tcW w:w="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210" w:firstLineChars="100"/>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lang w:val="en-US" w:eastAsia="zh-CN"/>
              </w:rPr>
              <w:t>100</w:t>
            </w:r>
            <w:r>
              <w:rPr>
                <w:rFonts w:hint="eastAsia" w:ascii="华文仿宋" w:hAnsi="华文仿宋" w:eastAsia="华文仿宋" w:cs="华文仿宋"/>
                <w:sz w:val="21"/>
                <w:szCs w:val="21"/>
              </w:rPr>
              <w:t>%</w:t>
            </w:r>
          </w:p>
        </w:tc>
        <w:tc>
          <w:tcPr>
            <w:tcW w:w="70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10</w:t>
            </w:r>
          </w:p>
        </w:tc>
        <w:tc>
          <w:tcPr>
            <w:tcW w:w="522" w:type="dxa"/>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10</w:t>
            </w:r>
          </w:p>
        </w:tc>
        <w:tc>
          <w:tcPr>
            <w:tcW w:w="754"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华文仿宋" w:hAnsi="华文仿宋" w:eastAsia="华文仿宋" w:cs="华文仿宋"/>
                <w:sz w:val="21"/>
                <w:szCs w:val="21"/>
              </w:rPr>
            </w:pPr>
          </w:p>
        </w:tc>
      </w:tr>
      <w:tr>
        <w:tblPrEx>
          <w:tblCellMar>
            <w:top w:w="0" w:type="dxa"/>
            <w:left w:w="0" w:type="dxa"/>
            <w:bottom w:w="0" w:type="dxa"/>
            <w:right w:w="0" w:type="dxa"/>
          </w:tblCellMar>
        </w:tblPrEx>
        <w:trPr>
          <w:trHeight w:val="511" w:hRule="atLeast"/>
        </w:trPr>
        <w:tc>
          <w:tcPr>
            <w:tcW w:w="7591" w:type="dxa"/>
            <w:gridSpan w:val="1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总分</w:t>
            </w:r>
          </w:p>
        </w:tc>
        <w:tc>
          <w:tcPr>
            <w:tcW w:w="708" w:type="dxa"/>
            <w:tcBorders>
              <w:top w:val="single" w:color="000000" w:sz="4" w:space="0"/>
              <w:left w:val="single" w:color="000000" w:sz="4" w:space="0"/>
              <w:bottom w:val="single" w:color="000000" w:sz="4" w:space="0"/>
              <w:right w:val="single" w:color="auto" w:sz="4" w:space="0"/>
            </w:tcBorders>
            <w:vAlign w:val="center"/>
          </w:tcPr>
          <w:p>
            <w:pPr>
              <w:spacing w:line="200" w:lineRule="exact"/>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100</w:t>
            </w:r>
          </w:p>
        </w:tc>
        <w:tc>
          <w:tcPr>
            <w:tcW w:w="522" w:type="dxa"/>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default"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96.2</w:t>
            </w:r>
          </w:p>
        </w:tc>
        <w:tc>
          <w:tcPr>
            <w:tcW w:w="754"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华文仿宋" w:hAnsi="华文仿宋" w:eastAsia="华文仿宋" w:cs="华文仿宋"/>
                <w:sz w:val="21"/>
                <w:szCs w:val="21"/>
              </w:rPr>
            </w:pPr>
          </w:p>
        </w:tc>
      </w:tr>
      <w:tr>
        <w:tblPrEx>
          <w:tblCellMar>
            <w:top w:w="0" w:type="dxa"/>
            <w:left w:w="0" w:type="dxa"/>
            <w:bottom w:w="0" w:type="dxa"/>
            <w:right w:w="0" w:type="dxa"/>
          </w:tblCellMar>
        </w:tblPrEx>
        <w:trPr>
          <w:trHeight w:val="809" w:hRule="atLeast"/>
        </w:trPr>
        <w:tc>
          <w:tcPr>
            <w:tcW w:w="3180" w:type="dxa"/>
            <w:gridSpan w:val="5"/>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华文仿宋" w:hAnsi="华文仿宋" w:eastAsia="华文仿宋" w:cs="华文仿宋"/>
                <w:sz w:val="21"/>
                <w:szCs w:val="21"/>
              </w:rPr>
            </w:pPr>
            <w:r>
              <w:rPr>
                <w:rFonts w:hint="eastAsia" w:ascii="华文仿宋" w:hAnsi="华文仿宋" w:eastAsia="华文仿宋" w:cs="华文仿宋"/>
                <w:sz w:val="21"/>
                <w:szCs w:val="21"/>
              </w:rPr>
              <w:t>归口管理业务股室审核意见</w:t>
            </w:r>
          </w:p>
        </w:tc>
        <w:tc>
          <w:tcPr>
            <w:tcW w:w="6395" w:type="dxa"/>
            <w:gridSpan w:val="10"/>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eastAsia" w:ascii="华文仿宋" w:hAnsi="华文仿宋" w:eastAsia="华文仿宋" w:cs="华文仿宋"/>
                <w:sz w:val="21"/>
                <w:szCs w:val="21"/>
              </w:rPr>
            </w:pPr>
          </w:p>
        </w:tc>
      </w:tr>
    </w:tbl>
    <w:p>
      <w:pPr>
        <w:spacing w:line="520" w:lineRule="exact"/>
        <w:rPr>
          <w:rFonts w:hint="eastAsia" w:ascii="华文仿宋" w:hAnsi="华文仿宋" w:eastAsia="华文仿宋" w:cs="华文仿宋"/>
          <w:color w:val="444444"/>
          <w:sz w:val="21"/>
          <w:szCs w:val="21"/>
        </w:rPr>
      </w:pPr>
      <w:r>
        <w:rPr>
          <w:rFonts w:hint="eastAsia" w:ascii="华文仿宋" w:hAnsi="华文仿宋" w:eastAsia="华文仿宋" w:cs="华文仿宋"/>
          <w:sz w:val="21"/>
          <w:szCs w:val="21"/>
        </w:rPr>
        <w:t>填表人：</w:t>
      </w:r>
      <w:r>
        <w:rPr>
          <w:rFonts w:hint="eastAsia" w:ascii="仿宋_GB2312" w:eastAsia="仿宋_GB2312"/>
          <w:b w:val="0"/>
          <w:bCs w:val="0"/>
          <w:kern w:val="0"/>
          <w:sz w:val="21"/>
          <w:szCs w:val="21"/>
        </w:rPr>
        <w:t>汪开彬</w:t>
      </w:r>
      <w:r>
        <w:rPr>
          <w:rFonts w:hint="eastAsia" w:ascii="华文仿宋" w:hAnsi="华文仿宋" w:eastAsia="华文仿宋" w:cs="华文仿宋"/>
          <w:sz w:val="21"/>
          <w:szCs w:val="21"/>
        </w:rPr>
        <w:t xml:space="preserve"> 填报日期：2020年</w:t>
      </w:r>
      <w:r>
        <w:rPr>
          <w:rFonts w:hint="eastAsia" w:ascii="华文仿宋" w:hAnsi="华文仿宋" w:eastAsia="华文仿宋" w:cs="华文仿宋"/>
          <w:sz w:val="21"/>
          <w:szCs w:val="21"/>
          <w:lang w:val="en-US" w:eastAsia="zh-CN"/>
        </w:rPr>
        <w:t>9</w:t>
      </w:r>
      <w:r>
        <w:rPr>
          <w:rFonts w:hint="eastAsia" w:ascii="华文仿宋" w:hAnsi="华文仿宋" w:eastAsia="华文仿宋" w:cs="华文仿宋"/>
          <w:sz w:val="21"/>
          <w:szCs w:val="21"/>
        </w:rPr>
        <w:t>月</w:t>
      </w:r>
      <w:r>
        <w:rPr>
          <w:rFonts w:hint="eastAsia" w:ascii="华文仿宋" w:hAnsi="华文仿宋" w:eastAsia="华文仿宋" w:cs="华文仿宋"/>
          <w:sz w:val="21"/>
          <w:szCs w:val="21"/>
          <w:lang w:val="en-US" w:eastAsia="zh-CN"/>
        </w:rPr>
        <w:t>20日</w:t>
      </w:r>
      <w:bookmarkStart w:id="3" w:name="_GoBack"/>
      <w:bookmarkEnd w:id="3"/>
      <w:r>
        <w:rPr>
          <w:rFonts w:hint="eastAsia" w:ascii="华文仿宋" w:hAnsi="华文仿宋" w:eastAsia="华文仿宋" w:cs="华文仿宋"/>
          <w:sz w:val="21"/>
          <w:szCs w:val="21"/>
        </w:rPr>
        <w:t xml:space="preserve"> 联系电话： </w:t>
      </w:r>
      <w:r>
        <w:rPr>
          <w:rFonts w:hint="eastAsia" w:ascii="仿宋_GB2312" w:eastAsia="仿宋_GB2312"/>
          <w:b w:val="0"/>
          <w:bCs w:val="0"/>
          <w:kern w:val="0"/>
          <w:sz w:val="21"/>
          <w:szCs w:val="21"/>
        </w:rPr>
        <w:t>13975320297</w:t>
      </w:r>
      <w:r>
        <w:rPr>
          <w:rFonts w:hint="eastAsia" w:ascii="华文仿宋" w:hAnsi="华文仿宋" w:eastAsia="华文仿宋" w:cs="华文仿宋"/>
          <w:sz w:val="21"/>
          <w:szCs w:val="21"/>
        </w:rPr>
        <w:t xml:space="preserve">  单位负责人签字：</w:t>
      </w:r>
    </w:p>
    <w:p>
      <w:pPr>
        <w:rPr>
          <w:rFonts w:ascii="仿宋" w:hAnsi="仿宋" w:eastAsia="仿宋" w:cs="仿宋"/>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417" w:bottom="1417" w:left="1701" w:header="851" w:footer="992" w:gutter="0"/>
          <w:cols w:space="0" w:num="1"/>
          <w:docGrid w:type="lines" w:linePitch="312" w:charSpace="0"/>
        </w:sectPr>
      </w:pPr>
    </w:p>
    <w:tbl>
      <w:tblPr>
        <w:tblStyle w:val="6"/>
        <w:tblW w:w="15005" w:type="dxa"/>
        <w:tblInd w:w="-252" w:type="dxa"/>
        <w:tblLayout w:type="fixed"/>
        <w:tblCellMar>
          <w:top w:w="0" w:type="dxa"/>
          <w:left w:w="108" w:type="dxa"/>
          <w:bottom w:w="0" w:type="dxa"/>
          <w:right w:w="108" w:type="dxa"/>
        </w:tblCellMar>
      </w:tblPr>
      <w:tblGrid>
        <w:gridCol w:w="845"/>
        <w:gridCol w:w="960"/>
        <w:gridCol w:w="1185"/>
        <w:gridCol w:w="615"/>
        <w:gridCol w:w="4900"/>
        <w:gridCol w:w="5660"/>
        <w:gridCol w:w="840"/>
      </w:tblGrid>
      <w:tr>
        <w:tblPrEx>
          <w:tblCellMar>
            <w:top w:w="0" w:type="dxa"/>
            <w:left w:w="108" w:type="dxa"/>
            <w:bottom w:w="0" w:type="dxa"/>
            <w:right w:w="108" w:type="dxa"/>
          </w:tblCellMar>
        </w:tblPrEx>
        <w:trPr>
          <w:trHeight w:val="90" w:hRule="atLeast"/>
          <w:tblHeader/>
        </w:trPr>
        <w:tc>
          <w:tcPr>
            <w:tcW w:w="15005" w:type="dxa"/>
            <w:gridSpan w:val="7"/>
            <w:tcBorders>
              <w:top w:val="nil"/>
              <w:left w:val="nil"/>
              <w:bottom w:val="nil"/>
              <w:right w:val="nil"/>
            </w:tcBorders>
            <w:vAlign w:val="center"/>
          </w:tcPr>
          <w:p>
            <w:pPr>
              <w:widowControl/>
              <w:jc w:val="center"/>
              <w:rPr>
                <w:rFonts w:eastAsia="方正小标宋简体"/>
                <w:kern w:val="0"/>
                <w:sz w:val="36"/>
                <w:szCs w:val="36"/>
              </w:rPr>
            </w:pPr>
            <w:r>
              <w:rPr>
                <w:rFonts w:eastAsia="方正小标宋简体"/>
                <w:kern w:val="0"/>
                <w:sz w:val="36"/>
                <w:szCs w:val="36"/>
              </w:rPr>
              <w:t>项目支出绩效评价共性指标</w:t>
            </w:r>
          </w:p>
        </w:tc>
      </w:tr>
      <w:tr>
        <w:tblPrEx>
          <w:tblCellMar>
            <w:top w:w="0" w:type="dxa"/>
            <w:left w:w="108" w:type="dxa"/>
            <w:bottom w:w="0" w:type="dxa"/>
            <w:right w:w="108" w:type="dxa"/>
          </w:tblCellMar>
        </w:tblPrEx>
        <w:trPr>
          <w:trHeight w:val="620" w:hRule="atLeast"/>
          <w:tblHeader/>
        </w:trPr>
        <w:tc>
          <w:tcPr>
            <w:tcW w:w="84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一级指标</w:t>
            </w:r>
          </w:p>
        </w:tc>
        <w:tc>
          <w:tcPr>
            <w:tcW w:w="96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二级指标</w:t>
            </w:r>
          </w:p>
        </w:tc>
        <w:tc>
          <w:tcPr>
            <w:tcW w:w="1185"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三级指标</w:t>
            </w:r>
          </w:p>
        </w:tc>
        <w:tc>
          <w:tcPr>
            <w:tcW w:w="615"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分值</w:t>
            </w:r>
          </w:p>
        </w:tc>
        <w:tc>
          <w:tcPr>
            <w:tcW w:w="490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指标说明</w:t>
            </w:r>
          </w:p>
        </w:tc>
        <w:tc>
          <w:tcPr>
            <w:tcW w:w="566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评价标准</w:t>
            </w:r>
          </w:p>
        </w:tc>
        <w:tc>
          <w:tcPr>
            <w:tcW w:w="84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自评分</w:t>
            </w:r>
          </w:p>
        </w:tc>
      </w:tr>
      <w:tr>
        <w:tblPrEx>
          <w:tblCellMar>
            <w:top w:w="0" w:type="dxa"/>
            <w:left w:w="108" w:type="dxa"/>
            <w:bottom w:w="0" w:type="dxa"/>
            <w:right w:w="108" w:type="dxa"/>
          </w:tblCellMar>
        </w:tblPrEx>
        <w:trPr>
          <w:trHeight w:val="914" w:hRule="atLeast"/>
        </w:trPr>
        <w:tc>
          <w:tcPr>
            <w:tcW w:w="845"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投入（</w:t>
            </w:r>
            <w:r>
              <w:rPr>
                <w:kern w:val="0"/>
                <w:sz w:val="20"/>
                <w:szCs w:val="20"/>
              </w:rPr>
              <w:t>20</w:t>
            </w:r>
            <w:r>
              <w:rPr>
                <w:rFonts w:hAnsi="宋体"/>
                <w:kern w:val="0"/>
                <w:sz w:val="20"/>
                <w:szCs w:val="20"/>
              </w:rPr>
              <w:t>分）</w:t>
            </w:r>
          </w:p>
        </w:tc>
        <w:tc>
          <w:tcPr>
            <w:tcW w:w="960"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项目立项规范性</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990" w:hRule="atLeast"/>
        </w:trPr>
        <w:tc>
          <w:tcPr>
            <w:tcW w:w="84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绩效目标合理性</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1080" w:hRule="atLeast"/>
        </w:trPr>
        <w:tc>
          <w:tcPr>
            <w:tcW w:w="84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项目设计合理性</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630" w:hRule="atLeast"/>
        </w:trPr>
        <w:tc>
          <w:tcPr>
            <w:tcW w:w="84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960"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资金落实（</w:t>
            </w:r>
            <w:r>
              <w:rPr>
                <w:kern w:val="0"/>
                <w:sz w:val="20"/>
                <w:szCs w:val="20"/>
              </w:rPr>
              <w:t>5</w:t>
            </w:r>
            <w:r>
              <w:rPr>
                <w:rFonts w:hAnsi="宋体"/>
                <w:kern w:val="0"/>
                <w:sz w:val="20"/>
                <w:szCs w:val="20"/>
              </w:rPr>
              <w:t>分）</w:t>
            </w: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资金到位率</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3</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rFonts w:hint="eastAsia" w:eastAsia="宋体"/>
                <w:kern w:val="0"/>
                <w:sz w:val="24"/>
                <w:lang w:eastAsia="zh-CN"/>
              </w:rPr>
            </w:pPr>
            <w:r>
              <w:rPr>
                <w:rFonts w:hint="eastAsia" w:hAnsi="宋体"/>
                <w:kern w:val="0"/>
                <w:sz w:val="24"/>
                <w:lang w:val="en-US" w:eastAsia="zh-CN"/>
              </w:rPr>
              <w:t>1</w:t>
            </w:r>
          </w:p>
        </w:tc>
      </w:tr>
      <w:tr>
        <w:tblPrEx>
          <w:tblCellMar>
            <w:top w:w="0" w:type="dxa"/>
            <w:left w:w="108" w:type="dxa"/>
            <w:bottom w:w="0" w:type="dxa"/>
            <w:right w:w="108" w:type="dxa"/>
          </w:tblCellMar>
        </w:tblPrEx>
        <w:trPr>
          <w:trHeight w:val="686" w:hRule="atLeast"/>
        </w:trPr>
        <w:tc>
          <w:tcPr>
            <w:tcW w:w="84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到位及时率</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资金是否及时到位；若未及时到位，是否影响项目进度。</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2</w:t>
            </w:r>
            <w:r>
              <w:rPr>
                <w:rFonts w:hAnsi="宋体"/>
                <w:kern w:val="0"/>
                <w:sz w:val="24"/>
              </w:rPr>
              <w:t>　</w:t>
            </w:r>
          </w:p>
        </w:tc>
      </w:tr>
      <w:tr>
        <w:tblPrEx>
          <w:tblCellMar>
            <w:top w:w="0" w:type="dxa"/>
            <w:left w:w="108" w:type="dxa"/>
            <w:bottom w:w="0" w:type="dxa"/>
            <w:right w:w="108" w:type="dxa"/>
          </w:tblCellMar>
        </w:tblPrEx>
        <w:trPr>
          <w:trHeight w:val="675" w:hRule="atLeast"/>
        </w:trPr>
        <w:tc>
          <w:tcPr>
            <w:tcW w:w="84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过程</w:t>
            </w:r>
          </w:p>
          <w:p>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pPr>
              <w:jc w:val="center"/>
              <w:rPr>
                <w:kern w:val="0"/>
                <w:sz w:val="20"/>
                <w:szCs w:val="20"/>
              </w:rPr>
            </w:pP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管理制度健全性</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3</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3</w:t>
            </w:r>
            <w:r>
              <w:rPr>
                <w:rFonts w:hAnsi="宋体"/>
                <w:kern w:val="0"/>
                <w:sz w:val="24"/>
              </w:rPr>
              <w:t>　</w:t>
            </w:r>
          </w:p>
        </w:tc>
      </w:tr>
      <w:tr>
        <w:tblPrEx>
          <w:tblCellMar>
            <w:top w:w="0" w:type="dxa"/>
            <w:left w:w="108" w:type="dxa"/>
            <w:bottom w:w="0" w:type="dxa"/>
            <w:right w:w="108" w:type="dxa"/>
          </w:tblCellMar>
        </w:tblPrEx>
        <w:trPr>
          <w:trHeight w:val="133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jc w:val="center"/>
              <w:rPr>
                <w:kern w:val="0"/>
                <w:sz w:val="20"/>
                <w:szCs w:val="20"/>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制度执行有效性</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、是否遵守相关法规和业务管理规定；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、项目实施的人员条件、场地设备、信息支撑是否落实到位。</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85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jc w:val="center"/>
              <w:rPr>
                <w:kern w:val="0"/>
                <w:sz w:val="20"/>
                <w:szCs w:val="20"/>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项目质量可控性</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2</w:t>
            </w:r>
            <w:r>
              <w:rPr>
                <w:rFonts w:hAnsi="宋体"/>
                <w:kern w:val="0"/>
                <w:sz w:val="24"/>
              </w:rPr>
              <w:t>　</w:t>
            </w:r>
          </w:p>
        </w:tc>
      </w:tr>
      <w:tr>
        <w:tblPrEx>
          <w:tblCellMar>
            <w:top w:w="0" w:type="dxa"/>
            <w:left w:w="108" w:type="dxa"/>
            <w:bottom w:w="0" w:type="dxa"/>
            <w:right w:w="108" w:type="dxa"/>
          </w:tblCellMar>
        </w:tblPrEx>
        <w:trPr>
          <w:trHeight w:val="72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管理制度健全性</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、项目资金管理办法是否符合相关财务会计制度规定。</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393"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资金使用合规性</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10</w:t>
            </w:r>
            <w:r>
              <w:rPr>
                <w:rFonts w:hAnsi="宋体"/>
                <w:kern w:val="0"/>
                <w:sz w:val="24"/>
              </w:rPr>
              <w:t>　</w:t>
            </w:r>
          </w:p>
        </w:tc>
      </w:tr>
      <w:tr>
        <w:tblPrEx>
          <w:tblCellMar>
            <w:top w:w="0" w:type="dxa"/>
            <w:left w:w="108" w:type="dxa"/>
            <w:bottom w:w="0" w:type="dxa"/>
            <w:right w:w="108" w:type="dxa"/>
          </w:tblCellMar>
        </w:tblPrEx>
        <w:trPr>
          <w:trHeight w:val="63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财务监控有效性</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、是否采取了相应的财务检查等必要监控措施或手段。</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705" w:hRule="atLeast"/>
        </w:trPr>
        <w:tc>
          <w:tcPr>
            <w:tcW w:w="845"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产出</w:t>
            </w:r>
          </w:p>
          <w:p>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960"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主要工作量完成率</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10</w:t>
            </w:r>
            <w:r>
              <w:rPr>
                <w:rFonts w:hAnsi="宋体"/>
                <w:kern w:val="0"/>
                <w:sz w:val="24"/>
              </w:rPr>
              <w:t>　</w:t>
            </w:r>
          </w:p>
        </w:tc>
      </w:tr>
      <w:tr>
        <w:tblPrEx>
          <w:tblCellMar>
            <w:top w:w="0" w:type="dxa"/>
            <w:left w:w="108" w:type="dxa"/>
            <w:bottom w:w="0" w:type="dxa"/>
            <w:right w:w="108" w:type="dxa"/>
          </w:tblCellMar>
        </w:tblPrEx>
        <w:trPr>
          <w:trHeight w:val="645" w:hRule="atLeast"/>
        </w:trPr>
        <w:tc>
          <w:tcPr>
            <w:tcW w:w="84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完成</w:t>
            </w:r>
          </w:p>
          <w:p>
            <w:pPr>
              <w:widowControl/>
              <w:jc w:val="center"/>
              <w:rPr>
                <w:kern w:val="0"/>
                <w:sz w:val="20"/>
                <w:szCs w:val="20"/>
              </w:rPr>
            </w:pPr>
            <w:r>
              <w:rPr>
                <w:rFonts w:hAnsi="宋体"/>
                <w:kern w:val="0"/>
                <w:sz w:val="20"/>
                <w:szCs w:val="20"/>
              </w:rPr>
              <w:t>及时率</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660" w:hRule="atLeast"/>
        </w:trPr>
        <w:tc>
          <w:tcPr>
            <w:tcW w:w="84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工作质量达标率</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根据项目验收结论，评价项目建设的工作质量的优劣。</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585" w:hRule="atLeast"/>
        </w:trPr>
        <w:tc>
          <w:tcPr>
            <w:tcW w:w="84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成本</w:t>
            </w:r>
          </w:p>
          <w:p>
            <w:pPr>
              <w:widowControl/>
              <w:jc w:val="center"/>
              <w:rPr>
                <w:kern w:val="0"/>
                <w:sz w:val="20"/>
                <w:szCs w:val="20"/>
              </w:rPr>
            </w:pPr>
            <w:r>
              <w:rPr>
                <w:rFonts w:hAnsi="宋体"/>
                <w:kern w:val="0"/>
                <w:sz w:val="20"/>
                <w:szCs w:val="20"/>
              </w:rPr>
              <w:t>节约率</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645" w:hRule="atLeast"/>
        </w:trPr>
        <w:tc>
          <w:tcPr>
            <w:tcW w:w="84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960"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社会效益</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15</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15</w:t>
            </w:r>
            <w:r>
              <w:rPr>
                <w:rFonts w:hAnsi="宋体"/>
                <w:kern w:val="0"/>
                <w:sz w:val="24"/>
              </w:rPr>
              <w:t>　</w:t>
            </w:r>
          </w:p>
        </w:tc>
      </w:tr>
      <w:tr>
        <w:tblPrEx>
          <w:tblCellMar>
            <w:top w:w="0" w:type="dxa"/>
            <w:left w:w="108" w:type="dxa"/>
            <w:bottom w:w="0" w:type="dxa"/>
            <w:right w:w="108" w:type="dxa"/>
          </w:tblCellMar>
        </w:tblPrEx>
        <w:trPr>
          <w:trHeight w:val="675" w:hRule="atLeast"/>
        </w:trPr>
        <w:tc>
          <w:tcPr>
            <w:tcW w:w="84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8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可持续影响</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10</w:t>
            </w:r>
            <w:r>
              <w:rPr>
                <w:rFonts w:hAnsi="宋体"/>
                <w:kern w:val="0"/>
                <w:sz w:val="24"/>
              </w:rPr>
              <w:t>　</w:t>
            </w:r>
          </w:p>
        </w:tc>
      </w:tr>
      <w:tr>
        <w:tblPrEx>
          <w:tblCellMar>
            <w:top w:w="0" w:type="dxa"/>
            <w:left w:w="108" w:type="dxa"/>
            <w:bottom w:w="0" w:type="dxa"/>
            <w:right w:w="108" w:type="dxa"/>
          </w:tblCellMar>
        </w:tblPrEx>
        <w:trPr>
          <w:trHeight w:val="520" w:hRule="atLeast"/>
        </w:trPr>
        <w:tc>
          <w:tcPr>
            <w:tcW w:w="299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合计</w:t>
            </w:r>
          </w:p>
        </w:tc>
        <w:tc>
          <w:tcPr>
            <w:tcW w:w="61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100</w:t>
            </w:r>
          </w:p>
        </w:tc>
        <w:tc>
          <w:tcPr>
            <w:tcW w:w="49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　</w:t>
            </w:r>
          </w:p>
        </w:tc>
        <w:tc>
          <w:tcPr>
            <w:tcW w:w="566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w:t>
            </w:r>
          </w:p>
        </w:tc>
        <w:tc>
          <w:tcPr>
            <w:tcW w:w="84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98</w:t>
            </w:r>
            <w:r>
              <w:rPr>
                <w:rFonts w:hAnsi="宋体"/>
                <w:kern w:val="0"/>
                <w:sz w:val="24"/>
              </w:rPr>
              <w:t>　</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仿宋" w:hAnsi="仿宋" w:eastAsia="仿宋" w:cs="仿宋"/>
          <w:sz w:val="32"/>
          <w:szCs w:val="32"/>
        </w:rPr>
      </w:pPr>
    </w:p>
    <w:sectPr>
      <w:pgSz w:w="16838" w:h="11906" w:orient="landscape"/>
      <w:pgMar w:top="1531" w:right="1417" w:bottom="1304"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E9CC1"/>
    <w:multiLevelType w:val="singleLevel"/>
    <w:tmpl w:val="0BFE9CC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7243123"/>
    <w:rsid w:val="000A1EB7"/>
    <w:rsid w:val="00B91F4F"/>
    <w:rsid w:val="00BD70DD"/>
    <w:rsid w:val="02964916"/>
    <w:rsid w:val="02D06C84"/>
    <w:rsid w:val="07243123"/>
    <w:rsid w:val="0AE862D9"/>
    <w:rsid w:val="0B5B398D"/>
    <w:rsid w:val="0B636247"/>
    <w:rsid w:val="148D4D06"/>
    <w:rsid w:val="150C2423"/>
    <w:rsid w:val="18D86927"/>
    <w:rsid w:val="1C0A1CBA"/>
    <w:rsid w:val="1FB1380D"/>
    <w:rsid w:val="209C35A2"/>
    <w:rsid w:val="21CF4014"/>
    <w:rsid w:val="23D37339"/>
    <w:rsid w:val="255A1AAD"/>
    <w:rsid w:val="25F37566"/>
    <w:rsid w:val="26B34AFE"/>
    <w:rsid w:val="28BE2AB2"/>
    <w:rsid w:val="2DFA1268"/>
    <w:rsid w:val="2EAF1370"/>
    <w:rsid w:val="310C704A"/>
    <w:rsid w:val="314440EC"/>
    <w:rsid w:val="323B0661"/>
    <w:rsid w:val="34847ECB"/>
    <w:rsid w:val="34C11AA7"/>
    <w:rsid w:val="387D50B3"/>
    <w:rsid w:val="3DE84FDE"/>
    <w:rsid w:val="402E58B5"/>
    <w:rsid w:val="45FC5711"/>
    <w:rsid w:val="47226010"/>
    <w:rsid w:val="494A1CDE"/>
    <w:rsid w:val="4A0A0110"/>
    <w:rsid w:val="4E973613"/>
    <w:rsid w:val="5228313D"/>
    <w:rsid w:val="54755AA0"/>
    <w:rsid w:val="58141F8D"/>
    <w:rsid w:val="587B7F56"/>
    <w:rsid w:val="5BDD3738"/>
    <w:rsid w:val="5CF61EA9"/>
    <w:rsid w:val="5E3C2209"/>
    <w:rsid w:val="677E6C33"/>
    <w:rsid w:val="684860E6"/>
    <w:rsid w:val="68CF6864"/>
    <w:rsid w:val="6B0842C5"/>
    <w:rsid w:val="6C856882"/>
    <w:rsid w:val="6DA978E2"/>
    <w:rsid w:val="731F16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qFormat/>
    <w:uiPriority w:val="0"/>
    <w:pPr>
      <w:ind w:firstLine="420" w:firstLineChars="200"/>
    </w:pPr>
    <w:rPr>
      <w:rFonts w:ascii="Times New Roman" w:hAnsi="Times New Roman" w:eastAsia="宋体" w:cs="Times New Roman"/>
      <w:szCs w:val="24"/>
    </w:rPr>
  </w:style>
  <w:style w:type="character" w:customStyle="1" w:styleId="8">
    <w:name w:val="页眉 Char"/>
    <w:basedOn w:val="7"/>
    <w:link w:val="4"/>
    <w:qFormat/>
    <w:uiPriority w:val="0"/>
    <w:rPr>
      <w:rFonts w:ascii="Calibri" w:hAnsi="Calibri" w:eastAsia="宋体"/>
      <w:kern w:val="2"/>
      <w:sz w:val="18"/>
      <w:szCs w:val="18"/>
    </w:rPr>
  </w:style>
  <w:style w:type="character" w:customStyle="1" w:styleId="9">
    <w:name w:val="页脚 Char"/>
    <w:basedOn w:val="7"/>
    <w:link w:val="3"/>
    <w:qFormat/>
    <w:uiPriority w:val="0"/>
    <w:rPr>
      <w:rFonts w:ascii="Calibri" w:hAnsi="Calibri"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547</Words>
  <Characters>3118</Characters>
  <Lines>25</Lines>
  <Paragraphs>7</Paragraphs>
  <TotalTime>58</TotalTime>
  <ScaleCrop>false</ScaleCrop>
  <LinksUpToDate>false</LinksUpToDate>
  <CharactersWithSpaces>3658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2019-02-28T02:09:00Z</dcterms:created>
  <dc:creator>sin1423710463</dc:creator>
  <cp:lastModifiedBy>小葫芦</cp:lastModifiedBy>
  <dcterms:modified xsi:type="dcterms:W3CDTF">2020-11-03T07:41:46Z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