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20" w:rsidRDefault="00F21220" w:rsidP="00F21220">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F21220" w:rsidRDefault="00F21220" w:rsidP="00F21220">
      <w:pPr>
        <w:spacing w:line="600" w:lineRule="exact"/>
        <w:jc w:val="center"/>
        <w:rPr>
          <w:rFonts w:eastAsia="方正小标宋_GBK"/>
          <w:sz w:val="32"/>
          <w:szCs w:val="32"/>
        </w:rPr>
      </w:pPr>
      <w:r>
        <w:rPr>
          <w:rFonts w:eastAsia="方正小标宋_GBK"/>
          <w:sz w:val="36"/>
          <w:szCs w:val="36"/>
        </w:rPr>
        <w:t>部门整体支出绩效评价报告</w:t>
      </w:r>
    </w:p>
    <w:p w:rsidR="00F21220" w:rsidRDefault="00F21220" w:rsidP="00F21220">
      <w:pPr>
        <w:pStyle w:val="a6"/>
        <w:widowControl/>
        <w:spacing w:line="520" w:lineRule="exact"/>
        <w:ind w:firstLine="640"/>
        <w:rPr>
          <w:rFonts w:ascii="Times New Roman" w:eastAsia="黑体" w:hAnsi="Times New Roman" w:hint="eastAsia"/>
          <w:sz w:val="32"/>
          <w:szCs w:val="32"/>
        </w:rPr>
      </w:pPr>
    </w:p>
    <w:p w:rsidR="00F21220" w:rsidRDefault="00F21220" w:rsidP="00F21220">
      <w:pPr>
        <w:pStyle w:val="a6"/>
        <w:widowControl/>
        <w:numPr>
          <w:ilvl w:val="0"/>
          <w:numId w:val="1"/>
        </w:numPr>
        <w:spacing w:line="520" w:lineRule="exact"/>
        <w:ind w:firstLine="640"/>
        <w:rPr>
          <w:rFonts w:ascii="Times New Roman" w:eastAsia="黑体" w:hAnsi="Times New Roman"/>
          <w:sz w:val="32"/>
          <w:szCs w:val="32"/>
        </w:rPr>
      </w:pPr>
      <w:r>
        <w:rPr>
          <w:rFonts w:ascii="Times New Roman" w:eastAsia="黑体" w:hAnsi="Times New Roman"/>
          <w:sz w:val="32"/>
          <w:szCs w:val="32"/>
        </w:rPr>
        <w:t>部门、单位基本情况</w:t>
      </w:r>
    </w:p>
    <w:p w:rsidR="00F21220" w:rsidRDefault="00F21220" w:rsidP="00F21220">
      <w:pPr>
        <w:spacing w:line="560" w:lineRule="exact"/>
        <w:ind w:firstLineChars="200" w:firstLine="640"/>
        <w:rPr>
          <w:rFonts w:ascii="仿宋_GB2312" w:eastAsia="仿宋_GB2312" w:hAnsi="宋体" w:hint="eastAsia"/>
          <w:sz w:val="32"/>
          <w:szCs w:val="32"/>
        </w:rPr>
      </w:pPr>
      <w:r>
        <w:rPr>
          <w:rFonts w:ascii="仿宋_GB2312" w:eastAsia="仿宋_GB2312" w:hint="eastAsia"/>
          <w:sz w:val="32"/>
          <w:szCs w:val="32"/>
        </w:rPr>
        <w:t>本部门共有编制人数</w:t>
      </w:r>
      <w:r>
        <w:rPr>
          <w:rFonts w:ascii="仿宋_GB2312" w:hint="eastAsia"/>
          <w:sz w:val="32"/>
          <w:szCs w:val="32"/>
        </w:rPr>
        <w:t>20</w:t>
      </w:r>
      <w:r>
        <w:rPr>
          <w:rFonts w:ascii="仿宋_GB2312" w:eastAsia="仿宋_GB2312" w:hint="eastAsia"/>
          <w:sz w:val="32"/>
          <w:szCs w:val="32"/>
        </w:rPr>
        <w:t>人，实有人数</w:t>
      </w:r>
      <w:r>
        <w:rPr>
          <w:rFonts w:ascii="仿宋_GB2312" w:hint="eastAsia"/>
          <w:sz w:val="32"/>
          <w:szCs w:val="32"/>
        </w:rPr>
        <w:t>10</w:t>
      </w:r>
      <w:r>
        <w:rPr>
          <w:rFonts w:ascii="仿宋_GB2312" w:eastAsia="仿宋_GB2312" w:hint="eastAsia"/>
          <w:sz w:val="32"/>
          <w:szCs w:val="32"/>
        </w:rPr>
        <w:t>人。内设科室</w:t>
      </w:r>
      <w:r>
        <w:rPr>
          <w:rFonts w:ascii="仿宋_GB2312" w:hint="eastAsia"/>
          <w:sz w:val="32"/>
          <w:szCs w:val="32"/>
        </w:rPr>
        <w:t>4</w:t>
      </w:r>
      <w:r>
        <w:rPr>
          <w:rFonts w:ascii="仿宋_GB2312" w:eastAsia="仿宋_GB2312" w:hint="eastAsia"/>
          <w:sz w:val="32"/>
          <w:szCs w:val="32"/>
        </w:rPr>
        <w:t>个（含</w:t>
      </w:r>
      <w:r>
        <w:rPr>
          <w:rFonts w:ascii="仿宋_GB2312" w:hint="eastAsia"/>
          <w:sz w:val="32"/>
          <w:szCs w:val="32"/>
        </w:rPr>
        <w:t>0</w:t>
      </w:r>
      <w:r>
        <w:rPr>
          <w:rFonts w:ascii="仿宋_GB2312" w:eastAsia="仿宋_GB2312" w:hint="eastAsia"/>
          <w:sz w:val="32"/>
          <w:szCs w:val="32"/>
        </w:rPr>
        <w:t>个副处级单位），分别为：</w:t>
      </w:r>
      <w:r>
        <w:rPr>
          <w:rFonts w:ascii="仿宋_GB2312" w:eastAsia="仿宋_GB2312" w:hAnsi="仿宋_GB2312" w:cs="仿宋_GB2312" w:hint="eastAsia"/>
          <w:sz w:val="32"/>
          <w:szCs w:val="32"/>
        </w:rPr>
        <w:t>办公室、执法监督室、社会综合治理指导室、网格化管理服务中心。本部门职责为</w:t>
      </w:r>
      <w:r>
        <w:rPr>
          <w:rFonts w:ascii="仿宋_GB2312" w:eastAsia="仿宋_GB2312" w:hAnsi="宋体" w:hint="eastAsia"/>
          <w:sz w:val="32"/>
          <w:szCs w:val="32"/>
        </w:rPr>
        <w:t>领导、组织、协调、指导政法工作，协助党委及其组织部门考察、管理政法部门的领导班子和干部队伍；研究加强政法队伍建设和领导班子建设的措施，负责组织政法战线的调查研究工作。承担社会管理综合治理委员会办公室日常工作。组织、协调、指导维护社会稳定的工作。承担县委</w:t>
      </w:r>
      <w:proofErr w:type="gramStart"/>
      <w:r>
        <w:rPr>
          <w:rFonts w:ascii="仿宋_GB2312" w:eastAsia="仿宋_GB2312" w:hAnsi="宋体" w:hint="eastAsia"/>
          <w:sz w:val="32"/>
          <w:szCs w:val="32"/>
        </w:rPr>
        <w:t>防范办</w:t>
      </w:r>
      <w:proofErr w:type="gramEnd"/>
      <w:r>
        <w:rPr>
          <w:rFonts w:ascii="仿宋_GB2312" w:eastAsia="仿宋_GB2312" w:hAnsi="宋体" w:hint="eastAsia"/>
          <w:sz w:val="32"/>
          <w:szCs w:val="32"/>
        </w:rPr>
        <w:t>日常工作。承办县委、县政府和市委政法委员会交办的其他工作。</w:t>
      </w:r>
    </w:p>
    <w:p w:rsidR="00F21220" w:rsidRDefault="00F21220" w:rsidP="00F21220">
      <w:pPr>
        <w:pStyle w:val="a6"/>
        <w:widowControl/>
        <w:spacing w:line="520" w:lineRule="exact"/>
        <w:ind w:firstLine="64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F21220" w:rsidRDefault="00F21220" w:rsidP="00F21220">
      <w:pPr>
        <w:pStyle w:val="a6"/>
        <w:widowControl/>
        <w:spacing w:line="520" w:lineRule="exact"/>
        <w:ind w:left="640" w:firstLineChars="0" w:firstLine="0"/>
        <w:rPr>
          <w:rFonts w:ascii="Times New Roman" w:eastAsia="黑体" w:hAnsi="Times New Roman" w:hint="eastAsia"/>
          <w:sz w:val="32"/>
          <w:szCs w:val="32"/>
        </w:rPr>
      </w:pPr>
      <w:r>
        <w:rPr>
          <w:rFonts w:ascii="Times New Roman" w:eastAsia="黑体" w:hAnsi="Times New Roman" w:hint="eastAsia"/>
          <w:sz w:val="32"/>
          <w:szCs w:val="32"/>
        </w:rPr>
        <w:t>（一）</w:t>
      </w:r>
      <w:r>
        <w:rPr>
          <w:rFonts w:ascii="Times New Roman" w:eastAsia="黑体" w:hAnsi="Times New Roman"/>
          <w:sz w:val="32"/>
          <w:szCs w:val="32"/>
        </w:rPr>
        <w:t>基本支出情况</w:t>
      </w:r>
      <w:r>
        <w:rPr>
          <w:rFonts w:ascii="Times New Roman" w:eastAsia="黑体" w:hAnsi="Times New Roman" w:hint="eastAsia"/>
          <w:sz w:val="32"/>
          <w:szCs w:val="32"/>
        </w:rPr>
        <w:t xml:space="preserve">                         </w:t>
      </w:r>
    </w:p>
    <w:p w:rsidR="00F21220" w:rsidRDefault="00F21220" w:rsidP="00F21220">
      <w:pPr>
        <w:pStyle w:val="a6"/>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本年度基本支出327.36万元，其中：一般公共服务支出217.64万元，公共安全支出22.5万元，社会保障和就业支出40.22万元，卫生健康支出6.9万元，住房保障支出10.1万元，其他支出30万元。</w:t>
      </w:r>
    </w:p>
    <w:p w:rsidR="00F21220" w:rsidRDefault="00F21220" w:rsidP="00F21220">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F21220" w:rsidRDefault="00F21220" w:rsidP="00F21220">
      <w:pPr>
        <w:pStyle w:val="a6"/>
        <w:widowControl/>
        <w:spacing w:line="520" w:lineRule="exact"/>
        <w:ind w:left="640" w:firstLineChars="0" w:firstLine="0"/>
        <w:jc w:val="left"/>
        <w:rPr>
          <w:rFonts w:eastAsia="仿宋_GB2312" w:hint="eastAsia"/>
          <w:sz w:val="32"/>
          <w:szCs w:val="32"/>
        </w:rPr>
      </w:pPr>
      <w:r>
        <w:rPr>
          <w:rFonts w:eastAsia="仿宋_GB2312" w:hint="eastAsia"/>
          <w:sz w:val="32"/>
          <w:szCs w:val="32"/>
        </w:rPr>
        <w:t>本年度无项目支出。</w:t>
      </w:r>
    </w:p>
    <w:p w:rsidR="00F21220" w:rsidRDefault="00F21220" w:rsidP="00F21220">
      <w:pPr>
        <w:pStyle w:val="a6"/>
        <w:widowControl/>
        <w:spacing w:line="520" w:lineRule="exact"/>
        <w:ind w:firstLine="640"/>
        <w:jc w:val="left"/>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政府性基金预算支出情况</w:t>
      </w:r>
    </w:p>
    <w:p w:rsidR="00F21220" w:rsidRDefault="00F21220" w:rsidP="00F21220">
      <w:pPr>
        <w:pStyle w:val="a6"/>
        <w:widowControl/>
        <w:spacing w:line="520" w:lineRule="exact"/>
        <w:ind w:leftChars="200" w:left="420" w:firstLineChars="100" w:firstLine="3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本年度无政府性基金预算支出。</w:t>
      </w:r>
    </w:p>
    <w:p w:rsidR="00F21220" w:rsidRDefault="00F21220" w:rsidP="00F21220">
      <w:pPr>
        <w:pStyle w:val="a6"/>
        <w:widowControl/>
        <w:spacing w:line="520" w:lineRule="exact"/>
        <w:ind w:leftChars="304" w:left="638" w:firstLineChars="0" w:firstLine="0"/>
        <w:jc w:val="left"/>
        <w:rPr>
          <w:rFonts w:ascii="仿宋_GB2312" w:eastAsia="仿宋_GB2312" w:hAnsi="仿宋_GB2312" w:cs="仿宋_GB2312" w:hint="eastAsia"/>
          <w:sz w:val="32"/>
          <w:szCs w:val="32"/>
        </w:rPr>
      </w:pPr>
      <w:r>
        <w:rPr>
          <w:rFonts w:ascii="Times New Roman" w:eastAsia="黑体" w:hAnsi="Times New Roman" w:hint="eastAsia"/>
          <w:sz w:val="32"/>
          <w:szCs w:val="32"/>
        </w:rPr>
        <w:lastRenderedPageBreak/>
        <w:t>四、</w:t>
      </w:r>
      <w:r>
        <w:rPr>
          <w:rFonts w:ascii="Times New Roman" w:eastAsia="黑体" w:hAnsi="Times New Roman"/>
          <w:sz w:val="32"/>
          <w:szCs w:val="32"/>
        </w:rPr>
        <w:t>社会保险基金预算支出情况</w:t>
      </w:r>
      <w:r>
        <w:rPr>
          <w:rFonts w:ascii="Times New Roman" w:eastAsia="黑体" w:hAnsi="Times New Roman" w:hint="eastAsia"/>
          <w:sz w:val="32"/>
          <w:szCs w:val="32"/>
        </w:rPr>
        <w:t xml:space="preserve">                  </w:t>
      </w:r>
      <w:r>
        <w:rPr>
          <w:rFonts w:ascii="仿宋_GB2312" w:eastAsia="仿宋_GB2312" w:hAnsi="仿宋_GB2312" w:cs="仿宋_GB2312" w:hint="eastAsia"/>
          <w:sz w:val="32"/>
          <w:szCs w:val="32"/>
        </w:rPr>
        <w:t>本本年度无社会保险基金预算支出。</w:t>
      </w:r>
    </w:p>
    <w:p w:rsidR="00F21220" w:rsidRDefault="00F21220" w:rsidP="00F21220">
      <w:pPr>
        <w:widowControl/>
        <w:spacing w:line="520" w:lineRule="exact"/>
        <w:ind w:firstLineChars="200" w:firstLine="640"/>
        <w:jc w:val="left"/>
        <w:rPr>
          <w:rFonts w:eastAsia="黑体"/>
          <w:sz w:val="32"/>
          <w:szCs w:val="32"/>
        </w:rPr>
      </w:pPr>
      <w:r>
        <w:rPr>
          <w:rFonts w:eastAsia="黑体" w:hint="eastAsia"/>
          <w:sz w:val="32"/>
          <w:szCs w:val="32"/>
        </w:rPr>
        <w:t>五</w:t>
      </w:r>
      <w:r>
        <w:rPr>
          <w:rFonts w:eastAsia="黑体"/>
          <w:sz w:val="32"/>
          <w:szCs w:val="32"/>
        </w:rPr>
        <w:t>、部门整体支出绩效情况</w:t>
      </w:r>
    </w:p>
    <w:p w:rsidR="00F21220" w:rsidRDefault="00F21220" w:rsidP="00F21220">
      <w:pPr>
        <w:widowControl/>
        <w:spacing w:line="520" w:lineRule="exact"/>
        <w:ind w:firstLine="64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（一）资金使用、部门决算总体情况</w:t>
      </w:r>
    </w:p>
    <w:p w:rsidR="00F21220" w:rsidRDefault="00F21220" w:rsidP="00F21220">
      <w:pPr>
        <w:ind w:left="105" w:firstLine="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2019年年</w:t>
      </w:r>
      <w:proofErr w:type="gramStart"/>
      <w:r>
        <w:rPr>
          <w:rFonts w:ascii="仿宋_GB2312" w:eastAsia="仿宋_GB2312" w:hAnsi="仿宋_GB2312" w:cs="仿宋_GB2312" w:hint="eastAsia"/>
          <w:sz w:val="32"/>
          <w:szCs w:val="32"/>
        </w:rPr>
        <w:t>末单位</w:t>
      </w:r>
      <w:proofErr w:type="gramEnd"/>
      <w:r>
        <w:rPr>
          <w:rFonts w:ascii="仿宋_GB2312" w:eastAsia="仿宋_GB2312" w:hAnsi="仿宋_GB2312" w:cs="仿宋_GB2312" w:hint="eastAsia"/>
          <w:sz w:val="32"/>
          <w:szCs w:val="32"/>
        </w:rPr>
        <w:t>资产总额37.92万元，其中：固定资产14.52万元，流动资产23.4万元；负债总额23.4万元；净资产总额14.52万元。2019年度预算总支出327.36万元，其中：工资福利支出136.49万元，商品和服务支出114.88万元，对个人和家庭补助支出72.94万元，资本性支出3.05万元。2019年度决算“三公”经费0.84万元，其中：公务接待费0.84元，公务用车运行维护费0万元，因公出国（境）费用0元。</w:t>
      </w:r>
    </w:p>
    <w:p w:rsidR="00F21220" w:rsidRDefault="00F21220" w:rsidP="00F2122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（二）整体支出绩效</w:t>
      </w:r>
    </w:p>
    <w:p w:rsidR="00F21220" w:rsidRDefault="00F21220" w:rsidP="00F2122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2019年，炎陵县政法工作以习近平新时代中国特色社会主义思想为指导，全面贯彻落实上级政法工作会议精神，在县委的坚强领导下，围绕县委、县政府中心工作,以“力保一个目标、攻克两个难题、把握三个重点、打好四个擂台、实现五个过硬”“12345”为行动纲领，忠诚</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使命,奋力担当作为,全面推进平安建设、法治建设、队伍建设，为全县经济社会高质量发展保驾护航。</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一年来，炎陵县社会大局平安稳定稳中向好，没有发生较大刑事案件、较大群体性事件、较大交通事故、生产安全事故、负面舆情事件，所有特护期均实现“零进京、零非访、</w:t>
      </w:r>
      <w:r>
        <w:rPr>
          <w:rFonts w:ascii="仿宋_GB2312" w:eastAsia="仿宋_GB2312" w:hAnsi="仿宋_GB2312" w:cs="仿宋_GB2312" w:hint="eastAsia"/>
          <w:sz w:val="32"/>
          <w:szCs w:val="32"/>
        </w:rPr>
        <w:lastRenderedPageBreak/>
        <w:t>零登记”。</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32"/>
          <w:szCs w:val="32"/>
        </w:rPr>
        <w:t>1、坚持党建引领，狠抓政法队伍建设</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一是坚持党对政法工作的绝对领导</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积极推进县委政法委自身建设,发挥好县委政法委的政治引领和保障作用,明确“牵头抓总”职能定位,议大事抓大事,构建“大政法”格局,确保政法工作正确的政治方向。深入学习宣传贯彻《中国共产党政法工作条例》，把党的绝对领导贯彻到政法工作的各方面、全过程。二是全覆盖开展“不忘初心，牢记使命”主题教育。推动主题教育常态化制度化，把党的十九大精神和习近平新时代中国特色社会主义思想融入政法干警的日常行为中，内化于心、外化于形，逐步实现知行合一。结合主题教育，开展“对黄赌毒和黑恶势力听之任之、失职失责，甚至包庇纵容、充当保护伞的问题”专项整治，促进“黑恶积案清零、问题线索清零”。三是狠抓队伍树形</w:t>
      </w:r>
      <w:proofErr w:type="gramStart"/>
      <w:r>
        <w:rPr>
          <w:rFonts w:ascii="仿宋_GB2312" w:eastAsia="仿宋_GB2312" w:hAnsi="仿宋_GB2312" w:cs="仿宋_GB2312" w:hint="eastAsia"/>
          <w:sz w:val="32"/>
          <w:szCs w:val="32"/>
        </w:rPr>
        <w:t>象</w:t>
      </w:r>
      <w:proofErr w:type="gramEnd"/>
      <w:r>
        <w:rPr>
          <w:rFonts w:ascii="仿宋_GB2312" w:eastAsia="仿宋_GB2312" w:hAnsi="仿宋_GB2312" w:cs="仿宋_GB2312" w:hint="eastAsia"/>
          <w:sz w:val="32"/>
          <w:szCs w:val="32"/>
        </w:rPr>
        <w:t>。“以刀刃向内”的自我革命精神，对政法系统的不正之风和违法违纪行为，实行零容忍，一查到底，坚决消除系统内的“毒瘤”。大力推动政治建警、改革强警、科技兴警、从严治警，驰而不息整治“四风”问题，以铁的作风</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“两个维护”。</w:t>
      </w:r>
      <w:proofErr w:type="gramStart"/>
      <w:r>
        <w:rPr>
          <w:rFonts w:ascii="仿宋_GB2312" w:eastAsia="仿宋_GB2312" w:hAnsi="仿宋_GB2312" w:cs="仿宋_GB2312" w:hint="eastAsia"/>
          <w:sz w:val="32"/>
          <w:szCs w:val="32"/>
        </w:rPr>
        <w:t>许友平</w:t>
      </w:r>
      <w:proofErr w:type="gramEnd"/>
      <w:r>
        <w:rPr>
          <w:rFonts w:ascii="仿宋_GB2312" w:eastAsia="仿宋_GB2312" w:hAnsi="仿宋_GB2312" w:cs="仿宋_GB2312" w:hint="eastAsia"/>
          <w:sz w:val="32"/>
          <w:szCs w:val="32"/>
        </w:rPr>
        <w:t>、王伟明荣获最高人民法院荣誉天平奖章，红星桥派出所所长赵政获评全省“最美基层民警”，县检察院保持省级文明标兵单位称号。</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2、保持高压态势，强力推进扫黑除恶</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一是紧盯黑恶专案抓攻坚。打掉涉</w:t>
      </w:r>
      <w:proofErr w:type="gramStart"/>
      <w:r>
        <w:rPr>
          <w:rFonts w:ascii="仿宋_GB2312" w:eastAsia="仿宋_GB2312" w:hAnsi="仿宋_GB2312" w:cs="仿宋_GB2312" w:hint="eastAsia"/>
          <w:sz w:val="32"/>
          <w:szCs w:val="32"/>
        </w:rPr>
        <w:t>黑涉恶犯罪</w:t>
      </w:r>
      <w:proofErr w:type="gramEnd"/>
      <w:r>
        <w:rPr>
          <w:rFonts w:ascii="仿宋_GB2312" w:eastAsia="仿宋_GB2312" w:hAnsi="仿宋_GB2312" w:cs="仿宋_GB2312" w:hint="eastAsia"/>
          <w:sz w:val="32"/>
          <w:szCs w:val="32"/>
        </w:rPr>
        <w:t>集团（团伙）4个，抓获涉</w:t>
      </w:r>
      <w:proofErr w:type="gramStart"/>
      <w:r>
        <w:rPr>
          <w:rFonts w:ascii="仿宋_GB2312" w:eastAsia="仿宋_GB2312" w:hAnsi="仿宋_GB2312" w:cs="仿宋_GB2312" w:hint="eastAsia"/>
          <w:sz w:val="32"/>
          <w:szCs w:val="32"/>
        </w:rPr>
        <w:t>黑涉恶违法</w:t>
      </w:r>
      <w:proofErr w:type="gramEnd"/>
      <w:r>
        <w:rPr>
          <w:rFonts w:ascii="仿宋_GB2312" w:eastAsia="仿宋_GB2312" w:hAnsi="仿宋_GB2312" w:cs="仿宋_GB2312" w:hint="eastAsia"/>
          <w:sz w:val="32"/>
          <w:szCs w:val="32"/>
        </w:rPr>
        <w:t>犯罪嫌疑人60余人，查处（破获）违法犯罪案件200余起。其中，摧毁以谭某华为首的涉黑社会组织1个，冻结查扣涉案资产620余万元；</w:t>
      </w:r>
      <w:proofErr w:type="gramStart"/>
      <w:r>
        <w:rPr>
          <w:rFonts w:ascii="仿宋_GB2312" w:eastAsia="仿宋_GB2312" w:hAnsi="仿宋_GB2312" w:cs="仿宋_GB2312" w:hint="eastAsia"/>
          <w:sz w:val="32"/>
          <w:szCs w:val="32"/>
        </w:rPr>
        <w:t>打掉陈某良</w:t>
      </w:r>
      <w:proofErr w:type="gramEnd"/>
      <w:r>
        <w:rPr>
          <w:rFonts w:ascii="仿宋_GB2312" w:eastAsia="仿宋_GB2312" w:hAnsi="仿宋_GB2312" w:cs="仿宋_GB2312" w:hint="eastAsia"/>
          <w:sz w:val="32"/>
          <w:szCs w:val="32"/>
        </w:rPr>
        <w:t>恶势力犯罪集团1个，其全部成员到案并依法公开审判，该恶势力集团被彻底铲除；打掉段</w:t>
      </w:r>
      <w:proofErr w:type="gramStart"/>
      <w:r>
        <w:rPr>
          <w:rFonts w:ascii="仿宋_GB2312" w:eastAsia="仿宋_GB2312" w:hAnsi="仿宋_GB2312" w:cs="仿宋_GB2312" w:hint="eastAsia"/>
          <w:sz w:val="32"/>
          <w:szCs w:val="32"/>
        </w:rPr>
        <w:t>某涉恶</w:t>
      </w:r>
      <w:proofErr w:type="gramEnd"/>
      <w:r>
        <w:rPr>
          <w:rFonts w:ascii="仿宋_GB2312" w:eastAsia="仿宋_GB2312" w:hAnsi="仿宋_GB2312" w:cs="仿宋_GB2312" w:hint="eastAsia"/>
          <w:sz w:val="32"/>
          <w:szCs w:val="32"/>
        </w:rPr>
        <w:t>团伙1个、卢某恶势力犯罪集团1个，移送检察机关审查起诉。二是紧盯专项</w:t>
      </w:r>
      <w:proofErr w:type="gramStart"/>
      <w:r>
        <w:rPr>
          <w:rFonts w:ascii="仿宋_GB2312" w:eastAsia="仿宋_GB2312" w:hAnsi="仿宋_GB2312" w:cs="仿宋_GB2312" w:hint="eastAsia"/>
          <w:sz w:val="32"/>
          <w:szCs w:val="32"/>
        </w:rPr>
        <w:t>整治抓</w:t>
      </w:r>
      <w:proofErr w:type="gramEnd"/>
      <w:r>
        <w:rPr>
          <w:rFonts w:ascii="仿宋_GB2312" w:eastAsia="仿宋_GB2312" w:hAnsi="仿宋_GB2312" w:cs="仿宋_GB2312" w:hint="eastAsia"/>
          <w:sz w:val="32"/>
          <w:szCs w:val="32"/>
        </w:rPr>
        <w:t>治理。开展“三贷三霸”专项整治，破获涉案资金达3000余万元的非法吸收公众存款案一起，抓获犯罪嫌疑人两名，正在侦办非法吸收公众存款案件2起。结合主题教育，开展“对黄赌毒和黑恶势力听之任之、失职失责，甚至包庇纵容、充当保护伞的问题”专项整治，立涉毒刑事案件14起，已抓获涉毒违法犯罪嫌疑人18人；查处赌博案件1起，治安拘留2人，抓获涉黄、涉赌、“食药环”犯罪嫌疑人６人。三是紧盯线索核查抓起底。持续深入开展涉</w:t>
      </w:r>
      <w:proofErr w:type="gramStart"/>
      <w:r>
        <w:rPr>
          <w:rFonts w:ascii="仿宋_GB2312" w:eastAsia="仿宋_GB2312" w:hAnsi="仿宋_GB2312" w:cs="仿宋_GB2312" w:hint="eastAsia"/>
          <w:sz w:val="32"/>
          <w:szCs w:val="32"/>
        </w:rPr>
        <w:t>黑涉恶腐败</w:t>
      </w:r>
      <w:proofErr w:type="gramEnd"/>
      <w:r>
        <w:rPr>
          <w:rFonts w:ascii="仿宋_GB2312" w:eastAsia="仿宋_GB2312" w:hAnsi="仿宋_GB2312" w:cs="仿宋_GB2312" w:hint="eastAsia"/>
          <w:sz w:val="32"/>
          <w:szCs w:val="32"/>
        </w:rPr>
        <w:t>和“保护伞”问题线索“大起底”，如期如质办结中央督导组交办群众举报线索4起，全国扫黑办网上平台交办问题线索1起，侦办</w:t>
      </w:r>
      <w:proofErr w:type="gramStart"/>
      <w:r>
        <w:rPr>
          <w:rFonts w:ascii="仿宋_GB2312" w:eastAsia="仿宋_GB2312" w:hAnsi="仿宋_GB2312" w:cs="仿宋_GB2312" w:hint="eastAsia"/>
          <w:sz w:val="32"/>
          <w:szCs w:val="32"/>
        </w:rPr>
        <w:t>赵某玉涉嫌</w:t>
      </w:r>
      <w:proofErr w:type="gramEnd"/>
      <w:r>
        <w:rPr>
          <w:rFonts w:ascii="仿宋_GB2312" w:eastAsia="仿宋_GB2312" w:hAnsi="仿宋_GB2312" w:cs="仿宋_GB2312" w:hint="eastAsia"/>
          <w:sz w:val="32"/>
          <w:szCs w:val="32"/>
        </w:rPr>
        <w:t>串通投标罪案件，追缴违法所得一千余万元。4个涉</w:t>
      </w:r>
      <w:proofErr w:type="gramStart"/>
      <w:r>
        <w:rPr>
          <w:rFonts w:ascii="仿宋_GB2312" w:eastAsia="仿宋_GB2312" w:hAnsi="仿宋_GB2312" w:cs="仿宋_GB2312" w:hint="eastAsia"/>
          <w:sz w:val="32"/>
          <w:szCs w:val="32"/>
        </w:rPr>
        <w:t>黑涉恶案件县</w:t>
      </w:r>
      <w:proofErr w:type="gramEnd"/>
      <w:r>
        <w:rPr>
          <w:rFonts w:ascii="仿宋_GB2312" w:eastAsia="仿宋_GB2312" w:hAnsi="仿宋_GB2312" w:cs="仿宋_GB2312" w:hint="eastAsia"/>
          <w:sz w:val="32"/>
          <w:szCs w:val="32"/>
        </w:rPr>
        <w:t>纪委监委均按照“两个一律”、“一案三查”的要求组织核查，共立案审查10人，给予党纪政纪处分10人，移送司法机关1人。</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3、坚持综合治理，扎实推进平安建设</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一是推进社会治理新模式。夯实乡村防控，聘请133名辅警，实现驻村（社区）</w:t>
      </w:r>
      <w:proofErr w:type="gramStart"/>
      <w:r>
        <w:rPr>
          <w:rFonts w:ascii="仿宋_GB2312" w:eastAsia="仿宋_GB2312" w:hAnsi="仿宋_GB2312" w:cs="仿宋_GB2312" w:hint="eastAsia"/>
          <w:sz w:val="32"/>
          <w:szCs w:val="32"/>
        </w:rPr>
        <w:t>辅警全覆盖</w:t>
      </w:r>
      <w:proofErr w:type="gramEnd"/>
      <w:r>
        <w:rPr>
          <w:rFonts w:ascii="仿宋_GB2312" w:eastAsia="仿宋_GB2312" w:hAnsi="仿宋_GB2312" w:cs="仿宋_GB2312" w:hint="eastAsia"/>
          <w:sz w:val="32"/>
          <w:szCs w:val="32"/>
        </w:rPr>
        <w:t>。加强“城市快警”建设，城区设立２个驻守点，增加街面</w:t>
      </w:r>
      <w:proofErr w:type="gramStart"/>
      <w:r>
        <w:rPr>
          <w:rFonts w:ascii="仿宋_GB2312" w:eastAsia="仿宋_GB2312" w:hAnsi="仿宋_GB2312" w:cs="仿宋_GB2312" w:hint="eastAsia"/>
          <w:sz w:val="32"/>
          <w:szCs w:val="32"/>
        </w:rPr>
        <w:t>见警率</w:t>
      </w:r>
      <w:proofErr w:type="gramEnd"/>
      <w:r>
        <w:rPr>
          <w:rFonts w:ascii="仿宋_GB2312" w:eastAsia="仿宋_GB2312" w:hAnsi="仿宋_GB2312" w:cs="仿宋_GB2312" w:hint="eastAsia"/>
          <w:sz w:val="32"/>
          <w:szCs w:val="32"/>
        </w:rPr>
        <w:t>，及时掌握、快速处置社情、警情、案情。实现县、市综治中心平台正常对接，加大基础数据采集力度，推进全县网格划分。二是深入开展“平安创建”活动。以建设省“平安县”为目标、公众安全感民意测评为抓手，持续推动平安乡镇、平安村（社区）等九大平安创建活动，进一步加强村（社区）等基层社会治理能力。三是打造立体化防控体系。建成平安城市电子防控系统，监控点位110余个，监控探头256个，包含城区7个电子警察、15个治安卡口、６个人脸识别卡口，监控点位覆盖城区及部分乡镇和国省道。四是构建多元化矛盾纠纷调解体系。充分发挥“三调联动”、“金牌调解员”评选平台、</w:t>
      </w:r>
      <w:proofErr w:type="gramStart"/>
      <w:r>
        <w:rPr>
          <w:rFonts w:ascii="仿宋_GB2312" w:eastAsia="仿宋_GB2312" w:hAnsi="仿宋_GB2312" w:cs="仿宋_GB2312" w:hint="eastAsia"/>
          <w:sz w:val="32"/>
          <w:szCs w:val="32"/>
        </w:rPr>
        <w:t>矛调中心</w:t>
      </w:r>
      <w:proofErr w:type="gramEnd"/>
      <w:r>
        <w:rPr>
          <w:rFonts w:ascii="仿宋_GB2312" w:eastAsia="仿宋_GB2312" w:hAnsi="仿宋_GB2312" w:cs="仿宋_GB2312" w:hint="eastAsia"/>
          <w:sz w:val="32"/>
          <w:szCs w:val="32"/>
        </w:rPr>
        <w:t>和25个专业性行业性调委会作用，扎实开展“四查四防化纠纷·千乡万村创四无”专项调解活动，全年共受理各类矛盾纠纷1130件，调解成功1125件，调解成功率99.6%以上。五是重点人员管理规范有序。对社区服刑人员、刑满释放人员、社区戒毒康复人员、问题青少年等重点人群坚持衔接、安置、帮扶一体化管理模式,实行一人一档。严格落实涉</w:t>
      </w:r>
      <w:proofErr w:type="gramStart"/>
      <w:r>
        <w:rPr>
          <w:rFonts w:ascii="仿宋_GB2312" w:eastAsia="仿宋_GB2312" w:hAnsi="仿宋_GB2312" w:cs="仿宋_GB2312" w:hint="eastAsia"/>
          <w:sz w:val="32"/>
          <w:szCs w:val="32"/>
        </w:rPr>
        <w:t>恐涉邪人员</w:t>
      </w:r>
      <w:proofErr w:type="gramEnd"/>
      <w:r>
        <w:rPr>
          <w:rFonts w:ascii="仿宋_GB2312" w:eastAsia="仿宋_GB2312" w:hAnsi="仿宋_GB2312" w:cs="仿宋_GB2312" w:hint="eastAsia"/>
          <w:sz w:val="32"/>
          <w:szCs w:val="32"/>
        </w:rPr>
        <w:t>“五管”“五见”措施和易肇事肇祸严重精神障碍患者以奖代补政策，加强对特殊人群、重点对象管控力度。六是持续发力法治建设。落实普法责任，推进法</w:t>
      </w:r>
      <w:r>
        <w:rPr>
          <w:rFonts w:ascii="仿宋_GB2312" w:eastAsia="仿宋_GB2312" w:hAnsi="仿宋_GB2312" w:cs="仿宋_GB2312" w:hint="eastAsia"/>
          <w:sz w:val="32"/>
          <w:szCs w:val="32"/>
        </w:rPr>
        <w:lastRenderedPageBreak/>
        <w:t>治建设。进校园、进社区、进农村、进家庭、进企业开展</w:t>
      </w:r>
      <w:r>
        <w:rPr>
          <w:rFonts w:eastAsia="仿宋_GB2312" w:cs="仿宋_GB2312" w:hint="eastAsia"/>
          <w:sz w:val="32"/>
          <w:szCs w:val="32"/>
        </w:rPr>
        <w:t>普法宣传</w:t>
      </w:r>
      <w:r>
        <w:rPr>
          <w:rFonts w:eastAsia="仿宋_GB2312" w:cs="仿宋_GB2312" w:hint="eastAsia"/>
          <w:sz w:val="32"/>
          <w:szCs w:val="32"/>
        </w:rPr>
        <w:t>28</w:t>
      </w:r>
      <w:r>
        <w:rPr>
          <w:rFonts w:eastAsia="仿宋_GB2312" w:cs="仿宋_GB2312" w:hint="eastAsia"/>
          <w:sz w:val="32"/>
          <w:szCs w:val="32"/>
        </w:rPr>
        <w:t>场、法治讲座</w:t>
      </w:r>
      <w:r>
        <w:rPr>
          <w:rFonts w:eastAsia="仿宋_GB2312" w:cs="仿宋_GB2312" w:hint="eastAsia"/>
          <w:sz w:val="32"/>
          <w:szCs w:val="32"/>
        </w:rPr>
        <w:t>24</w:t>
      </w:r>
      <w:r>
        <w:rPr>
          <w:rFonts w:eastAsia="仿宋_GB2312" w:cs="仿宋_GB2312" w:hint="eastAsia"/>
          <w:sz w:val="32"/>
          <w:szCs w:val="32"/>
        </w:rPr>
        <w:t>场，发放法治宣传资料</w:t>
      </w:r>
      <w:r>
        <w:rPr>
          <w:rFonts w:eastAsia="仿宋_GB2312" w:cs="仿宋_GB2312" w:hint="eastAsia"/>
          <w:sz w:val="32"/>
          <w:szCs w:val="32"/>
        </w:rPr>
        <w:t>60000</w:t>
      </w:r>
      <w:r>
        <w:rPr>
          <w:rFonts w:eastAsia="仿宋_GB2312" w:cs="仿宋_GB2312" w:hint="eastAsia"/>
          <w:sz w:val="32"/>
          <w:szCs w:val="32"/>
        </w:rPr>
        <w:t>余份、</w:t>
      </w:r>
      <w:r>
        <w:rPr>
          <w:rFonts w:ascii="仿宋_GB2312" w:eastAsia="仿宋_GB2312" w:hAnsi="仿宋_GB2312" w:cs="仿宋_GB2312" w:hint="eastAsia"/>
          <w:sz w:val="32"/>
          <w:szCs w:val="32"/>
        </w:rPr>
        <w:t>扫黑除恶战报14万余份，</w:t>
      </w:r>
      <w:r>
        <w:rPr>
          <w:rFonts w:eastAsia="仿宋_GB2312" w:cs="仿宋_GB2312" w:hint="eastAsia"/>
          <w:sz w:val="32"/>
          <w:szCs w:val="32"/>
        </w:rPr>
        <w:t>普法受众</w:t>
      </w:r>
      <w:r>
        <w:rPr>
          <w:rFonts w:eastAsia="仿宋_GB2312" w:cs="仿宋_GB2312" w:hint="eastAsia"/>
          <w:sz w:val="32"/>
          <w:szCs w:val="32"/>
        </w:rPr>
        <w:t>50000</w:t>
      </w:r>
      <w:r>
        <w:rPr>
          <w:rFonts w:eastAsia="仿宋_GB2312" w:cs="仿宋_GB2312" w:hint="eastAsia"/>
          <w:sz w:val="32"/>
          <w:szCs w:val="32"/>
        </w:rPr>
        <w:t>余人次。</w:t>
      </w:r>
      <w:r>
        <w:rPr>
          <w:rFonts w:ascii="仿宋_GB2312" w:eastAsia="仿宋_GB2312" w:hAnsi="仿宋_GB2312" w:cs="仿宋_GB2312" w:hint="eastAsia"/>
          <w:sz w:val="32"/>
          <w:szCs w:val="32"/>
        </w:rPr>
        <w:t>开展案件评查和涉法涉诉重复访、越级访专项治理，司法救助涉法涉诉案件10起共22.5万元，</w:t>
      </w:r>
      <w:r>
        <w:rPr>
          <w:rFonts w:eastAsia="仿宋_GB2312" w:cs="仿宋_GB2312" w:hint="eastAsia"/>
          <w:sz w:val="32"/>
          <w:szCs w:val="32"/>
        </w:rPr>
        <w:t>办理法律援助案件</w:t>
      </w:r>
      <w:r>
        <w:rPr>
          <w:rFonts w:eastAsia="仿宋_GB2312" w:cs="仿宋_GB2312" w:hint="eastAsia"/>
          <w:sz w:val="32"/>
          <w:szCs w:val="32"/>
        </w:rPr>
        <w:t>161</w:t>
      </w:r>
      <w:r>
        <w:rPr>
          <w:rFonts w:eastAsia="仿宋_GB2312" w:cs="仿宋_GB2312" w:hint="eastAsia"/>
          <w:sz w:val="32"/>
          <w:szCs w:val="32"/>
        </w:rPr>
        <w:t>件</w:t>
      </w:r>
      <w:r>
        <w:rPr>
          <w:rFonts w:ascii="仿宋_GB2312" w:eastAsia="仿宋_GB2312" w:hAnsi="仿宋_GB2312" w:cs="仿宋_GB2312" w:hint="eastAsia"/>
          <w:sz w:val="32"/>
          <w:szCs w:val="32"/>
        </w:rPr>
        <w:t>。七是强化公共安全管控。开展人员密集场所安全防范整治，全面落实寄递物流“三个100%”，旅馆、</w:t>
      </w:r>
      <w:r>
        <w:rPr>
          <w:rFonts w:eastAsia="仿宋_GB2312" w:hint="eastAsia"/>
          <w:color w:val="000000"/>
          <w:sz w:val="32"/>
        </w:rPr>
        <w:t>网吧、长途客运、</w:t>
      </w:r>
      <w:r>
        <w:rPr>
          <w:rFonts w:ascii="仿宋_GB2312" w:eastAsia="仿宋_GB2312" w:hAnsi="仿宋_GB2312" w:cs="仿宋_GB2312" w:hint="eastAsia"/>
          <w:sz w:val="32"/>
          <w:szCs w:val="32"/>
        </w:rPr>
        <w:t>机修业等重点领域实名制。开展交通安全整治攻坚，健全“五类车辆”、“四类企业”、“三类人员”的重点安全隐患定期“清零”机制。全力做好铁路护线联防，确保铁路沿线安全。八是安保</w:t>
      </w:r>
      <w:proofErr w:type="gramStart"/>
      <w:r>
        <w:rPr>
          <w:rFonts w:ascii="仿宋_GB2312" w:eastAsia="仿宋_GB2312" w:hAnsi="仿宋_GB2312" w:cs="仿宋_GB2312" w:hint="eastAsia"/>
          <w:sz w:val="32"/>
          <w:szCs w:val="32"/>
        </w:rPr>
        <w:t>维稳成效</w:t>
      </w:r>
      <w:proofErr w:type="gramEnd"/>
      <w:r>
        <w:rPr>
          <w:rFonts w:ascii="仿宋_GB2312" w:eastAsia="仿宋_GB2312" w:hAnsi="仿宋_GB2312" w:cs="仿宋_GB2312" w:hint="eastAsia"/>
          <w:sz w:val="32"/>
          <w:szCs w:val="32"/>
        </w:rPr>
        <w:t>突出。强化风险防控意识，落实安</w:t>
      </w:r>
      <w:proofErr w:type="gramStart"/>
      <w:r>
        <w:rPr>
          <w:rFonts w:ascii="仿宋_GB2312" w:eastAsia="仿宋_GB2312" w:hAnsi="仿宋_GB2312" w:cs="仿宋_GB2312" w:hint="eastAsia"/>
          <w:sz w:val="32"/>
          <w:szCs w:val="32"/>
        </w:rPr>
        <w:t>保维稳责任</w:t>
      </w:r>
      <w:proofErr w:type="gramEnd"/>
      <w:r>
        <w:rPr>
          <w:rFonts w:ascii="仿宋_GB2312" w:eastAsia="仿宋_GB2312" w:hAnsi="仿宋_GB2312" w:cs="仿宋_GB2312" w:hint="eastAsia"/>
          <w:sz w:val="32"/>
          <w:szCs w:val="32"/>
        </w:rPr>
        <w:t>。实行党政领导干部轮流每天接访、定点接访、重点约访、带案下访等,化解了金鑫苑业主办理不动产登记和迎宾路拆迁、炎陵大道拆迁历史遗留问题等一大批“骨头案”、“钉子案”。</w:t>
      </w:r>
      <w:r>
        <w:rPr>
          <w:rFonts w:ascii="仿宋" w:eastAsia="仿宋" w:hAnsi="仿宋" w:hint="eastAsia"/>
          <w:sz w:val="32"/>
          <w:szCs w:val="32"/>
        </w:rPr>
        <w:t>做足预案，</w:t>
      </w:r>
      <w:r>
        <w:rPr>
          <w:rFonts w:ascii="仿宋_GB2312" w:eastAsia="仿宋_GB2312" w:hAnsi="仿宋_GB2312" w:cs="仿宋_GB2312" w:hint="eastAsia"/>
          <w:sz w:val="32"/>
          <w:szCs w:val="32"/>
        </w:rPr>
        <w:t>圆满完成全国、省、市、县“两会”，“一带一路”峰会论坛亚洲文明对话大会、建国70周年大庆、海峡两岸炎帝神农文化经贸交流活动等重大政治活动、重点敏感时段安</w:t>
      </w:r>
      <w:proofErr w:type="gramStart"/>
      <w:r>
        <w:rPr>
          <w:rFonts w:ascii="仿宋_GB2312" w:eastAsia="仿宋_GB2312" w:hAnsi="仿宋_GB2312" w:cs="仿宋_GB2312" w:hint="eastAsia"/>
          <w:sz w:val="32"/>
          <w:szCs w:val="32"/>
        </w:rPr>
        <w:t>保维稳任务</w:t>
      </w:r>
      <w:proofErr w:type="gramEnd"/>
      <w:r>
        <w:rPr>
          <w:rFonts w:ascii="仿宋_GB2312" w:eastAsia="仿宋_GB2312" w:hAnsi="仿宋_GB2312" w:cs="仿宋_GB2312" w:hint="eastAsia"/>
          <w:sz w:val="32"/>
          <w:szCs w:val="32"/>
        </w:rPr>
        <w:t>。</w:t>
      </w:r>
      <w:r>
        <w:rPr>
          <w:rFonts w:ascii="仿宋" w:eastAsia="仿宋" w:hAnsi="仿宋" w:hint="eastAsia"/>
          <w:sz w:val="32"/>
          <w:szCs w:val="32"/>
        </w:rPr>
        <w:t>周密</w:t>
      </w:r>
      <w:proofErr w:type="gramStart"/>
      <w:r>
        <w:rPr>
          <w:rFonts w:ascii="仿宋" w:eastAsia="仿宋" w:hAnsi="仿宋" w:hint="eastAsia"/>
          <w:sz w:val="32"/>
          <w:szCs w:val="32"/>
        </w:rPr>
        <w:t>布署</w:t>
      </w:r>
      <w:proofErr w:type="gramEnd"/>
      <w:r>
        <w:rPr>
          <w:rFonts w:ascii="仿宋" w:eastAsia="仿宋" w:hAnsi="仿宋" w:hint="eastAsia"/>
          <w:sz w:val="32"/>
          <w:szCs w:val="32"/>
        </w:rPr>
        <w:t>，</w:t>
      </w:r>
      <w:r>
        <w:rPr>
          <w:rFonts w:ascii="仿宋_GB2312" w:eastAsia="仿宋_GB2312" w:hAnsi="仿宋_GB2312" w:cs="仿宋_GB2312" w:hint="eastAsia"/>
          <w:sz w:val="32"/>
          <w:szCs w:val="32"/>
        </w:rPr>
        <w:t>圆满完成</w:t>
      </w:r>
      <w:r>
        <w:rPr>
          <w:rFonts w:eastAsia="仿宋_GB2312" w:hint="eastAsia"/>
          <w:color w:val="000000"/>
          <w:sz w:val="32"/>
          <w:szCs w:val="32"/>
        </w:rPr>
        <w:t>西南相关纪念活动、</w:t>
      </w:r>
      <w:r>
        <w:rPr>
          <w:rFonts w:ascii="仿宋_GB2312" w:eastAsia="仿宋_GB2312" w:hint="eastAsia"/>
          <w:sz w:val="32"/>
          <w:szCs w:val="32"/>
        </w:rPr>
        <w:t>第七届军运会等</w:t>
      </w:r>
      <w:proofErr w:type="gramStart"/>
      <w:r>
        <w:rPr>
          <w:rFonts w:ascii="仿宋_GB2312" w:eastAsia="仿宋_GB2312" w:hint="eastAsia"/>
          <w:sz w:val="32"/>
          <w:szCs w:val="32"/>
        </w:rPr>
        <w:t>涉军维稳</w:t>
      </w:r>
      <w:proofErr w:type="gramEnd"/>
      <w:r>
        <w:rPr>
          <w:rFonts w:ascii="仿宋_GB2312" w:eastAsia="仿宋_GB2312" w:hint="eastAsia"/>
          <w:sz w:val="32"/>
          <w:szCs w:val="32"/>
        </w:rPr>
        <w:t>工作。32家党政机关、企事业单位成立国家安全领导小组，扎实推进国家安全人民防线工作有序开展。</w:t>
      </w:r>
      <w:r>
        <w:rPr>
          <w:rFonts w:ascii="仿宋_GB2312" w:eastAsia="仿宋_GB2312" w:hAnsi="仿宋_GB2312" w:cs="仿宋_GB2312" w:hint="eastAsia"/>
          <w:sz w:val="32"/>
          <w:szCs w:val="32"/>
        </w:rPr>
        <w:t>全年妥善</w:t>
      </w:r>
      <w:proofErr w:type="gramStart"/>
      <w:r>
        <w:rPr>
          <w:rFonts w:ascii="仿宋_GB2312" w:eastAsia="仿宋_GB2312" w:hAnsi="仿宋_GB2312" w:cs="仿宋_GB2312" w:hint="eastAsia"/>
          <w:sz w:val="32"/>
          <w:szCs w:val="32"/>
        </w:rPr>
        <w:t>处置非</w:t>
      </w:r>
      <w:proofErr w:type="gramEnd"/>
      <w:r>
        <w:rPr>
          <w:rFonts w:ascii="仿宋_GB2312" w:eastAsia="仿宋_GB2312" w:hAnsi="仿宋_GB2312" w:cs="仿宋_GB2312" w:hint="eastAsia"/>
          <w:sz w:val="32"/>
          <w:szCs w:val="32"/>
        </w:rPr>
        <w:t>正常死亡案（事）件13起。九是社会治安稳中向好。严厉打击刑事犯罪，刑</w:t>
      </w:r>
      <w:r>
        <w:rPr>
          <w:rFonts w:ascii="仿宋_GB2312" w:eastAsia="仿宋_GB2312" w:hAnsi="仿宋_GB2312" w:cs="仿宋_GB2312" w:hint="eastAsia"/>
          <w:sz w:val="32"/>
          <w:szCs w:val="32"/>
        </w:rPr>
        <w:lastRenderedPageBreak/>
        <w:t>事案件立案276起，破刑案93起，破案率33.7%，立现行命案2起，破案率100%。检察机关刑事批捕33件49人，审判机关审结各类刑事案件61件，判处87人。刑事发案持续保持低发态势，群众的安全感和满意度大幅上升。</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4、全力服务大局，助推县域经济社会发展</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是巩固脱贫攻坚成果。以乡村振兴为抓手，严格落实包保工作责任,扎实推进脱贫攻坚相关工作，确保各项政策落地落实，坚决打好“脱贫攻坚巩固提升仗”。二是服务人居环境整治。深入联点帮扶村、结对帮扶户，开展“三同五好”活动,保障村民良好的居住环境。政法机关对环保督查重点案件协同作业,确保整改取得实效。三是推进“温暖企业”行动。建立政法领导干部挂点服务民营企业、商会协会机制，开展警企联防、送法进企、法治宣传等活动，排查涉</w:t>
      </w:r>
      <w:proofErr w:type="gramStart"/>
      <w:r>
        <w:rPr>
          <w:rFonts w:ascii="仿宋_GB2312" w:eastAsia="仿宋_GB2312" w:hAnsi="仿宋_GB2312" w:cs="仿宋_GB2312" w:hint="eastAsia"/>
          <w:sz w:val="32"/>
          <w:szCs w:val="32"/>
        </w:rPr>
        <w:t>企矛盾</w:t>
      </w:r>
      <w:proofErr w:type="gramEnd"/>
      <w:r>
        <w:rPr>
          <w:rFonts w:ascii="仿宋_GB2312" w:eastAsia="仿宋_GB2312" w:hAnsi="仿宋_GB2312" w:cs="仿宋_GB2312" w:hint="eastAsia"/>
          <w:sz w:val="32"/>
          <w:szCs w:val="32"/>
        </w:rPr>
        <w:t>纠纷4批次，</w:t>
      </w:r>
      <w:r>
        <w:rPr>
          <w:rFonts w:ascii="仿宋_GB2312" w:eastAsia="仿宋_GB2312" w:hAnsi="仿宋_GB2312"/>
          <w:color w:val="000000"/>
          <w:sz w:val="32"/>
          <w:shd w:val="clear" w:color="auto" w:fill="FFFFFF"/>
        </w:rPr>
        <w:t>调处涉及发展环境的矛盾纠纷</w:t>
      </w:r>
      <w:r>
        <w:rPr>
          <w:rFonts w:ascii="仿宋_GB2312" w:eastAsia="仿宋_GB2312" w:hAnsi="仿宋_GB2312" w:hint="eastAsia"/>
          <w:color w:val="000000"/>
          <w:sz w:val="32"/>
          <w:shd w:val="clear" w:color="auto" w:fill="FFFFFF"/>
        </w:rPr>
        <w:t>252</w:t>
      </w:r>
      <w:r>
        <w:rPr>
          <w:rFonts w:ascii="仿宋_GB2312" w:eastAsia="仿宋_GB2312" w:hAnsi="仿宋_GB2312"/>
          <w:color w:val="000000"/>
          <w:sz w:val="32"/>
          <w:shd w:val="clear" w:color="auto" w:fill="FFFFFF"/>
        </w:rPr>
        <w:t>起，</w:t>
      </w:r>
      <w:r>
        <w:rPr>
          <w:rFonts w:ascii="仿宋_GB2312" w:eastAsia="仿宋_GB2312" w:hAnsi="仿宋_GB2312" w:cs="仿宋_GB2312" w:hint="eastAsia"/>
          <w:sz w:val="32"/>
          <w:szCs w:val="32"/>
        </w:rPr>
        <w:t>依法妥善审理</w:t>
      </w:r>
      <w:proofErr w:type="gramStart"/>
      <w:r>
        <w:rPr>
          <w:rFonts w:ascii="仿宋_GB2312" w:eastAsia="仿宋_GB2312" w:hAnsi="仿宋_GB2312" w:cs="仿宋_GB2312" w:hint="eastAsia"/>
          <w:sz w:val="32"/>
          <w:szCs w:val="32"/>
        </w:rPr>
        <w:t>各类涉民营</w:t>
      </w:r>
      <w:proofErr w:type="gramEnd"/>
      <w:r>
        <w:rPr>
          <w:rFonts w:ascii="仿宋_GB2312" w:eastAsia="仿宋_GB2312" w:hAnsi="仿宋_GB2312" w:cs="仿宋_GB2312" w:hint="eastAsia"/>
          <w:sz w:val="32"/>
          <w:szCs w:val="32"/>
        </w:rPr>
        <w:t>企业案件127件，时刻将企业发展放在心中、</w:t>
      </w:r>
      <w:proofErr w:type="gramStart"/>
      <w:r>
        <w:rPr>
          <w:rFonts w:ascii="仿宋_GB2312" w:eastAsia="仿宋_GB2312" w:hAnsi="仿宋_GB2312" w:cs="仿宋_GB2312" w:hint="eastAsia"/>
          <w:sz w:val="32"/>
          <w:szCs w:val="32"/>
        </w:rPr>
        <w:t>暖企行动</w:t>
      </w:r>
      <w:proofErr w:type="gramEnd"/>
      <w:r>
        <w:rPr>
          <w:rFonts w:ascii="仿宋_GB2312" w:eastAsia="仿宋_GB2312" w:hAnsi="仿宋_GB2312" w:cs="仿宋_GB2312" w:hint="eastAsia"/>
          <w:sz w:val="32"/>
          <w:szCs w:val="32"/>
        </w:rPr>
        <w:t>落到实处。</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5、全面深化改革，法治炎陵上台阶</w:t>
      </w:r>
    </w:p>
    <w:p w:rsidR="00F21220" w:rsidRDefault="00F21220" w:rsidP="00F2122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是继续深化司法体制改革。深入推进司法责任制改革、诉讼制度改革、公安改革和司法行政改革，完善员额管理制度,激励多办案、办好案；推进以审判为中心的刑事诉讼制度改革,全力破解“执行难”，执行共收案699件，结案578件，结案率80.7%，执行到位标的金额2.2亿元。二是加强</w:t>
      </w:r>
      <w:r>
        <w:rPr>
          <w:rFonts w:ascii="仿宋_GB2312" w:eastAsia="仿宋_GB2312" w:hAnsi="仿宋_GB2312" w:cs="仿宋_GB2312" w:hint="eastAsia"/>
          <w:sz w:val="32"/>
          <w:szCs w:val="32"/>
        </w:rPr>
        <w:lastRenderedPageBreak/>
        <w:t>执法规范化建设。完善刑事、民事、行政、公益诉讼“四大检察”制度,加强对政法机关重点岗位、关键要害部门和重点执法环节的监督检查，</w:t>
      </w:r>
      <w:r>
        <w:rPr>
          <w:rFonts w:ascii="仿宋" w:eastAsia="仿宋" w:hAnsi="仿宋" w:hint="eastAsia"/>
          <w:bCs/>
          <w:sz w:val="32"/>
          <w:szCs w:val="32"/>
        </w:rPr>
        <w:t>提出纠正违法意见19件，检察建议6件，纠正漏罪7人，</w:t>
      </w:r>
      <w:r>
        <w:rPr>
          <w:rFonts w:ascii="仿宋_GB2312" w:eastAsia="仿宋_GB2312" w:hAnsi="仿宋_GB2312" w:cs="仿宋_GB2312" w:hint="eastAsia"/>
          <w:sz w:val="32"/>
          <w:szCs w:val="32"/>
        </w:rPr>
        <w:t>办理公益诉讼2件，</w:t>
      </w:r>
      <w:r>
        <w:rPr>
          <w:rFonts w:ascii="仿宋" w:eastAsia="仿宋" w:hAnsi="仿宋" w:hint="eastAsia"/>
          <w:bCs/>
          <w:sz w:val="32"/>
          <w:szCs w:val="32"/>
        </w:rPr>
        <w:t>全县</w:t>
      </w:r>
      <w:r>
        <w:rPr>
          <w:rFonts w:ascii="仿宋_GB2312" w:eastAsia="仿宋_GB2312" w:hAnsi="仿宋_GB2312" w:cs="仿宋_GB2312" w:hint="eastAsia"/>
          <w:sz w:val="32"/>
          <w:szCs w:val="32"/>
        </w:rPr>
        <w:t>执法规范化水平有效提升。三是大力推进“互联网+政法服务”建设。</w:t>
      </w:r>
      <w:proofErr w:type="gramStart"/>
      <w:r>
        <w:rPr>
          <w:rFonts w:ascii="仿宋_GB2312" w:eastAsia="仿宋_GB2312" w:hAnsi="仿宋_GB2312" w:cs="仿宋_GB2312" w:hint="eastAsia"/>
          <w:sz w:val="32"/>
          <w:szCs w:val="32"/>
        </w:rPr>
        <w:t>构建线</w:t>
      </w:r>
      <w:proofErr w:type="gramEnd"/>
      <w:r>
        <w:rPr>
          <w:rFonts w:ascii="仿宋_GB2312" w:eastAsia="仿宋_GB2312" w:hAnsi="仿宋_GB2312" w:cs="仿宋_GB2312" w:hint="eastAsia"/>
          <w:sz w:val="32"/>
          <w:szCs w:val="32"/>
        </w:rPr>
        <w:t>上线下一体的智能化政法公共服务平台，发挥</w:t>
      </w:r>
      <w:r>
        <w:rPr>
          <w:rFonts w:ascii="仿宋_GB2312" w:eastAsia="仿宋_GB2312" w:hAnsi="仿宋" w:hint="eastAsia"/>
          <w:sz w:val="32"/>
          <w:szCs w:val="32"/>
        </w:rPr>
        <w:t>“移动微法院”“阳光执行小程序”</w:t>
      </w:r>
      <w:r>
        <w:rPr>
          <w:rFonts w:ascii="仿宋_GB2312" w:eastAsia="仿宋_GB2312" w:hAnsi="仿宋_GB2312"/>
          <w:color w:val="000000"/>
          <w:sz w:val="32"/>
          <w:shd w:val="clear" w:color="auto" w:fill="FFFFFF"/>
        </w:rPr>
        <w:t>“湖南公安服务平台”</w:t>
      </w:r>
      <w:r>
        <w:rPr>
          <w:rFonts w:ascii="仿宋_GB2312" w:eastAsia="仿宋_GB2312" w:hAnsi="仿宋_GB2312" w:hint="eastAsia"/>
          <w:color w:val="000000"/>
          <w:sz w:val="32"/>
          <w:shd w:val="clear" w:color="auto" w:fill="FFFFFF"/>
        </w:rPr>
        <w:t>作用，</w:t>
      </w:r>
      <w:r>
        <w:rPr>
          <w:rFonts w:ascii="仿宋_GB2312" w:eastAsia="仿宋_GB2312" w:hAnsi="仿宋_GB2312" w:cs="仿宋_GB2312" w:hint="eastAsia"/>
          <w:sz w:val="32"/>
          <w:szCs w:val="32"/>
        </w:rPr>
        <w:t>把窗口服务尽可能地移到网上、连到掌心，推动“马上办”、“一次办”、“网上办”，用“小程序”、“小服务”解决“大事情”。</w:t>
      </w:r>
    </w:p>
    <w:p w:rsidR="00F21220" w:rsidRDefault="00F21220" w:rsidP="00F21220">
      <w:pPr>
        <w:ind w:left="105" w:firstLine="420"/>
        <w:rPr>
          <w:rFonts w:ascii="仿宋_GB2312" w:eastAsia="仿宋_GB2312" w:hAnsi="仿宋_GB2312" w:cs="仿宋_GB2312" w:hint="eastAsia"/>
          <w:sz w:val="32"/>
          <w:szCs w:val="32"/>
        </w:rPr>
      </w:pPr>
    </w:p>
    <w:p w:rsidR="00F21220" w:rsidRDefault="00F21220" w:rsidP="00F21220">
      <w:pPr>
        <w:pStyle w:val="a6"/>
        <w:widowControl/>
        <w:spacing w:line="520" w:lineRule="exact"/>
        <w:ind w:firstLine="64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F21220" w:rsidRDefault="00F21220" w:rsidP="00F21220">
      <w:pPr>
        <w:widowControl/>
        <w:spacing w:line="520" w:lineRule="exact"/>
        <w:ind w:firstLineChars="200" w:firstLine="640"/>
        <w:jc w:val="left"/>
        <w:rPr>
          <w:rFonts w:eastAsia="仿宋_GB2312" w:hint="eastAsia"/>
          <w:sz w:val="32"/>
          <w:szCs w:val="32"/>
        </w:rPr>
      </w:pPr>
      <w:r>
        <w:rPr>
          <w:rFonts w:eastAsia="仿宋_GB2312" w:hint="eastAsia"/>
          <w:sz w:val="32"/>
          <w:szCs w:val="32"/>
        </w:rPr>
        <w:t>无</w:t>
      </w:r>
    </w:p>
    <w:p w:rsidR="00F21220" w:rsidRDefault="00F21220" w:rsidP="00F21220">
      <w:pPr>
        <w:widowControl/>
        <w:numPr>
          <w:ilvl w:val="0"/>
          <w:numId w:val="2"/>
        </w:numPr>
        <w:shd w:val="clear" w:color="auto" w:fill="FFFFFF"/>
        <w:spacing w:line="500" w:lineRule="atLeast"/>
        <w:ind w:firstLine="548"/>
        <w:rPr>
          <w:rFonts w:eastAsia="黑体"/>
          <w:sz w:val="32"/>
          <w:szCs w:val="32"/>
        </w:rPr>
      </w:pPr>
      <w:r>
        <w:rPr>
          <w:rFonts w:eastAsia="黑体"/>
          <w:sz w:val="32"/>
          <w:szCs w:val="32"/>
        </w:rPr>
        <w:t>下一步改进措施</w:t>
      </w:r>
    </w:p>
    <w:p w:rsidR="00F21220" w:rsidRDefault="00F21220" w:rsidP="00F21220">
      <w:pPr>
        <w:widowControl/>
        <w:shd w:val="clear" w:color="auto" w:fill="FFFFFF"/>
        <w:spacing w:line="500" w:lineRule="atLeast"/>
        <w:ind w:firstLineChars="200" w:firstLine="640"/>
        <w:rPr>
          <w:rFonts w:ascii="仿宋" w:eastAsia="仿宋" w:cs="仿宋"/>
          <w:sz w:val="32"/>
          <w:szCs w:val="32"/>
        </w:rPr>
      </w:pPr>
      <w:r>
        <w:rPr>
          <w:rFonts w:ascii="仿宋" w:eastAsia="仿宋" w:cs="仿宋" w:hint="eastAsia"/>
          <w:sz w:val="32"/>
          <w:szCs w:val="32"/>
        </w:rPr>
        <w:t>加强监管，进一步完善财务制度，规范财经纪律，严格执行财务制度，严格落实专项资金使用管理规定，做到专款专用。同时及时与财政部门衔接，做好各项资金的预算安排、调整。</w:t>
      </w:r>
    </w:p>
    <w:p w:rsidR="00F21220" w:rsidRDefault="00F21220" w:rsidP="00F21220">
      <w:pPr>
        <w:widowControl/>
        <w:spacing w:line="520" w:lineRule="exact"/>
        <w:ind w:firstLineChars="200" w:firstLine="640"/>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F21220" w:rsidRDefault="00F21220" w:rsidP="00F21220">
      <w:pPr>
        <w:spacing w:line="560" w:lineRule="exact"/>
        <w:ind w:firstLineChars="400" w:firstLine="128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无。</w:t>
      </w:r>
    </w:p>
    <w:p w:rsidR="00F21220" w:rsidRDefault="00F21220" w:rsidP="00F21220">
      <w:pPr>
        <w:spacing w:line="560" w:lineRule="exact"/>
        <w:rPr>
          <w:rFonts w:eastAsia="黑体" w:hAnsi="黑体"/>
          <w:bCs/>
          <w:kern w:val="0"/>
          <w:sz w:val="32"/>
          <w:szCs w:val="32"/>
        </w:rPr>
      </w:pPr>
    </w:p>
    <w:p w:rsidR="00F21220" w:rsidRDefault="00F21220" w:rsidP="00F21220">
      <w:pPr>
        <w:spacing w:line="560" w:lineRule="exact"/>
        <w:rPr>
          <w:rFonts w:eastAsia="黑体" w:hAnsi="黑体"/>
          <w:bCs/>
          <w:kern w:val="0"/>
          <w:sz w:val="32"/>
          <w:szCs w:val="32"/>
        </w:rPr>
      </w:pPr>
    </w:p>
    <w:p w:rsidR="00F21220" w:rsidRDefault="00F21220" w:rsidP="00F21220">
      <w:pPr>
        <w:spacing w:line="560" w:lineRule="exact"/>
        <w:rPr>
          <w:rFonts w:eastAsia="黑体" w:hAnsi="黑体"/>
          <w:bCs/>
          <w:kern w:val="0"/>
          <w:sz w:val="32"/>
          <w:szCs w:val="32"/>
        </w:rPr>
      </w:pPr>
    </w:p>
    <w:p w:rsidR="00F21220" w:rsidRDefault="00F21220" w:rsidP="00F21220">
      <w:pPr>
        <w:spacing w:line="560" w:lineRule="exact"/>
        <w:rPr>
          <w:rFonts w:eastAsia="黑体" w:hint="eastAsia"/>
          <w:bCs/>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F21220" w:rsidRDefault="00F21220" w:rsidP="00F21220">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F21220" w:rsidRDefault="00F21220" w:rsidP="00F21220">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200"/>
      </w:tblGrid>
      <w:tr w:rsidR="00F21220" w:rsidTr="008E4025">
        <w:trPr>
          <w:trHeight w:val="458"/>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F21220" w:rsidRDefault="00F21220" w:rsidP="008E4025">
            <w:pPr>
              <w:widowControl/>
              <w:spacing w:line="560" w:lineRule="exact"/>
              <w:rPr>
                <w:kern w:val="0"/>
                <w:szCs w:val="21"/>
              </w:rPr>
            </w:pPr>
            <w:r>
              <w:rPr>
                <w:kern w:val="0"/>
                <w:szCs w:val="21"/>
              </w:rPr>
              <w:t>部门（单位）名称：</w:t>
            </w:r>
            <w:r>
              <w:rPr>
                <w:rFonts w:hint="eastAsia"/>
                <w:kern w:val="0"/>
                <w:szCs w:val="21"/>
              </w:rPr>
              <w:t>中共炎陵县委政法委员会</w:t>
            </w:r>
          </w:p>
          <w:p w:rsidR="00F21220" w:rsidRDefault="00F21220" w:rsidP="008E4025">
            <w:pPr>
              <w:widowControl/>
              <w:spacing w:line="560" w:lineRule="exact"/>
              <w:rPr>
                <w:rFonts w:eastAsia="黑体"/>
                <w:kern w:val="0"/>
                <w:szCs w:val="21"/>
              </w:rPr>
            </w:pPr>
            <w:r>
              <w:rPr>
                <w:rFonts w:eastAsia="黑体"/>
                <w:kern w:val="0"/>
                <w:szCs w:val="21"/>
              </w:rPr>
              <w:t xml:space="preserve">　</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F21220" w:rsidRDefault="00F21220" w:rsidP="008E4025">
            <w:pPr>
              <w:widowControl/>
              <w:spacing w:line="560" w:lineRule="exact"/>
              <w:rPr>
                <w:rFonts w:hint="eastAsia"/>
                <w:kern w:val="0"/>
                <w:szCs w:val="21"/>
              </w:rPr>
            </w:pPr>
            <w:r>
              <w:rPr>
                <w:kern w:val="0"/>
                <w:szCs w:val="21"/>
              </w:rPr>
              <w:t>单位负责人：</w:t>
            </w:r>
            <w:r>
              <w:rPr>
                <w:rFonts w:hint="eastAsia"/>
                <w:kern w:val="0"/>
                <w:szCs w:val="21"/>
              </w:rPr>
              <w:t>杨红兵</w:t>
            </w:r>
          </w:p>
        </w:tc>
      </w:tr>
      <w:tr w:rsidR="00F21220"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F21220" w:rsidRDefault="00F21220" w:rsidP="008E4025">
            <w:pPr>
              <w:widowControl/>
              <w:spacing w:line="560" w:lineRule="exact"/>
              <w:rPr>
                <w:kern w:val="0"/>
                <w:szCs w:val="21"/>
              </w:rPr>
            </w:pPr>
            <w:r>
              <w:rPr>
                <w:kern w:val="0"/>
                <w:szCs w:val="21"/>
              </w:rPr>
              <w:t>年末职工人数：</w:t>
            </w:r>
            <w:r>
              <w:rPr>
                <w:kern w:val="0"/>
                <w:szCs w:val="21"/>
              </w:rPr>
              <w:t xml:space="preserve">  </w:t>
            </w:r>
            <w:r>
              <w:rPr>
                <w:rFonts w:hint="eastAsia"/>
                <w:kern w:val="0"/>
                <w:szCs w:val="21"/>
              </w:rPr>
              <w:t>10</w:t>
            </w:r>
            <w:r>
              <w:rPr>
                <w:kern w:val="0"/>
                <w:szCs w:val="21"/>
              </w:rPr>
              <w:t xml:space="preserve"> </w:t>
            </w:r>
            <w:r>
              <w:rPr>
                <w:kern w:val="0"/>
                <w:szCs w:val="21"/>
              </w:rPr>
              <w:t>人（人员编制：</w:t>
            </w:r>
            <w:r>
              <w:rPr>
                <w:rFonts w:hint="eastAsia"/>
                <w:kern w:val="0"/>
                <w:szCs w:val="21"/>
              </w:rPr>
              <w:t>20</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F21220" w:rsidRDefault="00F21220" w:rsidP="008E4025">
            <w:pPr>
              <w:widowControl/>
              <w:spacing w:line="560" w:lineRule="exact"/>
              <w:rPr>
                <w:kern w:val="0"/>
                <w:szCs w:val="21"/>
              </w:rPr>
            </w:pPr>
            <w:r>
              <w:rPr>
                <w:kern w:val="0"/>
                <w:szCs w:val="21"/>
              </w:rPr>
              <w:t>年末资产总额：</w:t>
            </w:r>
            <w:r>
              <w:rPr>
                <w:rFonts w:hint="eastAsia"/>
                <w:kern w:val="0"/>
                <w:szCs w:val="21"/>
              </w:rPr>
              <w:t>37.92</w:t>
            </w:r>
            <w:r>
              <w:rPr>
                <w:kern w:val="0"/>
                <w:szCs w:val="21"/>
              </w:rPr>
              <w:t xml:space="preserve">  </w:t>
            </w:r>
            <w:r>
              <w:rPr>
                <w:kern w:val="0"/>
                <w:szCs w:val="21"/>
              </w:rPr>
              <w:t>万元；负债总额：</w:t>
            </w:r>
            <w:r>
              <w:rPr>
                <w:rFonts w:hint="eastAsia"/>
                <w:kern w:val="0"/>
                <w:szCs w:val="21"/>
              </w:rPr>
              <w:t>23.4</w:t>
            </w:r>
            <w:r>
              <w:rPr>
                <w:kern w:val="0"/>
                <w:szCs w:val="21"/>
              </w:rPr>
              <w:t>万元</w:t>
            </w:r>
          </w:p>
        </w:tc>
      </w:tr>
      <w:tr w:rsidR="00F21220" w:rsidTr="008E4025">
        <w:trPr>
          <w:cantSplit/>
          <w:trHeight w:val="51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kern w:val="0"/>
                <w:szCs w:val="21"/>
              </w:rPr>
              <w:t>年初预算资金：</w:t>
            </w:r>
            <w:r>
              <w:rPr>
                <w:rFonts w:hint="eastAsia"/>
                <w:kern w:val="0"/>
                <w:szCs w:val="21"/>
              </w:rPr>
              <w:t>187.95</w:t>
            </w:r>
          </w:p>
        </w:tc>
      </w:tr>
      <w:tr w:rsidR="00F21220"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kern w:val="0"/>
                <w:szCs w:val="21"/>
              </w:rPr>
              <w:t>年度收入总额：</w:t>
            </w:r>
            <w:r>
              <w:rPr>
                <w:rFonts w:hint="eastAsia"/>
                <w:kern w:val="0"/>
                <w:szCs w:val="21"/>
              </w:rPr>
              <w:t>327.36</w:t>
            </w:r>
          </w:p>
        </w:tc>
        <w:tc>
          <w:tcPr>
            <w:tcW w:w="32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kern w:val="0"/>
                <w:szCs w:val="21"/>
              </w:rPr>
              <w:t>年度支出总额：</w:t>
            </w:r>
            <w:r>
              <w:rPr>
                <w:rFonts w:hint="eastAsia"/>
                <w:kern w:val="0"/>
                <w:szCs w:val="21"/>
              </w:rPr>
              <w:t>327.36</w:t>
            </w:r>
          </w:p>
        </w:tc>
      </w:tr>
      <w:tr w:rsidR="00F21220"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hint="eastAsia"/>
                <w:kern w:val="0"/>
                <w:szCs w:val="21"/>
              </w:rPr>
              <w:t>327.36</w:t>
            </w:r>
          </w:p>
        </w:tc>
        <w:tc>
          <w:tcPr>
            <w:tcW w:w="32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hint="eastAsia"/>
                <w:kern w:val="0"/>
                <w:szCs w:val="21"/>
              </w:rPr>
              <w:t>327.36</w:t>
            </w:r>
          </w:p>
        </w:tc>
      </w:tr>
      <w:tr w:rsidR="00F21220"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kern w:val="0"/>
                <w:szCs w:val="21"/>
              </w:rPr>
              <w:t xml:space="preserve">        </w:t>
            </w:r>
            <w:r>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kern w:val="0"/>
                <w:szCs w:val="21"/>
              </w:rPr>
              <w:t xml:space="preserve">       </w:t>
            </w:r>
            <w:r>
              <w:rPr>
                <w:kern w:val="0"/>
                <w:szCs w:val="21"/>
              </w:rPr>
              <w:t>项目支出：</w:t>
            </w:r>
          </w:p>
        </w:tc>
      </w:tr>
      <w:tr w:rsidR="00F21220"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kern w:val="0"/>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kern w:val="0"/>
                <w:szCs w:val="21"/>
              </w:rPr>
              <w:t xml:space="preserve">      </w:t>
            </w:r>
          </w:p>
        </w:tc>
      </w:tr>
      <w:tr w:rsidR="00F21220" w:rsidTr="008E4025">
        <w:trPr>
          <w:cantSplit/>
          <w:trHeight w:val="342"/>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kern w:val="0"/>
                <w:szCs w:val="21"/>
              </w:rPr>
              <w:t xml:space="preserve">                  </w:t>
            </w:r>
            <w:r>
              <w:rPr>
                <w:kern w:val="0"/>
                <w:szCs w:val="21"/>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p>
        </w:tc>
      </w:tr>
      <w:tr w:rsidR="00F21220" w:rsidTr="008E4025">
        <w:trPr>
          <w:trHeight w:val="1776"/>
          <w:jc w:val="center"/>
        </w:trPr>
        <w:tc>
          <w:tcPr>
            <w:tcW w:w="25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left"/>
              <w:rPr>
                <w:kern w:val="0"/>
                <w:szCs w:val="21"/>
              </w:rPr>
            </w:pPr>
            <w:r>
              <w:rPr>
                <w:rFonts w:hint="eastAsia"/>
                <w:kern w:val="0"/>
                <w:szCs w:val="21"/>
              </w:rPr>
              <w:t>中共炎陵县委政法委员会是县委领导政法工作的职能部门。领导、组织、协调、指导政法工作，协助县委及其组织部门考察、管理政法部门的领导班子和干部队伍；研究加强政法队伍建设和领导班子建设的措施，负责组织政法战线的调查研究工作。承担社会管理综合治理委员会办公室日常工作。组织、协调、指导维护社会稳定的工作。承担县委处理法轮</w:t>
            </w:r>
            <w:proofErr w:type="gramStart"/>
            <w:r>
              <w:rPr>
                <w:rFonts w:hint="eastAsia"/>
                <w:kern w:val="0"/>
                <w:szCs w:val="21"/>
              </w:rPr>
              <w:t>功问题</w:t>
            </w:r>
            <w:proofErr w:type="gramEnd"/>
            <w:r>
              <w:rPr>
                <w:rFonts w:hint="eastAsia"/>
                <w:kern w:val="0"/>
                <w:szCs w:val="21"/>
              </w:rPr>
              <w:t>领导小组办公室日常工作。承办县委、县政府和市委政法委员会交办的其他工作。</w:t>
            </w:r>
          </w:p>
        </w:tc>
      </w:tr>
      <w:tr w:rsidR="00F21220" w:rsidTr="008E4025">
        <w:trPr>
          <w:trHeight w:val="1925"/>
          <w:jc w:val="center"/>
        </w:trPr>
        <w:tc>
          <w:tcPr>
            <w:tcW w:w="25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kern w:val="0"/>
                <w:szCs w:val="21"/>
              </w:rPr>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hd w:val="clear" w:color="auto" w:fill="FFFFFF"/>
              <w:spacing w:line="500" w:lineRule="exact"/>
              <w:jc w:val="left"/>
              <w:rPr>
                <w:rFonts w:ascii="微软雅黑" w:hAnsi="微软雅黑" w:cs="宋体"/>
                <w:color w:val="333333"/>
                <w:kern w:val="0"/>
                <w:szCs w:val="21"/>
              </w:rPr>
            </w:pPr>
            <w:r>
              <w:rPr>
                <w:rFonts w:ascii="宋体" w:hAnsi="宋体" w:cs="宋体" w:hint="eastAsia"/>
                <w:color w:val="333333"/>
                <w:kern w:val="0"/>
                <w:szCs w:val="21"/>
              </w:rPr>
              <w:t>目标1：服务建设美丽幸福新炎陵，为炎陵经济社会发展保驾护航。</w:t>
            </w:r>
          </w:p>
          <w:p w:rsidR="00F21220" w:rsidRDefault="00F21220" w:rsidP="008E4025">
            <w:pPr>
              <w:widowControl/>
              <w:shd w:val="clear" w:color="auto" w:fill="FFFFFF"/>
              <w:spacing w:line="500" w:lineRule="exact"/>
              <w:jc w:val="left"/>
              <w:rPr>
                <w:rFonts w:ascii="微软雅黑" w:hAnsi="微软雅黑" w:cs="宋体"/>
                <w:color w:val="333333"/>
                <w:kern w:val="0"/>
                <w:szCs w:val="21"/>
              </w:rPr>
            </w:pPr>
            <w:r>
              <w:rPr>
                <w:rFonts w:ascii="宋体" w:hAnsi="宋体" w:cs="宋体" w:hint="eastAsia"/>
                <w:color w:val="333333"/>
                <w:kern w:val="0"/>
                <w:szCs w:val="21"/>
              </w:rPr>
              <w:t>目标2：确保省市综治、平安先进“两块奖牌”。</w:t>
            </w:r>
          </w:p>
          <w:p w:rsidR="00F21220" w:rsidRDefault="00F21220" w:rsidP="008E4025">
            <w:pPr>
              <w:widowControl/>
              <w:shd w:val="clear" w:color="auto" w:fill="FFFFFF"/>
              <w:spacing w:line="500" w:lineRule="exact"/>
              <w:jc w:val="left"/>
              <w:rPr>
                <w:rFonts w:ascii="微软雅黑" w:hAnsi="微软雅黑" w:cs="宋体"/>
                <w:color w:val="333333"/>
                <w:kern w:val="0"/>
                <w:szCs w:val="21"/>
              </w:rPr>
            </w:pPr>
            <w:r>
              <w:rPr>
                <w:rFonts w:ascii="宋体" w:hAnsi="宋体" w:cs="宋体" w:hint="eastAsia"/>
                <w:color w:val="333333"/>
                <w:kern w:val="0"/>
                <w:szCs w:val="21"/>
              </w:rPr>
              <w:t>目标3：确保特护期、敏感期到市赴省进京“零登记”目标，省、市、</w:t>
            </w:r>
            <w:proofErr w:type="gramStart"/>
            <w:r>
              <w:rPr>
                <w:rFonts w:ascii="宋体" w:hAnsi="宋体" w:cs="宋体" w:hint="eastAsia"/>
                <w:color w:val="333333"/>
                <w:kern w:val="0"/>
                <w:szCs w:val="21"/>
              </w:rPr>
              <w:t>县重大</w:t>
            </w:r>
            <w:proofErr w:type="gramEnd"/>
            <w:r>
              <w:rPr>
                <w:rFonts w:ascii="宋体" w:hAnsi="宋体" w:cs="宋体" w:hint="eastAsia"/>
                <w:color w:val="333333"/>
                <w:kern w:val="0"/>
                <w:szCs w:val="21"/>
              </w:rPr>
              <w:t>活动的安保、信访</w:t>
            </w:r>
            <w:proofErr w:type="gramStart"/>
            <w:r>
              <w:rPr>
                <w:rFonts w:ascii="宋体" w:hAnsi="宋体" w:cs="宋体" w:hint="eastAsia"/>
                <w:color w:val="333333"/>
                <w:kern w:val="0"/>
                <w:szCs w:val="21"/>
              </w:rPr>
              <w:t>维稳工作</w:t>
            </w:r>
            <w:proofErr w:type="gramEnd"/>
            <w:r>
              <w:rPr>
                <w:rFonts w:ascii="宋体" w:hAnsi="宋体" w:cs="宋体" w:hint="eastAsia"/>
                <w:color w:val="333333"/>
                <w:kern w:val="0"/>
                <w:szCs w:val="21"/>
              </w:rPr>
              <w:t>的万无一失。</w:t>
            </w:r>
          </w:p>
          <w:p w:rsidR="00F21220" w:rsidRDefault="00F21220" w:rsidP="008E4025">
            <w:pPr>
              <w:widowControl/>
              <w:spacing w:line="560" w:lineRule="exact"/>
              <w:jc w:val="left"/>
              <w:rPr>
                <w:kern w:val="0"/>
                <w:szCs w:val="21"/>
              </w:rPr>
            </w:pPr>
            <w:r>
              <w:rPr>
                <w:rFonts w:ascii="宋体" w:hAnsi="宋体" w:cs="宋体" w:hint="eastAsia"/>
                <w:color w:val="333333"/>
                <w:kern w:val="0"/>
                <w:szCs w:val="21"/>
              </w:rPr>
              <w:t>目标4：确保社会大局和谐稳定、人民安居乐业。</w:t>
            </w:r>
          </w:p>
        </w:tc>
      </w:tr>
      <w:tr w:rsidR="00F21220" w:rsidTr="008E4025">
        <w:trPr>
          <w:cantSplit/>
          <w:trHeight w:val="200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kern w:val="0"/>
                <w:szCs w:val="21"/>
              </w:rPr>
              <w:lastRenderedPageBreak/>
              <w:t>部门整体支出</w:t>
            </w:r>
          </w:p>
          <w:p w:rsidR="00F21220" w:rsidRDefault="00F21220"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F21220" w:rsidRDefault="00F21220" w:rsidP="008E4025">
            <w:pPr>
              <w:spacing w:line="240" w:lineRule="atLeast"/>
              <w:rPr>
                <w:rFonts w:ascii="仿宋_GB2312" w:eastAsia="仿宋_GB2312" w:hAnsi="仿宋_GB2312" w:cs="仿宋_GB2312" w:hint="eastAsia"/>
                <w:sz w:val="32"/>
                <w:szCs w:val="32"/>
              </w:rPr>
            </w:pPr>
            <w:r>
              <w:rPr>
                <w:kern w:val="0"/>
                <w:szCs w:val="21"/>
              </w:rPr>
              <w:t>指标</w:t>
            </w:r>
            <w:r>
              <w:rPr>
                <w:kern w:val="0"/>
                <w:szCs w:val="21"/>
              </w:rPr>
              <w:t>1</w:t>
            </w:r>
            <w:r>
              <w:rPr>
                <w:kern w:val="0"/>
                <w:szCs w:val="21"/>
              </w:rPr>
              <w:t>：</w:t>
            </w:r>
            <w:r>
              <w:rPr>
                <w:rFonts w:ascii="宋体" w:hAnsi="宋体" w:cs="宋体" w:hint="eastAsia"/>
                <w:szCs w:val="21"/>
              </w:rPr>
              <w:t>强力推进扫黑除恶①紧盯黑恶专案抓攻坚。打掉涉</w:t>
            </w:r>
            <w:proofErr w:type="gramStart"/>
            <w:r>
              <w:rPr>
                <w:rFonts w:ascii="宋体" w:hAnsi="宋体" w:cs="宋体" w:hint="eastAsia"/>
                <w:szCs w:val="21"/>
              </w:rPr>
              <w:t>黑涉恶犯罪</w:t>
            </w:r>
            <w:proofErr w:type="gramEnd"/>
            <w:r>
              <w:rPr>
                <w:rFonts w:ascii="宋体" w:hAnsi="宋体" w:cs="宋体" w:hint="eastAsia"/>
                <w:szCs w:val="21"/>
              </w:rPr>
              <w:t>集团（团伙）4个，抓获涉</w:t>
            </w:r>
            <w:proofErr w:type="gramStart"/>
            <w:r>
              <w:rPr>
                <w:rFonts w:ascii="宋体" w:hAnsi="宋体" w:cs="宋体" w:hint="eastAsia"/>
                <w:szCs w:val="21"/>
              </w:rPr>
              <w:t>黑涉恶违法</w:t>
            </w:r>
            <w:proofErr w:type="gramEnd"/>
            <w:r>
              <w:rPr>
                <w:rFonts w:ascii="宋体" w:hAnsi="宋体" w:cs="宋体" w:hint="eastAsia"/>
                <w:szCs w:val="21"/>
              </w:rPr>
              <w:t>犯罪嫌疑人60余人，查处（破获）违法犯罪案件200余起。②紧盯专项</w:t>
            </w:r>
            <w:proofErr w:type="gramStart"/>
            <w:r>
              <w:rPr>
                <w:rFonts w:ascii="宋体" w:hAnsi="宋体" w:cs="宋体" w:hint="eastAsia"/>
                <w:szCs w:val="21"/>
              </w:rPr>
              <w:t>整治抓</w:t>
            </w:r>
            <w:proofErr w:type="gramEnd"/>
            <w:r>
              <w:rPr>
                <w:rFonts w:ascii="宋体" w:hAnsi="宋体" w:cs="宋体" w:hint="eastAsia"/>
                <w:szCs w:val="21"/>
              </w:rPr>
              <w:t>治理。开展“三贷三霸”专项整治，破获涉案资金达3000余万元的非法吸收公众存款案一起，抓获犯罪嫌疑人两名，正在侦办非法吸收公众存款案件2起。</w:t>
            </w:r>
            <w:r>
              <w:rPr>
                <w:rFonts w:ascii="宋体" w:hAnsi="宋体" w:cs="黑体" w:hint="eastAsia"/>
                <w:szCs w:val="21"/>
              </w:rPr>
              <w:t>③</w:t>
            </w:r>
            <w:r>
              <w:rPr>
                <w:rFonts w:ascii="宋体" w:hAnsi="宋体" w:cs="宋体" w:hint="eastAsia"/>
                <w:szCs w:val="21"/>
              </w:rPr>
              <w:t>紧盯线索核查抓起底</w:t>
            </w:r>
            <w:r>
              <w:rPr>
                <w:rFonts w:ascii="宋体" w:hAnsi="宋体" w:cs="宋体" w:hint="eastAsia"/>
                <w:b/>
                <w:bCs/>
                <w:szCs w:val="21"/>
              </w:rPr>
              <w:t>。</w:t>
            </w:r>
            <w:r>
              <w:rPr>
                <w:rFonts w:ascii="宋体" w:hAnsi="宋体" w:cs="宋体" w:hint="eastAsia"/>
                <w:szCs w:val="21"/>
              </w:rPr>
              <w:t>持续深入开展涉</w:t>
            </w:r>
            <w:proofErr w:type="gramStart"/>
            <w:r>
              <w:rPr>
                <w:rFonts w:ascii="宋体" w:hAnsi="宋体" w:cs="宋体" w:hint="eastAsia"/>
                <w:szCs w:val="21"/>
              </w:rPr>
              <w:t>黑涉恶腐败</w:t>
            </w:r>
            <w:proofErr w:type="gramEnd"/>
            <w:r>
              <w:rPr>
                <w:rFonts w:ascii="宋体" w:hAnsi="宋体" w:cs="宋体" w:hint="eastAsia"/>
                <w:szCs w:val="21"/>
              </w:rPr>
              <w:t>和“保护伞”问题线索“大起底”，如期如质办结中央督导组交办群众举报线索4起，全国扫黑办网上平台交办问题线索1起，侦办</w:t>
            </w:r>
            <w:proofErr w:type="gramStart"/>
            <w:r>
              <w:rPr>
                <w:rFonts w:ascii="宋体" w:hAnsi="宋体" w:cs="宋体" w:hint="eastAsia"/>
                <w:szCs w:val="21"/>
              </w:rPr>
              <w:t>赵某玉涉嫌</w:t>
            </w:r>
            <w:proofErr w:type="gramEnd"/>
            <w:r>
              <w:rPr>
                <w:rFonts w:ascii="宋体" w:hAnsi="宋体" w:cs="宋体" w:hint="eastAsia"/>
                <w:szCs w:val="21"/>
              </w:rPr>
              <w:t>串通投标罪案件，追缴违法所得一千余万元。4个涉</w:t>
            </w:r>
            <w:proofErr w:type="gramStart"/>
            <w:r>
              <w:rPr>
                <w:rFonts w:ascii="宋体" w:hAnsi="宋体" w:cs="宋体" w:hint="eastAsia"/>
                <w:szCs w:val="21"/>
              </w:rPr>
              <w:t>黑涉恶案件县</w:t>
            </w:r>
            <w:proofErr w:type="gramEnd"/>
            <w:r>
              <w:rPr>
                <w:rFonts w:ascii="宋体" w:hAnsi="宋体" w:cs="宋体" w:hint="eastAsia"/>
                <w:szCs w:val="21"/>
              </w:rPr>
              <w:t>纪委监委均按照“两个一律”、“一案三查”的要求组织核查，共立案审查10人，给予党纪政纪处分10人，移送司法机关1人。</w:t>
            </w:r>
          </w:p>
          <w:p w:rsidR="00F21220" w:rsidRDefault="00F21220" w:rsidP="008E4025">
            <w:pPr>
              <w:spacing w:line="240" w:lineRule="atLeast"/>
              <w:rPr>
                <w:rFonts w:ascii="宋体" w:hAnsi="宋体" w:cs="宋体" w:hint="eastAsia"/>
                <w:kern w:val="0"/>
                <w:szCs w:val="21"/>
              </w:rPr>
            </w:pPr>
            <w:r>
              <w:rPr>
                <w:kern w:val="0"/>
                <w:szCs w:val="21"/>
              </w:rPr>
              <w:t>指标</w:t>
            </w:r>
            <w:r>
              <w:rPr>
                <w:kern w:val="0"/>
                <w:szCs w:val="21"/>
              </w:rPr>
              <w:t>2</w:t>
            </w:r>
            <w:r>
              <w:rPr>
                <w:kern w:val="0"/>
                <w:szCs w:val="21"/>
              </w:rPr>
              <w:t>：</w:t>
            </w:r>
            <w:r>
              <w:rPr>
                <w:rFonts w:ascii="宋体" w:hAnsi="宋体" w:cs="宋体" w:hint="eastAsia"/>
                <w:szCs w:val="21"/>
              </w:rPr>
              <w:t>扎实推进平安建设①推进社会治理新模式。夯实乡村防控，聘请133名辅警，实现驻村（社区）</w:t>
            </w:r>
            <w:proofErr w:type="gramStart"/>
            <w:r>
              <w:rPr>
                <w:rFonts w:ascii="宋体" w:hAnsi="宋体" w:cs="宋体" w:hint="eastAsia"/>
                <w:szCs w:val="21"/>
              </w:rPr>
              <w:t>辅警全覆盖</w:t>
            </w:r>
            <w:proofErr w:type="gramEnd"/>
            <w:r>
              <w:rPr>
                <w:rFonts w:ascii="宋体" w:hAnsi="宋体" w:cs="宋体" w:hint="eastAsia"/>
                <w:szCs w:val="21"/>
              </w:rPr>
              <w:t>。加强“城市快警”建设，城区设立２个驻守点。②深入开展“平安创建”活动。以建设省“平安县”为目标、公众安全感民意测评为抓手，持续推动平安乡镇、平安村（社区）等九大平安创建活动，进一步加强村（社区）等基层社会治理能力。</w:t>
            </w:r>
            <w:r>
              <w:rPr>
                <w:rFonts w:ascii="宋体" w:hAnsi="宋体" w:cs="黑体" w:hint="eastAsia"/>
                <w:szCs w:val="21"/>
              </w:rPr>
              <w:t>③</w:t>
            </w:r>
            <w:r>
              <w:rPr>
                <w:rFonts w:ascii="宋体" w:hAnsi="宋体" w:cs="宋体" w:hint="eastAsia"/>
                <w:szCs w:val="21"/>
              </w:rPr>
              <w:t>打造立体化防控体系。建成平安城市电子防控系统，监控点位110余个，监控探头256个，包含城区7个电子警察、15个治安卡口、６个人脸识别卡口，监控点位覆盖城区及部分乡镇和国省道。</w:t>
            </w:r>
          </w:p>
          <w:p w:rsidR="00F21220" w:rsidRDefault="00F21220" w:rsidP="008E4025">
            <w:pPr>
              <w:spacing w:line="240" w:lineRule="atLeast"/>
              <w:rPr>
                <w:rFonts w:ascii="宋体" w:hAnsi="宋体" w:cs="宋体" w:hint="eastAsia"/>
                <w:szCs w:val="21"/>
              </w:rPr>
            </w:pPr>
            <w:r>
              <w:rPr>
                <w:kern w:val="0"/>
                <w:szCs w:val="21"/>
              </w:rPr>
              <w:t>指标</w:t>
            </w:r>
            <w:r>
              <w:rPr>
                <w:kern w:val="0"/>
                <w:szCs w:val="21"/>
              </w:rPr>
              <w:t>3</w:t>
            </w:r>
            <w:r>
              <w:rPr>
                <w:kern w:val="0"/>
                <w:szCs w:val="21"/>
              </w:rPr>
              <w:t>：</w:t>
            </w:r>
            <w:r>
              <w:rPr>
                <w:rFonts w:ascii="宋体" w:hAnsi="宋体" w:cs="宋体" w:hint="eastAsia"/>
                <w:szCs w:val="21"/>
              </w:rPr>
              <w:t>法治炎陵上台阶①继续深化司法体制改革。深入推进司法责任制改革、诉讼制度改革、公安改革和司法行政改革，完善员额管理制度,激励多办案、办好案；推进以审判为中心的刑事诉讼制度改革,全力破解“执行难”，执行共收案699件，结案578件，结案率80.7%，执行到位标的金额2.2亿元。②加强执法规范化建设。完善刑事、民事、行政、公益诉讼“四大检察”制度,加强对政法机关重点岗位、关键要害部门和重点执法环节的监督检查，</w:t>
            </w:r>
            <w:r>
              <w:rPr>
                <w:rFonts w:ascii="宋体" w:hAnsi="宋体" w:cs="宋体" w:hint="eastAsia"/>
                <w:bCs/>
                <w:szCs w:val="21"/>
              </w:rPr>
              <w:t>提出纠正违法意见19件，检察建议6件，纠正漏罪7人，</w:t>
            </w:r>
            <w:r>
              <w:rPr>
                <w:rFonts w:ascii="宋体" w:hAnsi="宋体" w:cs="宋体" w:hint="eastAsia"/>
                <w:szCs w:val="21"/>
              </w:rPr>
              <w:t>办理公益诉讼2件，</w:t>
            </w:r>
            <w:r>
              <w:rPr>
                <w:rFonts w:ascii="宋体" w:hAnsi="宋体" w:cs="宋体" w:hint="eastAsia"/>
                <w:bCs/>
                <w:szCs w:val="21"/>
              </w:rPr>
              <w:t>全县</w:t>
            </w:r>
            <w:r>
              <w:rPr>
                <w:rFonts w:ascii="宋体" w:hAnsi="宋体" w:cs="宋体" w:hint="eastAsia"/>
                <w:szCs w:val="21"/>
              </w:rPr>
              <w:t>执法规范化水平有效提升。</w:t>
            </w:r>
          </w:p>
          <w:p w:rsidR="00F21220" w:rsidRDefault="00F21220" w:rsidP="008E4025">
            <w:pPr>
              <w:spacing w:line="240" w:lineRule="atLeast"/>
              <w:rPr>
                <w:kern w:val="0"/>
                <w:szCs w:val="21"/>
              </w:rPr>
            </w:pPr>
          </w:p>
        </w:tc>
      </w:tr>
      <w:tr w:rsidR="00F21220"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12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F21220" w:rsidRDefault="00F21220" w:rsidP="008E4025">
            <w:pPr>
              <w:spacing w:line="400" w:lineRule="exact"/>
              <w:rPr>
                <w:kern w:val="0"/>
                <w:szCs w:val="21"/>
              </w:rPr>
            </w:pPr>
            <w:r>
              <w:rPr>
                <w:rFonts w:hint="eastAsia"/>
                <w:kern w:val="0"/>
                <w:szCs w:val="21"/>
              </w:rPr>
              <w:t>指标</w:t>
            </w:r>
            <w:r>
              <w:rPr>
                <w:kern w:val="0"/>
                <w:szCs w:val="21"/>
              </w:rPr>
              <w:t>1</w:t>
            </w:r>
            <w:r>
              <w:rPr>
                <w:rFonts w:hint="eastAsia"/>
                <w:kern w:val="0"/>
                <w:szCs w:val="21"/>
              </w:rPr>
              <w:t>：服务工作大局，加快推进炎陵建成小康社会。</w:t>
            </w:r>
          </w:p>
          <w:p w:rsidR="00F21220" w:rsidRDefault="00F21220" w:rsidP="008E4025">
            <w:pPr>
              <w:spacing w:line="400" w:lineRule="exact"/>
              <w:rPr>
                <w:kern w:val="0"/>
                <w:szCs w:val="21"/>
              </w:rPr>
            </w:pPr>
            <w:r>
              <w:rPr>
                <w:rFonts w:hint="eastAsia"/>
                <w:kern w:val="0"/>
                <w:szCs w:val="21"/>
              </w:rPr>
              <w:t>指标</w:t>
            </w:r>
            <w:r>
              <w:rPr>
                <w:kern w:val="0"/>
                <w:szCs w:val="21"/>
              </w:rPr>
              <w:t>2</w:t>
            </w:r>
            <w:r>
              <w:rPr>
                <w:rFonts w:hint="eastAsia"/>
                <w:kern w:val="0"/>
                <w:szCs w:val="21"/>
              </w:rPr>
              <w:t>：平安创建有效，加快推进炎陵实现平安稳定。</w:t>
            </w:r>
          </w:p>
          <w:p w:rsidR="00F21220" w:rsidRDefault="00F21220" w:rsidP="008E4025">
            <w:pPr>
              <w:widowControl/>
              <w:spacing w:line="560" w:lineRule="exact"/>
              <w:rPr>
                <w:kern w:val="0"/>
                <w:szCs w:val="21"/>
              </w:rPr>
            </w:pPr>
            <w:r>
              <w:rPr>
                <w:rFonts w:hint="eastAsia"/>
                <w:kern w:val="0"/>
                <w:szCs w:val="21"/>
              </w:rPr>
              <w:t>指标</w:t>
            </w:r>
            <w:r>
              <w:rPr>
                <w:kern w:val="0"/>
                <w:szCs w:val="21"/>
              </w:rPr>
              <w:t>3</w:t>
            </w:r>
            <w:r>
              <w:rPr>
                <w:rFonts w:hint="eastAsia"/>
                <w:kern w:val="0"/>
                <w:szCs w:val="21"/>
              </w:rPr>
              <w:t>：强化队伍建设，实现炎陵政法综治工作新作为。</w:t>
            </w:r>
          </w:p>
        </w:tc>
      </w:tr>
      <w:tr w:rsidR="00F21220" w:rsidTr="008E4025">
        <w:trPr>
          <w:cantSplit/>
          <w:trHeight w:val="3322"/>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kern w:val="0"/>
                <w:szCs w:val="21"/>
              </w:rPr>
              <w:lastRenderedPageBreak/>
              <w:t>单位自评情况分析及</w:t>
            </w:r>
            <w:r>
              <w:rPr>
                <w:rFonts w:hint="eastAsia"/>
                <w:kern w:val="0"/>
                <w:szCs w:val="21"/>
              </w:rPr>
              <w:t xml:space="preserve">  </w:t>
            </w:r>
            <w:r>
              <w:rPr>
                <w:kern w:val="0"/>
                <w:szCs w:val="21"/>
              </w:rPr>
              <w:t>结论</w:t>
            </w:r>
          </w:p>
        </w:tc>
        <w:tc>
          <w:tcPr>
            <w:tcW w:w="7140" w:type="dxa"/>
            <w:gridSpan w:val="5"/>
            <w:tcBorders>
              <w:top w:val="single" w:sz="4" w:space="0" w:color="auto"/>
              <w:left w:val="single" w:sz="4" w:space="0" w:color="auto"/>
              <w:bottom w:val="single" w:sz="4" w:space="0" w:color="auto"/>
              <w:right w:val="single" w:sz="4" w:space="0" w:color="auto"/>
            </w:tcBorders>
          </w:tcPr>
          <w:p w:rsidR="00F21220" w:rsidRDefault="00F21220" w:rsidP="008E4025">
            <w:pPr>
              <w:numPr>
                <w:ilvl w:val="0"/>
                <w:numId w:val="3"/>
              </w:numPr>
              <w:spacing w:line="560" w:lineRule="exact"/>
              <w:rPr>
                <w:kern w:val="0"/>
                <w:sz w:val="24"/>
              </w:rPr>
            </w:pPr>
            <w:r>
              <w:rPr>
                <w:kern w:val="0"/>
                <w:sz w:val="24"/>
              </w:rPr>
              <w:t>支出情况分析：</w:t>
            </w:r>
            <w:r>
              <w:rPr>
                <w:rFonts w:ascii="宋体" w:hint="eastAsia"/>
                <w:kern w:val="0"/>
                <w:szCs w:val="21"/>
              </w:rPr>
              <w:t>年度支出总额327.36万元，支出项目为：</w:t>
            </w:r>
            <w:r>
              <w:rPr>
                <w:kern w:val="0"/>
                <w:szCs w:val="21"/>
              </w:rPr>
              <w:t xml:space="preserve"> </w:t>
            </w:r>
            <w:r>
              <w:rPr>
                <w:rFonts w:ascii="宋体" w:hint="eastAsia"/>
                <w:kern w:val="0"/>
                <w:szCs w:val="21"/>
              </w:rPr>
              <w:t>①人员经费开支</w:t>
            </w:r>
            <w:r>
              <w:rPr>
                <w:rFonts w:ascii="宋体" w:hAnsi="宋体" w:hint="eastAsia"/>
                <w:szCs w:val="21"/>
              </w:rPr>
              <w:t>（工资福利支出）136.49万元；</w:t>
            </w:r>
            <w:r>
              <w:rPr>
                <w:rFonts w:ascii="宋体" w:hint="eastAsia"/>
                <w:kern w:val="0"/>
                <w:szCs w:val="21"/>
              </w:rPr>
              <w:t>②工作经费支出（商品和服务支出）114.88万元；</w:t>
            </w:r>
            <w:r>
              <w:rPr>
                <w:rFonts w:ascii="宋体" w:hAnsi="宋体" w:cs="宋体" w:hint="eastAsia"/>
                <w:bCs/>
                <w:szCs w:val="21"/>
              </w:rPr>
              <w:t>③对个人和家庭补助支出72.94万元，</w:t>
            </w:r>
            <w:r>
              <w:rPr>
                <w:rFonts w:ascii="仿宋_GB2312" w:eastAsia="仿宋_GB2312" w:hAnsi="仿宋_GB2312" w:cs="仿宋_GB2312" w:hint="eastAsia"/>
                <w:bCs/>
                <w:szCs w:val="21"/>
              </w:rPr>
              <w:t>④</w:t>
            </w:r>
            <w:r>
              <w:rPr>
                <w:rFonts w:ascii="宋体" w:hAnsi="宋体" w:cs="宋体" w:hint="eastAsia"/>
                <w:bCs/>
                <w:szCs w:val="21"/>
              </w:rPr>
              <w:t xml:space="preserve">资本性支出3.05万元。 </w:t>
            </w:r>
            <w:r>
              <w:rPr>
                <w:rFonts w:ascii="宋体" w:hAnsi="宋体" w:hint="eastAsia"/>
                <w:szCs w:val="21"/>
              </w:rPr>
              <w:t>各项支出均符合财政预算。</w:t>
            </w:r>
          </w:p>
          <w:p w:rsidR="00F21220" w:rsidRDefault="00F21220" w:rsidP="008E4025">
            <w:pPr>
              <w:tabs>
                <w:tab w:val="left" w:pos="1618"/>
              </w:tabs>
              <w:jc w:val="left"/>
            </w:pPr>
          </w:p>
          <w:p w:rsidR="00F21220" w:rsidRDefault="00F21220" w:rsidP="008E4025"/>
        </w:tc>
      </w:tr>
      <w:tr w:rsidR="00F21220" w:rsidTr="008E4025">
        <w:trPr>
          <w:cantSplit/>
          <w:trHeight w:val="1348"/>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7140" w:type="dxa"/>
            <w:gridSpan w:val="5"/>
            <w:tcBorders>
              <w:top w:val="single" w:sz="4" w:space="0" w:color="auto"/>
              <w:left w:val="single" w:sz="4" w:space="0" w:color="auto"/>
              <w:bottom w:val="single" w:sz="4" w:space="0" w:color="auto"/>
              <w:right w:val="single" w:sz="4" w:space="0" w:color="auto"/>
            </w:tcBorders>
          </w:tcPr>
          <w:p w:rsidR="00F21220" w:rsidRDefault="00F21220" w:rsidP="008E4025">
            <w:pPr>
              <w:spacing w:line="400" w:lineRule="exact"/>
              <w:rPr>
                <w:kern w:val="0"/>
                <w:sz w:val="24"/>
              </w:rPr>
            </w:pPr>
            <w:r>
              <w:rPr>
                <w:rFonts w:hint="eastAsia"/>
                <w:kern w:val="0"/>
                <w:sz w:val="24"/>
              </w:rPr>
              <w:t>2</w:t>
            </w:r>
            <w:r>
              <w:rPr>
                <w:rFonts w:hint="eastAsia"/>
                <w:kern w:val="0"/>
                <w:sz w:val="24"/>
              </w:rPr>
              <w:t>、</w:t>
            </w:r>
            <w:r>
              <w:rPr>
                <w:kern w:val="0"/>
                <w:sz w:val="24"/>
              </w:rPr>
              <w:t>绩效目标完成情况分析：</w:t>
            </w:r>
            <w:r>
              <w:rPr>
                <w:rFonts w:ascii="宋体" w:hAnsi="宋体" w:cs="宋体" w:hint="eastAsia"/>
                <w:szCs w:val="21"/>
              </w:rPr>
              <w:t>2019年，炎陵县政法工作以习近平新时代中国特色社会主义思想为指导，全面贯彻落实上级政法工作会议精神，在县委的坚强领导下，围绕县委、县政府中心工作,以“力保一个目标、攻克两个难题、把握三个重点、打好四个擂台、实现五个过硬”“12345”为行动纲领，忠诚</w:t>
            </w:r>
            <w:proofErr w:type="gramStart"/>
            <w:r>
              <w:rPr>
                <w:rFonts w:ascii="宋体" w:hAnsi="宋体" w:cs="宋体" w:hint="eastAsia"/>
                <w:szCs w:val="21"/>
              </w:rPr>
              <w:t>践行</w:t>
            </w:r>
            <w:proofErr w:type="gramEnd"/>
            <w:r>
              <w:rPr>
                <w:rFonts w:ascii="宋体" w:hAnsi="宋体" w:cs="宋体" w:hint="eastAsia"/>
                <w:szCs w:val="21"/>
              </w:rPr>
              <w:t>使命,奋力担当作为,全面推进平安建设、法治建设、队伍建设，为全县经济社会高质量发展保驾护航。</w:t>
            </w:r>
          </w:p>
        </w:tc>
      </w:tr>
      <w:tr w:rsidR="00F21220" w:rsidTr="008E4025">
        <w:trPr>
          <w:cantSplit/>
          <w:trHeight w:val="117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7140" w:type="dxa"/>
            <w:gridSpan w:val="5"/>
            <w:tcBorders>
              <w:top w:val="single" w:sz="4" w:space="0" w:color="auto"/>
              <w:left w:val="single" w:sz="4" w:space="0" w:color="auto"/>
              <w:bottom w:val="single" w:sz="4" w:space="0" w:color="auto"/>
              <w:right w:val="single" w:sz="4" w:space="0" w:color="auto"/>
            </w:tcBorders>
          </w:tcPr>
          <w:p w:rsidR="00F21220" w:rsidRDefault="00F21220" w:rsidP="008E4025">
            <w:pPr>
              <w:spacing w:line="560" w:lineRule="exact"/>
              <w:rPr>
                <w:rFonts w:hint="eastAsia"/>
              </w:rPr>
            </w:pPr>
            <w:r>
              <w:rPr>
                <w:rFonts w:hint="eastAsia"/>
                <w:kern w:val="0"/>
                <w:sz w:val="24"/>
              </w:rPr>
              <w:t>3</w:t>
            </w:r>
            <w:r>
              <w:rPr>
                <w:rFonts w:hint="eastAsia"/>
                <w:kern w:val="0"/>
                <w:sz w:val="24"/>
              </w:rPr>
              <w:t>、</w:t>
            </w:r>
            <w:r>
              <w:rPr>
                <w:kern w:val="0"/>
                <w:sz w:val="24"/>
              </w:rPr>
              <w:t>自我评价结论：</w:t>
            </w:r>
            <w:r>
              <w:rPr>
                <w:color w:val="333333"/>
                <w:szCs w:val="21"/>
                <w:shd w:val="clear" w:color="auto" w:fill="FFFFFF"/>
              </w:rPr>
              <w:t>201</w:t>
            </w:r>
            <w:r>
              <w:rPr>
                <w:rFonts w:hint="eastAsia"/>
                <w:color w:val="333333"/>
                <w:szCs w:val="21"/>
                <w:shd w:val="clear" w:color="auto" w:fill="FFFFFF"/>
              </w:rPr>
              <w:t>9</w:t>
            </w:r>
            <w:r>
              <w:rPr>
                <w:rFonts w:hint="eastAsia"/>
                <w:color w:val="333333"/>
                <w:szCs w:val="21"/>
                <w:shd w:val="clear" w:color="auto" w:fill="FFFFFF"/>
              </w:rPr>
              <w:t>年度各项指标完成好，自评为优秀。</w:t>
            </w:r>
          </w:p>
        </w:tc>
      </w:tr>
      <w:tr w:rsidR="00F21220" w:rsidTr="008E4025">
        <w:trPr>
          <w:trHeight w:val="1491"/>
          <w:jc w:val="center"/>
        </w:trPr>
        <w:tc>
          <w:tcPr>
            <w:tcW w:w="25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kern w:val="0"/>
                <w:szCs w:val="21"/>
              </w:rPr>
              <w:t>存在的问题</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F21220" w:rsidRDefault="00F21220" w:rsidP="008E4025">
            <w:pPr>
              <w:spacing w:line="560" w:lineRule="exact"/>
              <w:rPr>
                <w:kern w:val="0"/>
                <w:sz w:val="24"/>
              </w:rPr>
            </w:pPr>
            <w:r>
              <w:rPr>
                <w:rFonts w:hint="eastAsia"/>
                <w:color w:val="333333"/>
                <w:szCs w:val="21"/>
                <w:shd w:val="clear" w:color="auto" w:fill="FFFFFF"/>
              </w:rPr>
              <w:t>县委政法委员会是县委领导政法工作的职能部门。工作任务繁重，人员和资金还有待增加。</w:t>
            </w:r>
          </w:p>
        </w:tc>
      </w:tr>
      <w:tr w:rsidR="00F21220" w:rsidTr="008E4025">
        <w:trPr>
          <w:trHeight w:val="1594"/>
          <w:jc w:val="center"/>
        </w:trPr>
        <w:tc>
          <w:tcPr>
            <w:tcW w:w="25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kern w:val="0"/>
                <w:szCs w:val="21"/>
              </w:rPr>
              <w:t>改进措施与建议</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F21220" w:rsidRDefault="00F21220" w:rsidP="008E4025">
            <w:pPr>
              <w:spacing w:line="360" w:lineRule="exact"/>
              <w:ind w:right="482" w:firstLineChars="200" w:firstLine="420"/>
              <w:rPr>
                <w:kern w:val="0"/>
                <w:sz w:val="24"/>
              </w:rPr>
            </w:pPr>
            <w:r>
              <w:rPr>
                <w:szCs w:val="21"/>
              </w:rPr>
              <w:t>一是合理安排收支预算</w:t>
            </w:r>
            <w:r>
              <w:rPr>
                <w:rFonts w:hint="eastAsia"/>
                <w:color w:val="333333"/>
                <w:szCs w:val="21"/>
                <w:shd w:val="clear" w:color="auto" w:fill="FFFFFF"/>
              </w:rPr>
              <w:t>，</w:t>
            </w:r>
            <w:r>
              <w:rPr>
                <w:szCs w:val="21"/>
              </w:rPr>
              <w:t>严格预算管理。二是规范财务行为，提高会计基础工作质量</w:t>
            </w:r>
            <w:r>
              <w:rPr>
                <w:rFonts w:hint="eastAsia"/>
                <w:color w:val="333333"/>
                <w:szCs w:val="21"/>
                <w:shd w:val="clear" w:color="auto" w:fill="FFFFFF"/>
              </w:rPr>
              <w:t>。</w:t>
            </w:r>
            <w:r>
              <w:rPr>
                <w:szCs w:val="21"/>
              </w:rPr>
              <w:t>严格执行财经纪律和各项财经政策，自觉接受财政、审计、纪检监察等职能部门的监督</w:t>
            </w:r>
            <w:r>
              <w:rPr>
                <w:rFonts w:hint="eastAsia"/>
                <w:color w:val="333333"/>
                <w:szCs w:val="21"/>
                <w:shd w:val="clear" w:color="auto" w:fill="FFFFFF"/>
              </w:rPr>
              <w:t>。</w:t>
            </w:r>
            <w:r>
              <w:rPr>
                <w:szCs w:val="21"/>
              </w:rPr>
              <w:t>进一步健全机关各项财务制度，严格财经手续</w:t>
            </w:r>
            <w:r>
              <w:rPr>
                <w:rFonts w:hint="eastAsia"/>
                <w:color w:val="333333"/>
                <w:szCs w:val="21"/>
                <w:shd w:val="clear" w:color="auto" w:fill="FFFFFF"/>
              </w:rPr>
              <w:t>，</w:t>
            </w:r>
            <w:r>
              <w:rPr>
                <w:szCs w:val="21"/>
              </w:rPr>
              <w:t>完善经费使用内部控制制度，加强对原始票据的合法性、完整性审核</w:t>
            </w:r>
            <w:r>
              <w:rPr>
                <w:rFonts w:hint="eastAsia"/>
                <w:color w:val="333333"/>
                <w:szCs w:val="21"/>
                <w:shd w:val="clear" w:color="auto" w:fill="FFFFFF"/>
              </w:rPr>
              <w:t>，</w:t>
            </w:r>
            <w:r>
              <w:rPr>
                <w:szCs w:val="21"/>
              </w:rPr>
              <w:t>做到票据合法规范，手续完备</w:t>
            </w:r>
            <w:r>
              <w:rPr>
                <w:rFonts w:hint="eastAsia"/>
                <w:color w:val="333333"/>
                <w:szCs w:val="21"/>
                <w:shd w:val="clear" w:color="auto" w:fill="FFFFFF"/>
              </w:rPr>
              <w:t>。</w:t>
            </w:r>
            <w:r>
              <w:rPr>
                <w:szCs w:val="21"/>
              </w:rPr>
              <w:t>三是建设阳光财务，提高资金效益</w:t>
            </w:r>
            <w:r>
              <w:rPr>
                <w:rFonts w:hint="eastAsia"/>
                <w:color w:val="333333"/>
                <w:szCs w:val="21"/>
                <w:shd w:val="clear" w:color="auto" w:fill="FFFFFF"/>
              </w:rPr>
              <w:t>。进一步完善财政预决算、“三公经费”及重大专项公开工作。使重大项目管理制度更加科学合理，程序更加规范透明，分配更加公平公正，资金更加安全高效。</w:t>
            </w:r>
          </w:p>
        </w:tc>
      </w:tr>
      <w:tr w:rsidR="00F21220" w:rsidTr="008E4025">
        <w:trPr>
          <w:trHeight w:val="1690"/>
          <w:jc w:val="center"/>
        </w:trPr>
        <w:tc>
          <w:tcPr>
            <w:tcW w:w="250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F21220" w:rsidRDefault="00F21220"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F21220" w:rsidRDefault="00F21220" w:rsidP="00F21220">
      <w:pPr>
        <w:widowControl/>
        <w:tabs>
          <w:tab w:val="left" w:pos="1333"/>
          <w:tab w:val="left" w:pos="3793"/>
          <w:tab w:val="left" w:pos="5853"/>
        </w:tabs>
        <w:spacing w:line="560" w:lineRule="exact"/>
        <w:ind w:firstLineChars="150" w:firstLine="315"/>
        <w:jc w:val="left"/>
        <w:sectPr w:rsidR="00F21220">
          <w:footerReference w:type="default" r:id="rId8"/>
          <w:pgSz w:w="11906" w:h="16838"/>
          <w:pgMar w:top="1440" w:right="1797" w:bottom="1440" w:left="1797" w:header="851" w:footer="1474" w:gutter="0"/>
          <w:pgNumType w:fmt="numberInDash"/>
          <w:cols w:space="720"/>
          <w:docGrid w:type="linesAndChars" w:linePitch="312"/>
        </w:sectPr>
      </w:pPr>
      <w:r>
        <w:rPr>
          <w:kern w:val="0"/>
          <w:szCs w:val="21"/>
        </w:rPr>
        <w:t>填报人：</w:t>
      </w:r>
      <w:proofErr w:type="gramStart"/>
      <w:r>
        <w:rPr>
          <w:rFonts w:hint="eastAsia"/>
          <w:kern w:val="0"/>
          <w:szCs w:val="21"/>
        </w:rPr>
        <w:t>谭</w:t>
      </w:r>
      <w:proofErr w:type="gramEnd"/>
      <w:r>
        <w:rPr>
          <w:rFonts w:hint="eastAsia"/>
          <w:kern w:val="0"/>
          <w:szCs w:val="21"/>
        </w:rPr>
        <w:t>建军</w:t>
      </w:r>
      <w:r>
        <w:rPr>
          <w:kern w:val="0"/>
          <w:szCs w:val="21"/>
        </w:rPr>
        <w:t xml:space="preserve">           </w:t>
      </w:r>
      <w:r>
        <w:rPr>
          <w:kern w:val="0"/>
          <w:szCs w:val="21"/>
        </w:rPr>
        <w:t>联系电话：</w:t>
      </w:r>
      <w:r>
        <w:rPr>
          <w:rFonts w:hint="eastAsia"/>
          <w:kern w:val="0"/>
          <w:szCs w:val="21"/>
        </w:rPr>
        <w:t>13787812697</w:t>
      </w:r>
      <w:r>
        <w:rPr>
          <w:kern w:val="0"/>
          <w:szCs w:val="21"/>
        </w:rPr>
        <w:t xml:space="preserve">           </w:t>
      </w:r>
      <w:r>
        <w:rPr>
          <w:kern w:val="0"/>
          <w:szCs w:val="21"/>
        </w:rPr>
        <w:t>填报日期：</w:t>
      </w:r>
      <w:r>
        <w:rPr>
          <w:rFonts w:hint="eastAsia"/>
          <w:kern w:val="0"/>
          <w:szCs w:val="21"/>
        </w:rPr>
        <w:t>2020.9.8</w:t>
      </w:r>
    </w:p>
    <w:p w:rsidR="00F21220" w:rsidRDefault="00F21220" w:rsidP="00F21220">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F21220" w:rsidRDefault="00F21220" w:rsidP="00F21220">
      <w:pPr>
        <w:spacing w:line="560" w:lineRule="exact"/>
        <w:jc w:val="center"/>
        <w:rPr>
          <w:rFonts w:eastAsia="方正小标宋简体"/>
          <w:sz w:val="36"/>
          <w:szCs w:val="36"/>
        </w:rPr>
      </w:pPr>
      <w:r>
        <w:rPr>
          <w:rFonts w:eastAsia="方正小标宋简体"/>
          <w:sz w:val="36"/>
          <w:szCs w:val="36"/>
        </w:rPr>
        <w:t>部门整体支出绩效评价指标评分表</w:t>
      </w:r>
    </w:p>
    <w:p w:rsidR="00F21220" w:rsidRDefault="00F21220" w:rsidP="00F21220">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F21220"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黑体"/>
                <w:bCs/>
                <w:kern w:val="0"/>
                <w:szCs w:val="21"/>
              </w:rPr>
            </w:pPr>
            <w:r>
              <w:rPr>
                <w:rFonts w:eastAsia="黑体"/>
                <w:bCs/>
                <w:kern w:val="0"/>
                <w:szCs w:val="21"/>
              </w:rPr>
              <w:t>评价得分</w:t>
            </w:r>
          </w:p>
          <w:p w:rsidR="00F21220" w:rsidRDefault="00F21220" w:rsidP="008E4025">
            <w:pPr>
              <w:widowControl/>
              <w:jc w:val="center"/>
              <w:rPr>
                <w:rFonts w:eastAsia="黑体"/>
                <w:bCs/>
                <w:kern w:val="0"/>
                <w:szCs w:val="21"/>
              </w:rPr>
            </w:pPr>
            <w:r>
              <w:rPr>
                <w:rFonts w:eastAsia="黑体"/>
                <w:bCs/>
                <w:kern w:val="0"/>
                <w:szCs w:val="21"/>
              </w:rPr>
              <w:t>（要求列出计算过程和评分依据）</w:t>
            </w:r>
          </w:p>
        </w:tc>
      </w:tr>
      <w:tr w:rsidR="00F21220"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21220" w:rsidRDefault="00F21220"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F21220" w:rsidRDefault="00F21220"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F21220" w:rsidRDefault="00F21220"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rFonts w:hint="eastAsia"/>
                <w:kern w:val="0"/>
                <w:szCs w:val="21"/>
              </w:rPr>
              <w:t>3</w:t>
            </w:r>
          </w:p>
        </w:tc>
      </w:tr>
      <w:tr w:rsidR="00F21220"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F21220" w:rsidRDefault="00F21220"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F21220" w:rsidRDefault="00F21220"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F21220" w:rsidRDefault="00F21220"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kern w:val="0"/>
                <w:szCs w:val="21"/>
              </w:rPr>
            </w:pPr>
            <w:r>
              <w:rPr>
                <w:rFonts w:hint="eastAsia"/>
                <w:kern w:val="0"/>
                <w:szCs w:val="21"/>
              </w:rPr>
              <w:t>5</w:t>
            </w:r>
          </w:p>
        </w:tc>
      </w:tr>
      <w:tr w:rsidR="00F21220"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4</w:t>
            </w:r>
          </w:p>
        </w:tc>
      </w:tr>
      <w:tr w:rsidR="00F21220"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4</w:t>
            </w:r>
          </w:p>
        </w:tc>
      </w:tr>
      <w:tr w:rsidR="00F21220"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4</w:t>
            </w:r>
          </w:p>
        </w:tc>
      </w:tr>
      <w:tr w:rsidR="00F21220"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21220" w:rsidRDefault="00F21220"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4</w:t>
            </w:r>
          </w:p>
        </w:tc>
      </w:tr>
      <w:tr w:rsidR="00F21220"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4</w:t>
            </w:r>
          </w:p>
        </w:tc>
      </w:tr>
      <w:tr w:rsidR="00F21220"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4</w:t>
            </w:r>
          </w:p>
        </w:tc>
      </w:tr>
      <w:tr w:rsidR="00F21220"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4</w:t>
            </w:r>
          </w:p>
        </w:tc>
      </w:tr>
      <w:tr w:rsidR="00F21220"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21220" w:rsidRDefault="00F21220"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6</w:t>
            </w:r>
          </w:p>
        </w:tc>
      </w:tr>
      <w:tr w:rsidR="00F21220"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5</w:t>
            </w:r>
          </w:p>
        </w:tc>
      </w:tr>
      <w:tr w:rsidR="00F21220"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5</w:t>
            </w:r>
          </w:p>
        </w:tc>
      </w:tr>
      <w:tr w:rsidR="00F21220"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4</w:t>
            </w:r>
          </w:p>
        </w:tc>
      </w:tr>
      <w:tr w:rsidR="00F21220"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5</w:t>
            </w:r>
          </w:p>
        </w:tc>
      </w:tr>
      <w:tr w:rsidR="00F21220"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3</w:t>
            </w:r>
          </w:p>
        </w:tc>
      </w:tr>
      <w:tr w:rsidR="00F21220"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21220" w:rsidRDefault="00F21220"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F21220" w:rsidRDefault="00F21220"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kern w:val="0"/>
                <w:szCs w:val="21"/>
              </w:rPr>
            </w:pPr>
            <w:r>
              <w:rPr>
                <w:kern w:val="0"/>
                <w:szCs w:val="21"/>
              </w:rPr>
              <w:t xml:space="preserve">　</w:t>
            </w:r>
            <w:r>
              <w:rPr>
                <w:rFonts w:hint="eastAsia"/>
                <w:kern w:val="0"/>
                <w:szCs w:val="21"/>
              </w:rPr>
              <w:t>10</w:t>
            </w:r>
          </w:p>
        </w:tc>
      </w:tr>
      <w:tr w:rsidR="00F21220"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6</w:t>
            </w:r>
          </w:p>
        </w:tc>
      </w:tr>
      <w:tr w:rsidR="00F21220"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21220" w:rsidRDefault="00F21220"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rPr>
                <w:kern w:val="0"/>
                <w:szCs w:val="21"/>
              </w:rPr>
            </w:pPr>
            <w:r>
              <w:rPr>
                <w:rFonts w:hint="eastAsia"/>
                <w:kern w:val="0"/>
                <w:szCs w:val="21"/>
              </w:rPr>
              <w:t>10</w:t>
            </w:r>
          </w:p>
        </w:tc>
      </w:tr>
      <w:tr w:rsidR="00F21220"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r>
      <w:tr w:rsidR="00F21220"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r>
      <w:tr w:rsidR="00F21220"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21220" w:rsidRDefault="00F21220"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hint="eastAsia"/>
                <w:kern w:val="0"/>
                <w:szCs w:val="21"/>
              </w:rPr>
            </w:pPr>
            <w:r>
              <w:rPr>
                <w:kern w:val="0"/>
                <w:szCs w:val="21"/>
              </w:rPr>
              <w:t xml:space="preserve">　</w:t>
            </w:r>
            <w:r>
              <w:rPr>
                <w:rFonts w:hint="eastAsia"/>
                <w:kern w:val="0"/>
                <w:szCs w:val="21"/>
              </w:rPr>
              <w:t>8</w:t>
            </w:r>
          </w:p>
        </w:tc>
      </w:tr>
      <w:tr w:rsidR="00F21220"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F21220" w:rsidRDefault="00F21220" w:rsidP="008E4025">
            <w:pPr>
              <w:widowControl/>
              <w:jc w:val="left"/>
              <w:rPr>
                <w:kern w:val="0"/>
                <w:szCs w:val="21"/>
              </w:rPr>
            </w:pPr>
            <w:r>
              <w:rPr>
                <w:rFonts w:hint="eastAsia"/>
                <w:kern w:val="0"/>
                <w:szCs w:val="21"/>
              </w:rPr>
              <w:t>98</w:t>
            </w:r>
          </w:p>
        </w:tc>
      </w:tr>
    </w:tbl>
    <w:p w:rsidR="00F21220" w:rsidRDefault="00F21220" w:rsidP="00F21220">
      <w:pPr>
        <w:rPr>
          <w:rFonts w:hint="eastAsia"/>
        </w:rPr>
      </w:pPr>
    </w:p>
    <w:p w:rsidR="00F21220" w:rsidRDefault="00F21220" w:rsidP="00F21220">
      <w:pPr>
        <w:sectPr w:rsidR="00F21220">
          <w:pgSz w:w="16838" w:h="11906" w:orient="landscape"/>
          <w:pgMar w:top="1797" w:right="1440" w:bottom="1797" w:left="1440" w:header="851" w:footer="992" w:gutter="0"/>
          <w:pgNumType w:fmt="numberInDash"/>
          <w:cols w:space="720"/>
          <w:docGrid w:type="lines" w:linePitch="312"/>
        </w:sectPr>
      </w:pPr>
    </w:p>
    <w:p w:rsidR="0020582A" w:rsidRPr="00F21220" w:rsidRDefault="0020582A">
      <w:bookmarkStart w:id="1" w:name="_GoBack"/>
      <w:bookmarkEnd w:id="1"/>
    </w:p>
    <w:sectPr w:rsidR="0020582A" w:rsidRPr="00F21220">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AAD" w:rsidRDefault="002D2AAD" w:rsidP="00F21220">
      <w:r>
        <w:separator/>
      </w:r>
    </w:p>
  </w:endnote>
  <w:endnote w:type="continuationSeparator" w:id="0">
    <w:p w:rsidR="002D2AAD" w:rsidRDefault="002D2AAD" w:rsidP="00F2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220" w:rsidRDefault="00F21220">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- 18 -</w:t>
    </w:r>
    <w:r>
      <w:rPr>
        <w:rFonts w:ascii="宋体" w:hAnsi="宋体" w:hint="eastAsia"/>
        <w:sz w:val="24"/>
        <w:szCs w:val="24"/>
      </w:rPr>
      <w:fldChar w:fldCharType="end"/>
    </w:r>
    <w:r>
      <w:rPr>
        <w:rStyle w:val="a5"/>
        <w:rFonts w:ascii="宋体" w:hAnsi="宋体" w:hint="eastAsia"/>
        <w:sz w:val="24"/>
        <w:szCs w:val="24"/>
      </w:rPr>
      <w:t xml:space="preserve"> </w:t>
    </w:r>
  </w:p>
  <w:p w:rsidR="00F21220" w:rsidRDefault="00F21220">
    <w:pPr>
      <w:pStyle w:val="a4"/>
      <w:framePr w:wrap="around" w:vAnchor="text" w:hAnchor="margin" w:xAlign="outside" w:y="1"/>
      <w:rPr>
        <w:rStyle w:val="a5"/>
        <w:rFonts w:ascii="宋体" w:hAnsi="宋体"/>
        <w:sz w:val="24"/>
        <w:szCs w:val="24"/>
      </w:rPr>
    </w:pPr>
  </w:p>
  <w:p w:rsidR="00F21220" w:rsidRDefault="00F21220">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AAD" w:rsidRDefault="002D2AAD" w:rsidP="00F21220">
      <w:r>
        <w:separator/>
      </w:r>
    </w:p>
  </w:footnote>
  <w:footnote w:type="continuationSeparator" w:id="0">
    <w:p w:rsidR="002D2AAD" w:rsidRDefault="002D2AAD" w:rsidP="00F21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2A9CE1"/>
    <w:multiLevelType w:val="singleLevel"/>
    <w:tmpl w:val="ED2A9CE1"/>
    <w:lvl w:ilvl="0">
      <w:start w:val="1"/>
      <w:numFmt w:val="chineseCounting"/>
      <w:suff w:val="nothing"/>
      <w:lvlText w:val="%1、"/>
      <w:lvlJc w:val="left"/>
      <w:rPr>
        <w:rFonts w:hint="eastAsia"/>
      </w:rPr>
    </w:lvl>
  </w:abstractNum>
  <w:abstractNum w:abstractNumId="1">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E943F20"/>
    <w:multiLevelType w:val="singleLevel"/>
    <w:tmpl w:val="3E943F20"/>
    <w:lvl w:ilvl="0">
      <w:start w:val="7"/>
      <w:numFmt w:val="chineseCounting"/>
      <w:suff w:val="nothing"/>
      <w:lvlText w:val="%1、"/>
      <w:lvlJc w:val="left"/>
      <w:rPr>
        <w:rFonts w:hint="eastAsia"/>
      </w:rPr>
    </w:lvl>
  </w:abstractNum>
  <w:num w:numId="1">
    <w:abstractNumId w:val="0"/>
  </w:num>
  <w:num w:numId="2">
    <w:abstractNumId w:val="2"/>
  </w:num>
  <w:num w:numId="3">
    <w:abstractNumId w:val="1"/>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8D"/>
    <w:rsid w:val="0020582A"/>
    <w:rsid w:val="002D2AAD"/>
    <w:rsid w:val="00DD728D"/>
    <w:rsid w:val="00F21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2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1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1220"/>
    <w:rPr>
      <w:sz w:val="18"/>
      <w:szCs w:val="18"/>
    </w:rPr>
  </w:style>
  <w:style w:type="paragraph" w:styleId="a4">
    <w:name w:val="footer"/>
    <w:basedOn w:val="a"/>
    <w:link w:val="Char0"/>
    <w:unhideWhenUsed/>
    <w:rsid w:val="00F21220"/>
    <w:pPr>
      <w:tabs>
        <w:tab w:val="center" w:pos="4153"/>
        <w:tab w:val="right" w:pos="8306"/>
      </w:tabs>
      <w:snapToGrid w:val="0"/>
      <w:jc w:val="left"/>
    </w:pPr>
    <w:rPr>
      <w:sz w:val="18"/>
      <w:szCs w:val="18"/>
    </w:rPr>
  </w:style>
  <w:style w:type="character" w:customStyle="1" w:styleId="Char0">
    <w:name w:val="页脚 Char"/>
    <w:basedOn w:val="a0"/>
    <w:link w:val="a4"/>
    <w:rsid w:val="00F21220"/>
    <w:rPr>
      <w:sz w:val="18"/>
      <w:szCs w:val="18"/>
    </w:rPr>
  </w:style>
  <w:style w:type="character" w:styleId="a5">
    <w:name w:val="page number"/>
    <w:basedOn w:val="a0"/>
    <w:rsid w:val="00F21220"/>
  </w:style>
  <w:style w:type="paragraph" w:styleId="a6">
    <w:name w:val="List Paragraph"/>
    <w:basedOn w:val="a"/>
    <w:uiPriority w:val="99"/>
    <w:qFormat/>
    <w:rsid w:val="00F21220"/>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2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1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1220"/>
    <w:rPr>
      <w:sz w:val="18"/>
      <w:szCs w:val="18"/>
    </w:rPr>
  </w:style>
  <w:style w:type="paragraph" w:styleId="a4">
    <w:name w:val="footer"/>
    <w:basedOn w:val="a"/>
    <w:link w:val="Char0"/>
    <w:unhideWhenUsed/>
    <w:rsid w:val="00F21220"/>
    <w:pPr>
      <w:tabs>
        <w:tab w:val="center" w:pos="4153"/>
        <w:tab w:val="right" w:pos="8306"/>
      </w:tabs>
      <w:snapToGrid w:val="0"/>
      <w:jc w:val="left"/>
    </w:pPr>
    <w:rPr>
      <w:sz w:val="18"/>
      <w:szCs w:val="18"/>
    </w:rPr>
  </w:style>
  <w:style w:type="character" w:customStyle="1" w:styleId="Char0">
    <w:name w:val="页脚 Char"/>
    <w:basedOn w:val="a0"/>
    <w:link w:val="a4"/>
    <w:rsid w:val="00F21220"/>
    <w:rPr>
      <w:sz w:val="18"/>
      <w:szCs w:val="18"/>
    </w:rPr>
  </w:style>
  <w:style w:type="character" w:styleId="a5">
    <w:name w:val="page number"/>
    <w:basedOn w:val="a0"/>
    <w:rsid w:val="00F21220"/>
  </w:style>
  <w:style w:type="paragraph" w:styleId="a6">
    <w:name w:val="List Paragraph"/>
    <w:basedOn w:val="a"/>
    <w:uiPriority w:val="99"/>
    <w:qFormat/>
    <w:rsid w:val="00F21220"/>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1416</Words>
  <Characters>8077</Characters>
  <Application>Microsoft Office Word</Application>
  <DocSecurity>0</DocSecurity>
  <Lines>67</Lines>
  <Paragraphs>18</Paragraphs>
  <ScaleCrop>false</ScaleCrop>
  <Company/>
  <LinksUpToDate>false</LinksUpToDate>
  <CharactersWithSpaces>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2021-01-08T06:50:00Z</dcterms:created>
  <dcterms:modified xsi:type="dcterms:W3CDTF">2021-01-08T06:50:00Z</dcterms:modified>
</cp:coreProperties>
</file>