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9D6" w:rsidRDefault="000229D6" w:rsidP="000229D6">
      <w:pPr>
        <w:spacing w:line="560" w:lineRule="exact"/>
        <w:rPr>
          <w:rFonts w:eastAsia="黑体"/>
          <w:bCs/>
          <w:kern w:val="0"/>
          <w:sz w:val="32"/>
          <w:szCs w:val="32"/>
        </w:rPr>
      </w:pPr>
      <w:r>
        <w:rPr>
          <w:rFonts w:eastAsia="黑体" w:hAnsi="黑体"/>
          <w:bCs/>
          <w:kern w:val="0"/>
          <w:sz w:val="32"/>
          <w:szCs w:val="32"/>
        </w:rPr>
        <w:t>附件</w:t>
      </w:r>
      <w:r>
        <w:rPr>
          <w:rFonts w:eastAsia="黑体"/>
          <w:bCs/>
          <w:kern w:val="0"/>
          <w:sz w:val="32"/>
          <w:szCs w:val="32"/>
        </w:rPr>
        <w:t>2</w:t>
      </w:r>
    </w:p>
    <w:p w:rsidR="000229D6" w:rsidRDefault="000229D6" w:rsidP="000229D6">
      <w:pPr>
        <w:spacing w:line="600" w:lineRule="exact"/>
        <w:jc w:val="center"/>
        <w:rPr>
          <w:rFonts w:eastAsia="方正小标宋_GBK" w:hint="eastAsia"/>
          <w:sz w:val="36"/>
          <w:szCs w:val="36"/>
        </w:rPr>
      </w:pPr>
      <w:r>
        <w:rPr>
          <w:rFonts w:eastAsia="方正小标宋_GBK"/>
          <w:sz w:val="36"/>
          <w:szCs w:val="36"/>
        </w:rPr>
        <w:t>炎陵县政务服务中心</w:t>
      </w:r>
    </w:p>
    <w:p w:rsidR="000229D6" w:rsidRDefault="000229D6" w:rsidP="000229D6">
      <w:pPr>
        <w:spacing w:line="600" w:lineRule="exact"/>
        <w:jc w:val="center"/>
        <w:rPr>
          <w:rFonts w:eastAsia="方正小标宋_GBK"/>
          <w:sz w:val="32"/>
          <w:szCs w:val="32"/>
        </w:rPr>
      </w:pPr>
      <w:r>
        <w:rPr>
          <w:rFonts w:eastAsia="方正小标宋_GBK"/>
          <w:sz w:val="36"/>
          <w:szCs w:val="36"/>
        </w:rPr>
        <w:t>部门整体支出绩效评价报告</w:t>
      </w:r>
    </w:p>
    <w:p w:rsidR="000229D6" w:rsidRDefault="000229D6" w:rsidP="000229D6">
      <w:pPr>
        <w:pStyle w:val="a6"/>
        <w:widowControl/>
        <w:spacing w:line="520" w:lineRule="exact"/>
        <w:ind w:firstLine="640"/>
        <w:rPr>
          <w:rFonts w:ascii="Times New Roman" w:eastAsia="黑体" w:hAnsi="Times New Roman" w:hint="eastAsia"/>
          <w:sz w:val="32"/>
          <w:szCs w:val="32"/>
        </w:rPr>
      </w:pPr>
    </w:p>
    <w:p w:rsidR="000229D6" w:rsidRDefault="000229D6" w:rsidP="000229D6">
      <w:pPr>
        <w:pStyle w:val="a6"/>
        <w:widowControl/>
        <w:spacing w:line="520" w:lineRule="exact"/>
        <w:ind w:firstLine="640"/>
        <w:rPr>
          <w:rFonts w:ascii="Times New Roman" w:eastAsia="黑体" w:hAnsi="Times New Roman" w:hint="eastAsia"/>
          <w:sz w:val="32"/>
          <w:szCs w:val="32"/>
        </w:rPr>
      </w:pPr>
      <w:r>
        <w:rPr>
          <w:rFonts w:ascii="Times New Roman" w:eastAsia="黑体" w:hAnsi="Times New Roman" w:hint="eastAsia"/>
          <w:sz w:val="32"/>
          <w:szCs w:val="32"/>
        </w:rPr>
        <w:t>一、</w:t>
      </w:r>
      <w:r>
        <w:rPr>
          <w:rFonts w:ascii="Times New Roman" w:eastAsia="黑体" w:hAnsi="Times New Roman"/>
          <w:sz w:val="32"/>
          <w:szCs w:val="32"/>
        </w:rPr>
        <w:t>部门、单位基本情况</w:t>
      </w:r>
    </w:p>
    <w:p w:rsidR="000229D6" w:rsidRPr="009C2D02" w:rsidRDefault="000229D6" w:rsidP="000229D6">
      <w:pPr>
        <w:snapToGrid w:val="0"/>
        <w:spacing w:line="520" w:lineRule="exact"/>
        <w:ind w:firstLineChars="200" w:firstLine="640"/>
        <w:rPr>
          <w:rFonts w:ascii="仿宋_GB2312" w:eastAsia="仿宋_GB2312" w:hAnsi="仿宋" w:hint="eastAsia"/>
          <w:sz w:val="32"/>
          <w:szCs w:val="32"/>
        </w:rPr>
      </w:pPr>
      <w:r w:rsidRPr="009C2D02">
        <w:rPr>
          <w:rFonts w:ascii="仿宋_GB2312" w:eastAsia="仿宋_GB2312" w:hAnsi="仿宋" w:hint="eastAsia"/>
          <w:sz w:val="32"/>
          <w:szCs w:val="32"/>
        </w:rPr>
        <w:t>1．主要职能。</w:t>
      </w:r>
    </w:p>
    <w:p w:rsidR="000229D6" w:rsidRPr="009C2D02" w:rsidRDefault="000229D6" w:rsidP="000229D6">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（一）负责</w:t>
      </w:r>
      <w:proofErr w:type="gramStart"/>
      <w:r w:rsidRPr="009C2D02">
        <w:rPr>
          <w:rFonts w:ascii="仿宋_GB2312" w:eastAsia="仿宋_GB2312" w:hint="eastAsia"/>
          <w:sz w:val="32"/>
          <w:szCs w:val="32"/>
        </w:rPr>
        <w:t>制定县</w:t>
      </w:r>
      <w:proofErr w:type="gramEnd"/>
      <w:r w:rsidRPr="009C2D02">
        <w:rPr>
          <w:rFonts w:ascii="仿宋_GB2312" w:eastAsia="仿宋_GB2312" w:hint="eastAsia"/>
          <w:sz w:val="32"/>
          <w:szCs w:val="32"/>
        </w:rPr>
        <w:t>政务服务中心各项规章制度、管理办法、政务服务标准体系，并组织实施；联络、协调进入县政务服务中心事项的并联审批和部门之间的业务衔接，优化审批流程，提高办事效率；协调、督察政务服务事项办理情况；负责窗口工作人员的培训、管理和考评；配合行业主管部门做好参与政务服务的中介服务机构管理工作。</w:t>
      </w:r>
    </w:p>
    <w:p w:rsidR="000229D6" w:rsidRPr="009C2D02" w:rsidRDefault="000229D6" w:rsidP="000229D6">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（二）负责窗口电子政务平台业务指导和实时维护等工作。</w:t>
      </w:r>
    </w:p>
    <w:p w:rsidR="000229D6" w:rsidRPr="009C2D02" w:rsidRDefault="000229D6" w:rsidP="000229D6">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（三）负责县政府网站内容保障和运行维护。</w:t>
      </w:r>
    </w:p>
    <w:p w:rsidR="000229D6" w:rsidRPr="009C2D02" w:rsidRDefault="000229D6" w:rsidP="000229D6">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（四）负责县长热线接线、交办、督办、回访和市长热线（市长信箱）交办事项的办理等工作。</w:t>
      </w:r>
    </w:p>
    <w:p w:rsidR="000229D6" w:rsidRPr="009C2D02" w:rsidRDefault="000229D6" w:rsidP="000229D6">
      <w:pPr>
        <w:tabs>
          <w:tab w:val="left" w:pos="7560"/>
        </w:tabs>
        <w:adjustRightInd w:val="0"/>
        <w:snapToGrid w:val="0"/>
        <w:spacing w:line="560" w:lineRule="exact"/>
        <w:ind w:firstLineChars="200" w:firstLine="640"/>
        <w:jc w:val="left"/>
        <w:rPr>
          <w:rFonts w:ascii="仿宋_GB2312" w:eastAsia="仿宋_GB2312" w:hint="eastAsia"/>
          <w:sz w:val="32"/>
          <w:szCs w:val="32"/>
        </w:rPr>
      </w:pPr>
      <w:r w:rsidRPr="009C2D02">
        <w:rPr>
          <w:rFonts w:ascii="仿宋_GB2312" w:eastAsia="仿宋_GB2312" w:hint="eastAsia"/>
          <w:sz w:val="32"/>
          <w:szCs w:val="32"/>
        </w:rPr>
        <w:t>（五）完成县委、县政府交办的其他工作。</w:t>
      </w:r>
    </w:p>
    <w:p w:rsidR="000229D6" w:rsidRPr="009C2D02" w:rsidRDefault="000229D6" w:rsidP="000229D6">
      <w:pPr>
        <w:snapToGrid w:val="0"/>
        <w:spacing w:line="520" w:lineRule="exact"/>
        <w:ind w:firstLineChars="200" w:firstLine="640"/>
        <w:rPr>
          <w:rFonts w:ascii="仿宋_GB2312" w:eastAsia="仿宋_GB2312" w:hAnsi="仿宋" w:hint="eastAsia"/>
          <w:sz w:val="32"/>
          <w:szCs w:val="32"/>
        </w:rPr>
      </w:pPr>
      <w:r w:rsidRPr="009C2D02">
        <w:rPr>
          <w:rFonts w:ascii="仿宋_GB2312" w:eastAsia="仿宋_GB2312" w:hAnsi="仿宋" w:hint="eastAsia"/>
          <w:sz w:val="32"/>
          <w:szCs w:val="32"/>
        </w:rPr>
        <w:t>2．机构情况，包括当年变动情况及原因。</w:t>
      </w:r>
    </w:p>
    <w:p w:rsidR="000229D6" w:rsidRPr="009C2D02" w:rsidRDefault="000229D6" w:rsidP="000229D6">
      <w:pPr>
        <w:snapToGrid w:val="0"/>
        <w:spacing w:line="520" w:lineRule="exact"/>
        <w:ind w:firstLineChars="200" w:firstLine="640"/>
        <w:rPr>
          <w:rFonts w:ascii="仿宋_GB2312" w:eastAsia="仿宋_GB2312" w:hAnsi="黑体" w:hint="eastAsia"/>
          <w:bCs/>
          <w:sz w:val="32"/>
          <w:szCs w:val="32"/>
        </w:rPr>
      </w:pPr>
      <w:r w:rsidRPr="009C2D02">
        <w:rPr>
          <w:rFonts w:ascii="仿宋_GB2312" w:eastAsia="仿宋_GB2312" w:hAnsi="黑体" w:hint="eastAsia"/>
          <w:bCs/>
          <w:sz w:val="32"/>
          <w:szCs w:val="32"/>
        </w:rPr>
        <w:t xml:space="preserve">  </w:t>
      </w:r>
      <w:r w:rsidRPr="009C2D02">
        <w:rPr>
          <w:rFonts w:ascii="仿宋_GB2312" w:eastAsia="仿宋_GB2312" w:hAnsi="宋体" w:cs="宋体" w:hint="eastAsia"/>
          <w:sz w:val="32"/>
          <w:szCs w:val="32"/>
        </w:rPr>
        <w:t>我单位共有5个内设机构，分别为：</w:t>
      </w:r>
      <w:r w:rsidRPr="009C2D02">
        <w:rPr>
          <w:rFonts w:ascii="仿宋_GB2312" w:eastAsia="仿宋_GB2312" w:hAnsi="黑体" w:hint="eastAsia"/>
          <w:bCs/>
          <w:sz w:val="32"/>
          <w:szCs w:val="32"/>
        </w:rPr>
        <w:t>办公室、窗口管理股、电子政务股、网站信息股、县长热线室。</w:t>
      </w:r>
    </w:p>
    <w:p w:rsidR="000229D6" w:rsidRPr="009C2D02" w:rsidRDefault="000229D6" w:rsidP="000229D6">
      <w:pPr>
        <w:snapToGrid w:val="0"/>
        <w:spacing w:line="520" w:lineRule="exact"/>
        <w:ind w:firstLineChars="200" w:firstLine="640"/>
        <w:rPr>
          <w:rFonts w:ascii="仿宋_GB2312" w:eastAsia="仿宋_GB2312" w:hAnsi="仿宋" w:hint="eastAsia"/>
          <w:sz w:val="32"/>
          <w:szCs w:val="32"/>
        </w:rPr>
      </w:pPr>
      <w:r w:rsidRPr="009C2D02">
        <w:rPr>
          <w:rFonts w:ascii="仿宋_GB2312" w:eastAsia="仿宋_GB2312" w:hAnsi="仿宋" w:hint="eastAsia"/>
          <w:sz w:val="32"/>
          <w:szCs w:val="32"/>
        </w:rPr>
        <w:t>3．人员情况，包括当年变动情况及原因。</w:t>
      </w:r>
    </w:p>
    <w:p w:rsidR="000229D6" w:rsidRPr="00F60DF4" w:rsidRDefault="000229D6" w:rsidP="000229D6">
      <w:pPr>
        <w:snapToGrid w:val="0"/>
        <w:spacing w:line="520" w:lineRule="exact"/>
        <w:ind w:firstLineChars="200" w:firstLine="640"/>
        <w:rPr>
          <w:rFonts w:ascii="仿宋_GB2312" w:eastAsia="仿宋_GB2312" w:hAnsi="黑体"/>
          <w:bCs/>
          <w:sz w:val="32"/>
          <w:szCs w:val="32"/>
        </w:rPr>
      </w:pPr>
      <w:r w:rsidRPr="009C2D02">
        <w:rPr>
          <w:rFonts w:ascii="仿宋_GB2312" w:eastAsia="仿宋_GB2312" w:hAnsi="黑体" w:hint="eastAsia"/>
          <w:bCs/>
          <w:sz w:val="32"/>
          <w:szCs w:val="32"/>
        </w:rPr>
        <w:t>全额拨款事业编制22名(其中包括未独立核算的县优化营商环境协调事业中心编制11名)。无下属单位，预算为一级。年末实有人数15人，另外退休1人。领导职数：主</w:t>
      </w:r>
      <w:r w:rsidRPr="009C2D02">
        <w:rPr>
          <w:rFonts w:ascii="仿宋_GB2312" w:eastAsia="仿宋_GB2312" w:hAnsi="黑体" w:hint="eastAsia"/>
          <w:bCs/>
          <w:sz w:val="32"/>
          <w:szCs w:val="32"/>
        </w:rPr>
        <w:lastRenderedPageBreak/>
        <w:t>任1名，副主任2名。</w:t>
      </w:r>
    </w:p>
    <w:p w:rsidR="000229D6" w:rsidRDefault="000229D6" w:rsidP="000229D6">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一般公共预算支出情况</w:t>
      </w:r>
    </w:p>
    <w:p w:rsidR="000229D6" w:rsidRDefault="000229D6" w:rsidP="000229D6">
      <w:pPr>
        <w:pStyle w:val="a6"/>
        <w:widowControl/>
        <w:spacing w:line="520" w:lineRule="exact"/>
        <w:ind w:left="640" w:firstLineChars="0" w:firstLine="0"/>
        <w:rPr>
          <w:rFonts w:ascii="Times New Roman" w:eastAsia="黑体" w:hAnsi="Times New Roman" w:hint="eastAsia"/>
          <w:sz w:val="32"/>
          <w:szCs w:val="32"/>
        </w:rPr>
      </w:pPr>
      <w:r>
        <w:rPr>
          <w:rFonts w:ascii="Times New Roman" w:eastAsia="黑体" w:hAnsi="Times New Roman" w:hint="eastAsia"/>
          <w:sz w:val="32"/>
          <w:szCs w:val="32"/>
        </w:rPr>
        <w:t>（一）</w:t>
      </w:r>
      <w:r>
        <w:rPr>
          <w:rFonts w:ascii="Times New Roman" w:eastAsia="黑体" w:hAnsi="Times New Roman"/>
          <w:sz w:val="32"/>
          <w:szCs w:val="32"/>
        </w:rPr>
        <w:t>基本支出情况</w:t>
      </w:r>
    </w:p>
    <w:p w:rsidR="000229D6" w:rsidRPr="00DD50E5" w:rsidRDefault="000229D6" w:rsidP="000229D6">
      <w:pPr>
        <w:snapToGrid w:val="0"/>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2019年财政拨款总支出3768364.37元，包括上年财政拨款结转112963.16元，其中：①按功能分类：一般公共服务支出3057238.37元，占总支出的81.13%；社会保障和就业支出178701.14元，占总支出的4.74%；卫生健康支出99340.86元，占总支出的2.64%；住房保障支出151584元，占总支出的4.02%；其他支出281500元，占总支出的7.47%。②按支出性质分类：基本支出3768364.37元，占总支出的100%。③按支出经济分类：工资福利支出1742698.16元，占总支出的46.25%；商品和服务支出542855.41元，占总支出的14.41%;对个人和家庭的补助支出101976元，占总支出的2.70%；资本性支出1380834.80元，占总支出的36.64%。</w:t>
      </w:r>
    </w:p>
    <w:p w:rsidR="000229D6" w:rsidRDefault="000229D6" w:rsidP="000229D6">
      <w:pPr>
        <w:pStyle w:val="a6"/>
        <w:widowControl/>
        <w:spacing w:line="52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项目支出情况</w:t>
      </w:r>
    </w:p>
    <w:p w:rsidR="000229D6" w:rsidRDefault="000229D6" w:rsidP="000229D6">
      <w:pPr>
        <w:widowControl/>
        <w:spacing w:line="520" w:lineRule="exact"/>
        <w:ind w:firstLineChars="200" w:firstLine="640"/>
        <w:jc w:val="left"/>
        <w:rPr>
          <w:rFonts w:eastAsia="仿宋_GB2312"/>
          <w:sz w:val="32"/>
          <w:szCs w:val="32"/>
        </w:rPr>
      </w:pPr>
      <w:r>
        <w:rPr>
          <w:rFonts w:eastAsia="仿宋_GB2312" w:hint="eastAsia"/>
          <w:sz w:val="32"/>
          <w:szCs w:val="32"/>
        </w:rPr>
        <w:t>无</w:t>
      </w:r>
    </w:p>
    <w:p w:rsidR="000229D6" w:rsidRDefault="000229D6" w:rsidP="000229D6">
      <w:pPr>
        <w:pStyle w:val="a6"/>
        <w:widowControl/>
        <w:spacing w:line="520" w:lineRule="exact"/>
        <w:ind w:left="640" w:firstLineChars="0" w:firstLine="0"/>
        <w:jc w:val="left"/>
        <w:rPr>
          <w:rFonts w:ascii="Times New Roman" w:eastAsia="黑体" w:hAnsi="Times New Roman" w:hint="eastAsia"/>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p>
    <w:p w:rsidR="000229D6" w:rsidRPr="00F60DF4" w:rsidRDefault="000229D6" w:rsidP="000229D6">
      <w:pPr>
        <w:pStyle w:val="a6"/>
        <w:widowControl/>
        <w:spacing w:line="520" w:lineRule="exact"/>
        <w:ind w:left="640" w:firstLineChars="0" w:firstLine="0"/>
        <w:jc w:val="left"/>
        <w:rPr>
          <w:rFonts w:ascii="仿宋_GB2312" w:eastAsia="仿宋_GB2312" w:hAnsi="Times New Roman" w:hint="eastAsia"/>
          <w:sz w:val="32"/>
          <w:szCs w:val="32"/>
        </w:rPr>
      </w:pPr>
      <w:r w:rsidRPr="00F60DF4">
        <w:rPr>
          <w:rFonts w:ascii="仿宋_GB2312" w:eastAsia="仿宋_GB2312" w:hAnsi="Times New Roman" w:hint="eastAsia"/>
          <w:sz w:val="32"/>
          <w:szCs w:val="32"/>
        </w:rPr>
        <w:t>无</w:t>
      </w:r>
    </w:p>
    <w:p w:rsidR="000229D6" w:rsidRDefault="000229D6" w:rsidP="000229D6">
      <w:pPr>
        <w:pStyle w:val="a6"/>
        <w:widowControl/>
        <w:spacing w:line="520" w:lineRule="exact"/>
        <w:ind w:left="640" w:firstLineChars="0" w:firstLine="0"/>
        <w:jc w:val="left"/>
        <w:rPr>
          <w:rFonts w:ascii="Times New Roman" w:eastAsia="黑体" w:hAnsi="Times New Roman" w:hint="eastAsia"/>
          <w:sz w:val="32"/>
          <w:szCs w:val="32"/>
        </w:rPr>
      </w:pPr>
      <w:r>
        <w:rPr>
          <w:rFonts w:ascii="Times New Roman" w:eastAsia="黑体" w:hAnsi="Times New Roman" w:hint="eastAsia"/>
          <w:sz w:val="32"/>
          <w:szCs w:val="32"/>
        </w:rPr>
        <w:t>四、</w:t>
      </w:r>
      <w:r>
        <w:rPr>
          <w:rFonts w:ascii="Times New Roman" w:eastAsia="黑体" w:hAnsi="Times New Roman"/>
          <w:sz w:val="32"/>
          <w:szCs w:val="32"/>
        </w:rPr>
        <w:t>社会保险基金预算支出情况</w:t>
      </w:r>
    </w:p>
    <w:p w:rsidR="000229D6" w:rsidRPr="00F60DF4" w:rsidRDefault="000229D6" w:rsidP="000229D6">
      <w:pPr>
        <w:pStyle w:val="a6"/>
        <w:widowControl/>
        <w:spacing w:line="520" w:lineRule="exact"/>
        <w:ind w:left="640" w:firstLineChars="0" w:firstLine="0"/>
        <w:jc w:val="left"/>
        <w:rPr>
          <w:rFonts w:ascii="仿宋_GB2312" w:eastAsia="仿宋_GB2312" w:hAnsi="Times New Roman" w:hint="eastAsia"/>
          <w:sz w:val="32"/>
          <w:szCs w:val="32"/>
        </w:rPr>
      </w:pPr>
      <w:r w:rsidRPr="00F60DF4">
        <w:rPr>
          <w:rFonts w:ascii="仿宋_GB2312" w:eastAsia="仿宋_GB2312" w:hAnsi="Times New Roman" w:hint="eastAsia"/>
          <w:sz w:val="32"/>
          <w:szCs w:val="32"/>
        </w:rPr>
        <w:t>无</w:t>
      </w:r>
    </w:p>
    <w:p w:rsidR="000229D6" w:rsidRDefault="000229D6" w:rsidP="000229D6">
      <w:pPr>
        <w:widowControl/>
        <w:spacing w:line="520" w:lineRule="exact"/>
        <w:ind w:firstLine="645"/>
        <w:jc w:val="left"/>
        <w:rPr>
          <w:rFonts w:eastAsia="黑体"/>
          <w:sz w:val="32"/>
          <w:szCs w:val="32"/>
        </w:rPr>
      </w:pPr>
      <w:r>
        <w:rPr>
          <w:rFonts w:eastAsia="黑体" w:hint="eastAsia"/>
          <w:sz w:val="32"/>
          <w:szCs w:val="32"/>
        </w:rPr>
        <w:t>五</w:t>
      </w:r>
      <w:r>
        <w:rPr>
          <w:rFonts w:eastAsia="黑体"/>
          <w:sz w:val="32"/>
          <w:szCs w:val="32"/>
        </w:rPr>
        <w:t>、部门整体支出绩效情况</w:t>
      </w:r>
    </w:p>
    <w:p w:rsidR="000229D6" w:rsidRDefault="000229D6" w:rsidP="000229D6">
      <w:pPr>
        <w:pStyle w:val="a6"/>
        <w:widowControl/>
        <w:spacing w:line="520" w:lineRule="exact"/>
        <w:ind w:firstLineChars="0"/>
        <w:jc w:val="left"/>
        <w:rPr>
          <w:rFonts w:ascii="仿宋_GB2312" w:eastAsia="仿宋_GB2312" w:hAnsi="宋体" w:cs="仿宋_GB2312" w:hint="eastAsia"/>
          <w:kern w:val="0"/>
          <w:sz w:val="32"/>
          <w:szCs w:val="32"/>
        </w:rPr>
      </w:pPr>
      <w:r w:rsidRPr="00F60DF4">
        <w:rPr>
          <w:rFonts w:ascii="仿宋_GB2312" w:eastAsia="仿宋_GB2312" w:hAnsi="宋体" w:cs="楷体_GB2312" w:hint="eastAsia"/>
          <w:color w:val="000000"/>
          <w:sz w:val="32"/>
          <w:szCs w:val="32"/>
        </w:rPr>
        <w:t>行政审批服务工作不断优化。</w:t>
      </w:r>
      <w:r w:rsidRPr="00F60DF4">
        <w:rPr>
          <w:rFonts w:ascii="仿宋_GB2312" w:eastAsia="仿宋_GB2312" w:hAnsi="宋体" w:cs="仿宋_GB2312" w:hint="eastAsia"/>
          <w:sz w:val="32"/>
          <w:szCs w:val="32"/>
        </w:rPr>
        <w:t>大力推进“互联网+政务服务”市、县、乡镇、村（社区）四级联动建设工作。接入点共241个。9月份实现了与省、市政务平台的对接。进一步完善政府部门行政权力清单编制工作。推行“一件事一次办”，</w:t>
      </w:r>
      <w:r w:rsidRPr="00F60DF4">
        <w:rPr>
          <w:rFonts w:ascii="仿宋_GB2312" w:eastAsia="仿宋_GB2312" w:hAnsi="宋体" w:cs="仿宋_GB2312" w:hint="eastAsia"/>
          <w:sz w:val="32"/>
          <w:szCs w:val="32"/>
        </w:rPr>
        <w:lastRenderedPageBreak/>
        <w:t>分三批公布“一件事一次办”事项187项，全年办理“一件事一次办”事项323838件。推动不动</w:t>
      </w:r>
      <w:proofErr w:type="gramStart"/>
      <w:r w:rsidRPr="00F60DF4">
        <w:rPr>
          <w:rFonts w:ascii="仿宋_GB2312" w:eastAsia="仿宋_GB2312" w:hAnsi="宋体" w:cs="仿宋_GB2312" w:hint="eastAsia"/>
          <w:sz w:val="32"/>
          <w:szCs w:val="32"/>
        </w:rPr>
        <w:t>产登记</w:t>
      </w:r>
      <w:proofErr w:type="gramEnd"/>
      <w:r w:rsidRPr="00F60DF4">
        <w:rPr>
          <w:rFonts w:ascii="仿宋_GB2312" w:eastAsia="仿宋_GB2312" w:hAnsi="宋体" w:cs="仿宋_GB2312" w:hint="eastAsia"/>
          <w:sz w:val="32"/>
          <w:szCs w:val="32"/>
        </w:rPr>
        <w:t>领域改革。税务、房产联合办公，实现了不动产交易登记一体化。</w:t>
      </w:r>
      <w:proofErr w:type="gramStart"/>
      <w:r w:rsidRPr="00F60DF4">
        <w:rPr>
          <w:rFonts w:ascii="仿宋_GB2312" w:eastAsia="仿宋_GB2312" w:hAnsi="宋体" w:cs="仿宋_GB2312" w:hint="eastAsia"/>
          <w:sz w:val="32"/>
          <w:szCs w:val="32"/>
        </w:rPr>
        <w:t>推动商事登记</w:t>
      </w:r>
      <w:proofErr w:type="gramEnd"/>
      <w:r w:rsidRPr="00F60DF4">
        <w:rPr>
          <w:rFonts w:ascii="仿宋_GB2312" w:eastAsia="仿宋_GB2312" w:hAnsi="宋体" w:cs="仿宋_GB2312" w:hint="eastAsia"/>
          <w:sz w:val="32"/>
          <w:szCs w:val="32"/>
        </w:rPr>
        <w:t>领域改革。在工商登记领域，实施“多证合一、一照一码”登记改革。</w:t>
      </w:r>
      <w:r w:rsidRPr="00F60DF4">
        <w:rPr>
          <w:rFonts w:ascii="仿宋_GB2312" w:eastAsia="仿宋_GB2312" w:hAnsi="宋体" w:cs="楷体_GB2312" w:hint="eastAsia"/>
          <w:color w:val="000000"/>
          <w:sz w:val="32"/>
          <w:szCs w:val="32"/>
        </w:rPr>
        <w:t>严厉打击影响营商环境行为。</w:t>
      </w:r>
      <w:r w:rsidRPr="00F60DF4">
        <w:rPr>
          <w:rFonts w:ascii="仿宋_GB2312" w:eastAsia="仿宋_GB2312" w:hAnsi="宋体" w:cs="仿宋_GB2312" w:hint="eastAsia"/>
          <w:sz w:val="32"/>
          <w:szCs w:val="32"/>
        </w:rPr>
        <w:t>调处涉及发展环境的矛盾87起，受案调查涉众金融事件2起，非法吸收公众存款案1起。</w:t>
      </w:r>
      <w:r w:rsidRPr="00F60DF4">
        <w:rPr>
          <w:rFonts w:ascii="仿宋_GB2312" w:eastAsia="仿宋_GB2312" w:hAnsi="宋体" w:cs="仿宋_GB2312" w:hint="eastAsia"/>
          <w:snapToGrid w:val="0"/>
          <w:kern w:val="0"/>
          <w:sz w:val="32"/>
          <w:szCs w:val="32"/>
        </w:rPr>
        <w:t>1至11月全县减免税收6149.5万元。</w:t>
      </w:r>
      <w:r w:rsidRPr="00F60DF4">
        <w:rPr>
          <w:rFonts w:ascii="仿宋_GB2312" w:eastAsia="仿宋_GB2312" w:hAnsi="宋体" w:cs="楷体_GB2312" w:hint="eastAsia"/>
          <w:color w:val="000000"/>
          <w:sz w:val="32"/>
          <w:szCs w:val="32"/>
        </w:rPr>
        <w:t>逐步清理偿还拖欠企业的工程款。</w:t>
      </w:r>
      <w:r w:rsidRPr="00F60DF4">
        <w:rPr>
          <w:rFonts w:ascii="仿宋_GB2312" w:eastAsia="仿宋_GB2312" w:hAnsi="宋体" w:cs="仿宋_GB2312" w:hint="eastAsia"/>
          <w:sz w:val="32"/>
          <w:szCs w:val="32"/>
        </w:rPr>
        <w:t>已清欠4313.88万元，占总任务的100%。加强对投诉事件所涉及部门的协调处理，2019年接到投诉事件2起，按时办结。全年政府网站公开政务栏目信息1615条，办事服事项2679条。采编和发布炎陵新闻683篇、乡镇动态638篇，部门动态607篇；向</w:t>
      </w:r>
      <w:proofErr w:type="gramStart"/>
      <w:r w:rsidRPr="00F60DF4">
        <w:rPr>
          <w:rFonts w:ascii="仿宋_GB2312" w:eastAsia="仿宋_GB2312" w:hAnsi="宋体" w:cs="仿宋_GB2312" w:hint="eastAsia"/>
          <w:sz w:val="32"/>
          <w:szCs w:val="32"/>
        </w:rPr>
        <w:t>红网推稿</w:t>
      </w:r>
      <w:proofErr w:type="gramEnd"/>
      <w:r w:rsidRPr="00F60DF4">
        <w:rPr>
          <w:rFonts w:ascii="仿宋_GB2312" w:eastAsia="仿宋_GB2312" w:hAnsi="宋体" w:cs="仿宋_GB2312" w:hint="eastAsia"/>
          <w:sz w:val="32"/>
          <w:szCs w:val="32"/>
        </w:rPr>
        <w:t>377篇。</w:t>
      </w:r>
      <w:r w:rsidRPr="00F60DF4">
        <w:rPr>
          <w:rFonts w:ascii="仿宋_GB2312" w:eastAsia="仿宋_GB2312" w:hAnsi="宋体" w:cs="仿宋_GB2312" w:hint="eastAsia"/>
          <w:kern w:val="0"/>
          <w:sz w:val="32"/>
          <w:szCs w:val="32"/>
        </w:rPr>
        <w:t>县长热线突出抓好交办督办和回访工作，截至12月31日共接听群众有效电话4922个，按期办结率100%。</w:t>
      </w:r>
    </w:p>
    <w:p w:rsidR="000229D6" w:rsidRDefault="000229D6" w:rsidP="000229D6">
      <w:pPr>
        <w:pStyle w:val="a6"/>
        <w:widowControl/>
        <w:spacing w:line="520" w:lineRule="exact"/>
        <w:ind w:left="640" w:firstLineChars="0" w:firstLine="0"/>
        <w:jc w:val="left"/>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存在的问题及原因分析</w:t>
      </w:r>
    </w:p>
    <w:p w:rsidR="000229D6" w:rsidRDefault="000229D6" w:rsidP="000229D6">
      <w:pPr>
        <w:widowControl/>
        <w:spacing w:line="520" w:lineRule="exact"/>
        <w:ind w:firstLineChars="200" w:firstLine="640"/>
        <w:jc w:val="left"/>
        <w:rPr>
          <w:rFonts w:ascii="仿宋_GB2312" w:eastAsia="仿宋_GB2312" w:hAnsi="宋体" w:hint="eastAsia"/>
          <w:sz w:val="32"/>
          <w:szCs w:val="32"/>
        </w:rPr>
      </w:pPr>
      <w:r w:rsidRPr="00F60DF4">
        <w:rPr>
          <w:rFonts w:ascii="仿宋_GB2312" w:eastAsia="仿宋_GB2312" w:hAnsi="宋体" w:hint="eastAsia"/>
          <w:sz w:val="32"/>
          <w:szCs w:val="32"/>
        </w:rPr>
        <w:t>2019财政拨款支出决算数3768364.37元，比年初预算数2213972.00元增70.20%</w:t>
      </w:r>
      <w:r>
        <w:rPr>
          <w:rFonts w:ascii="仿宋_GB2312" w:eastAsia="仿宋_GB2312" w:hAnsi="宋体" w:hint="eastAsia"/>
          <w:sz w:val="32"/>
          <w:szCs w:val="32"/>
        </w:rPr>
        <w:t>。</w:t>
      </w:r>
      <w:r w:rsidRPr="00F60DF4">
        <w:rPr>
          <w:rFonts w:ascii="仿宋_GB2312" w:eastAsia="仿宋_GB2312" w:hAnsi="宋体" w:hint="eastAsia"/>
          <w:sz w:val="32"/>
          <w:szCs w:val="32"/>
        </w:rPr>
        <w:t>与年初预算安排的差额主要原因是2018年末结转结余挂往来预付县长热线和电费等已形成支出，同时政务中心搬迁改造工程结算，支付拖欠的中心搬迁改造工程款和县长热线平台升级、“互联网+政务服务”平台建设、人员工资正常调资等。</w:t>
      </w:r>
    </w:p>
    <w:p w:rsidR="000229D6" w:rsidRDefault="000229D6" w:rsidP="000229D6">
      <w:pPr>
        <w:widowControl/>
        <w:spacing w:line="520" w:lineRule="exact"/>
        <w:ind w:firstLineChars="200" w:firstLine="640"/>
        <w:jc w:val="left"/>
        <w:rPr>
          <w:rFonts w:eastAsia="黑体" w:hint="eastAsia"/>
          <w:sz w:val="32"/>
          <w:szCs w:val="32"/>
        </w:rPr>
      </w:pPr>
      <w:r>
        <w:rPr>
          <w:rFonts w:eastAsia="黑体" w:hint="eastAsia"/>
          <w:sz w:val="32"/>
          <w:szCs w:val="32"/>
        </w:rPr>
        <w:t>七</w:t>
      </w:r>
      <w:r>
        <w:rPr>
          <w:rFonts w:eastAsia="黑体"/>
          <w:sz w:val="32"/>
          <w:szCs w:val="32"/>
        </w:rPr>
        <w:t>、下一步改进措施</w:t>
      </w:r>
    </w:p>
    <w:p w:rsidR="000229D6" w:rsidRDefault="000229D6" w:rsidP="000229D6">
      <w:pPr>
        <w:widowControl/>
        <w:spacing w:line="520" w:lineRule="exact"/>
        <w:ind w:firstLineChars="200" w:firstLine="640"/>
        <w:jc w:val="left"/>
        <w:rPr>
          <w:rFonts w:eastAsia="黑体"/>
          <w:sz w:val="32"/>
          <w:szCs w:val="32"/>
        </w:rPr>
      </w:pPr>
      <w:r>
        <w:rPr>
          <w:rFonts w:ascii="仿宋_GB2312" w:eastAsia="仿宋_GB2312" w:hAnsi="仿宋" w:hint="eastAsia"/>
          <w:sz w:val="32"/>
          <w:szCs w:val="32"/>
        </w:rPr>
        <w:t>本单位需进一步落实预算执行的有效性，同时</w:t>
      </w:r>
      <w:proofErr w:type="gramStart"/>
      <w:r>
        <w:rPr>
          <w:rFonts w:ascii="仿宋_GB2312" w:eastAsia="仿宋_GB2312" w:hAnsi="仿宋" w:hint="eastAsia"/>
          <w:sz w:val="32"/>
          <w:szCs w:val="32"/>
        </w:rPr>
        <w:t>需以前</w:t>
      </w:r>
      <w:proofErr w:type="gramEnd"/>
      <w:r>
        <w:rPr>
          <w:rFonts w:ascii="仿宋_GB2312" w:eastAsia="仿宋_GB2312" w:hAnsi="仿宋" w:hint="eastAsia"/>
          <w:sz w:val="32"/>
          <w:szCs w:val="32"/>
        </w:rPr>
        <w:t>年度未纳入预算的新增工作经费开支进行合理预算。</w:t>
      </w:r>
    </w:p>
    <w:p w:rsidR="000229D6" w:rsidRDefault="000229D6" w:rsidP="000229D6">
      <w:pPr>
        <w:widowControl/>
        <w:spacing w:line="520" w:lineRule="exact"/>
        <w:ind w:firstLine="645"/>
        <w:jc w:val="left"/>
        <w:rPr>
          <w:rFonts w:eastAsia="黑体" w:hint="eastAsia"/>
          <w:sz w:val="32"/>
          <w:szCs w:val="32"/>
        </w:rPr>
      </w:pPr>
      <w:r>
        <w:rPr>
          <w:rFonts w:eastAsia="黑体" w:hint="eastAsia"/>
          <w:sz w:val="32"/>
          <w:szCs w:val="32"/>
        </w:rPr>
        <w:t>八</w:t>
      </w:r>
      <w:r>
        <w:rPr>
          <w:rFonts w:eastAsia="黑体"/>
          <w:sz w:val="32"/>
          <w:szCs w:val="32"/>
        </w:rPr>
        <w:t>、其他需要说明的情况</w:t>
      </w:r>
    </w:p>
    <w:p w:rsidR="000229D6" w:rsidRDefault="000229D6" w:rsidP="000229D6">
      <w:pPr>
        <w:spacing w:line="560" w:lineRule="exact"/>
        <w:ind w:firstLineChars="200" w:firstLine="640"/>
        <w:rPr>
          <w:rFonts w:ascii="仿宋_GB2312" w:eastAsia="仿宋_GB2312" w:hAnsi="黑体" w:hint="eastAsia"/>
          <w:bCs/>
          <w:kern w:val="0"/>
          <w:sz w:val="32"/>
          <w:szCs w:val="32"/>
        </w:rPr>
      </w:pPr>
      <w:r w:rsidRPr="00F60DF4">
        <w:rPr>
          <w:rFonts w:ascii="仿宋_GB2312" w:eastAsia="仿宋_GB2312" w:hAnsi="黑体" w:hint="eastAsia"/>
          <w:bCs/>
          <w:kern w:val="0"/>
          <w:sz w:val="32"/>
          <w:szCs w:val="32"/>
        </w:rPr>
        <w:t>无</w:t>
      </w:r>
    </w:p>
    <w:p w:rsidR="000229D6" w:rsidRPr="00F60DF4" w:rsidRDefault="000229D6" w:rsidP="000229D6">
      <w:pPr>
        <w:spacing w:line="560" w:lineRule="exact"/>
        <w:rPr>
          <w:rFonts w:ascii="仿宋_GB2312" w:eastAsia="仿宋_GB2312" w:hAnsi="黑体" w:hint="eastAsia"/>
          <w:bCs/>
          <w:kern w:val="0"/>
          <w:sz w:val="32"/>
          <w:szCs w:val="32"/>
        </w:rPr>
      </w:pPr>
      <w:r>
        <w:rPr>
          <w:rFonts w:eastAsia="黑体" w:hAnsi="黑体"/>
          <w:bCs/>
          <w:kern w:val="0"/>
          <w:sz w:val="32"/>
          <w:szCs w:val="32"/>
        </w:rPr>
        <w:lastRenderedPageBreak/>
        <w:t>附件</w:t>
      </w:r>
      <w:r>
        <w:rPr>
          <w:rFonts w:eastAsia="黑体" w:hint="eastAsia"/>
          <w:bCs/>
          <w:kern w:val="0"/>
          <w:sz w:val="32"/>
          <w:szCs w:val="32"/>
        </w:rPr>
        <w:t>3</w:t>
      </w:r>
    </w:p>
    <w:p w:rsidR="000229D6" w:rsidRDefault="000229D6" w:rsidP="000229D6">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0229D6" w:rsidRDefault="000229D6" w:rsidP="000229D6">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0"/>
        <w:gridCol w:w="1200"/>
        <w:gridCol w:w="585"/>
        <w:gridCol w:w="595"/>
        <w:gridCol w:w="1560"/>
        <w:gridCol w:w="3200"/>
      </w:tblGrid>
      <w:tr w:rsidR="000229D6" w:rsidTr="008E4025">
        <w:trPr>
          <w:trHeight w:val="1014"/>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0229D6" w:rsidRDefault="000229D6" w:rsidP="008E4025">
            <w:pPr>
              <w:widowControl/>
              <w:spacing w:line="560" w:lineRule="exact"/>
              <w:rPr>
                <w:kern w:val="0"/>
                <w:szCs w:val="21"/>
              </w:rPr>
            </w:pPr>
            <w:r>
              <w:rPr>
                <w:kern w:val="0"/>
                <w:szCs w:val="21"/>
              </w:rPr>
              <w:t>部门（单位）名称：</w:t>
            </w:r>
          </w:p>
          <w:p w:rsidR="000229D6" w:rsidRDefault="000229D6" w:rsidP="008E4025">
            <w:pPr>
              <w:widowControl/>
              <w:spacing w:line="560" w:lineRule="exact"/>
              <w:rPr>
                <w:rFonts w:eastAsia="黑体"/>
                <w:kern w:val="0"/>
                <w:szCs w:val="21"/>
              </w:rPr>
            </w:pPr>
            <w:r>
              <w:rPr>
                <w:rFonts w:eastAsia="黑体"/>
                <w:kern w:val="0"/>
                <w:szCs w:val="21"/>
              </w:rPr>
              <w:t xml:space="preserve">　炎陵县政务服务中心</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0229D6" w:rsidRDefault="000229D6" w:rsidP="008E4025">
            <w:pPr>
              <w:widowControl/>
              <w:spacing w:line="560" w:lineRule="exact"/>
              <w:rPr>
                <w:kern w:val="0"/>
                <w:szCs w:val="21"/>
              </w:rPr>
            </w:pPr>
            <w:r>
              <w:rPr>
                <w:kern w:val="0"/>
                <w:szCs w:val="21"/>
              </w:rPr>
              <w:t>单位负责人：盘建军</w:t>
            </w:r>
          </w:p>
        </w:tc>
      </w:tr>
      <w:tr w:rsidR="000229D6"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0229D6" w:rsidRDefault="000229D6" w:rsidP="008E4025">
            <w:pPr>
              <w:widowControl/>
              <w:spacing w:line="560" w:lineRule="exact"/>
              <w:rPr>
                <w:kern w:val="0"/>
                <w:szCs w:val="21"/>
              </w:rPr>
            </w:pPr>
            <w:r>
              <w:rPr>
                <w:kern w:val="0"/>
                <w:szCs w:val="21"/>
              </w:rPr>
              <w:t>年末职工人数：</w:t>
            </w:r>
            <w:r>
              <w:rPr>
                <w:kern w:val="0"/>
                <w:szCs w:val="21"/>
              </w:rPr>
              <w:t xml:space="preserve">      </w:t>
            </w:r>
            <w:r>
              <w:rPr>
                <w:kern w:val="0"/>
                <w:szCs w:val="21"/>
              </w:rPr>
              <w:t>人（人员编制：</w:t>
            </w:r>
            <w:r>
              <w:rPr>
                <w:kern w:val="0"/>
                <w:szCs w:val="21"/>
              </w:rPr>
              <w:t xml:space="preserve">    </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0229D6" w:rsidRDefault="000229D6" w:rsidP="008E4025">
            <w:pPr>
              <w:widowControl/>
              <w:spacing w:line="560" w:lineRule="exact"/>
              <w:rPr>
                <w:kern w:val="0"/>
                <w:szCs w:val="21"/>
              </w:rPr>
            </w:pPr>
            <w:r>
              <w:rPr>
                <w:kern w:val="0"/>
                <w:szCs w:val="21"/>
              </w:rPr>
              <w:t>年末资产总额：</w:t>
            </w:r>
            <w:r>
              <w:rPr>
                <w:kern w:val="0"/>
                <w:szCs w:val="21"/>
              </w:rPr>
              <w:t xml:space="preserve">        </w:t>
            </w:r>
            <w:r>
              <w:rPr>
                <w:kern w:val="0"/>
                <w:szCs w:val="21"/>
              </w:rPr>
              <w:t>万元；负债总额：</w:t>
            </w:r>
            <w:r>
              <w:rPr>
                <w:kern w:val="0"/>
                <w:szCs w:val="21"/>
              </w:rPr>
              <w:t xml:space="preserve">       </w:t>
            </w:r>
            <w:r>
              <w:rPr>
                <w:kern w:val="0"/>
                <w:szCs w:val="21"/>
              </w:rPr>
              <w:t>万元</w:t>
            </w:r>
          </w:p>
        </w:tc>
      </w:tr>
      <w:tr w:rsidR="000229D6" w:rsidTr="008E4025">
        <w:trPr>
          <w:cantSplit/>
          <w:trHeight w:val="510"/>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年初预算资金：</w:t>
            </w:r>
            <w:r>
              <w:rPr>
                <w:rFonts w:hint="eastAsia"/>
                <w:kern w:val="0"/>
                <w:szCs w:val="21"/>
              </w:rPr>
              <w:t>221.39</w:t>
            </w:r>
          </w:p>
        </w:tc>
      </w:tr>
      <w:tr w:rsidR="000229D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年度收入总额：</w:t>
            </w:r>
            <w:r>
              <w:rPr>
                <w:rFonts w:hint="eastAsia"/>
                <w:kern w:val="0"/>
                <w:szCs w:val="21"/>
              </w:rPr>
              <w:t>365.54</w:t>
            </w:r>
          </w:p>
        </w:tc>
        <w:tc>
          <w:tcPr>
            <w:tcW w:w="32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年度支出总额：</w:t>
            </w:r>
            <w:r>
              <w:rPr>
                <w:rFonts w:hint="eastAsia"/>
                <w:kern w:val="0"/>
                <w:szCs w:val="21"/>
              </w:rPr>
              <w:t>376.83</w:t>
            </w:r>
          </w:p>
        </w:tc>
      </w:tr>
      <w:tr w:rsidR="000229D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365.54</w:t>
            </w:r>
          </w:p>
        </w:tc>
        <w:tc>
          <w:tcPr>
            <w:tcW w:w="32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376.83</w:t>
            </w:r>
          </w:p>
        </w:tc>
      </w:tr>
      <w:tr w:rsidR="000229D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 xml:space="preserve">       </w:t>
            </w:r>
            <w:r>
              <w:rPr>
                <w:kern w:val="0"/>
                <w:szCs w:val="21"/>
              </w:rPr>
              <w:t>项目支出：</w:t>
            </w:r>
          </w:p>
        </w:tc>
      </w:tr>
      <w:tr w:rsidR="000229D6" w:rsidTr="008E4025">
        <w:trPr>
          <w:cantSplit/>
          <w:trHeight w:val="510"/>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纳入专户管理的非税收入拨款：</w:t>
            </w:r>
          </w:p>
        </w:tc>
        <w:tc>
          <w:tcPr>
            <w:tcW w:w="32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 xml:space="preserve">      </w:t>
            </w:r>
          </w:p>
        </w:tc>
      </w:tr>
      <w:tr w:rsidR="000229D6" w:rsidTr="008E4025">
        <w:trPr>
          <w:cantSplit/>
          <w:trHeight w:val="342"/>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3940" w:type="dxa"/>
            <w:gridSpan w:val="4"/>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left"/>
              <w:rPr>
                <w:kern w:val="0"/>
                <w:szCs w:val="21"/>
              </w:rPr>
            </w:pPr>
          </w:p>
        </w:tc>
      </w:tr>
      <w:tr w:rsidR="000229D6" w:rsidTr="008E4025">
        <w:trPr>
          <w:trHeight w:val="1776"/>
          <w:jc w:val="center"/>
        </w:trPr>
        <w:tc>
          <w:tcPr>
            <w:tcW w:w="25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部门职能职责概述</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340" w:lineRule="exact"/>
              <w:ind w:firstLineChars="200" w:firstLine="420"/>
              <w:jc w:val="left"/>
              <w:rPr>
                <w:rFonts w:hint="eastAsia"/>
              </w:rPr>
            </w:pPr>
            <w:r>
              <w:t>政务中心</w:t>
            </w:r>
            <w:r>
              <w:rPr>
                <w:rFonts w:hint="eastAsia"/>
              </w:rPr>
              <w:t>职能</w:t>
            </w:r>
            <w:r>
              <w:t>：负责办事大厅的建设和管理；电子政务平台业务指导和实时维护；网站信息发布和县长热线接听、交办、督办；协助推进行政审批制度改革、优化政务服务环境等；协助政府办监管新媒体。</w:t>
            </w:r>
          </w:p>
          <w:p w:rsidR="000229D6" w:rsidRPr="00B620BE" w:rsidRDefault="000229D6" w:rsidP="008E4025">
            <w:pPr>
              <w:widowControl/>
              <w:spacing w:line="340" w:lineRule="exact"/>
              <w:ind w:firstLineChars="200" w:firstLine="420"/>
              <w:jc w:val="left"/>
            </w:pPr>
            <w:r>
              <w:t>营商环境职能：负责协调推进全县</w:t>
            </w:r>
            <w:r>
              <w:t>“</w:t>
            </w:r>
            <w:r>
              <w:t>放管服</w:t>
            </w:r>
            <w:r>
              <w:t>”</w:t>
            </w:r>
            <w:r>
              <w:t>改革和优化营商环境事务性工作；负责优化全县营商环境。</w:t>
            </w:r>
          </w:p>
        </w:tc>
      </w:tr>
      <w:tr w:rsidR="000229D6" w:rsidTr="008E4025">
        <w:trPr>
          <w:trHeight w:val="3745"/>
          <w:jc w:val="center"/>
        </w:trPr>
        <w:tc>
          <w:tcPr>
            <w:tcW w:w="25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整体绩效目标</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0229D6" w:rsidRPr="005B28E8" w:rsidRDefault="000229D6" w:rsidP="008E4025">
            <w:pPr>
              <w:widowControl/>
              <w:spacing w:line="460" w:lineRule="exact"/>
              <w:jc w:val="left"/>
              <w:rPr>
                <w:rFonts w:ascii="宋体" w:hAnsi="宋体" w:cs="宋体" w:hint="eastAsia"/>
                <w:szCs w:val="21"/>
              </w:rPr>
            </w:pPr>
            <w:r w:rsidRPr="005B28E8">
              <w:rPr>
                <w:rFonts w:ascii="宋体" w:hAnsi="宋体" w:hint="eastAsia"/>
                <w:kern w:val="0"/>
                <w:szCs w:val="21"/>
              </w:rPr>
              <w:t>目标1：</w:t>
            </w:r>
            <w:r w:rsidRPr="005B28E8">
              <w:rPr>
                <w:rFonts w:ascii="宋体" w:hAnsi="宋体" w:hint="eastAsia"/>
                <w:szCs w:val="21"/>
              </w:rPr>
              <w:t>推进一件事一次</w:t>
            </w:r>
            <w:proofErr w:type="gramStart"/>
            <w:r w:rsidRPr="005B28E8">
              <w:rPr>
                <w:rFonts w:ascii="宋体" w:hAnsi="宋体" w:hint="eastAsia"/>
                <w:szCs w:val="21"/>
              </w:rPr>
              <w:t>办改革</w:t>
            </w:r>
            <w:proofErr w:type="gramEnd"/>
            <w:r w:rsidRPr="005B28E8">
              <w:rPr>
                <w:rFonts w:ascii="宋体" w:hAnsi="宋体" w:hint="eastAsia"/>
                <w:szCs w:val="21"/>
              </w:rPr>
              <w:t>和一网通办，行政审批平均提速三分之一以上。</w:t>
            </w:r>
          </w:p>
          <w:p w:rsidR="000229D6" w:rsidRPr="005B28E8" w:rsidRDefault="000229D6" w:rsidP="008E4025">
            <w:pPr>
              <w:widowControl/>
              <w:spacing w:line="460" w:lineRule="exact"/>
              <w:jc w:val="left"/>
              <w:rPr>
                <w:rFonts w:ascii="宋体" w:hAnsi="宋体" w:hint="eastAsia"/>
                <w:kern w:val="0"/>
                <w:szCs w:val="21"/>
              </w:rPr>
            </w:pPr>
            <w:r w:rsidRPr="005B28E8">
              <w:rPr>
                <w:rFonts w:ascii="宋体" w:hAnsi="宋体" w:hint="eastAsia"/>
                <w:kern w:val="0"/>
                <w:szCs w:val="21"/>
              </w:rPr>
              <w:t>目标2：加强政府网站建设，做好</w:t>
            </w:r>
            <w:proofErr w:type="gramStart"/>
            <w:r w:rsidRPr="005B28E8">
              <w:rPr>
                <w:rFonts w:ascii="宋体" w:hAnsi="宋体" w:hint="eastAsia"/>
                <w:kern w:val="0"/>
                <w:szCs w:val="21"/>
              </w:rPr>
              <w:t>好</w:t>
            </w:r>
            <w:proofErr w:type="gramEnd"/>
            <w:r w:rsidRPr="005B28E8">
              <w:rPr>
                <w:rFonts w:ascii="宋体" w:hAnsi="宋体" w:hint="eastAsia"/>
                <w:kern w:val="0"/>
                <w:szCs w:val="21"/>
              </w:rPr>
              <w:t>政府网站内容保障，协助监管新媒体。</w:t>
            </w:r>
          </w:p>
          <w:p w:rsidR="000229D6" w:rsidRPr="005B28E8" w:rsidRDefault="000229D6" w:rsidP="008E4025">
            <w:pPr>
              <w:widowControl/>
              <w:spacing w:line="460" w:lineRule="exact"/>
              <w:jc w:val="left"/>
              <w:rPr>
                <w:rFonts w:ascii="宋体" w:hAnsi="宋体" w:hint="eastAsia"/>
                <w:kern w:val="0"/>
                <w:szCs w:val="21"/>
              </w:rPr>
            </w:pPr>
            <w:r w:rsidRPr="005B28E8">
              <w:rPr>
                <w:rFonts w:ascii="宋体" w:hAnsi="宋体" w:hint="eastAsia"/>
                <w:kern w:val="0"/>
                <w:szCs w:val="21"/>
              </w:rPr>
              <w:t>目标3：加强电子政务建设，推进互联网+政务服务工作。</w:t>
            </w:r>
          </w:p>
          <w:p w:rsidR="000229D6" w:rsidRPr="005B28E8" w:rsidRDefault="000229D6" w:rsidP="008E4025">
            <w:pPr>
              <w:widowControl/>
              <w:spacing w:line="460" w:lineRule="exact"/>
              <w:jc w:val="left"/>
              <w:rPr>
                <w:rFonts w:ascii="宋体" w:hAnsi="宋体" w:hint="eastAsia"/>
                <w:kern w:val="0"/>
                <w:szCs w:val="21"/>
              </w:rPr>
            </w:pPr>
            <w:r w:rsidRPr="005B28E8">
              <w:rPr>
                <w:rFonts w:ascii="宋体" w:hAnsi="宋体" w:hint="eastAsia"/>
                <w:kern w:val="0"/>
                <w:szCs w:val="21"/>
              </w:rPr>
              <w:t>目标4：优化经济发展环境，规范涉企检查，杜绝乱检查、乱收费、乱罚款、乱摊派等现象和索拿卡要行为，</w:t>
            </w:r>
            <w:r w:rsidRPr="005B28E8">
              <w:rPr>
                <w:rFonts w:ascii="宋体" w:hAnsi="宋体" w:cs="楷体_GB2312" w:hint="eastAsia"/>
                <w:szCs w:val="21"/>
              </w:rPr>
              <w:t>全面落实支持企业复工复产政策</w:t>
            </w:r>
            <w:r w:rsidRPr="005B28E8">
              <w:rPr>
                <w:rFonts w:ascii="宋体" w:hAnsi="宋体" w:hint="eastAsia"/>
                <w:kern w:val="0"/>
                <w:szCs w:val="21"/>
              </w:rPr>
              <w:t>目标。</w:t>
            </w:r>
          </w:p>
          <w:p w:rsidR="000229D6" w:rsidRDefault="000229D6" w:rsidP="008E4025">
            <w:pPr>
              <w:widowControl/>
              <w:spacing w:line="460" w:lineRule="exact"/>
              <w:jc w:val="left"/>
              <w:rPr>
                <w:kern w:val="0"/>
                <w:szCs w:val="21"/>
              </w:rPr>
            </w:pPr>
            <w:r w:rsidRPr="005B28E8">
              <w:rPr>
                <w:rFonts w:ascii="宋体" w:hAnsi="宋体" w:hint="eastAsia"/>
                <w:kern w:val="0"/>
                <w:szCs w:val="21"/>
              </w:rPr>
              <w:t>目标5：县长</w:t>
            </w:r>
            <w:proofErr w:type="gramStart"/>
            <w:r w:rsidRPr="005B28E8">
              <w:rPr>
                <w:rFonts w:ascii="宋体" w:hAnsi="宋体" w:hint="eastAsia"/>
                <w:kern w:val="0"/>
                <w:szCs w:val="21"/>
              </w:rPr>
              <w:t>热线热线</w:t>
            </w:r>
            <w:proofErr w:type="gramEnd"/>
            <w:r w:rsidRPr="005B28E8">
              <w:rPr>
                <w:rFonts w:ascii="宋体" w:hAnsi="宋体" w:hint="eastAsia"/>
                <w:kern w:val="0"/>
                <w:szCs w:val="21"/>
              </w:rPr>
              <w:t>24小时接听来电，及时交办督办，按时办结率达100%。完成市长热线（市长信箱）交办工作。</w:t>
            </w:r>
          </w:p>
        </w:tc>
      </w:tr>
      <w:tr w:rsidR="000229D6" w:rsidTr="008E4025">
        <w:trPr>
          <w:cantSplit/>
          <w:trHeight w:val="2004"/>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lastRenderedPageBreak/>
              <w:t>部门整体支出</w:t>
            </w:r>
          </w:p>
          <w:p w:rsidR="000229D6" w:rsidRDefault="000229D6" w:rsidP="008E4025">
            <w:pPr>
              <w:widowControl/>
              <w:spacing w:line="560" w:lineRule="exact"/>
              <w:jc w:val="center"/>
              <w:rPr>
                <w:kern w:val="0"/>
                <w:szCs w:val="21"/>
              </w:rPr>
            </w:pPr>
            <w:r>
              <w:rPr>
                <w:kern w:val="0"/>
                <w:szCs w:val="21"/>
              </w:rPr>
              <w:t>年度绩效指标</w:t>
            </w:r>
          </w:p>
        </w:tc>
        <w:tc>
          <w:tcPr>
            <w:tcW w:w="12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产出指标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0229D6" w:rsidRPr="00615DB8" w:rsidRDefault="000229D6" w:rsidP="008E4025">
            <w:pPr>
              <w:spacing w:line="340" w:lineRule="exact"/>
              <w:rPr>
                <w:rFonts w:ascii="宋体" w:hAnsi="宋体"/>
                <w:kern w:val="0"/>
                <w:szCs w:val="21"/>
              </w:rPr>
            </w:pPr>
            <w:r w:rsidRPr="00615DB8">
              <w:rPr>
                <w:rFonts w:ascii="宋体" w:hAnsi="宋体"/>
                <w:kern w:val="0"/>
                <w:szCs w:val="21"/>
              </w:rPr>
              <w:t>指标1：</w:t>
            </w:r>
            <w:r w:rsidRPr="00615DB8">
              <w:rPr>
                <w:rFonts w:ascii="宋体" w:hAnsi="宋体" w:cs="Arial" w:hint="eastAsia"/>
                <w:szCs w:val="21"/>
              </w:rPr>
              <w:t>实行限时办结制、一次性告知制和基本建设（房地产开发）项目联合审批和统一收费等制度，</w:t>
            </w:r>
            <w:r>
              <w:rPr>
                <w:rFonts w:ascii="宋体" w:hAnsi="宋体" w:cs="Arial" w:hint="eastAsia"/>
                <w:szCs w:val="21"/>
              </w:rPr>
              <w:t>推行一件事一次办，</w:t>
            </w:r>
            <w:proofErr w:type="gramStart"/>
            <w:r>
              <w:rPr>
                <w:rFonts w:ascii="宋体" w:hAnsi="宋体" w:cs="Arial" w:hint="eastAsia"/>
                <w:szCs w:val="21"/>
              </w:rPr>
              <w:t>深化商</w:t>
            </w:r>
            <w:proofErr w:type="gramEnd"/>
            <w:r>
              <w:rPr>
                <w:rFonts w:ascii="宋体" w:hAnsi="宋体" w:cs="Arial" w:hint="eastAsia"/>
                <w:szCs w:val="21"/>
              </w:rPr>
              <w:t>事制度改革，</w:t>
            </w:r>
            <w:r w:rsidRPr="00615DB8">
              <w:rPr>
                <w:rFonts w:ascii="宋体" w:hAnsi="宋体" w:hint="eastAsia"/>
                <w:kern w:val="0"/>
                <w:szCs w:val="21"/>
              </w:rPr>
              <w:t>窗口行政审批再提速。</w:t>
            </w:r>
          </w:p>
          <w:p w:rsidR="000229D6" w:rsidRPr="00615DB8" w:rsidRDefault="000229D6" w:rsidP="008E4025">
            <w:pPr>
              <w:spacing w:line="340" w:lineRule="exact"/>
              <w:rPr>
                <w:rFonts w:ascii="宋体" w:hAnsi="宋体" w:hint="eastAsia"/>
                <w:kern w:val="0"/>
                <w:szCs w:val="21"/>
              </w:rPr>
            </w:pPr>
            <w:r w:rsidRPr="00615DB8">
              <w:rPr>
                <w:rFonts w:ascii="宋体" w:hAnsi="宋体"/>
                <w:kern w:val="0"/>
                <w:szCs w:val="21"/>
              </w:rPr>
              <w:t>指标2：</w:t>
            </w:r>
            <w:r w:rsidRPr="00615DB8">
              <w:rPr>
                <w:rFonts w:ascii="宋体" w:hAnsi="宋体" w:hint="eastAsia"/>
                <w:kern w:val="0"/>
                <w:szCs w:val="21"/>
              </w:rPr>
              <w:t>加大政府信息公开力度，确保应公开的信息100%公开。</w:t>
            </w:r>
          </w:p>
          <w:p w:rsidR="000229D6" w:rsidRDefault="000229D6" w:rsidP="008E4025">
            <w:pPr>
              <w:widowControl/>
              <w:spacing w:line="340" w:lineRule="exact"/>
              <w:rPr>
                <w:rFonts w:ascii="宋体" w:hAnsi="宋体" w:hint="eastAsia"/>
                <w:kern w:val="0"/>
                <w:szCs w:val="21"/>
              </w:rPr>
            </w:pPr>
            <w:r w:rsidRPr="00615DB8">
              <w:rPr>
                <w:rFonts w:ascii="宋体" w:hAnsi="宋体"/>
                <w:kern w:val="0"/>
                <w:szCs w:val="21"/>
              </w:rPr>
              <w:t>指标3：</w:t>
            </w:r>
            <w:r w:rsidRPr="00615DB8">
              <w:rPr>
                <w:rFonts w:ascii="宋体" w:hAnsi="宋体" w:hint="eastAsia"/>
                <w:kern w:val="0"/>
                <w:szCs w:val="21"/>
              </w:rPr>
              <w:t>政府网站内容保障符合国办普查要求。</w:t>
            </w:r>
          </w:p>
          <w:p w:rsidR="000229D6" w:rsidRDefault="000229D6" w:rsidP="008E4025">
            <w:pPr>
              <w:spacing w:line="340" w:lineRule="exact"/>
              <w:rPr>
                <w:rFonts w:ascii="宋体" w:hAnsi="宋体" w:hint="eastAsia"/>
                <w:b/>
                <w:szCs w:val="21"/>
              </w:rPr>
            </w:pPr>
            <w:r w:rsidRPr="00615DB8">
              <w:rPr>
                <w:rFonts w:ascii="宋体" w:hAnsi="宋体"/>
                <w:kern w:val="0"/>
                <w:szCs w:val="21"/>
              </w:rPr>
              <w:t>指标</w:t>
            </w:r>
            <w:r w:rsidRPr="00615DB8">
              <w:rPr>
                <w:rFonts w:ascii="宋体" w:hAnsi="宋体" w:hint="eastAsia"/>
                <w:kern w:val="0"/>
                <w:szCs w:val="21"/>
              </w:rPr>
              <w:t>4</w:t>
            </w:r>
            <w:r w:rsidRPr="00615DB8">
              <w:rPr>
                <w:rFonts w:ascii="宋体" w:hAnsi="宋体"/>
                <w:kern w:val="0"/>
                <w:szCs w:val="21"/>
              </w:rPr>
              <w:t>：</w:t>
            </w:r>
            <w:r>
              <w:rPr>
                <w:rFonts w:ascii="宋体" w:hAnsi="宋体" w:hint="eastAsia"/>
                <w:szCs w:val="21"/>
              </w:rPr>
              <w:t>严格实行涉</w:t>
            </w:r>
            <w:proofErr w:type="gramStart"/>
            <w:r>
              <w:rPr>
                <w:rFonts w:ascii="宋体" w:hAnsi="宋体" w:hint="eastAsia"/>
                <w:szCs w:val="21"/>
              </w:rPr>
              <w:t>企检查</w:t>
            </w:r>
            <w:proofErr w:type="gramEnd"/>
            <w:r>
              <w:rPr>
                <w:rFonts w:ascii="宋体" w:hAnsi="宋体" w:hint="eastAsia"/>
                <w:szCs w:val="21"/>
              </w:rPr>
              <w:t>报批备案和推行涉企检查“双随机</w:t>
            </w:r>
            <w:proofErr w:type="gramStart"/>
            <w:r>
              <w:rPr>
                <w:rFonts w:ascii="宋体" w:hAnsi="宋体" w:hint="eastAsia"/>
                <w:szCs w:val="21"/>
              </w:rPr>
              <w:t>一</w:t>
            </w:r>
            <w:proofErr w:type="gramEnd"/>
            <w:r>
              <w:rPr>
                <w:rFonts w:ascii="宋体" w:hAnsi="宋体" w:hint="eastAsia"/>
                <w:szCs w:val="21"/>
              </w:rPr>
              <w:t>公开”制度</w:t>
            </w:r>
            <w:r w:rsidRPr="00615DB8">
              <w:rPr>
                <w:rFonts w:ascii="宋体" w:hAnsi="宋体" w:hint="eastAsia"/>
                <w:szCs w:val="21"/>
              </w:rPr>
              <w:t>。</w:t>
            </w:r>
            <w:r w:rsidRPr="00D1018A">
              <w:rPr>
                <w:rFonts w:ascii="宋体" w:hAnsi="宋体" w:cs="仿宋_GB2312" w:hint="eastAsia"/>
                <w:szCs w:val="21"/>
              </w:rPr>
              <w:t>在政务服务一体化平台上建立小</w:t>
            </w:r>
            <w:proofErr w:type="gramStart"/>
            <w:r w:rsidRPr="00D1018A">
              <w:rPr>
                <w:rFonts w:ascii="宋体" w:hAnsi="宋体" w:cs="仿宋_GB2312" w:hint="eastAsia"/>
                <w:szCs w:val="21"/>
              </w:rPr>
              <w:t>微企业</w:t>
            </w:r>
            <w:proofErr w:type="gramEnd"/>
            <w:r w:rsidRPr="00D1018A">
              <w:rPr>
                <w:rFonts w:ascii="宋体" w:hAnsi="宋体" w:cs="仿宋_GB2312" w:hint="eastAsia"/>
                <w:szCs w:val="21"/>
              </w:rPr>
              <w:t>和个体工商户服务专栏，使各项政策易于知晓。以减税、降费、减息为重点，推动开展政策解读、项目申报、用工扶持、金融支持等重点内容，帮助广大企业及时享受政策红利。</w:t>
            </w:r>
            <w:r w:rsidRPr="00615DB8">
              <w:rPr>
                <w:rFonts w:ascii="宋体" w:hAnsi="宋体" w:hint="eastAsia"/>
                <w:szCs w:val="21"/>
              </w:rPr>
              <w:t>抓好投诉案件和转交办案件查处工作力度，受理一起、及时查处一起。</w:t>
            </w:r>
          </w:p>
          <w:p w:rsidR="000229D6" w:rsidRPr="00B620BE" w:rsidRDefault="000229D6" w:rsidP="008E4025">
            <w:pPr>
              <w:spacing w:line="340" w:lineRule="exact"/>
              <w:rPr>
                <w:rFonts w:ascii="宋体" w:hAnsi="宋体"/>
                <w:b/>
                <w:szCs w:val="21"/>
              </w:rPr>
            </w:pPr>
            <w:r w:rsidRPr="00615DB8">
              <w:rPr>
                <w:rFonts w:ascii="宋体" w:hAnsi="宋体" w:hint="eastAsia"/>
                <w:kern w:val="0"/>
                <w:szCs w:val="21"/>
              </w:rPr>
              <w:t>指标5：24小时接听县长热线，及时交办督办，</w:t>
            </w:r>
            <w:r w:rsidRPr="00615DB8">
              <w:rPr>
                <w:rFonts w:ascii="宋体" w:hAnsi="宋体" w:cs="宋体" w:hint="eastAsia"/>
                <w:color w:val="000000"/>
                <w:kern w:val="0"/>
                <w:szCs w:val="21"/>
              </w:rPr>
              <w:t>切实做到“件件有着落，事事有回音”。</w:t>
            </w:r>
          </w:p>
        </w:tc>
      </w:tr>
      <w:tr w:rsidR="000229D6" w:rsidTr="008E4025">
        <w:trPr>
          <w:cantSplit/>
          <w:trHeight w:val="1984"/>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12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效益指标</w:t>
            </w:r>
          </w:p>
        </w:tc>
        <w:tc>
          <w:tcPr>
            <w:tcW w:w="5940" w:type="dxa"/>
            <w:gridSpan w:val="4"/>
            <w:tcBorders>
              <w:top w:val="single" w:sz="4" w:space="0" w:color="auto"/>
              <w:left w:val="single" w:sz="4" w:space="0" w:color="auto"/>
              <w:bottom w:val="single" w:sz="4" w:space="0" w:color="auto"/>
              <w:right w:val="single" w:sz="4" w:space="0" w:color="auto"/>
            </w:tcBorders>
            <w:vAlign w:val="center"/>
          </w:tcPr>
          <w:p w:rsidR="000229D6" w:rsidRDefault="000229D6" w:rsidP="008E4025">
            <w:pPr>
              <w:spacing w:line="400" w:lineRule="exact"/>
              <w:rPr>
                <w:kern w:val="0"/>
                <w:szCs w:val="21"/>
              </w:rPr>
            </w:pPr>
            <w:r w:rsidRPr="006443B7">
              <w:rPr>
                <w:kern w:val="0"/>
                <w:szCs w:val="21"/>
              </w:rPr>
              <w:t>指标</w:t>
            </w:r>
            <w:r w:rsidRPr="006443B7">
              <w:rPr>
                <w:kern w:val="0"/>
                <w:szCs w:val="21"/>
              </w:rPr>
              <w:t>1</w:t>
            </w:r>
            <w:r w:rsidRPr="006443B7">
              <w:rPr>
                <w:kern w:val="0"/>
                <w:szCs w:val="21"/>
              </w:rPr>
              <w:t>：</w:t>
            </w:r>
            <w:r>
              <w:rPr>
                <w:rFonts w:hint="eastAsia"/>
                <w:kern w:val="0"/>
                <w:szCs w:val="21"/>
              </w:rPr>
              <w:t>提高业务办理速度，为企业和项目开辟绿色通道，促进企业和项目尽快落地。</w:t>
            </w:r>
          </w:p>
          <w:p w:rsidR="000229D6" w:rsidRPr="006443B7" w:rsidRDefault="000229D6" w:rsidP="008E4025">
            <w:pPr>
              <w:spacing w:line="400" w:lineRule="exact"/>
              <w:rPr>
                <w:rFonts w:hint="eastAsia"/>
                <w:kern w:val="0"/>
                <w:szCs w:val="21"/>
              </w:rPr>
            </w:pPr>
            <w:r w:rsidRPr="006443B7">
              <w:rPr>
                <w:kern w:val="0"/>
                <w:szCs w:val="21"/>
              </w:rPr>
              <w:t>指标</w:t>
            </w:r>
            <w:r w:rsidRPr="006443B7">
              <w:rPr>
                <w:kern w:val="0"/>
                <w:szCs w:val="21"/>
              </w:rPr>
              <w:t>2</w:t>
            </w:r>
            <w:r w:rsidRPr="006443B7">
              <w:rPr>
                <w:kern w:val="0"/>
                <w:szCs w:val="21"/>
              </w:rPr>
              <w:t>：</w:t>
            </w:r>
            <w:r>
              <w:rPr>
                <w:rFonts w:hint="eastAsia"/>
                <w:kern w:val="0"/>
                <w:szCs w:val="21"/>
              </w:rPr>
              <w:t>推进政府网站建设，</w:t>
            </w:r>
            <w:proofErr w:type="gramStart"/>
            <w:r>
              <w:rPr>
                <w:rFonts w:hint="eastAsia"/>
                <w:kern w:val="0"/>
                <w:szCs w:val="21"/>
              </w:rPr>
              <w:t>架起政民沟通</w:t>
            </w:r>
            <w:proofErr w:type="gramEnd"/>
            <w:r>
              <w:rPr>
                <w:rFonts w:hint="eastAsia"/>
                <w:kern w:val="0"/>
                <w:szCs w:val="21"/>
              </w:rPr>
              <w:t>的桥梁。</w:t>
            </w:r>
          </w:p>
          <w:p w:rsidR="000229D6" w:rsidRDefault="000229D6" w:rsidP="008E4025">
            <w:pPr>
              <w:spacing w:line="400" w:lineRule="exact"/>
              <w:rPr>
                <w:rFonts w:hint="eastAsia"/>
                <w:kern w:val="0"/>
                <w:szCs w:val="21"/>
              </w:rPr>
            </w:pPr>
            <w:r w:rsidRPr="006443B7">
              <w:rPr>
                <w:kern w:val="0"/>
                <w:szCs w:val="21"/>
              </w:rPr>
              <w:t>指标</w:t>
            </w:r>
            <w:r w:rsidRPr="006443B7">
              <w:rPr>
                <w:kern w:val="0"/>
                <w:szCs w:val="21"/>
              </w:rPr>
              <w:t>3</w:t>
            </w:r>
            <w:r w:rsidRPr="006443B7">
              <w:rPr>
                <w:kern w:val="0"/>
                <w:szCs w:val="21"/>
              </w:rPr>
              <w:t>：</w:t>
            </w:r>
            <w:r>
              <w:rPr>
                <w:rFonts w:hint="eastAsia"/>
                <w:kern w:val="0"/>
                <w:szCs w:val="21"/>
              </w:rPr>
              <w:t>推进网上办事。</w:t>
            </w:r>
          </w:p>
          <w:p w:rsidR="000229D6" w:rsidRDefault="000229D6" w:rsidP="008E4025">
            <w:pPr>
              <w:spacing w:line="400" w:lineRule="exact"/>
              <w:rPr>
                <w:kern w:val="0"/>
                <w:szCs w:val="21"/>
              </w:rPr>
            </w:pPr>
            <w:r w:rsidRPr="00615DB8">
              <w:rPr>
                <w:rFonts w:ascii="宋体" w:hAnsi="宋体"/>
                <w:kern w:val="0"/>
                <w:szCs w:val="21"/>
              </w:rPr>
              <w:t>指标</w:t>
            </w:r>
            <w:r w:rsidRPr="00615DB8">
              <w:rPr>
                <w:rFonts w:ascii="宋体" w:hAnsi="宋体" w:hint="eastAsia"/>
                <w:kern w:val="0"/>
                <w:szCs w:val="21"/>
              </w:rPr>
              <w:t>4</w:t>
            </w:r>
            <w:r w:rsidRPr="00615DB8">
              <w:rPr>
                <w:rFonts w:ascii="宋体" w:hAnsi="宋体"/>
                <w:kern w:val="0"/>
                <w:szCs w:val="21"/>
              </w:rPr>
              <w:t>：</w:t>
            </w:r>
            <w:r>
              <w:rPr>
                <w:rFonts w:hint="eastAsia"/>
                <w:kern w:val="0"/>
                <w:szCs w:val="21"/>
              </w:rPr>
              <w:t>全力服务企业，规范涉企收费，落实报建减免优惠政策，切实减轻企业负担。</w:t>
            </w:r>
          </w:p>
          <w:p w:rsidR="000229D6" w:rsidRDefault="000229D6" w:rsidP="008E4025">
            <w:pPr>
              <w:spacing w:line="400" w:lineRule="exact"/>
              <w:rPr>
                <w:rFonts w:hint="eastAsia"/>
                <w:kern w:val="0"/>
                <w:szCs w:val="21"/>
              </w:rPr>
            </w:pPr>
            <w:r w:rsidRPr="00615DB8">
              <w:rPr>
                <w:rFonts w:ascii="宋体" w:hAnsi="宋体" w:hint="eastAsia"/>
                <w:kern w:val="0"/>
                <w:szCs w:val="21"/>
              </w:rPr>
              <w:t>指标5：</w:t>
            </w:r>
            <w:r>
              <w:rPr>
                <w:rFonts w:ascii="宋体" w:hAnsi="宋体" w:hint="eastAsia"/>
                <w:kern w:val="0"/>
                <w:szCs w:val="21"/>
              </w:rPr>
              <w:t>解决一批涉及群众切身利益的突出问题，和谐干群关系，减轻全力信访工作压力。</w:t>
            </w:r>
          </w:p>
          <w:p w:rsidR="000229D6" w:rsidRDefault="000229D6" w:rsidP="008E4025">
            <w:pPr>
              <w:spacing w:line="400" w:lineRule="exact"/>
              <w:rPr>
                <w:kern w:val="0"/>
                <w:szCs w:val="21"/>
              </w:rPr>
            </w:pPr>
            <w:r w:rsidRPr="00615DB8">
              <w:rPr>
                <w:rFonts w:ascii="宋体" w:hAnsi="宋体" w:hint="eastAsia"/>
                <w:kern w:val="0"/>
                <w:szCs w:val="21"/>
              </w:rPr>
              <w:t>指标</w:t>
            </w:r>
            <w:r>
              <w:rPr>
                <w:rFonts w:ascii="宋体" w:hAnsi="宋体" w:hint="eastAsia"/>
                <w:kern w:val="0"/>
                <w:szCs w:val="21"/>
              </w:rPr>
              <w:t>6</w:t>
            </w:r>
            <w:r w:rsidRPr="00615DB8">
              <w:rPr>
                <w:rFonts w:ascii="宋体" w:hAnsi="宋体" w:hint="eastAsia"/>
                <w:kern w:val="0"/>
                <w:szCs w:val="21"/>
              </w:rPr>
              <w:t>：</w:t>
            </w:r>
            <w:r>
              <w:rPr>
                <w:rFonts w:hint="eastAsia"/>
                <w:kern w:val="0"/>
                <w:szCs w:val="21"/>
              </w:rPr>
              <w:t>正确引导舆论，营造良好氛围。</w:t>
            </w:r>
          </w:p>
        </w:tc>
      </w:tr>
      <w:tr w:rsidR="000229D6" w:rsidTr="008E4025">
        <w:trPr>
          <w:cantSplit/>
          <w:trHeight w:val="3322"/>
          <w:jc w:val="center"/>
        </w:trPr>
        <w:tc>
          <w:tcPr>
            <w:tcW w:w="2500"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sz="4" w:space="0" w:color="auto"/>
              <w:left w:val="single" w:sz="4" w:space="0" w:color="auto"/>
              <w:bottom w:val="single" w:sz="4" w:space="0" w:color="auto"/>
              <w:right w:val="single" w:sz="4" w:space="0" w:color="auto"/>
            </w:tcBorders>
          </w:tcPr>
          <w:p w:rsidR="000229D6" w:rsidRPr="005C2BA1" w:rsidRDefault="000229D6" w:rsidP="008E4025">
            <w:pPr>
              <w:numPr>
                <w:ilvl w:val="0"/>
                <w:numId w:val="1"/>
              </w:numPr>
              <w:spacing w:line="560" w:lineRule="exact"/>
              <w:rPr>
                <w:kern w:val="0"/>
                <w:szCs w:val="21"/>
              </w:rPr>
            </w:pPr>
            <w:r w:rsidRPr="005C2BA1">
              <w:rPr>
                <w:kern w:val="0"/>
                <w:szCs w:val="21"/>
              </w:rPr>
              <w:t>支出情况分析：</w:t>
            </w:r>
          </w:p>
          <w:p w:rsidR="000229D6" w:rsidRPr="005C2BA1" w:rsidRDefault="000229D6" w:rsidP="008E4025">
            <w:pPr>
              <w:spacing w:line="400" w:lineRule="exact"/>
              <w:ind w:firstLineChars="200" w:firstLine="420"/>
              <w:rPr>
                <w:rFonts w:ascii="宋体" w:hAnsi="宋体" w:hint="eastAsia"/>
                <w:bCs/>
                <w:kern w:val="0"/>
                <w:szCs w:val="21"/>
              </w:rPr>
            </w:pPr>
            <w:r w:rsidRPr="005C2BA1">
              <w:rPr>
                <w:rFonts w:ascii="宋体" w:hAnsi="宋体" w:hint="eastAsia"/>
                <w:bCs/>
                <w:kern w:val="0"/>
                <w:szCs w:val="21"/>
              </w:rPr>
              <w:t>2019年末本单位资产总额</w:t>
            </w:r>
            <w:r w:rsidRPr="005C2BA1">
              <w:rPr>
                <w:rFonts w:ascii="宋体" w:hAnsi="宋体" w:hint="eastAsia"/>
                <w:kern w:val="0"/>
                <w:szCs w:val="21"/>
              </w:rPr>
              <w:t>765.95</w:t>
            </w:r>
            <w:r w:rsidRPr="005C2BA1">
              <w:rPr>
                <w:rFonts w:ascii="宋体" w:hAnsi="宋体" w:hint="eastAsia"/>
                <w:szCs w:val="21"/>
              </w:rPr>
              <w:t>万元</w:t>
            </w:r>
            <w:r w:rsidRPr="005C2BA1">
              <w:rPr>
                <w:rFonts w:ascii="宋体" w:hAnsi="宋体" w:hint="eastAsia"/>
                <w:bCs/>
                <w:kern w:val="0"/>
                <w:szCs w:val="21"/>
              </w:rPr>
              <w:t>，其中：固定资产656.69万元,无形资产109.26万元；负债总额</w:t>
            </w:r>
            <w:r w:rsidRPr="005C2BA1">
              <w:rPr>
                <w:rFonts w:ascii="宋体" w:hAnsi="宋体" w:hint="eastAsia"/>
                <w:kern w:val="0"/>
                <w:szCs w:val="21"/>
              </w:rPr>
              <w:t>28.05</w:t>
            </w:r>
            <w:r w:rsidRPr="005C2BA1">
              <w:rPr>
                <w:rFonts w:ascii="宋体" w:hAnsi="宋体" w:hint="eastAsia"/>
                <w:bCs/>
                <w:kern w:val="0"/>
                <w:szCs w:val="21"/>
              </w:rPr>
              <w:t>万元（其中：应付款</w:t>
            </w:r>
            <w:r w:rsidRPr="005C2BA1">
              <w:rPr>
                <w:rFonts w:ascii="宋体" w:hAnsi="宋体" w:hint="eastAsia"/>
                <w:kern w:val="0"/>
                <w:szCs w:val="21"/>
              </w:rPr>
              <w:t>20.50</w:t>
            </w:r>
            <w:r w:rsidRPr="005C2BA1">
              <w:rPr>
                <w:rFonts w:ascii="宋体" w:hAnsi="宋体" w:hint="eastAsia"/>
                <w:bCs/>
                <w:kern w:val="0"/>
                <w:szCs w:val="21"/>
              </w:rPr>
              <w:t>万元，其他应付款2.58，应付职工薪酬4.97万元）；净资产总额737.90万元，其中：累计盈余737.90万元；资产负债率3.66%。</w:t>
            </w:r>
          </w:p>
          <w:p w:rsidR="000229D6" w:rsidRPr="005C2BA1" w:rsidRDefault="000229D6" w:rsidP="008E4025">
            <w:pPr>
              <w:spacing w:line="400" w:lineRule="exact"/>
              <w:ind w:firstLineChars="200" w:firstLine="420"/>
              <w:rPr>
                <w:rFonts w:ascii="宋体" w:hAnsi="宋体" w:hint="eastAsia"/>
                <w:kern w:val="0"/>
                <w:szCs w:val="21"/>
              </w:rPr>
            </w:pPr>
            <w:r w:rsidRPr="005C2BA1">
              <w:rPr>
                <w:rFonts w:ascii="宋体" w:hAnsi="宋体" w:hint="eastAsia"/>
                <w:kern w:val="0"/>
                <w:szCs w:val="21"/>
              </w:rPr>
              <w:t xml:space="preserve">2019年度，本单位总支出376.83万元，其中：工资福利支出174.27万元，商品和服务支出54.29万元，对个人和家庭的补助10.19万元，资本性支出138.08万元。总支出与2018年相比增加96.35万元。 </w:t>
            </w:r>
          </w:p>
          <w:p w:rsidR="000229D6" w:rsidRPr="005C2BA1" w:rsidRDefault="000229D6" w:rsidP="008E4025">
            <w:pPr>
              <w:spacing w:line="400" w:lineRule="exact"/>
              <w:ind w:firstLineChars="200" w:firstLine="420"/>
              <w:rPr>
                <w:rFonts w:ascii="宋体" w:hAnsi="宋体"/>
                <w:kern w:val="0"/>
                <w:szCs w:val="21"/>
              </w:rPr>
            </w:pPr>
            <w:r w:rsidRPr="005C2BA1">
              <w:rPr>
                <w:rFonts w:ascii="宋体" w:hAnsi="宋体" w:hint="eastAsia"/>
                <w:kern w:val="0"/>
                <w:szCs w:val="21"/>
              </w:rPr>
              <w:t>2019年度决算“三公”经费1.80万元，与2018年度同比减少2.49万元，同比降低58.09%，其中：</w:t>
            </w:r>
            <w:r w:rsidRPr="005C2BA1">
              <w:rPr>
                <w:rFonts w:ascii="宋体" w:hAnsi="宋体" w:hint="eastAsia"/>
                <w:szCs w:val="21"/>
              </w:rPr>
              <w:t>公务用车运行维护费2018年度开支1万元，2018年度开支3.4万元，与去年相比减少了70.51%；公务接待费2019年度开支0.8万元，2018年度开支0.89万元，与去年相比减少了10.63%。</w:t>
            </w:r>
          </w:p>
        </w:tc>
      </w:tr>
      <w:tr w:rsidR="000229D6" w:rsidTr="008E4025">
        <w:trPr>
          <w:cantSplit/>
          <w:trHeight w:val="1348"/>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7140" w:type="dxa"/>
            <w:gridSpan w:val="5"/>
            <w:tcBorders>
              <w:top w:val="single" w:sz="4" w:space="0" w:color="auto"/>
              <w:left w:val="single" w:sz="4" w:space="0" w:color="auto"/>
              <w:bottom w:val="single" w:sz="4" w:space="0" w:color="auto"/>
              <w:right w:val="single" w:sz="4" w:space="0" w:color="auto"/>
            </w:tcBorders>
          </w:tcPr>
          <w:p w:rsidR="000229D6" w:rsidRPr="005C2BA1" w:rsidRDefault="000229D6" w:rsidP="008E4025">
            <w:pPr>
              <w:numPr>
                <w:ilvl w:val="0"/>
                <w:numId w:val="1"/>
              </w:numPr>
              <w:spacing w:line="400" w:lineRule="exact"/>
              <w:ind w:left="357" w:hanging="357"/>
              <w:rPr>
                <w:kern w:val="0"/>
                <w:sz w:val="24"/>
              </w:rPr>
            </w:pPr>
            <w:r>
              <w:rPr>
                <w:kern w:val="0"/>
                <w:sz w:val="24"/>
              </w:rPr>
              <w:t>绩效目标完成情况分析：</w:t>
            </w:r>
            <w:r w:rsidRPr="005C2BA1">
              <w:rPr>
                <w:rFonts w:ascii="宋体" w:hAnsi="宋体" w:cs="楷体_GB2312" w:hint="eastAsia"/>
                <w:color w:val="000000"/>
                <w:szCs w:val="21"/>
              </w:rPr>
              <w:t>行政审批服务工作不断优化。</w:t>
            </w:r>
            <w:r w:rsidRPr="005C2BA1">
              <w:rPr>
                <w:rFonts w:ascii="宋体" w:hAnsi="宋体" w:cs="仿宋_GB2312" w:hint="eastAsia"/>
                <w:szCs w:val="21"/>
              </w:rPr>
              <w:t>大力推进“互联网</w:t>
            </w:r>
            <w:r w:rsidRPr="005C2BA1">
              <w:rPr>
                <w:rFonts w:ascii="宋体" w:hAnsi="宋体" w:cs="仿宋_GB2312"/>
                <w:szCs w:val="21"/>
              </w:rPr>
              <w:t>+</w:t>
            </w:r>
            <w:r w:rsidRPr="005C2BA1">
              <w:rPr>
                <w:rFonts w:ascii="宋体" w:hAnsi="宋体" w:cs="仿宋_GB2312" w:hint="eastAsia"/>
                <w:szCs w:val="21"/>
              </w:rPr>
              <w:t>政务服务”市、县、乡镇、村（社区）四级联动建设工作。接入点共</w:t>
            </w:r>
            <w:r w:rsidRPr="005C2BA1">
              <w:rPr>
                <w:rFonts w:ascii="宋体" w:hAnsi="宋体" w:cs="仿宋_GB2312"/>
                <w:szCs w:val="21"/>
              </w:rPr>
              <w:t>241</w:t>
            </w:r>
            <w:r w:rsidRPr="005C2BA1">
              <w:rPr>
                <w:rFonts w:ascii="宋体" w:hAnsi="宋体" w:cs="仿宋_GB2312" w:hint="eastAsia"/>
                <w:szCs w:val="21"/>
              </w:rPr>
              <w:t>个。</w:t>
            </w:r>
            <w:r w:rsidRPr="005C2BA1">
              <w:rPr>
                <w:rFonts w:ascii="宋体" w:hAnsi="宋体" w:cs="仿宋_GB2312"/>
                <w:szCs w:val="21"/>
              </w:rPr>
              <w:t>9</w:t>
            </w:r>
            <w:r w:rsidRPr="005C2BA1">
              <w:rPr>
                <w:rFonts w:ascii="宋体" w:hAnsi="宋体" w:cs="仿宋_GB2312" w:hint="eastAsia"/>
                <w:szCs w:val="21"/>
              </w:rPr>
              <w:t>月份实现了与省、市政务平台的对接。进一步完善政府部门行政权力清单编制工作。推行“一件事一次办”，分三批公布“一件事一次办”事项</w:t>
            </w:r>
            <w:r w:rsidRPr="005C2BA1">
              <w:rPr>
                <w:rFonts w:ascii="宋体" w:hAnsi="宋体" w:cs="仿宋_GB2312"/>
                <w:szCs w:val="21"/>
              </w:rPr>
              <w:t>187</w:t>
            </w:r>
            <w:r w:rsidRPr="005C2BA1">
              <w:rPr>
                <w:rFonts w:ascii="宋体" w:hAnsi="宋体" w:cs="仿宋_GB2312" w:hint="eastAsia"/>
                <w:szCs w:val="21"/>
              </w:rPr>
              <w:t>项，全年办理“一件事一次办”事项</w:t>
            </w:r>
            <w:r w:rsidRPr="005C2BA1">
              <w:rPr>
                <w:rFonts w:ascii="宋体" w:hAnsi="宋体" w:cs="仿宋_GB2312"/>
                <w:szCs w:val="21"/>
              </w:rPr>
              <w:t>323838</w:t>
            </w:r>
            <w:r w:rsidRPr="005C2BA1">
              <w:rPr>
                <w:rFonts w:ascii="宋体" w:hAnsi="宋体" w:cs="仿宋_GB2312" w:hint="eastAsia"/>
                <w:szCs w:val="21"/>
              </w:rPr>
              <w:t>件。推动不动</w:t>
            </w:r>
            <w:proofErr w:type="gramStart"/>
            <w:r w:rsidRPr="005C2BA1">
              <w:rPr>
                <w:rFonts w:ascii="宋体" w:hAnsi="宋体" w:cs="仿宋_GB2312" w:hint="eastAsia"/>
                <w:szCs w:val="21"/>
              </w:rPr>
              <w:t>产登记</w:t>
            </w:r>
            <w:proofErr w:type="gramEnd"/>
            <w:r w:rsidRPr="005C2BA1">
              <w:rPr>
                <w:rFonts w:ascii="宋体" w:hAnsi="宋体" w:cs="仿宋_GB2312" w:hint="eastAsia"/>
                <w:szCs w:val="21"/>
              </w:rPr>
              <w:t>领域改革。税务、房产联合办公，实现了不动产交易登记一体化。</w:t>
            </w:r>
            <w:proofErr w:type="gramStart"/>
            <w:r w:rsidRPr="005C2BA1">
              <w:rPr>
                <w:rFonts w:ascii="宋体" w:hAnsi="宋体" w:cs="仿宋_GB2312" w:hint="eastAsia"/>
                <w:szCs w:val="21"/>
              </w:rPr>
              <w:t>推动商事登记</w:t>
            </w:r>
            <w:proofErr w:type="gramEnd"/>
            <w:r w:rsidRPr="005C2BA1">
              <w:rPr>
                <w:rFonts w:ascii="宋体" w:hAnsi="宋体" w:cs="仿宋_GB2312" w:hint="eastAsia"/>
                <w:szCs w:val="21"/>
              </w:rPr>
              <w:t>领域改革。在工商登记领域，实施“多证合一、一照一码”登记改革。</w:t>
            </w:r>
            <w:r w:rsidRPr="005C2BA1">
              <w:rPr>
                <w:rFonts w:ascii="宋体" w:hAnsi="宋体" w:cs="楷体_GB2312" w:hint="eastAsia"/>
                <w:color w:val="000000"/>
                <w:szCs w:val="21"/>
              </w:rPr>
              <w:t>严厉打击影响营商环境行为。</w:t>
            </w:r>
            <w:r w:rsidRPr="005C2BA1">
              <w:rPr>
                <w:rFonts w:ascii="宋体" w:hAnsi="宋体" w:cs="仿宋_GB2312" w:hint="eastAsia"/>
                <w:szCs w:val="21"/>
              </w:rPr>
              <w:t>调处涉及发展环境的矛盾</w:t>
            </w:r>
            <w:r w:rsidRPr="005C2BA1">
              <w:rPr>
                <w:rFonts w:ascii="宋体" w:hAnsi="宋体" w:cs="仿宋_GB2312"/>
                <w:szCs w:val="21"/>
              </w:rPr>
              <w:t>87</w:t>
            </w:r>
            <w:r w:rsidRPr="005C2BA1">
              <w:rPr>
                <w:rFonts w:ascii="宋体" w:hAnsi="宋体" w:cs="仿宋_GB2312" w:hint="eastAsia"/>
                <w:szCs w:val="21"/>
              </w:rPr>
              <w:t>起，受案调查涉众金融事件</w:t>
            </w:r>
            <w:r w:rsidRPr="005C2BA1">
              <w:rPr>
                <w:rFonts w:ascii="宋体" w:hAnsi="宋体" w:cs="仿宋_GB2312"/>
                <w:szCs w:val="21"/>
              </w:rPr>
              <w:t>2</w:t>
            </w:r>
            <w:r w:rsidRPr="005C2BA1">
              <w:rPr>
                <w:rFonts w:ascii="宋体" w:hAnsi="宋体" w:cs="仿宋_GB2312" w:hint="eastAsia"/>
                <w:szCs w:val="21"/>
              </w:rPr>
              <w:t>起，非法吸收公众存款案</w:t>
            </w:r>
            <w:r w:rsidRPr="005C2BA1">
              <w:rPr>
                <w:rFonts w:ascii="宋体" w:hAnsi="宋体" w:cs="仿宋_GB2312"/>
                <w:szCs w:val="21"/>
              </w:rPr>
              <w:t>1</w:t>
            </w:r>
            <w:r w:rsidRPr="005C2BA1">
              <w:rPr>
                <w:rFonts w:ascii="宋体" w:hAnsi="宋体" w:cs="仿宋_GB2312" w:hint="eastAsia"/>
                <w:szCs w:val="21"/>
              </w:rPr>
              <w:t>起。</w:t>
            </w:r>
            <w:r w:rsidRPr="005C2BA1">
              <w:rPr>
                <w:rFonts w:ascii="宋体" w:hAnsi="宋体" w:cs="仿宋_GB2312"/>
                <w:snapToGrid w:val="0"/>
                <w:kern w:val="0"/>
                <w:szCs w:val="21"/>
              </w:rPr>
              <w:t>1</w:t>
            </w:r>
            <w:r w:rsidRPr="005C2BA1">
              <w:rPr>
                <w:rFonts w:ascii="宋体" w:hAnsi="宋体" w:cs="仿宋_GB2312" w:hint="eastAsia"/>
                <w:snapToGrid w:val="0"/>
                <w:kern w:val="0"/>
                <w:szCs w:val="21"/>
              </w:rPr>
              <w:t>至</w:t>
            </w:r>
            <w:r w:rsidRPr="005C2BA1">
              <w:rPr>
                <w:rFonts w:ascii="宋体" w:hAnsi="宋体" w:cs="仿宋_GB2312"/>
                <w:snapToGrid w:val="0"/>
                <w:kern w:val="0"/>
                <w:szCs w:val="21"/>
              </w:rPr>
              <w:t>11</w:t>
            </w:r>
            <w:r w:rsidRPr="005C2BA1">
              <w:rPr>
                <w:rFonts w:ascii="宋体" w:hAnsi="宋体" w:cs="仿宋_GB2312" w:hint="eastAsia"/>
                <w:snapToGrid w:val="0"/>
                <w:kern w:val="0"/>
                <w:szCs w:val="21"/>
              </w:rPr>
              <w:t>月全县减免税收</w:t>
            </w:r>
            <w:r w:rsidRPr="005C2BA1">
              <w:rPr>
                <w:rFonts w:ascii="宋体" w:hAnsi="宋体" w:cs="仿宋_GB2312"/>
                <w:snapToGrid w:val="0"/>
                <w:kern w:val="0"/>
                <w:szCs w:val="21"/>
              </w:rPr>
              <w:t>6149.5</w:t>
            </w:r>
            <w:r w:rsidRPr="005C2BA1">
              <w:rPr>
                <w:rFonts w:ascii="宋体" w:hAnsi="宋体" w:cs="仿宋_GB2312" w:hint="eastAsia"/>
                <w:snapToGrid w:val="0"/>
                <w:kern w:val="0"/>
                <w:szCs w:val="21"/>
              </w:rPr>
              <w:t>万元。</w:t>
            </w:r>
            <w:r w:rsidRPr="005C2BA1">
              <w:rPr>
                <w:rFonts w:ascii="宋体" w:hAnsi="宋体" w:cs="楷体_GB2312" w:hint="eastAsia"/>
                <w:color w:val="000000"/>
                <w:szCs w:val="21"/>
              </w:rPr>
              <w:t>逐步清理偿还拖欠企业的工程款。</w:t>
            </w:r>
            <w:r w:rsidRPr="005C2BA1">
              <w:rPr>
                <w:rFonts w:ascii="宋体" w:hAnsi="宋体" w:cs="仿宋_GB2312" w:hint="eastAsia"/>
                <w:szCs w:val="21"/>
              </w:rPr>
              <w:t>已清欠</w:t>
            </w:r>
            <w:r w:rsidRPr="005C2BA1">
              <w:rPr>
                <w:rFonts w:ascii="宋体" w:hAnsi="宋体" w:cs="仿宋_GB2312"/>
                <w:szCs w:val="21"/>
              </w:rPr>
              <w:t>4313.88</w:t>
            </w:r>
            <w:r w:rsidRPr="005C2BA1">
              <w:rPr>
                <w:rFonts w:ascii="宋体" w:hAnsi="宋体" w:cs="仿宋_GB2312" w:hint="eastAsia"/>
                <w:szCs w:val="21"/>
              </w:rPr>
              <w:t>万元，占总任务的</w:t>
            </w:r>
            <w:r w:rsidRPr="005C2BA1">
              <w:rPr>
                <w:rFonts w:ascii="宋体" w:hAnsi="宋体" w:cs="仿宋_GB2312"/>
                <w:szCs w:val="21"/>
              </w:rPr>
              <w:t>100%</w:t>
            </w:r>
            <w:r w:rsidRPr="005C2BA1">
              <w:rPr>
                <w:rFonts w:ascii="宋体" w:hAnsi="宋体" w:cs="仿宋_GB2312" w:hint="eastAsia"/>
                <w:szCs w:val="21"/>
              </w:rPr>
              <w:t>。加强对投诉事件所涉及部门的协调处理，</w:t>
            </w:r>
            <w:r w:rsidRPr="005C2BA1">
              <w:rPr>
                <w:rFonts w:ascii="宋体" w:hAnsi="宋体" w:cs="仿宋_GB2312"/>
                <w:szCs w:val="21"/>
              </w:rPr>
              <w:t>2019</w:t>
            </w:r>
            <w:r w:rsidRPr="005C2BA1">
              <w:rPr>
                <w:rFonts w:ascii="宋体" w:hAnsi="宋体" w:cs="仿宋_GB2312" w:hint="eastAsia"/>
                <w:szCs w:val="21"/>
              </w:rPr>
              <w:t>年接到投诉事件</w:t>
            </w:r>
            <w:r w:rsidRPr="005C2BA1">
              <w:rPr>
                <w:rFonts w:ascii="宋体" w:hAnsi="宋体" w:cs="仿宋_GB2312"/>
                <w:szCs w:val="21"/>
              </w:rPr>
              <w:t>2</w:t>
            </w:r>
            <w:r w:rsidRPr="005C2BA1">
              <w:rPr>
                <w:rFonts w:ascii="宋体" w:hAnsi="宋体" w:cs="仿宋_GB2312" w:hint="eastAsia"/>
                <w:szCs w:val="21"/>
              </w:rPr>
              <w:t>起，按时办结。全年政府网站公开政务栏目信息</w:t>
            </w:r>
            <w:r w:rsidRPr="005C2BA1">
              <w:rPr>
                <w:rFonts w:ascii="宋体" w:hAnsi="宋体" w:cs="仿宋_GB2312"/>
                <w:szCs w:val="21"/>
              </w:rPr>
              <w:t>1615</w:t>
            </w:r>
            <w:r w:rsidRPr="005C2BA1">
              <w:rPr>
                <w:rFonts w:ascii="宋体" w:hAnsi="宋体" w:cs="仿宋_GB2312" w:hint="eastAsia"/>
                <w:szCs w:val="21"/>
              </w:rPr>
              <w:t>条，办事服事项</w:t>
            </w:r>
            <w:r w:rsidRPr="005C2BA1">
              <w:rPr>
                <w:rFonts w:ascii="宋体" w:hAnsi="宋体" w:cs="仿宋_GB2312"/>
                <w:szCs w:val="21"/>
              </w:rPr>
              <w:t>2679</w:t>
            </w:r>
            <w:r w:rsidRPr="005C2BA1">
              <w:rPr>
                <w:rFonts w:ascii="宋体" w:hAnsi="宋体" w:cs="仿宋_GB2312" w:hint="eastAsia"/>
                <w:szCs w:val="21"/>
              </w:rPr>
              <w:t>条。采编和发布炎陵新闻</w:t>
            </w:r>
            <w:r w:rsidRPr="005C2BA1">
              <w:rPr>
                <w:rFonts w:ascii="宋体" w:hAnsi="宋体" w:cs="仿宋_GB2312"/>
                <w:szCs w:val="21"/>
              </w:rPr>
              <w:t>683</w:t>
            </w:r>
            <w:r w:rsidRPr="005C2BA1">
              <w:rPr>
                <w:rFonts w:ascii="宋体" w:hAnsi="宋体" w:cs="仿宋_GB2312" w:hint="eastAsia"/>
                <w:szCs w:val="21"/>
              </w:rPr>
              <w:t>篇、乡镇动态</w:t>
            </w:r>
            <w:r w:rsidRPr="005C2BA1">
              <w:rPr>
                <w:rFonts w:ascii="宋体" w:hAnsi="宋体" w:cs="仿宋_GB2312"/>
                <w:szCs w:val="21"/>
              </w:rPr>
              <w:t>638</w:t>
            </w:r>
            <w:r w:rsidRPr="005C2BA1">
              <w:rPr>
                <w:rFonts w:ascii="宋体" w:hAnsi="宋体" w:cs="仿宋_GB2312" w:hint="eastAsia"/>
                <w:szCs w:val="21"/>
              </w:rPr>
              <w:t>篇，部门动态</w:t>
            </w:r>
            <w:r w:rsidRPr="005C2BA1">
              <w:rPr>
                <w:rFonts w:ascii="宋体" w:hAnsi="宋体" w:cs="仿宋_GB2312"/>
                <w:szCs w:val="21"/>
              </w:rPr>
              <w:t>607</w:t>
            </w:r>
            <w:r w:rsidRPr="005C2BA1">
              <w:rPr>
                <w:rFonts w:ascii="宋体" w:hAnsi="宋体" w:cs="仿宋_GB2312" w:hint="eastAsia"/>
                <w:szCs w:val="21"/>
              </w:rPr>
              <w:t>篇；向</w:t>
            </w:r>
            <w:proofErr w:type="gramStart"/>
            <w:r w:rsidRPr="005C2BA1">
              <w:rPr>
                <w:rFonts w:ascii="宋体" w:hAnsi="宋体" w:cs="仿宋_GB2312" w:hint="eastAsia"/>
                <w:szCs w:val="21"/>
              </w:rPr>
              <w:t>红网推稿</w:t>
            </w:r>
            <w:proofErr w:type="gramEnd"/>
            <w:r w:rsidRPr="005C2BA1">
              <w:rPr>
                <w:rFonts w:ascii="宋体" w:hAnsi="宋体" w:cs="仿宋_GB2312"/>
                <w:szCs w:val="21"/>
              </w:rPr>
              <w:t>377</w:t>
            </w:r>
            <w:r w:rsidRPr="005C2BA1">
              <w:rPr>
                <w:rFonts w:ascii="宋体" w:hAnsi="宋体" w:cs="仿宋_GB2312" w:hint="eastAsia"/>
                <w:szCs w:val="21"/>
              </w:rPr>
              <w:t>篇。</w:t>
            </w:r>
            <w:r w:rsidRPr="005C2BA1">
              <w:rPr>
                <w:rFonts w:ascii="宋体" w:hAnsi="宋体" w:cs="仿宋_GB2312" w:hint="eastAsia"/>
                <w:kern w:val="0"/>
                <w:szCs w:val="21"/>
              </w:rPr>
              <w:t>县长热线突出抓好交办督办和回访工作，截至</w:t>
            </w:r>
            <w:r w:rsidRPr="005C2BA1">
              <w:rPr>
                <w:rFonts w:ascii="宋体" w:hAnsi="宋体" w:cs="仿宋_GB2312"/>
                <w:kern w:val="0"/>
                <w:szCs w:val="21"/>
              </w:rPr>
              <w:t>12</w:t>
            </w:r>
            <w:r w:rsidRPr="005C2BA1">
              <w:rPr>
                <w:rFonts w:ascii="宋体" w:hAnsi="宋体" w:cs="仿宋_GB2312" w:hint="eastAsia"/>
                <w:kern w:val="0"/>
                <w:szCs w:val="21"/>
              </w:rPr>
              <w:t>月</w:t>
            </w:r>
            <w:r w:rsidRPr="005C2BA1">
              <w:rPr>
                <w:rFonts w:ascii="宋体" w:hAnsi="宋体" w:cs="仿宋_GB2312"/>
                <w:kern w:val="0"/>
                <w:szCs w:val="21"/>
              </w:rPr>
              <w:t>31</w:t>
            </w:r>
            <w:r w:rsidRPr="005C2BA1">
              <w:rPr>
                <w:rFonts w:ascii="宋体" w:hAnsi="宋体" w:cs="仿宋_GB2312" w:hint="eastAsia"/>
                <w:kern w:val="0"/>
                <w:szCs w:val="21"/>
              </w:rPr>
              <w:t>日共接听群众有效电话</w:t>
            </w:r>
            <w:r w:rsidRPr="005C2BA1">
              <w:rPr>
                <w:rFonts w:ascii="宋体" w:hAnsi="宋体" w:cs="仿宋_GB2312"/>
                <w:kern w:val="0"/>
                <w:szCs w:val="21"/>
              </w:rPr>
              <w:t>4922</w:t>
            </w:r>
            <w:r w:rsidRPr="005C2BA1">
              <w:rPr>
                <w:rFonts w:ascii="宋体" w:hAnsi="宋体" w:cs="仿宋_GB2312" w:hint="eastAsia"/>
                <w:kern w:val="0"/>
                <w:szCs w:val="21"/>
              </w:rPr>
              <w:t>个，按期办结率</w:t>
            </w:r>
            <w:r w:rsidRPr="005C2BA1">
              <w:rPr>
                <w:rFonts w:ascii="宋体" w:hAnsi="宋体" w:cs="仿宋_GB2312"/>
                <w:kern w:val="0"/>
                <w:szCs w:val="21"/>
              </w:rPr>
              <w:t>100%</w:t>
            </w:r>
            <w:r w:rsidRPr="005C2BA1">
              <w:rPr>
                <w:rFonts w:ascii="宋体" w:hAnsi="宋体" w:cs="仿宋_GB2312" w:hint="eastAsia"/>
                <w:kern w:val="0"/>
                <w:szCs w:val="21"/>
              </w:rPr>
              <w:t>。</w:t>
            </w:r>
          </w:p>
        </w:tc>
      </w:tr>
      <w:tr w:rsidR="000229D6" w:rsidTr="008E4025">
        <w:trPr>
          <w:cantSplit/>
          <w:trHeight w:val="676"/>
          <w:jc w:val="center"/>
        </w:trPr>
        <w:tc>
          <w:tcPr>
            <w:tcW w:w="250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7140" w:type="dxa"/>
            <w:gridSpan w:val="5"/>
            <w:tcBorders>
              <w:top w:val="single" w:sz="4" w:space="0" w:color="auto"/>
              <w:left w:val="single" w:sz="4" w:space="0" w:color="auto"/>
              <w:bottom w:val="single" w:sz="4" w:space="0" w:color="auto"/>
              <w:right w:val="single" w:sz="4" w:space="0" w:color="auto"/>
            </w:tcBorders>
          </w:tcPr>
          <w:p w:rsidR="000229D6" w:rsidRDefault="000229D6" w:rsidP="008E4025">
            <w:pPr>
              <w:numPr>
                <w:ilvl w:val="0"/>
                <w:numId w:val="1"/>
              </w:numPr>
              <w:spacing w:line="560" w:lineRule="exact"/>
              <w:rPr>
                <w:kern w:val="0"/>
                <w:sz w:val="24"/>
              </w:rPr>
            </w:pPr>
            <w:r>
              <w:rPr>
                <w:kern w:val="0"/>
                <w:sz w:val="24"/>
              </w:rPr>
              <w:t>自我评价结论：</w:t>
            </w:r>
            <w:r w:rsidRPr="000A72C6">
              <w:rPr>
                <w:rFonts w:ascii="宋体" w:hAnsi="宋体" w:hint="eastAsia"/>
                <w:kern w:val="0"/>
                <w:sz w:val="24"/>
              </w:rPr>
              <w:t>201</w:t>
            </w:r>
            <w:r>
              <w:rPr>
                <w:rFonts w:ascii="宋体" w:hAnsi="宋体" w:hint="eastAsia"/>
                <w:kern w:val="0"/>
                <w:sz w:val="24"/>
              </w:rPr>
              <w:t>9</w:t>
            </w:r>
            <w:r w:rsidRPr="000A72C6">
              <w:rPr>
                <w:rFonts w:ascii="宋体" w:hAnsi="宋体" w:hint="eastAsia"/>
                <w:kern w:val="0"/>
                <w:sz w:val="24"/>
              </w:rPr>
              <w:t>年度各项指标完成良好，自评为良好。</w:t>
            </w:r>
          </w:p>
        </w:tc>
      </w:tr>
      <w:tr w:rsidR="000229D6" w:rsidTr="008E4025">
        <w:trPr>
          <w:trHeight w:val="2256"/>
          <w:jc w:val="center"/>
        </w:trPr>
        <w:tc>
          <w:tcPr>
            <w:tcW w:w="25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存在的问题</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0229D6" w:rsidRPr="005C2BA1" w:rsidRDefault="000229D6" w:rsidP="008E4025">
            <w:pPr>
              <w:snapToGrid w:val="0"/>
              <w:spacing w:line="400" w:lineRule="exact"/>
              <w:ind w:firstLineChars="250" w:firstLine="525"/>
              <w:rPr>
                <w:rFonts w:ascii="宋体" w:hAnsi="宋体"/>
                <w:szCs w:val="21"/>
              </w:rPr>
            </w:pPr>
            <w:r w:rsidRPr="005C2BA1">
              <w:rPr>
                <w:rFonts w:ascii="宋体" w:hAnsi="宋体" w:hint="eastAsia"/>
                <w:szCs w:val="21"/>
              </w:rPr>
              <w:t>2019财政拨款支出决算数3768364.37元，比年初预算数2213972.00元增70.20%。其中基本支出决算数3768364.37元，比年初预算数2213972.00元增70.20%。与年初预算安排的差额主要原因是2018年末结转结余挂往来预付县长热线和电费等已形成支出，同时政务中心搬迁改造工程结算，支付拖欠的中心搬迁改造工程款和县长热线平台升级、“互联网+政务服务”平台建设、人员工资正常调资等。</w:t>
            </w:r>
          </w:p>
        </w:tc>
      </w:tr>
      <w:tr w:rsidR="000229D6" w:rsidTr="008E4025">
        <w:trPr>
          <w:trHeight w:val="2238"/>
          <w:jc w:val="center"/>
        </w:trPr>
        <w:tc>
          <w:tcPr>
            <w:tcW w:w="25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kern w:val="0"/>
                <w:szCs w:val="21"/>
              </w:rPr>
              <w:t>改进措施与建议</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0229D6" w:rsidRDefault="000229D6" w:rsidP="008E4025">
            <w:pPr>
              <w:spacing w:line="400" w:lineRule="exact"/>
              <w:ind w:firstLineChars="200" w:firstLine="420"/>
              <w:jc w:val="left"/>
              <w:rPr>
                <w:rFonts w:ascii="宋体" w:hAnsi="宋体" w:hint="eastAsia"/>
                <w:kern w:val="0"/>
                <w:szCs w:val="21"/>
              </w:rPr>
            </w:pPr>
            <w:r w:rsidRPr="005C2BA1">
              <w:rPr>
                <w:rFonts w:ascii="宋体" w:hAnsi="宋体" w:hint="eastAsia"/>
                <w:kern w:val="0"/>
                <w:szCs w:val="21"/>
              </w:rPr>
              <w:t>一是要合理安排收支预算，按照“以收定支，量入为出，保证重点，兼顾一般”的原则，科学合理编制部门预算，使预算更加切合实际。进一步细化预算，严格执行，增强预算约束意识，提高科学化、精细</w:t>
            </w:r>
            <w:proofErr w:type="gramStart"/>
            <w:r w:rsidRPr="005C2BA1">
              <w:rPr>
                <w:rFonts w:ascii="宋体" w:hAnsi="宋体" w:hint="eastAsia"/>
                <w:kern w:val="0"/>
                <w:szCs w:val="21"/>
              </w:rPr>
              <w:t>化预算</w:t>
            </w:r>
            <w:proofErr w:type="gramEnd"/>
            <w:r w:rsidRPr="005C2BA1">
              <w:rPr>
                <w:rFonts w:ascii="宋体" w:hAnsi="宋体" w:hint="eastAsia"/>
                <w:kern w:val="0"/>
                <w:szCs w:val="21"/>
              </w:rPr>
              <w:t>管理水平。尽量让年初预算与决算数据相差不。</w:t>
            </w:r>
          </w:p>
          <w:p w:rsidR="000229D6" w:rsidRPr="005C2BA1" w:rsidRDefault="000229D6" w:rsidP="008E4025">
            <w:pPr>
              <w:spacing w:line="400" w:lineRule="exact"/>
              <w:ind w:firstLineChars="200" w:firstLine="420"/>
              <w:jc w:val="left"/>
              <w:rPr>
                <w:rFonts w:ascii="宋体" w:hAnsi="宋体"/>
                <w:kern w:val="0"/>
                <w:szCs w:val="21"/>
              </w:rPr>
            </w:pPr>
            <w:r>
              <w:rPr>
                <w:rFonts w:ascii="宋体" w:hAnsi="宋体" w:hint="eastAsia"/>
                <w:kern w:val="0"/>
                <w:szCs w:val="21"/>
              </w:rPr>
              <w:t>二是根据市里的精神厉行节约，保证资金的合理运用，杜绝一切</w:t>
            </w:r>
            <w:r w:rsidRPr="005C2BA1">
              <w:rPr>
                <w:rFonts w:ascii="宋体" w:hAnsi="宋体" w:hint="eastAsia"/>
                <w:kern w:val="0"/>
                <w:szCs w:val="21"/>
              </w:rPr>
              <w:t>不合理费用的开支。</w:t>
            </w:r>
          </w:p>
        </w:tc>
      </w:tr>
      <w:tr w:rsidR="000229D6" w:rsidTr="008E4025">
        <w:trPr>
          <w:trHeight w:val="841"/>
          <w:jc w:val="center"/>
        </w:trPr>
        <w:tc>
          <w:tcPr>
            <w:tcW w:w="250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sz="4" w:space="0" w:color="auto"/>
              <w:left w:val="single" w:sz="4" w:space="0" w:color="auto"/>
              <w:bottom w:val="single" w:sz="4" w:space="0" w:color="auto"/>
              <w:right w:val="single" w:sz="4" w:space="0" w:color="auto"/>
            </w:tcBorders>
            <w:vAlign w:val="bottom"/>
          </w:tcPr>
          <w:p w:rsidR="000229D6" w:rsidRDefault="000229D6"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0229D6" w:rsidRDefault="000229D6" w:rsidP="000229D6">
      <w:pPr>
        <w:widowControl/>
        <w:tabs>
          <w:tab w:val="left" w:pos="1333"/>
          <w:tab w:val="left" w:pos="3793"/>
          <w:tab w:val="left" w:pos="5853"/>
        </w:tabs>
        <w:spacing w:line="560" w:lineRule="exact"/>
        <w:jc w:val="left"/>
        <w:rPr>
          <w:kern w:val="0"/>
          <w:szCs w:val="21"/>
        </w:rPr>
      </w:pPr>
      <w:r>
        <w:rPr>
          <w:kern w:val="0"/>
          <w:szCs w:val="21"/>
        </w:rPr>
        <w:t>填报人：</w:t>
      </w:r>
      <w:r>
        <w:rPr>
          <w:kern w:val="0"/>
          <w:szCs w:val="21"/>
        </w:rPr>
        <w:t xml:space="preserve">                    </w:t>
      </w:r>
      <w:r>
        <w:rPr>
          <w:kern w:val="0"/>
          <w:szCs w:val="21"/>
        </w:rPr>
        <w:t>联系电话：</w:t>
      </w:r>
      <w:r>
        <w:rPr>
          <w:kern w:val="0"/>
          <w:szCs w:val="21"/>
        </w:rPr>
        <w:t xml:space="preserve">                     </w:t>
      </w:r>
      <w:r>
        <w:rPr>
          <w:kern w:val="0"/>
          <w:szCs w:val="21"/>
        </w:rPr>
        <w:t>填报日期：</w:t>
      </w:r>
    </w:p>
    <w:p w:rsidR="000229D6" w:rsidRDefault="000229D6" w:rsidP="000229D6">
      <w:pPr>
        <w:sectPr w:rsidR="000229D6" w:rsidSect="005B28E8">
          <w:footerReference w:type="even" r:id="rId8"/>
          <w:footerReference w:type="default" r:id="rId9"/>
          <w:footerReference w:type="first" r:id="rId10"/>
          <w:pgSz w:w="11906" w:h="16838"/>
          <w:pgMar w:top="1276" w:right="1797" w:bottom="142" w:left="1797" w:header="851" w:footer="1474" w:gutter="0"/>
          <w:pgNumType w:fmt="numberInDash"/>
          <w:cols w:space="720"/>
          <w:docGrid w:type="linesAndChars" w:linePitch="312"/>
        </w:sectPr>
      </w:pPr>
    </w:p>
    <w:p w:rsidR="000229D6" w:rsidRDefault="000229D6" w:rsidP="000229D6">
      <w:pPr>
        <w:spacing w:line="560" w:lineRule="exact"/>
        <w:rPr>
          <w:rFonts w:ascii="黑体" w:eastAsia="黑体" w:hAnsi="黑体" w:hint="eastAsia"/>
          <w:kern w:val="0"/>
          <w:sz w:val="30"/>
          <w:szCs w:val="30"/>
        </w:rPr>
      </w:pPr>
      <w:bookmarkStart w:id="0" w:name="RANGE!A1:H22"/>
      <w:r>
        <w:rPr>
          <w:rFonts w:ascii="黑体" w:eastAsia="黑体" w:hAnsi="黑体"/>
          <w:kern w:val="0"/>
          <w:sz w:val="30"/>
          <w:szCs w:val="30"/>
        </w:rPr>
        <w:lastRenderedPageBreak/>
        <w:t>附件</w:t>
      </w:r>
      <w:bookmarkEnd w:id="0"/>
      <w:r>
        <w:rPr>
          <w:rFonts w:ascii="黑体" w:eastAsia="黑体" w:hAnsi="黑体" w:hint="eastAsia"/>
          <w:kern w:val="0"/>
          <w:sz w:val="30"/>
          <w:szCs w:val="30"/>
        </w:rPr>
        <w:t>4</w:t>
      </w:r>
    </w:p>
    <w:p w:rsidR="000229D6" w:rsidRDefault="000229D6" w:rsidP="000229D6">
      <w:pPr>
        <w:spacing w:line="560" w:lineRule="exact"/>
        <w:jc w:val="center"/>
        <w:rPr>
          <w:rFonts w:eastAsia="方正小标宋简体"/>
          <w:sz w:val="36"/>
          <w:szCs w:val="36"/>
        </w:rPr>
      </w:pPr>
      <w:r>
        <w:rPr>
          <w:rFonts w:eastAsia="方正小标宋简体"/>
          <w:sz w:val="36"/>
          <w:szCs w:val="36"/>
        </w:rPr>
        <w:t>部门整体支出绩效评价指标评分表</w:t>
      </w:r>
    </w:p>
    <w:p w:rsidR="000229D6" w:rsidRDefault="000229D6" w:rsidP="000229D6">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401"/>
      </w:tblGrid>
      <w:tr w:rsidR="000229D6"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备注</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黑体"/>
                <w:bCs/>
                <w:kern w:val="0"/>
                <w:szCs w:val="21"/>
              </w:rPr>
            </w:pPr>
            <w:r>
              <w:rPr>
                <w:rFonts w:eastAsia="黑体"/>
                <w:bCs/>
                <w:kern w:val="0"/>
                <w:szCs w:val="21"/>
              </w:rPr>
              <w:t>评价得分</w:t>
            </w:r>
          </w:p>
          <w:p w:rsidR="000229D6" w:rsidRDefault="000229D6" w:rsidP="008E4025">
            <w:pPr>
              <w:widowControl/>
              <w:jc w:val="center"/>
              <w:rPr>
                <w:rFonts w:eastAsia="黑体"/>
                <w:bCs/>
                <w:kern w:val="0"/>
                <w:szCs w:val="21"/>
              </w:rPr>
            </w:pPr>
            <w:r>
              <w:rPr>
                <w:rFonts w:eastAsia="黑体"/>
                <w:bCs/>
                <w:kern w:val="0"/>
                <w:szCs w:val="21"/>
              </w:rPr>
              <w:t>（要求列出计算过程和评分依据）</w:t>
            </w:r>
          </w:p>
        </w:tc>
      </w:tr>
      <w:tr w:rsidR="000229D6"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9D6" w:rsidRDefault="000229D6"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0229D6" w:rsidRDefault="000229D6"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0229D6" w:rsidRDefault="000229D6"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Pr="00D1774E" w:rsidRDefault="000229D6" w:rsidP="008E4025">
            <w:pPr>
              <w:widowControl/>
              <w:jc w:val="left"/>
              <w:rPr>
                <w:rFonts w:eastAsia="仿宋_GB2312"/>
                <w:kern w:val="0"/>
                <w:sz w:val="20"/>
                <w:szCs w:val="20"/>
              </w:rPr>
            </w:pP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kern w:val="0"/>
                <w:szCs w:val="21"/>
              </w:rPr>
            </w:pPr>
            <w:r w:rsidRPr="00D1774E">
              <w:rPr>
                <w:rFonts w:ascii="仿宋_GB2312" w:eastAsia="仿宋_GB2312" w:cs="宋体" w:hint="eastAsia"/>
                <w:kern w:val="0"/>
                <w:sz w:val="20"/>
                <w:szCs w:val="20"/>
              </w:rPr>
              <w:t>①+②+③=</w:t>
            </w:r>
            <w:r>
              <w:rPr>
                <w:rFonts w:ascii="仿宋_GB2312" w:eastAsia="仿宋_GB2312" w:cs="宋体" w:hint="eastAsia"/>
                <w:kern w:val="0"/>
                <w:sz w:val="20"/>
                <w:szCs w:val="20"/>
              </w:rPr>
              <w:t>3</w:t>
            </w:r>
          </w:p>
        </w:tc>
      </w:tr>
      <w:tr w:rsidR="000229D6"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0229D6" w:rsidRDefault="000229D6"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0229D6" w:rsidRDefault="000229D6"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0229D6" w:rsidRDefault="000229D6"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kern w:val="0"/>
                <w:szCs w:val="21"/>
              </w:rPr>
            </w:pPr>
            <w:r>
              <w:rPr>
                <w:rFonts w:ascii="仿宋_GB2312" w:eastAsia="仿宋_GB2312" w:cs="宋体" w:hint="eastAsia"/>
                <w:kern w:val="0"/>
                <w:sz w:val="20"/>
              </w:rPr>
              <w:t>①</w:t>
            </w:r>
            <w:r w:rsidRPr="009406EC">
              <w:rPr>
                <w:rFonts w:ascii="仿宋_GB2312" w:eastAsia="仿宋_GB2312" w:cs="宋体" w:hint="eastAsia"/>
                <w:kern w:val="0"/>
                <w:sz w:val="20"/>
              </w:rPr>
              <w:t>+</w:t>
            </w:r>
            <w:r>
              <w:rPr>
                <w:rFonts w:ascii="仿宋_GB2312" w:eastAsia="仿宋_GB2312" w:cs="宋体" w:hint="eastAsia"/>
                <w:kern w:val="0"/>
                <w:sz w:val="20"/>
              </w:rPr>
              <w:t>②+③+④=</w:t>
            </w:r>
            <w:r>
              <w:rPr>
                <w:rFonts w:ascii="宋体" w:cs="宋体" w:hint="eastAsia"/>
                <w:kern w:val="0"/>
                <w:sz w:val="24"/>
              </w:rPr>
              <w:t>5</w:t>
            </w:r>
          </w:p>
        </w:tc>
      </w:tr>
      <w:tr w:rsidR="000229D6"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hint="eastAsia"/>
                <w:kern w:val="0"/>
                <w:szCs w:val="21"/>
              </w:rPr>
            </w:pPr>
            <w:r>
              <w:rPr>
                <w:kern w:val="0"/>
                <w:szCs w:val="21"/>
              </w:rPr>
              <w:t xml:space="preserve">　</w:t>
            </w:r>
            <w:r>
              <w:rPr>
                <w:rFonts w:hint="eastAsia"/>
                <w:kern w:val="0"/>
                <w:szCs w:val="21"/>
              </w:rPr>
              <w:t>（</w:t>
            </w:r>
            <w:r>
              <w:rPr>
                <w:rFonts w:hint="eastAsia"/>
                <w:kern w:val="0"/>
                <w:szCs w:val="21"/>
              </w:rPr>
              <w:t>16/16</w:t>
            </w:r>
            <w:r>
              <w:rPr>
                <w:rFonts w:hint="eastAsia"/>
                <w:kern w:val="0"/>
                <w:szCs w:val="21"/>
              </w:rPr>
              <w:t>）</w:t>
            </w:r>
            <w:r w:rsidRPr="00E93CB9">
              <w:rPr>
                <w:rFonts w:eastAsia="仿宋_GB2312"/>
                <w:kern w:val="0"/>
                <w:sz w:val="18"/>
                <w:szCs w:val="18"/>
              </w:rPr>
              <w:t>×100%</w:t>
            </w:r>
            <w:r>
              <w:rPr>
                <w:rFonts w:hint="eastAsia"/>
                <w:kern w:val="0"/>
                <w:szCs w:val="21"/>
              </w:rPr>
              <w:t>=100%</w:t>
            </w:r>
          </w:p>
          <w:p w:rsidR="000229D6" w:rsidRDefault="000229D6" w:rsidP="008E4025">
            <w:pPr>
              <w:widowControl/>
              <w:jc w:val="center"/>
              <w:rPr>
                <w:kern w:val="0"/>
                <w:szCs w:val="21"/>
              </w:rPr>
            </w:pPr>
            <w:r>
              <w:rPr>
                <w:rFonts w:hint="eastAsia"/>
                <w:kern w:val="0"/>
                <w:szCs w:val="21"/>
              </w:rPr>
              <w:t>4</w:t>
            </w:r>
          </w:p>
        </w:tc>
      </w:tr>
      <w:tr w:rsidR="000229D6"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hint="eastAsia"/>
                <w:kern w:val="0"/>
                <w:sz w:val="18"/>
                <w:szCs w:val="18"/>
              </w:rPr>
            </w:pPr>
            <w:r>
              <w:rPr>
                <w:kern w:val="0"/>
                <w:szCs w:val="21"/>
              </w:rPr>
              <w:t xml:space="preserve">　</w:t>
            </w:r>
            <w:r w:rsidRPr="00FE4EF4">
              <w:rPr>
                <w:rFonts w:hint="eastAsia"/>
                <w:kern w:val="0"/>
                <w:sz w:val="18"/>
                <w:szCs w:val="18"/>
              </w:rPr>
              <w:t>[</w:t>
            </w:r>
            <w:r w:rsidRPr="00FE4EF4">
              <w:rPr>
                <w:rFonts w:hint="eastAsia"/>
                <w:kern w:val="0"/>
                <w:sz w:val="18"/>
                <w:szCs w:val="18"/>
              </w:rPr>
              <w:t>（</w:t>
            </w:r>
            <w:r>
              <w:rPr>
                <w:rFonts w:hint="eastAsia"/>
                <w:kern w:val="0"/>
                <w:sz w:val="18"/>
                <w:szCs w:val="18"/>
              </w:rPr>
              <w:t>18007.07</w:t>
            </w:r>
            <w:r w:rsidRPr="00FE4EF4">
              <w:rPr>
                <w:rFonts w:hint="eastAsia"/>
                <w:kern w:val="0"/>
                <w:sz w:val="18"/>
                <w:szCs w:val="18"/>
              </w:rPr>
              <w:t>-</w:t>
            </w:r>
            <w:r>
              <w:rPr>
                <w:rFonts w:hint="eastAsia"/>
                <w:kern w:val="0"/>
                <w:sz w:val="18"/>
                <w:szCs w:val="18"/>
              </w:rPr>
              <w:t>42969.15</w:t>
            </w:r>
            <w:r w:rsidRPr="00FE4EF4">
              <w:rPr>
                <w:rFonts w:hint="eastAsia"/>
                <w:kern w:val="0"/>
                <w:sz w:val="18"/>
                <w:szCs w:val="18"/>
              </w:rPr>
              <w:t>）</w:t>
            </w:r>
            <w:r w:rsidRPr="00FE4EF4">
              <w:rPr>
                <w:rFonts w:hint="eastAsia"/>
                <w:kern w:val="0"/>
                <w:sz w:val="18"/>
                <w:szCs w:val="18"/>
              </w:rPr>
              <w:t>/</w:t>
            </w:r>
            <w:r>
              <w:rPr>
                <w:rFonts w:hint="eastAsia"/>
                <w:kern w:val="0"/>
                <w:sz w:val="18"/>
                <w:szCs w:val="18"/>
              </w:rPr>
              <w:t>42969.15</w:t>
            </w:r>
            <w:r w:rsidRPr="00FE4EF4">
              <w:rPr>
                <w:rFonts w:hint="eastAsia"/>
                <w:kern w:val="0"/>
                <w:sz w:val="18"/>
                <w:szCs w:val="18"/>
              </w:rPr>
              <w:t>]</w:t>
            </w:r>
            <w:r w:rsidRPr="00FE4EF4">
              <w:rPr>
                <w:rFonts w:eastAsia="仿宋_GB2312"/>
                <w:kern w:val="0"/>
                <w:sz w:val="18"/>
                <w:szCs w:val="18"/>
              </w:rPr>
              <w:t xml:space="preserve"> ×100%</w:t>
            </w:r>
            <w:r w:rsidRPr="00FE4EF4">
              <w:rPr>
                <w:rFonts w:eastAsia="仿宋_GB2312" w:hint="eastAsia"/>
                <w:kern w:val="0"/>
                <w:sz w:val="18"/>
                <w:szCs w:val="18"/>
              </w:rPr>
              <w:t>=</w:t>
            </w:r>
            <w:r>
              <w:rPr>
                <w:rFonts w:eastAsia="仿宋_GB2312" w:hint="eastAsia"/>
                <w:kern w:val="0"/>
                <w:sz w:val="18"/>
                <w:szCs w:val="18"/>
              </w:rPr>
              <w:t>-58.09</w:t>
            </w:r>
            <w:r w:rsidRPr="00FE4EF4">
              <w:rPr>
                <w:rFonts w:eastAsia="仿宋_GB2312" w:hint="eastAsia"/>
                <w:kern w:val="0"/>
                <w:sz w:val="18"/>
                <w:szCs w:val="18"/>
              </w:rPr>
              <w:t>%</w:t>
            </w:r>
          </w:p>
          <w:p w:rsidR="000229D6" w:rsidRDefault="000229D6" w:rsidP="008E4025">
            <w:pPr>
              <w:widowControl/>
              <w:jc w:val="center"/>
              <w:rPr>
                <w:kern w:val="0"/>
                <w:szCs w:val="21"/>
              </w:rPr>
            </w:pPr>
            <w:r>
              <w:rPr>
                <w:rFonts w:eastAsia="仿宋_GB2312" w:hint="eastAsia"/>
                <w:kern w:val="0"/>
                <w:sz w:val="18"/>
                <w:szCs w:val="18"/>
              </w:rPr>
              <w:t>4</w:t>
            </w:r>
          </w:p>
        </w:tc>
      </w:tr>
      <w:tr w:rsidR="000229D6"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kern w:val="0"/>
                <w:szCs w:val="21"/>
              </w:rPr>
            </w:pPr>
            <w:r>
              <w:rPr>
                <w:rFonts w:hint="eastAsia"/>
                <w:kern w:val="0"/>
                <w:szCs w:val="21"/>
              </w:rPr>
              <w:t>4</w:t>
            </w:r>
          </w:p>
        </w:tc>
      </w:tr>
      <w:tr w:rsidR="000229D6"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9D6" w:rsidRDefault="000229D6"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ascii="仿宋_GB2312" w:eastAsia="仿宋_GB2312" w:cs="宋体" w:hint="eastAsia"/>
                <w:kern w:val="0"/>
                <w:sz w:val="20"/>
              </w:rPr>
            </w:pPr>
            <w:r>
              <w:rPr>
                <w:kern w:val="0"/>
                <w:szCs w:val="21"/>
              </w:rPr>
              <w:t xml:space="preserve">　</w:t>
            </w:r>
            <w:r>
              <w:rPr>
                <w:rFonts w:ascii="仿宋_GB2312" w:eastAsia="仿宋_GB2312" w:cs="宋体" w:hint="eastAsia"/>
                <w:kern w:val="0"/>
                <w:sz w:val="20"/>
              </w:rPr>
              <w:t>（1441429.21/</w:t>
            </w:r>
            <w:r w:rsidRPr="002F6AF7">
              <w:rPr>
                <w:rFonts w:ascii="仿宋_GB2312" w:eastAsia="仿宋_GB2312" w:cs="宋体"/>
                <w:kern w:val="0"/>
                <w:sz w:val="20"/>
              </w:rPr>
              <w:t>2213972</w:t>
            </w:r>
            <w:r>
              <w:rPr>
                <w:rFonts w:ascii="仿宋_GB2312" w:eastAsia="仿宋_GB2312" w:cs="宋体" w:hint="eastAsia"/>
                <w:kern w:val="0"/>
                <w:sz w:val="20"/>
              </w:rPr>
              <w:t>）×100%=65.10%</w:t>
            </w:r>
          </w:p>
          <w:p w:rsidR="000229D6" w:rsidRDefault="000229D6" w:rsidP="008E4025">
            <w:pPr>
              <w:widowControl/>
              <w:jc w:val="center"/>
              <w:rPr>
                <w:kern w:val="0"/>
                <w:szCs w:val="21"/>
              </w:rPr>
            </w:pPr>
            <w:r>
              <w:rPr>
                <w:rFonts w:hint="eastAsia"/>
                <w:kern w:val="0"/>
                <w:szCs w:val="21"/>
              </w:rPr>
              <w:t>0</w:t>
            </w:r>
          </w:p>
        </w:tc>
      </w:tr>
      <w:tr w:rsidR="000229D6"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kern w:val="0"/>
                <w:szCs w:val="21"/>
              </w:rPr>
            </w:pPr>
            <w:r>
              <w:rPr>
                <w:rFonts w:hint="eastAsia"/>
                <w:kern w:val="0"/>
                <w:szCs w:val="21"/>
              </w:rPr>
              <w:t>4</w:t>
            </w:r>
          </w:p>
        </w:tc>
      </w:tr>
      <w:tr w:rsidR="000229D6"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kern w:val="0"/>
                <w:szCs w:val="21"/>
              </w:rPr>
            </w:pPr>
            <w:r>
              <w:rPr>
                <w:rFonts w:hint="eastAsia"/>
                <w:kern w:val="0"/>
                <w:szCs w:val="21"/>
              </w:rPr>
              <w:t>4</w:t>
            </w:r>
          </w:p>
        </w:tc>
      </w:tr>
      <w:tr w:rsidR="000229D6"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hint="eastAsia"/>
                <w:kern w:val="0"/>
                <w:szCs w:val="21"/>
              </w:rPr>
            </w:pPr>
            <w:r>
              <w:rPr>
                <w:kern w:val="0"/>
                <w:szCs w:val="21"/>
              </w:rPr>
              <w:t xml:space="preserve">　</w:t>
            </w:r>
            <w:r>
              <w:rPr>
                <w:rFonts w:hint="eastAsia"/>
                <w:kern w:val="0"/>
                <w:szCs w:val="21"/>
              </w:rPr>
              <w:t>（</w:t>
            </w:r>
            <w:r>
              <w:rPr>
                <w:rFonts w:hint="eastAsia"/>
                <w:kern w:val="0"/>
                <w:sz w:val="18"/>
                <w:szCs w:val="18"/>
              </w:rPr>
              <w:t>18007.07</w:t>
            </w:r>
            <w:r w:rsidRPr="005D2DC2">
              <w:rPr>
                <w:rFonts w:hint="eastAsia"/>
                <w:kern w:val="0"/>
                <w:sz w:val="18"/>
                <w:szCs w:val="18"/>
              </w:rPr>
              <w:t>/</w:t>
            </w:r>
            <w:r>
              <w:rPr>
                <w:rFonts w:hint="eastAsia"/>
                <w:kern w:val="0"/>
                <w:sz w:val="18"/>
                <w:szCs w:val="18"/>
              </w:rPr>
              <w:t>65000</w:t>
            </w:r>
            <w:r>
              <w:rPr>
                <w:rFonts w:hint="eastAsia"/>
                <w:kern w:val="0"/>
                <w:szCs w:val="21"/>
              </w:rPr>
              <w:t>）</w:t>
            </w:r>
            <w:r w:rsidRPr="006443B7">
              <w:rPr>
                <w:rFonts w:eastAsia="仿宋_GB2312"/>
                <w:kern w:val="0"/>
                <w:szCs w:val="21"/>
              </w:rPr>
              <w:t>×100%</w:t>
            </w:r>
            <w:r>
              <w:rPr>
                <w:rFonts w:eastAsia="仿宋_GB2312" w:hint="eastAsia"/>
                <w:kern w:val="0"/>
                <w:szCs w:val="21"/>
              </w:rPr>
              <w:t>=27.70%</w:t>
            </w:r>
          </w:p>
          <w:p w:rsidR="000229D6" w:rsidRDefault="000229D6" w:rsidP="008E4025">
            <w:pPr>
              <w:widowControl/>
              <w:jc w:val="center"/>
              <w:rPr>
                <w:kern w:val="0"/>
                <w:szCs w:val="21"/>
              </w:rPr>
            </w:pPr>
            <w:r>
              <w:rPr>
                <w:rFonts w:eastAsia="仿宋_GB2312" w:hint="eastAsia"/>
                <w:kern w:val="0"/>
                <w:szCs w:val="21"/>
              </w:rPr>
              <w:t>4</w:t>
            </w:r>
          </w:p>
        </w:tc>
      </w:tr>
      <w:tr w:rsidR="000229D6"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9D6" w:rsidRDefault="000229D6"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kern w:val="0"/>
                <w:szCs w:val="21"/>
              </w:rPr>
            </w:pPr>
            <w:r>
              <w:rPr>
                <w:kern w:val="0"/>
                <w:szCs w:val="21"/>
              </w:rPr>
              <w:t xml:space="preserve">　</w:t>
            </w:r>
            <w:r w:rsidRPr="006443B7">
              <w:rPr>
                <w:rFonts w:ascii="宋体" w:hAnsi="宋体" w:cs="宋体" w:hint="eastAsia"/>
                <w:kern w:val="0"/>
                <w:szCs w:val="21"/>
              </w:rPr>
              <w:t>①</w:t>
            </w:r>
            <w:r>
              <w:rPr>
                <w:rFonts w:ascii="仿宋_GB2312" w:eastAsia="仿宋_GB2312" w:cs="宋体" w:hint="eastAsia"/>
                <w:kern w:val="0"/>
                <w:sz w:val="20"/>
              </w:rPr>
              <w:t>+②+③=</w:t>
            </w:r>
            <w:r>
              <w:rPr>
                <w:rFonts w:ascii="宋体" w:cs="宋体" w:hint="eastAsia"/>
                <w:kern w:val="0"/>
                <w:sz w:val="24"/>
              </w:rPr>
              <w:t>6</w:t>
            </w:r>
          </w:p>
        </w:tc>
      </w:tr>
      <w:tr w:rsidR="000229D6"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kern w:val="0"/>
                <w:szCs w:val="21"/>
              </w:rPr>
            </w:pPr>
            <w:r>
              <w:rPr>
                <w:kern w:val="0"/>
                <w:szCs w:val="21"/>
              </w:rPr>
              <w:t xml:space="preserve">　</w:t>
            </w:r>
            <w:r w:rsidRPr="006443B7">
              <w:rPr>
                <w:rFonts w:ascii="宋体" w:hAnsi="宋体" w:cs="宋体" w:hint="eastAsia"/>
                <w:kern w:val="0"/>
                <w:szCs w:val="21"/>
              </w:rPr>
              <w:t>①</w:t>
            </w:r>
            <w:r>
              <w:rPr>
                <w:rFonts w:ascii="仿宋_GB2312" w:eastAsia="仿宋_GB2312" w:cs="宋体" w:hint="eastAsia"/>
                <w:kern w:val="0"/>
                <w:sz w:val="20"/>
              </w:rPr>
              <w:t>+②+③+④+⑤=</w:t>
            </w:r>
            <w:r>
              <w:rPr>
                <w:rFonts w:ascii="宋体" w:cs="宋体" w:hint="eastAsia"/>
                <w:kern w:val="0"/>
                <w:sz w:val="24"/>
              </w:rPr>
              <w:t>5</w:t>
            </w:r>
          </w:p>
        </w:tc>
      </w:tr>
      <w:tr w:rsidR="000229D6"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Pr="006443B7" w:rsidRDefault="000229D6" w:rsidP="008E4025">
            <w:pPr>
              <w:widowControl/>
              <w:jc w:val="left"/>
              <w:rPr>
                <w:kern w:val="0"/>
                <w:szCs w:val="21"/>
              </w:rPr>
            </w:pPr>
            <w:r w:rsidRPr="006443B7">
              <w:rPr>
                <w:rFonts w:ascii="宋体" w:hAnsi="宋体" w:cs="宋体" w:hint="eastAsia"/>
                <w:kern w:val="0"/>
                <w:szCs w:val="21"/>
              </w:rPr>
              <w:t>①</w:t>
            </w:r>
            <w:r>
              <w:rPr>
                <w:rFonts w:ascii="仿宋_GB2312" w:eastAsia="仿宋_GB2312" w:cs="宋体" w:hint="eastAsia"/>
                <w:kern w:val="0"/>
                <w:sz w:val="20"/>
              </w:rPr>
              <w:t>+②+③+④+⑤=</w:t>
            </w:r>
            <w:r>
              <w:rPr>
                <w:rFonts w:ascii="宋体" w:cs="宋体" w:hint="eastAsia"/>
                <w:kern w:val="0"/>
                <w:sz w:val="24"/>
              </w:rPr>
              <w:t>5</w:t>
            </w:r>
          </w:p>
        </w:tc>
      </w:tr>
      <w:tr w:rsidR="000229D6"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r>
            <w:r>
              <w:rPr>
                <w:rFonts w:ascii="宋体" w:hAnsi="宋体" w:cs="宋体" w:hint="eastAsia"/>
                <w:kern w:val="0"/>
                <w:szCs w:val="21"/>
              </w:rP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Pr="006443B7" w:rsidRDefault="000229D6" w:rsidP="008E4025">
            <w:pPr>
              <w:widowControl/>
              <w:jc w:val="center"/>
              <w:rPr>
                <w:kern w:val="0"/>
                <w:szCs w:val="21"/>
              </w:rPr>
            </w:pPr>
            <w:r w:rsidRPr="006443B7">
              <w:rPr>
                <w:rFonts w:ascii="宋体" w:hAnsi="宋体" w:cs="宋体" w:hint="eastAsia"/>
                <w:kern w:val="0"/>
                <w:szCs w:val="21"/>
              </w:rPr>
              <w:t>①</w:t>
            </w:r>
            <w:r>
              <w:rPr>
                <w:rFonts w:ascii="仿宋_GB2312" w:eastAsia="仿宋_GB2312" w:cs="宋体" w:hint="eastAsia"/>
                <w:kern w:val="0"/>
                <w:sz w:val="20"/>
              </w:rPr>
              <w:t>+②+③=</w:t>
            </w:r>
            <w:r>
              <w:rPr>
                <w:rFonts w:ascii="宋体" w:cs="宋体" w:hint="eastAsia"/>
                <w:kern w:val="0"/>
                <w:sz w:val="24"/>
              </w:rPr>
              <w:t>4</w:t>
            </w:r>
          </w:p>
        </w:tc>
      </w:tr>
      <w:tr w:rsidR="000229D6"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资产保存完整；</w:t>
            </w:r>
            <w:r>
              <w:rPr>
                <w:rFonts w:eastAsia="仿宋_GB2312"/>
                <w:kern w:val="0"/>
                <w:szCs w:val="21"/>
              </w:rPr>
              <w:br/>
            </w:r>
            <w:r>
              <w:rPr>
                <w:rFonts w:ascii="宋体" w:hAnsi="宋体" w:cs="宋体" w:hint="eastAsia"/>
                <w:kern w:val="0"/>
                <w:szCs w:val="21"/>
              </w:rPr>
              <w:t>②</w:t>
            </w:r>
            <w:r>
              <w:rPr>
                <w:rFonts w:eastAsia="仿宋_GB2312"/>
                <w:kern w:val="0"/>
                <w:szCs w:val="21"/>
              </w:rPr>
              <w:t>资产配置合理；</w:t>
            </w:r>
            <w:r>
              <w:rPr>
                <w:rFonts w:eastAsia="仿宋_GB2312"/>
                <w:kern w:val="0"/>
                <w:szCs w:val="21"/>
              </w:rPr>
              <w:br/>
            </w:r>
            <w:r>
              <w:rPr>
                <w:rFonts w:ascii="宋体" w:hAnsi="宋体" w:cs="宋体" w:hint="eastAsia"/>
                <w:kern w:val="0"/>
                <w:szCs w:val="21"/>
              </w:rPr>
              <w:t>③</w:t>
            </w:r>
            <w:r>
              <w:rPr>
                <w:rFonts w:eastAsia="仿宋_GB2312"/>
                <w:kern w:val="0"/>
                <w:szCs w:val="21"/>
              </w:rPr>
              <w:t>资产处置规范；</w:t>
            </w:r>
            <w:r>
              <w:rPr>
                <w:rFonts w:eastAsia="仿宋_GB2312"/>
                <w:kern w:val="0"/>
                <w:szCs w:val="21"/>
              </w:rPr>
              <w:t xml:space="preserve"> </w:t>
            </w:r>
            <w:r>
              <w:rPr>
                <w:rFonts w:eastAsia="仿宋_GB2312"/>
                <w:kern w:val="0"/>
                <w:szCs w:val="21"/>
              </w:rPr>
              <w:br/>
            </w:r>
            <w:r>
              <w:rPr>
                <w:rFonts w:ascii="宋体" w:hAnsi="宋体" w:cs="宋体" w:hint="eastAsia"/>
                <w:kern w:val="0"/>
                <w:szCs w:val="21"/>
              </w:rP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r>
            <w:r>
              <w:rPr>
                <w:rFonts w:ascii="宋体" w:hAnsi="宋体" w:cs="宋体" w:hint="eastAsia"/>
                <w:kern w:val="0"/>
                <w:szCs w:val="21"/>
              </w:rP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Pr="006443B7" w:rsidRDefault="000229D6" w:rsidP="008E4025">
            <w:pPr>
              <w:widowControl/>
              <w:jc w:val="center"/>
              <w:rPr>
                <w:kern w:val="0"/>
                <w:szCs w:val="21"/>
              </w:rPr>
            </w:pPr>
            <w:r w:rsidRPr="006443B7">
              <w:rPr>
                <w:rFonts w:ascii="宋体" w:hAnsi="宋体" w:cs="宋体" w:hint="eastAsia"/>
                <w:kern w:val="0"/>
                <w:szCs w:val="21"/>
              </w:rPr>
              <w:t>①</w:t>
            </w:r>
            <w:r>
              <w:rPr>
                <w:rFonts w:ascii="仿宋_GB2312" w:eastAsia="仿宋_GB2312" w:cs="宋体" w:hint="eastAsia"/>
                <w:kern w:val="0"/>
                <w:sz w:val="20"/>
              </w:rPr>
              <w:t>+②+③+④+⑤=</w:t>
            </w:r>
            <w:r>
              <w:rPr>
                <w:rFonts w:ascii="宋体" w:cs="宋体" w:hint="eastAsia"/>
                <w:kern w:val="0"/>
                <w:sz w:val="24"/>
              </w:rPr>
              <w:t>5</w:t>
            </w:r>
          </w:p>
        </w:tc>
      </w:tr>
      <w:tr w:rsidR="000229D6"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Pr="00567F05" w:rsidRDefault="000229D6" w:rsidP="008E4025">
            <w:pPr>
              <w:widowControl/>
              <w:jc w:val="center"/>
              <w:rPr>
                <w:rFonts w:ascii="宋体" w:hAnsi="宋体" w:hint="eastAsia"/>
                <w:bCs/>
                <w:kern w:val="0"/>
                <w:sz w:val="18"/>
                <w:szCs w:val="18"/>
              </w:rPr>
            </w:pPr>
            <w:r>
              <w:rPr>
                <w:kern w:val="0"/>
                <w:szCs w:val="21"/>
              </w:rPr>
              <w:t xml:space="preserve">　</w:t>
            </w:r>
            <w:r w:rsidRPr="00567F05">
              <w:rPr>
                <w:rFonts w:ascii="宋体" w:cs="宋体" w:hint="eastAsia"/>
                <w:kern w:val="0"/>
                <w:sz w:val="18"/>
                <w:szCs w:val="18"/>
              </w:rPr>
              <w:t>(</w:t>
            </w:r>
            <w:r>
              <w:rPr>
                <w:rFonts w:ascii="宋体" w:hAnsi="宋体" w:hint="eastAsia"/>
                <w:bCs/>
                <w:kern w:val="0"/>
                <w:sz w:val="18"/>
                <w:szCs w:val="18"/>
              </w:rPr>
              <w:t>6566877.43</w:t>
            </w:r>
            <w:r w:rsidRPr="00567F05">
              <w:rPr>
                <w:rFonts w:ascii="宋体" w:hAnsi="宋体" w:hint="eastAsia"/>
                <w:bCs/>
                <w:kern w:val="0"/>
                <w:sz w:val="18"/>
                <w:szCs w:val="18"/>
              </w:rPr>
              <w:t>/</w:t>
            </w:r>
            <w:r>
              <w:rPr>
                <w:rFonts w:ascii="宋体" w:hAnsi="宋体" w:hint="eastAsia"/>
                <w:bCs/>
                <w:kern w:val="0"/>
                <w:sz w:val="18"/>
                <w:szCs w:val="18"/>
              </w:rPr>
              <w:t>6566877.43</w:t>
            </w:r>
            <w:r w:rsidRPr="00567F05">
              <w:rPr>
                <w:rFonts w:ascii="宋体" w:hAnsi="宋体" w:hint="eastAsia"/>
                <w:bCs/>
                <w:kern w:val="0"/>
                <w:sz w:val="18"/>
                <w:szCs w:val="18"/>
              </w:rPr>
              <w:t>)</w:t>
            </w:r>
            <w:r w:rsidRPr="00567F05">
              <w:rPr>
                <w:rFonts w:eastAsia="仿宋_GB2312"/>
                <w:kern w:val="0"/>
                <w:sz w:val="18"/>
                <w:szCs w:val="18"/>
              </w:rPr>
              <w:t xml:space="preserve"> ×</w:t>
            </w:r>
            <w:r w:rsidRPr="00567F05">
              <w:rPr>
                <w:rFonts w:ascii="宋体" w:hAnsi="宋体" w:hint="eastAsia"/>
                <w:bCs/>
                <w:kern w:val="0"/>
                <w:sz w:val="18"/>
                <w:szCs w:val="18"/>
              </w:rPr>
              <w:t>100%=100%</w:t>
            </w:r>
          </w:p>
          <w:p w:rsidR="000229D6" w:rsidRDefault="000229D6" w:rsidP="008E4025">
            <w:pPr>
              <w:widowControl/>
              <w:jc w:val="center"/>
              <w:rPr>
                <w:kern w:val="0"/>
                <w:szCs w:val="21"/>
              </w:rPr>
            </w:pPr>
            <w:r>
              <w:rPr>
                <w:rFonts w:ascii="宋体" w:cs="宋体" w:hint="eastAsia"/>
                <w:kern w:val="0"/>
                <w:sz w:val="24"/>
              </w:rPr>
              <w:t>3</w:t>
            </w:r>
          </w:p>
        </w:tc>
      </w:tr>
      <w:tr w:rsidR="000229D6"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9D6" w:rsidRDefault="000229D6"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0229D6" w:rsidRDefault="000229D6" w:rsidP="008E4025">
            <w:pPr>
              <w:widowControl/>
              <w:jc w:val="left"/>
              <w:rPr>
                <w:rFonts w:eastAsia="仿宋_GB2312"/>
                <w:kern w:val="0"/>
                <w:szCs w:val="21"/>
              </w:rPr>
            </w:pPr>
            <w:r>
              <w:rPr>
                <w:rFonts w:ascii="宋体" w:hAnsi="宋体" w:cs="宋体" w:hint="eastAsia"/>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ascii="宋体" w:hAnsi="宋体" w:cs="宋体" w:hint="eastAsia"/>
                <w:kern w:val="0"/>
                <w:szCs w:val="21"/>
              </w:rPr>
              <w:t>①</w:t>
            </w:r>
            <w:r>
              <w:rPr>
                <w:rFonts w:eastAsia="仿宋_GB2312"/>
                <w:kern w:val="0"/>
                <w:szCs w:val="21"/>
              </w:rPr>
              <w:t>+</w:t>
            </w:r>
            <w:r>
              <w:rPr>
                <w:rFonts w:ascii="宋体" w:hAnsi="宋体" w:cs="宋体" w:hint="eastAsia"/>
                <w:kern w:val="0"/>
                <w:szCs w:val="21"/>
              </w:rPr>
              <w:t>②</w:t>
            </w:r>
            <w:r>
              <w:rPr>
                <w:rFonts w:eastAsia="仿宋_GB2312"/>
                <w:kern w:val="0"/>
                <w:szCs w:val="21"/>
              </w:rPr>
              <w:t>为此项指标考评得分</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Pr="006443B7" w:rsidRDefault="000229D6" w:rsidP="008E4025">
            <w:pPr>
              <w:widowControl/>
              <w:jc w:val="center"/>
              <w:rPr>
                <w:kern w:val="0"/>
                <w:szCs w:val="21"/>
              </w:rPr>
            </w:pPr>
            <w:r w:rsidRPr="006443B7">
              <w:rPr>
                <w:rFonts w:ascii="宋体" w:hAnsi="宋体" w:cs="宋体" w:hint="eastAsia"/>
                <w:kern w:val="0"/>
                <w:szCs w:val="21"/>
              </w:rPr>
              <w:t>①</w:t>
            </w:r>
            <w:r w:rsidRPr="006443B7">
              <w:rPr>
                <w:rFonts w:eastAsia="仿宋_GB2312"/>
                <w:kern w:val="0"/>
                <w:szCs w:val="21"/>
              </w:rPr>
              <w:t>+</w:t>
            </w:r>
            <w:r w:rsidRPr="006443B7">
              <w:rPr>
                <w:rFonts w:ascii="宋体" w:hAnsi="宋体" w:cs="宋体" w:hint="eastAsia"/>
                <w:kern w:val="0"/>
                <w:szCs w:val="21"/>
              </w:rPr>
              <w:t>②</w:t>
            </w:r>
            <w:r>
              <w:rPr>
                <w:rFonts w:eastAsia="仿宋_GB2312" w:hint="eastAsia"/>
                <w:kern w:val="0"/>
                <w:szCs w:val="21"/>
              </w:rPr>
              <w:t>=10</w:t>
            </w:r>
          </w:p>
        </w:tc>
      </w:tr>
      <w:tr w:rsidR="000229D6"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Pr="006443B7" w:rsidRDefault="000229D6" w:rsidP="008E4025">
            <w:pPr>
              <w:widowControl/>
              <w:jc w:val="center"/>
              <w:rPr>
                <w:kern w:val="0"/>
                <w:szCs w:val="21"/>
              </w:rPr>
            </w:pPr>
            <w:r>
              <w:rPr>
                <w:rFonts w:hint="eastAsia"/>
                <w:kern w:val="0"/>
                <w:szCs w:val="21"/>
              </w:rPr>
              <w:t>6</w:t>
            </w:r>
          </w:p>
        </w:tc>
      </w:tr>
      <w:tr w:rsidR="000229D6"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229D6" w:rsidRDefault="000229D6"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p>
        </w:tc>
        <w:tc>
          <w:tcPr>
            <w:tcW w:w="2401" w:type="dxa"/>
            <w:vMerge w:val="restart"/>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kern w:val="0"/>
                <w:szCs w:val="21"/>
              </w:rPr>
            </w:pPr>
            <w:r>
              <w:rPr>
                <w:rFonts w:hint="eastAsia"/>
                <w:kern w:val="0"/>
                <w:szCs w:val="21"/>
              </w:rPr>
              <w:t>12</w:t>
            </w:r>
            <w:r>
              <w:rPr>
                <w:kern w:val="0"/>
                <w:szCs w:val="21"/>
              </w:rPr>
              <w:t xml:space="preserve">　</w:t>
            </w:r>
          </w:p>
        </w:tc>
      </w:tr>
      <w:tr w:rsidR="000229D6"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2401"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r>
      <w:tr w:rsidR="000229D6"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2401"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r>
      <w:tr w:rsidR="000229D6"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0229D6" w:rsidRDefault="000229D6"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kern w:val="0"/>
                <w:szCs w:val="21"/>
              </w:rPr>
            </w:pPr>
            <w:r>
              <w:rPr>
                <w:rFonts w:hint="eastAsia"/>
                <w:kern w:val="0"/>
                <w:szCs w:val="21"/>
              </w:rPr>
              <w:t>8</w:t>
            </w:r>
          </w:p>
        </w:tc>
      </w:tr>
      <w:tr w:rsidR="000229D6"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left"/>
              <w:rPr>
                <w:rFonts w:eastAsia="仿宋_GB2312"/>
                <w:kern w:val="0"/>
                <w:szCs w:val="21"/>
              </w:rPr>
            </w:pPr>
          </w:p>
        </w:tc>
        <w:tc>
          <w:tcPr>
            <w:tcW w:w="2401" w:type="dxa"/>
            <w:tcBorders>
              <w:top w:val="single" w:sz="4" w:space="0" w:color="auto"/>
              <w:left w:val="single" w:sz="4" w:space="0" w:color="auto"/>
              <w:bottom w:val="single" w:sz="4" w:space="0" w:color="auto"/>
              <w:right w:val="single" w:sz="4" w:space="0" w:color="auto"/>
            </w:tcBorders>
            <w:vAlign w:val="center"/>
          </w:tcPr>
          <w:p w:rsidR="000229D6" w:rsidRDefault="000229D6" w:rsidP="008E4025">
            <w:pPr>
              <w:widowControl/>
              <w:jc w:val="center"/>
              <w:rPr>
                <w:kern w:val="0"/>
                <w:szCs w:val="21"/>
              </w:rPr>
            </w:pPr>
            <w:r>
              <w:rPr>
                <w:rFonts w:hint="eastAsia"/>
                <w:kern w:val="0"/>
                <w:szCs w:val="21"/>
              </w:rPr>
              <w:t>96</w:t>
            </w:r>
          </w:p>
        </w:tc>
      </w:tr>
    </w:tbl>
    <w:p w:rsidR="000229D6" w:rsidRDefault="000229D6" w:rsidP="000229D6">
      <w:pPr>
        <w:sectPr w:rsidR="000229D6">
          <w:pgSz w:w="16838" w:h="11906" w:orient="landscape"/>
          <w:pgMar w:top="1797" w:right="1440" w:bottom="1797" w:left="1440" w:header="851" w:footer="992" w:gutter="0"/>
          <w:pgNumType w:fmt="numberInDash"/>
          <w:cols w:space="720"/>
          <w:docGrid w:type="lines" w:linePitch="312"/>
        </w:sectPr>
      </w:pPr>
      <w:bookmarkStart w:id="1" w:name="_GoBack"/>
      <w:bookmarkEnd w:id="1"/>
    </w:p>
    <w:p w:rsidR="0020582A" w:rsidRPr="000229D6" w:rsidRDefault="0020582A"/>
    <w:sectPr w:rsidR="0020582A" w:rsidRPr="000229D6">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B98" w:rsidRDefault="00656B98" w:rsidP="000229D6">
      <w:r>
        <w:separator/>
      </w:r>
    </w:p>
  </w:endnote>
  <w:endnote w:type="continuationSeparator" w:id="0">
    <w:p w:rsidR="00656B98" w:rsidRDefault="00656B98" w:rsidP="0002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D6" w:rsidRDefault="000229D6">
    <w:pPr>
      <w:pStyle w:val="a4"/>
      <w:framePr w:wrap="around" w:vAnchor="text" w:hAnchor="margin" w:xAlign="center" w:y="1"/>
      <w:rPr>
        <w:rStyle w:val="a5"/>
      </w:rPr>
    </w:pPr>
    <w:r>
      <w:fldChar w:fldCharType="begin"/>
    </w:r>
    <w:r>
      <w:rPr>
        <w:rStyle w:val="a5"/>
      </w:rPr>
      <w:instrText xml:space="preserve">PAGE  </w:instrText>
    </w:r>
    <w:r>
      <w:fldChar w:fldCharType="end"/>
    </w:r>
  </w:p>
  <w:p w:rsidR="000229D6" w:rsidRDefault="000229D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D6" w:rsidRDefault="000229D6">
    <w:pPr>
      <w:pStyle w:val="a4"/>
      <w:framePr w:wrap="around" w:vAnchor="text" w:hAnchor="margin" w:xAlign="center" w:y="1"/>
      <w:rPr>
        <w:rStyle w:val="a5"/>
        <w:rFonts w:ascii="宋体" w:hAnsi="宋体" w:hint="eastAsia"/>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Pr>
        <w:rStyle w:val="a5"/>
        <w:rFonts w:ascii="宋体" w:hAnsi="宋体"/>
        <w:noProof/>
        <w:sz w:val="24"/>
        <w:szCs w:val="24"/>
      </w:rPr>
      <w:t>- 12 -</w:t>
    </w:r>
    <w:r>
      <w:rPr>
        <w:rFonts w:ascii="宋体" w:hAnsi="宋体" w:hint="eastAsia"/>
        <w:sz w:val="24"/>
        <w:szCs w:val="24"/>
      </w:rPr>
      <w:fldChar w:fldCharType="end"/>
    </w:r>
    <w:r>
      <w:rPr>
        <w:rStyle w:val="a5"/>
        <w:rFonts w:ascii="宋体" w:hAnsi="宋体" w:hint="eastAsia"/>
        <w:sz w:val="24"/>
        <w:szCs w:val="24"/>
      </w:rPr>
      <w:t xml:space="preserve"> </w:t>
    </w:r>
  </w:p>
  <w:p w:rsidR="000229D6" w:rsidRDefault="000229D6">
    <w:pPr>
      <w:pStyle w:val="a4"/>
      <w:framePr w:wrap="around" w:vAnchor="text" w:hAnchor="margin" w:xAlign="outside" w:y="1"/>
      <w:rPr>
        <w:rStyle w:val="a5"/>
        <w:rFonts w:ascii="宋体" w:hAnsi="宋体"/>
        <w:sz w:val="24"/>
        <w:szCs w:val="24"/>
      </w:rPr>
    </w:pPr>
  </w:p>
  <w:p w:rsidR="000229D6" w:rsidRDefault="000229D6">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D6" w:rsidRDefault="000229D6">
    <w:pPr>
      <w:pStyle w:val="a4"/>
      <w:jc w:val="center"/>
      <w:rPr>
        <w:rFonts w:ascii="宋体" w:hAnsi="宋体" w:hint="eastAsia"/>
        <w:sz w:val="24"/>
        <w:szCs w:val="24"/>
      </w:rPr>
    </w:pPr>
    <w:r>
      <w:rPr>
        <w:rStyle w:val="a5"/>
        <w:rFonts w:ascii="宋体" w:hAnsi="宋体" w:hint="eastAsia"/>
        <w:sz w:val="24"/>
        <w:szCs w:val="24"/>
      </w:rPr>
      <w:t xml:space="preserve">- </w:t>
    </w: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1</w:t>
    </w:r>
    <w:r>
      <w:rPr>
        <w:rFonts w:ascii="宋体" w:hAnsi="宋体"/>
        <w:sz w:val="24"/>
        <w:szCs w:val="24"/>
      </w:rPr>
      <w:fldChar w:fldCharType="end"/>
    </w:r>
    <w:r>
      <w:rPr>
        <w:rStyle w:val="a5"/>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B98" w:rsidRDefault="00656B98" w:rsidP="000229D6">
      <w:r>
        <w:separator/>
      </w:r>
    </w:p>
  </w:footnote>
  <w:footnote w:type="continuationSeparator" w:id="0">
    <w:p w:rsidR="00656B98" w:rsidRDefault="00656B98" w:rsidP="000229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22"/>
    <w:rsid w:val="000229D6"/>
    <w:rsid w:val="0020582A"/>
    <w:rsid w:val="00656B98"/>
    <w:rsid w:val="009C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9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29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29D6"/>
    <w:rPr>
      <w:sz w:val="18"/>
      <w:szCs w:val="18"/>
    </w:rPr>
  </w:style>
  <w:style w:type="paragraph" w:styleId="a4">
    <w:name w:val="footer"/>
    <w:basedOn w:val="a"/>
    <w:link w:val="Char0"/>
    <w:unhideWhenUsed/>
    <w:rsid w:val="000229D6"/>
    <w:pPr>
      <w:tabs>
        <w:tab w:val="center" w:pos="4153"/>
        <w:tab w:val="right" w:pos="8306"/>
      </w:tabs>
      <w:snapToGrid w:val="0"/>
      <w:jc w:val="left"/>
    </w:pPr>
    <w:rPr>
      <w:sz w:val="18"/>
      <w:szCs w:val="18"/>
    </w:rPr>
  </w:style>
  <w:style w:type="character" w:customStyle="1" w:styleId="Char0">
    <w:name w:val="页脚 Char"/>
    <w:basedOn w:val="a0"/>
    <w:link w:val="a4"/>
    <w:rsid w:val="000229D6"/>
    <w:rPr>
      <w:sz w:val="18"/>
      <w:szCs w:val="18"/>
    </w:rPr>
  </w:style>
  <w:style w:type="character" w:styleId="a5">
    <w:name w:val="page number"/>
    <w:basedOn w:val="a0"/>
    <w:rsid w:val="000229D6"/>
  </w:style>
  <w:style w:type="paragraph" w:styleId="a6">
    <w:name w:val="List Paragraph"/>
    <w:basedOn w:val="a"/>
    <w:uiPriority w:val="99"/>
    <w:qFormat/>
    <w:rsid w:val="000229D6"/>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9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29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29D6"/>
    <w:rPr>
      <w:sz w:val="18"/>
      <w:szCs w:val="18"/>
    </w:rPr>
  </w:style>
  <w:style w:type="paragraph" w:styleId="a4">
    <w:name w:val="footer"/>
    <w:basedOn w:val="a"/>
    <w:link w:val="Char0"/>
    <w:unhideWhenUsed/>
    <w:rsid w:val="000229D6"/>
    <w:pPr>
      <w:tabs>
        <w:tab w:val="center" w:pos="4153"/>
        <w:tab w:val="right" w:pos="8306"/>
      </w:tabs>
      <w:snapToGrid w:val="0"/>
      <w:jc w:val="left"/>
    </w:pPr>
    <w:rPr>
      <w:sz w:val="18"/>
      <w:szCs w:val="18"/>
    </w:rPr>
  </w:style>
  <w:style w:type="character" w:customStyle="1" w:styleId="Char0">
    <w:name w:val="页脚 Char"/>
    <w:basedOn w:val="a0"/>
    <w:link w:val="a4"/>
    <w:rsid w:val="000229D6"/>
    <w:rPr>
      <w:sz w:val="18"/>
      <w:szCs w:val="18"/>
    </w:rPr>
  </w:style>
  <w:style w:type="character" w:styleId="a5">
    <w:name w:val="page number"/>
    <w:basedOn w:val="a0"/>
    <w:rsid w:val="000229D6"/>
  </w:style>
  <w:style w:type="paragraph" w:styleId="a6">
    <w:name w:val="List Paragraph"/>
    <w:basedOn w:val="a"/>
    <w:uiPriority w:val="99"/>
    <w:qFormat/>
    <w:rsid w:val="000229D6"/>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2021-01-08T03:50:00Z</dcterms:created>
  <dcterms:modified xsi:type="dcterms:W3CDTF">2021-01-08T03:50:00Z</dcterms:modified>
</cp:coreProperties>
</file>