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0" w:firstLineChars="400"/>
        <w:rPr>
          <w:vertAlign w:val="baseline"/>
        </w:rPr>
      </w:pPr>
      <w:r>
        <w:rPr>
          <w:rFonts w:hint="eastAsia" w:ascii="方正小标宋简体" w:hAnsi="方正小标宋简体" w:eastAsia="方正小标宋简体" w:cs="方正小标宋简体"/>
          <w:i w:val="0"/>
          <w:color w:val="000000"/>
          <w:kern w:val="0"/>
          <w:sz w:val="44"/>
          <w:szCs w:val="44"/>
          <w:u w:val="none"/>
          <w:lang w:val="en-US" w:eastAsia="zh-CN" w:bidi="ar"/>
        </w:rPr>
        <w:t>市民政局推动惠企政策落地案例</w:t>
      </w:r>
    </w:p>
    <w:tbl>
      <w:tblPr>
        <w:tblStyle w:val="4"/>
        <w:tblW w:w="13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7389"/>
        <w:gridCol w:w="4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67" w:type="dxa"/>
          <w:trHeight w:val="2665" w:hRule="atLeast"/>
        </w:trPr>
        <w:tc>
          <w:tcPr>
            <w:tcW w:w="1346" w:type="dxa"/>
            <w:vAlign w:val="center"/>
          </w:tcPr>
          <w:p>
            <w:pPr>
              <w:bidi w:val="0"/>
              <w:jc w:val="center"/>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政策内容</w:t>
            </w:r>
          </w:p>
        </w:tc>
        <w:tc>
          <w:tcPr>
            <w:tcW w:w="7389" w:type="dxa"/>
            <w:vAlign w:val="center"/>
          </w:tcPr>
          <w:p>
            <w:pPr>
              <w:keepNext w:val="0"/>
              <w:keepLines w:val="0"/>
              <w:widowControl/>
              <w:suppressLineNumbers w:val="0"/>
              <w:jc w:val="left"/>
              <w:rPr>
                <w:rFonts w:hint="eastAsia" w:ascii="仿宋" w:hAnsi="仿宋" w:eastAsia="仿宋" w:cs="仿宋"/>
                <w:sz w:val="30"/>
                <w:szCs w:val="30"/>
              </w:rPr>
            </w:pPr>
            <w:r>
              <w:rPr>
                <w:rFonts w:hint="eastAsia" w:asciiTheme="majorEastAsia" w:hAnsiTheme="majorEastAsia" w:eastAsiaTheme="majorEastAsia" w:cstheme="majorEastAsia"/>
                <w:i w:val="0"/>
                <w:color w:val="000000"/>
                <w:kern w:val="0"/>
                <w:sz w:val="32"/>
                <w:szCs w:val="32"/>
                <w:u w:val="none"/>
                <w:lang w:val="en-US" w:eastAsia="zh-CN" w:bidi="ar"/>
              </w:rPr>
              <w:br w:type="textWrapping"/>
            </w:r>
            <w:r>
              <w:rPr>
                <w:rFonts w:hint="eastAsia" w:asciiTheme="majorEastAsia" w:hAnsiTheme="majorEastAsia" w:eastAsiaTheme="majorEastAsia" w:cstheme="majorEastAsia"/>
                <w:i w:val="0"/>
                <w:color w:val="000000"/>
                <w:kern w:val="0"/>
                <w:sz w:val="32"/>
                <w:szCs w:val="32"/>
                <w:u w:val="none"/>
                <w:lang w:val="en-US" w:eastAsia="zh-CN" w:bidi="ar"/>
              </w:rPr>
              <w:t>1、</w:t>
            </w:r>
            <w:r>
              <w:rPr>
                <w:rFonts w:hint="eastAsia" w:ascii="仿宋" w:hAnsi="仿宋" w:eastAsia="仿宋" w:cs="仿宋"/>
                <w:color w:val="000000"/>
                <w:kern w:val="0"/>
                <w:sz w:val="30"/>
                <w:szCs w:val="30"/>
                <w:lang w:val="en-US" w:eastAsia="zh-CN" w:bidi="ar"/>
              </w:rPr>
              <w:t xml:space="preserve">调整养老机构建设补贴。对城区内社会力量举办的养老服务机构，经市、区民政部门验收合格的，自建新增床位每张给予10000 元的一次性补贴，租用（改、扩建）新增床位每张给予6000元的一次性补贴，建设补贴资金由市、区两级财政按1:1比例承担。补贴总额超过 300万元的，由市、区财政在三年内分批次给予拨付。 </w:t>
            </w:r>
          </w:p>
          <w:p>
            <w:pPr>
              <w:keepNext w:val="0"/>
              <w:keepLines w:val="0"/>
              <w:widowControl/>
              <w:numPr>
                <w:ilvl w:val="0"/>
                <w:numId w:val="1"/>
              </w:numPr>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调整养老机构运营补贴。对城区内社会力量举办的养老服务机构，经市、区民政部门验收合格的，每接收一名户籍在本市的60 周岁以上人员，按照自理、半自理、完全不能自理，市财政分别给予养老服务机构每月100元、200元、400元的运营补贴；区财政分别给予养老服务机构每月50元、100元、200元的运营补贴。每接收安置一名城市“三无”老人、农村“五保”老人，按照全护理、半护理、自理，市财政分别给予养老服务机构每月800元、500元、200元补贴；区财政分别给予养老服务机构每月400元、250元、100元补贴。</w:t>
            </w:r>
          </w:p>
          <w:p>
            <w:pPr>
              <w:keepNext w:val="0"/>
              <w:keepLines w:val="0"/>
              <w:widowControl/>
              <w:numPr>
                <w:ilvl w:val="0"/>
                <w:numId w:val="0"/>
              </w:numPr>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 3.  </w:t>
            </w:r>
            <w:r>
              <w:rPr>
                <w:rFonts w:hint="eastAsia" w:ascii="仿宋" w:hAnsi="仿宋" w:eastAsia="仿宋" w:cs="仿宋"/>
                <w:i w:val="0"/>
                <w:color w:val="000000"/>
                <w:kern w:val="0"/>
                <w:sz w:val="30"/>
                <w:szCs w:val="30"/>
                <w:u w:val="none"/>
                <w:lang w:val="en-US" w:eastAsia="zh-CN" w:bidi="ar"/>
              </w:rPr>
              <w:t>调整政府购买基本养老服务补贴。对80岁以上空巢低收入老人、散居特困供养老人，按每人每月200元标准进行补贴。对60岁以上失能低收入老人、65岁以上半失能低收入老人，分别按每人每月400元、300元标准提供政府购买基本养老服务补贴。此补贴以服务形式提供，可以用于支付政府购买居家养老服务老人入住养老机构的护理费用。城区政府购买基本养老服务补贴资金由市、区两 级财政按1:1比例承担。</w:t>
            </w:r>
          </w:p>
          <w:p>
            <w:pPr>
              <w:keepNext w:val="0"/>
              <w:keepLines w:val="0"/>
              <w:widowControl/>
              <w:numPr>
                <w:ilvl w:val="0"/>
                <w:numId w:val="0"/>
              </w:numPr>
              <w:suppressLineNumbers w:val="0"/>
              <w:jc w:val="left"/>
              <w:rPr>
                <w:rFonts w:hint="eastAsia" w:ascii="仿宋" w:hAnsi="仿宋" w:eastAsia="仿宋" w:cs="仿宋"/>
                <w:sz w:val="30"/>
                <w:szCs w:val="30"/>
              </w:rPr>
            </w:pPr>
            <w:r>
              <w:rPr>
                <w:rFonts w:hint="eastAsia" w:ascii="仿宋" w:hAnsi="仿宋" w:eastAsia="仿宋" w:cs="仿宋"/>
                <w:i w:val="0"/>
                <w:color w:val="000000"/>
                <w:kern w:val="0"/>
                <w:sz w:val="30"/>
                <w:szCs w:val="30"/>
                <w:u w:val="none"/>
                <w:lang w:val="en-US" w:eastAsia="zh-CN" w:bidi="ar"/>
              </w:rPr>
              <w:t>4.建立居家和社区养老服务补贴。每个城市社区由政府投入续建1个社区居家养老服务中心。每个城区选定1-2家专业养老服务机构负责运营，为居家和社区老年人提供生活照料、膳食供应、 家政服务、康复护理、精神慰藉、文化娱乐等精准化、个性化、专业化服务。对建筑面积达到200平方米以上，具备“五室一场”（医疗室、活动室、图书室、休息室、配餐室、室内或者室外健身场所等），且服务规范化的社区居家养老服务中心，给予每个不高于10万元的建设补贴。上述补贴资金由市、区两级财政按1:1比例承担。</w:t>
            </w:r>
          </w:p>
          <w:p>
            <w:pPr>
              <w:keepNext w:val="0"/>
              <w:keepLines w:val="0"/>
              <w:widowControl/>
              <w:numPr>
                <w:ilvl w:val="0"/>
                <w:numId w:val="0"/>
              </w:numPr>
              <w:suppressLineNumbers w:val="0"/>
              <w:jc w:val="left"/>
              <w:rPr>
                <w:rFonts w:hint="eastAsia" w:ascii="仿宋" w:hAnsi="仿宋" w:eastAsia="仿宋" w:cs="仿宋"/>
                <w:sz w:val="30"/>
                <w:szCs w:val="30"/>
              </w:rPr>
            </w:pPr>
          </w:p>
          <w:p>
            <w:pPr>
              <w:keepNext w:val="0"/>
              <w:keepLines w:val="0"/>
              <w:widowControl/>
              <w:numPr>
                <w:ilvl w:val="0"/>
                <w:numId w:val="0"/>
              </w:numPr>
              <w:suppressLineNumbers w:val="0"/>
              <w:jc w:val="left"/>
              <w:rPr>
                <w:rFonts w:hint="eastAsia" w:ascii="仿宋" w:hAnsi="仿宋" w:eastAsia="仿宋" w:cs="仿宋"/>
                <w:sz w:val="30"/>
                <w:szCs w:val="30"/>
              </w:rPr>
            </w:pPr>
          </w:p>
          <w:p>
            <w:pPr>
              <w:keepNext w:val="0"/>
              <w:keepLines w:val="0"/>
              <w:widowControl/>
              <w:suppressLineNumbers w:val="0"/>
              <w:jc w:val="left"/>
              <w:textAlignment w:val="center"/>
              <w:rPr>
                <w:rFonts w:hint="eastAsia" w:asciiTheme="majorEastAsia" w:hAnsiTheme="majorEastAsia" w:eastAsiaTheme="majorEastAsia" w:cstheme="majorEastAsia"/>
                <w:sz w:val="32"/>
                <w:szCs w:val="32"/>
                <w:vertAlign w:val="baseline"/>
              </w:rPr>
            </w:pPr>
            <w:r>
              <w:rPr>
                <w:rFonts w:hint="eastAsia" w:ascii="仿宋" w:hAnsi="仿宋" w:eastAsia="仿宋" w:cs="仿宋"/>
                <w:color w:val="000000"/>
                <w:kern w:val="0"/>
                <w:sz w:val="30"/>
                <w:szCs w:val="30"/>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67" w:type="dxa"/>
          <w:trHeight w:val="2665" w:hRule="atLeast"/>
        </w:trPr>
        <w:tc>
          <w:tcPr>
            <w:tcW w:w="1346" w:type="dxa"/>
            <w:vAlign w:val="center"/>
          </w:tcPr>
          <w:p>
            <w:pPr>
              <w:bidi w:val="0"/>
              <w:jc w:val="center"/>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政策出处</w:t>
            </w:r>
          </w:p>
        </w:tc>
        <w:tc>
          <w:tcPr>
            <w:tcW w:w="7389" w:type="dxa"/>
            <w:vAlign w:val="center"/>
          </w:tcPr>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《株洲市人民政府办公室 关于全面放开养老服务市场提升养老服务质量的实施意见 》株政办发 （2018）6 号</w:t>
            </w:r>
          </w:p>
          <w:p>
            <w:pPr>
              <w:keepNext w:val="0"/>
              <w:keepLines w:val="0"/>
              <w:widowControl/>
              <w:suppressLineNumbers w:val="0"/>
              <w:jc w:val="left"/>
              <w:textAlignment w:val="center"/>
              <w:rPr>
                <w:rFonts w:hint="eastAsia" w:asciiTheme="majorEastAsia" w:hAnsiTheme="majorEastAsia" w:eastAsiaTheme="majorEastAsia" w:cstheme="majorEastAsia"/>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67" w:type="dxa"/>
          <w:trHeight w:val="2665" w:hRule="atLeast"/>
        </w:trPr>
        <w:tc>
          <w:tcPr>
            <w:tcW w:w="1346" w:type="dxa"/>
            <w:vAlign w:val="center"/>
          </w:tcPr>
          <w:p>
            <w:pPr>
              <w:bidi w:val="0"/>
              <w:jc w:val="center"/>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案   例</w:t>
            </w:r>
          </w:p>
        </w:tc>
        <w:tc>
          <w:tcPr>
            <w:tcW w:w="738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荷塘区颐宁园仙庾养护中心的前身是仙庾镇敬老院，是荷塘区第一家也是唯一一家公建民营的养老机构。2018年10月9日，荷塘区民政局通过公开招投标的方式引进颐宁园专业养老机构承接运营管理。2018年12月30日，株洲颐宁园完成第一期升级改造，正式对外营业。目前，已收住社会购买老人41人，五保户28人。2019年1月11日，株洲市荷塘区颐宁园医院获批，2019年3月初，医护康养团队正式进驻。通过专业养老机构的改造和运营，现在的仙庾敬老院已今非昔比，不仅老人的居住环境、餐饮标准有了很大改善，最主要的是大大提高了入住老人的精神文化生活的水准。更是通过医院医疗团队的进驻，增加了老人的健康和医疗保障。</w:t>
            </w:r>
          </w:p>
          <w:p>
            <w:pPr>
              <w:pStyle w:val="2"/>
              <w:keepNext w:val="0"/>
              <w:keepLines w:val="0"/>
              <w:widowControl/>
              <w:suppressLineNumbers w:val="0"/>
              <w:spacing w:before="450" w:beforeAutospacing="0" w:after="900" w:afterAutospacing="0"/>
              <w:ind w:left="360" w:right="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株政办发[2018]6号文件出台后，</w:t>
            </w:r>
            <w:r>
              <w:rPr>
                <w:rFonts w:hint="eastAsia" w:ascii="仿宋" w:hAnsi="仿宋" w:eastAsia="仿宋" w:cs="仿宋"/>
                <w:sz w:val="32"/>
                <w:szCs w:val="32"/>
                <w:lang w:val="en-US" w:eastAsia="zh-CN"/>
              </w:rPr>
              <w:t>荷塘区颐宁园仙庾养护中心</w:t>
            </w:r>
            <w:r>
              <w:rPr>
                <w:rFonts w:hint="eastAsia" w:ascii="仿宋" w:hAnsi="仿宋" w:eastAsia="仿宋" w:cs="仿宋"/>
                <w:sz w:val="30"/>
                <w:szCs w:val="30"/>
                <w:lang w:eastAsia="zh-CN"/>
              </w:rPr>
              <w:t>今年</w:t>
            </w:r>
            <w:r>
              <w:rPr>
                <w:rFonts w:hint="eastAsia" w:ascii="仿宋" w:hAnsi="仿宋" w:eastAsia="仿宋" w:cs="仿宋"/>
                <w:sz w:val="30"/>
                <w:szCs w:val="30"/>
                <w:lang w:val="en-US" w:eastAsia="zh-CN"/>
              </w:rPr>
              <w:t>享受</w:t>
            </w:r>
            <w:r>
              <w:rPr>
                <w:rFonts w:hint="eastAsia" w:ascii="仿宋" w:hAnsi="仿宋" w:eastAsia="仿宋" w:cs="仿宋"/>
                <w:sz w:val="30"/>
                <w:szCs w:val="30"/>
                <w:lang w:eastAsia="zh-CN"/>
              </w:rPr>
              <w:t>市级财政</w:t>
            </w:r>
            <w:r>
              <w:rPr>
                <w:rFonts w:hint="eastAsia" w:ascii="仿宋" w:hAnsi="仿宋" w:eastAsia="仿宋" w:cs="仿宋"/>
                <w:sz w:val="30"/>
                <w:szCs w:val="30"/>
                <w:lang w:val="en-US" w:eastAsia="zh-CN"/>
              </w:rPr>
              <w:t>建设补贴22.2万元，运营补贴15.12万元，养老护理员岗位补贴37.56万元，共计获得市级财政补贴74.88万元。</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p>
          <w:p>
            <w:pPr>
              <w:jc w:val="center"/>
              <w:rPr>
                <w:rFonts w:hint="eastAsia" w:asciiTheme="majorEastAsia" w:hAnsiTheme="majorEastAsia" w:eastAsiaTheme="majorEastAsia" w:cstheme="majorEastAsia"/>
                <w:sz w:val="32"/>
                <w:szCs w:val="32"/>
                <w:vertAlign w:val="baseline"/>
              </w:rPr>
            </w:pPr>
            <w:r>
              <w:rPr>
                <w:rFonts w:hint="eastAsia" w:ascii="Times New Roman" w:hAnsi="Times New Roman" w:eastAsia="仿宋" w:cs="Times New Roman"/>
                <w:sz w:val="32"/>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6" w:type="dxa"/>
            <w:vAlign w:val="center"/>
          </w:tcPr>
          <w:p>
            <w:pPr>
              <w:bidi w:val="0"/>
              <w:jc w:val="center"/>
              <w:rPr>
                <w:rFonts w:hint="eastAsia" w:asciiTheme="majorEastAsia" w:hAnsiTheme="majorEastAsia" w:eastAsiaTheme="majorEastAsia" w:cstheme="majorEastAsia"/>
                <w:sz w:val="32"/>
                <w:szCs w:val="32"/>
                <w:lang w:val="en-US" w:eastAsia="zh-CN"/>
              </w:rPr>
            </w:pPr>
            <w:r>
              <w:rPr>
                <w:rFonts w:hint="eastAsia" w:ascii="仿宋" w:hAnsi="仿宋" w:eastAsia="仿宋" w:cs="仿宋"/>
                <w:b w:val="0"/>
                <w:bCs w:val="0"/>
                <w:sz w:val="32"/>
                <w:szCs w:val="32"/>
                <w:shd w:val="clear" w:color="auto" w:fill="FFFFFF"/>
              </w:rPr>
              <w:t>落实单位</w:t>
            </w:r>
          </w:p>
        </w:tc>
        <w:tc>
          <w:tcPr>
            <w:tcW w:w="7389" w:type="dxa"/>
            <w:vAlign w:val="center"/>
          </w:tcPr>
          <w:p>
            <w:pPr>
              <w:pStyle w:val="2"/>
              <w:widowControl/>
              <w:spacing w:beforeAutospacing="0" w:afterAutospacing="0"/>
              <w:jc w:val="center"/>
              <w:rPr>
                <w:rFonts w:hint="eastAsia" w:asciiTheme="majorEastAsia" w:hAnsiTheme="majorEastAsia" w:eastAsiaTheme="majorEastAsia" w:cstheme="majorEastAsia"/>
                <w:sz w:val="32"/>
                <w:szCs w:val="32"/>
                <w:vertAlign w:val="baseline"/>
              </w:rPr>
            </w:pPr>
            <w:r>
              <w:rPr>
                <w:rFonts w:hint="eastAsia" w:ascii="仿宋" w:hAnsi="仿宋" w:eastAsia="仿宋" w:cs="仿宋"/>
                <w:kern w:val="2"/>
                <w:sz w:val="30"/>
                <w:szCs w:val="30"/>
                <w:lang w:bidi="ar-SA"/>
              </w:rPr>
              <w:t>市</w:t>
            </w:r>
            <w:r>
              <w:rPr>
                <w:rFonts w:hint="eastAsia" w:ascii="仿宋" w:hAnsi="仿宋" w:eastAsia="仿宋" w:cs="仿宋"/>
                <w:kern w:val="2"/>
                <w:sz w:val="30"/>
                <w:szCs w:val="30"/>
                <w:lang w:eastAsia="zh-CN" w:bidi="ar-SA"/>
              </w:rPr>
              <w:t>民政局</w:t>
            </w:r>
          </w:p>
        </w:tc>
        <w:tc>
          <w:tcPr>
            <w:tcW w:w="4367" w:type="dxa"/>
            <w:vAlign w:val="center"/>
          </w:tcPr>
          <w:p>
            <w:pPr>
              <w:pStyle w:val="2"/>
              <w:widowControl/>
              <w:spacing w:beforeAutospacing="0" w:afterAutospacing="0"/>
              <w:jc w:val="center"/>
            </w:pPr>
            <w:r>
              <w:rPr>
                <w:rFonts w:hint="eastAsia" w:ascii="黑体" w:hAnsi="黑体" w:eastAsia="黑体" w:cs="方正宋黑_GBK"/>
                <w:sz w:val="32"/>
                <w:szCs w:val="32"/>
                <w:shd w:val="clear" w:color="auto" w:fill="FFFFFF"/>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1346" w:type="dxa"/>
          </w:tcPr>
          <w:p>
            <w:pPr>
              <w:bidi w:val="0"/>
              <w:jc w:val="both"/>
              <w:rPr>
                <w:rFonts w:hint="eastAsia" w:asciiTheme="majorEastAsia" w:hAnsiTheme="majorEastAsia" w:eastAsiaTheme="majorEastAsia" w:cstheme="majorEastAsia"/>
                <w:sz w:val="32"/>
                <w:szCs w:val="32"/>
                <w:lang w:val="en-US" w:eastAsia="zh-CN"/>
              </w:rPr>
            </w:pPr>
          </w:p>
          <w:p>
            <w:pPr>
              <w:bidi w:val="0"/>
              <w:jc w:val="both"/>
              <w:rPr>
                <w:rFonts w:hint="eastAsia" w:asciiTheme="majorEastAsia" w:hAnsiTheme="majorEastAsia" w:eastAsiaTheme="majorEastAsia" w:cstheme="majorEastAsia"/>
                <w:sz w:val="32"/>
                <w:szCs w:val="32"/>
                <w:lang w:val="en-US" w:eastAsia="zh-CN"/>
              </w:rPr>
            </w:pPr>
          </w:p>
          <w:p>
            <w:pPr>
              <w:bidi w:val="0"/>
              <w:jc w:val="both"/>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负责人</w:t>
            </w:r>
          </w:p>
        </w:tc>
        <w:tc>
          <w:tcPr>
            <w:tcW w:w="7389" w:type="dxa"/>
            <w:vAlign w:val="center"/>
          </w:tcPr>
          <w:p>
            <w:pPr>
              <w:pStyle w:val="2"/>
              <w:widowControl/>
              <w:spacing w:beforeAutospacing="0" w:afterAutospacing="0" w:line="440" w:lineRule="exact"/>
              <w:jc w:val="center"/>
              <w:rPr>
                <w:rFonts w:hint="eastAsia" w:ascii="仿宋" w:hAnsi="仿宋" w:eastAsia="仿宋" w:cs="仿宋"/>
                <w:kern w:val="2"/>
                <w:sz w:val="30"/>
                <w:szCs w:val="30"/>
                <w:lang w:eastAsia="zh-CN" w:bidi="ar-SA"/>
              </w:rPr>
            </w:pPr>
            <w:r>
              <w:rPr>
                <w:rFonts w:hint="eastAsia" w:ascii="仿宋" w:hAnsi="仿宋" w:eastAsia="仿宋" w:cs="仿宋"/>
                <w:kern w:val="2"/>
                <w:sz w:val="30"/>
                <w:szCs w:val="30"/>
                <w:lang w:eastAsia="zh-CN" w:bidi="ar-SA"/>
              </w:rPr>
              <w:t>董晓晴</w:t>
            </w:r>
          </w:p>
          <w:p>
            <w:pPr>
              <w:pStyle w:val="2"/>
              <w:widowControl/>
              <w:spacing w:beforeAutospacing="0" w:afterAutospacing="0" w:line="440" w:lineRule="exact"/>
              <w:jc w:val="center"/>
              <w:rPr>
                <w:rFonts w:hint="eastAsia" w:asciiTheme="majorEastAsia" w:hAnsiTheme="majorEastAsia" w:eastAsiaTheme="majorEastAsia" w:cstheme="majorEastAsia"/>
                <w:sz w:val="32"/>
                <w:szCs w:val="32"/>
                <w:vertAlign w:val="baseline"/>
                <w:lang w:eastAsia="zh-CN"/>
              </w:rPr>
            </w:pPr>
            <w:r>
              <w:rPr>
                <w:rFonts w:hint="eastAsia" w:ascii="仿宋" w:hAnsi="仿宋" w:eastAsia="仿宋" w:cs="仿宋"/>
                <w:kern w:val="2"/>
                <w:sz w:val="30"/>
                <w:szCs w:val="30"/>
                <w:lang w:val="en-US" w:eastAsia="zh-CN" w:bidi="ar-SA"/>
              </w:rPr>
              <w:t xml:space="preserve">28685539 </w:t>
            </w:r>
          </w:p>
        </w:tc>
        <w:tc>
          <w:tcPr>
            <w:tcW w:w="4367" w:type="dxa"/>
            <w:vAlign w:val="center"/>
          </w:tcPr>
          <w:p>
            <w:pPr>
              <w:pStyle w:val="2"/>
              <w:widowControl/>
              <w:spacing w:beforeAutospacing="0" w:afterAutospacing="0" w:line="440" w:lineRule="exact"/>
              <w:rPr>
                <w:rFonts w:hint="eastAsia" w:ascii="仿宋" w:hAnsi="仿宋" w:eastAsia="仿宋" w:cs="仿宋"/>
                <w:kern w:val="2"/>
                <w:sz w:val="30"/>
                <w:szCs w:val="30"/>
                <w:lang w:val="en-US" w:eastAsia="zh-CN" w:bidi="ar-SA"/>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黑_GBK">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AB2B7"/>
    <w:multiLevelType w:val="singleLevel"/>
    <w:tmpl w:val="3F8AB2B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D57C7"/>
    <w:rsid w:val="02304E8E"/>
    <w:rsid w:val="03515255"/>
    <w:rsid w:val="073D57C7"/>
    <w:rsid w:val="201E1869"/>
    <w:rsid w:val="21037FFD"/>
    <w:rsid w:val="2A1C2C33"/>
    <w:rsid w:val="2B642864"/>
    <w:rsid w:val="30BF7907"/>
    <w:rsid w:val="390F62B9"/>
    <w:rsid w:val="410506B1"/>
    <w:rsid w:val="429063B1"/>
    <w:rsid w:val="45BB0971"/>
    <w:rsid w:val="58405C13"/>
    <w:rsid w:val="58CC1029"/>
    <w:rsid w:val="68737B8F"/>
    <w:rsid w:val="6ECF65F4"/>
    <w:rsid w:val="7D6F5F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2019-04-01T01:44:00Z</dcterms:created>
  <dc:creator>o0影诺.坊</dc:creator>
  <cp:lastModifiedBy>彩虹依旧</cp:lastModifiedBy>
  <cp:lastPrinted>2019-04-23T02:04:00Z</cp:lastPrinted>
  <dcterms:modified xsi:type="dcterms:W3CDTF">2020-12-25T08:18:20Z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