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  <w:bookmarkStart w:id="0" w:name="_Toc533595414"/>
      <w:r>
        <w:rPr>
          <w:rFonts w:hint="eastAsia"/>
          <w:lang w:eastAsia="zh-CN"/>
        </w:rPr>
        <w:t>MZ</w:t>
      </w:r>
      <w:r>
        <w:rPr>
          <w:lang w:eastAsia="zh-CN"/>
        </w:rPr>
        <w:t>0061</w:t>
      </w:r>
      <w:r>
        <w:rPr>
          <w:rFonts w:hint="eastAsia"/>
        </w:rPr>
        <w:t xml:space="preserve"> </w:t>
      </w:r>
      <w:r>
        <w:t>特困供养对象的确定和变更</w:t>
      </w:r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一、政策依据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仿宋"/>
          <w:szCs w:val="21"/>
        </w:rPr>
      </w:pPr>
      <w:r>
        <w:rPr>
          <w:rFonts w:cs="仿宋"/>
          <w:szCs w:val="21"/>
        </w:rPr>
        <w:t>《社会救助暂行办法》（中华人民共和国国务院令第649号）第二章第十六条、第十八条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cs="仿宋"/>
          <w:szCs w:val="21"/>
        </w:rPr>
        <w:t>《农村五保供养工作条例》（中华人民共和国国务院令第456号）第三条、第七条、第八条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二、受理条件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cs="仿宋"/>
          <w:szCs w:val="21"/>
        </w:rPr>
        <w:t>国家对无劳动能力、无生活来源且无法定赡养、抚养、扶养义务人，或者其法定赡养、抚养、扶养义务人无赡养、抚养、扶养能力的老年人、残疾人以及未满16周岁的未成年人，给予特困人员供养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三、申请材料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</w:rPr>
        <w:t>1、</w:t>
      </w:r>
      <w:r>
        <w:rPr>
          <w:rFonts w:hint="eastAsia" w:hAnsi="Times New Roman"/>
        </w:rPr>
        <w:t>申请人及家庭</w:t>
      </w:r>
      <w:r>
        <w:rPr>
          <w:rFonts w:hint="eastAsia" w:hAnsi="Times New Roman"/>
          <w:lang w:eastAsia="zh-CN"/>
        </w:rPr>
        <w:t>共同生活</w:t>
      </w:r>
      <w:r>
        <w:rPr>
          <w:rFonts w:hint="eastAsia" w:hAnsi="Times New Roman"/>
        </w:rPr>
        <w:t>成员</w:t>
      </w:r>
      <w:r>
        <w:rPr>
          <w:rFonts w:hint="eastAsia" w:hAnsi="Times New Roman"/>
          <w:lang w:eastAsia="zh-CN"/>
        </w:rPr>
        <w:t>（含</w:t>
      </w:r>
      <w:r>
        <w:rPr>
          <w:rFonts w:hint="eastAsia"/>
        </w:rPr>
        <w:t>赡、抚、扶养人</w:t>
      </w:r>
      <w:r>
        <w:rPr>
          <w:rFonts w:hint="eastAsia"/>
          <w:lang w:eastAsia="zh-CN"/>
        </w:rPr>
        <w:t>，下同）</w:t>
      </w:r>
      <w:r>
        <w:rPr>
          <w:rFonts w:hint="eastAsia" w:hAnsi="Times New Roman"/>
        </w:rPr>
        <w:t>身份证</w:t>
      </w:r>
      <w:r>
        <w:rPr>
          <w:rFonts w:hint="eastAsia" w:hAnsi="Times New Roman"/>
          <w:lang w:eastAsia="zh-CN"/>
        </w:rPr>
        <w:t>和</w:t>
      </w:r>
      <w:r>
        <w:rPr>
          <w:rFonts w:hint="eastAsia" w:hAnsi="Times New Roman"/>
        </w:rPr>
        <w:t>户口簿</w:t>
      </w:r>
      <w:r>
        <w:rPr>
          <w:rFonts w:hint="eastAsia" w:hAnsi="Times New Roman"/>
          <w:lang w:eastAsia="zh-CN"/>
        </w:rPr>
        <w:t>；</w:t>
      </w:r>
      <w:r>
        <w:rPr>
          <w:rFonts w:hint="eastAsia"/>
        </w:rPr>
        <w:t>劳动能力、生活来源以及赡养、抚养、扶养情况</w:t>
      </w:r>
      <w:r>
        <w:rPr>
          <w:rFonts w:hint="eastAsia"/>
          <w:lang w:eastAsia="zh-CN"/>
        </w:rPr>
        <w:t>说明；</w:t>
      </w:r>
      <w:r>
        <w:rPr>
          <w:rFonts w:hint="eastAsia"/>
          <w:lang w:val="en-US" w:eastAsia="zh-CN"/>
        </w:rPr>
        <w:t>农商</w:t>
      </w:r>
      <w:bookmarkStart w:id="1" w:name="_GoBack"/>
      <w:bookmarkEnd w:id="1"/>
      <w:r>
        <w:rPr>
          <w:rFonts w:hint="eastAsia"/>
          <w:lang w:val="en-US" w:eastAsia="zh-CN"/>
        </w:rPr>
        <w:t>银行账号信息等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2、</w:t>
      </w:r>
      <w:r>
        <w:rPr>
          <w:rFonts w:hint="eastAsia" w:ascii="仿宋" w:hAnsi="仿宋" w:eastAsia="仿宋"/>
        </w:rPr>
        <w:t>个人书面申请报告、家庭收入和财产状况书面声明、如实申报承诺书及</w:t>
      </w:r>
      <w:r>
        <w:t>家庭经济状况核对授权书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3、</w:t>
      </w:r>
      <w:r>
        <w:rPr>
          <w:rFonts w:hint="eastAsia" w:hAnsi="Times New Roman"/>
        </w:rPr>
        <w:t>申请人</w:t>
      </w:r>
      <w:r>
        <w:rPr>
          <w:rFonts w:hint="eastAsia"/>
        </w:rPr>
        <w:t>婚姻状况佐证资料（结婚证、离婚证、</w:t>
      </w:r>
      <w:r>
        <w:t>离婚协议书、</w:t>
      </w:r>
      <w:r>
        <w:rPr>
          <w:rFonts w:hint="eastAsia"/>
        </w:rPr>
        <w:t>法院判决书、</w:t>
      </w:r>
      <w:r>
        <w:t>丧偶</w:t>
      </w:r>
      <w:r>
        <w:rPr>
          <w:rFonts w:hint="eastAsia"/>
        </w:rPr>
        <w:t>资料）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4、</w:t>
      </w:r>
      <w:r>
        <w:rPr>
          <w:rFonts w:hint="eastAsia" w:hAnsi="Times New Roman"/>
        </w:rPr>
        <w:t>申请人财产状况佐证资料（职工安置补偿协议、征地征收协议、银行存款信息、有价证券信息、债权信息、房产信息</w:t>
      </w:r>
      <w:r>
        <w:rPr>
          <w:rFonts w:hint="eastAsia"/>
        </w:rPr>
        <w:t>等</w:t>
      </w:r>
      <w:r>
        <w:rPr>
          <w:rFonts w:hint="eastAsia" w:hAnsi="仿宋_GB2312" w:cs="仿宋_GB2312"/>
        </w:rPr>
        <w:t>家庭共同生活成员拥有的全部动产和不动产资料</w:t>
      </w:r>
      <w:r>
        <w:rPr>
          <w:rFonts w:hint="eastAsia"/>
        </w:rPr>
        <w:t>等）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5、就业年龄内劳动能力影响程度资料（因残人员</w:t>
      </w:r>
      <w:r>
        <w:t>提供</w:t>
      </w:r>
      <w:r>
        <w:rPr>
          <w:rFonts w:hint="eastAsia"/>
        </w:rPr>
        <w:t>第二代《中华人民共和国残疾人证》；因病人员提供县级以上医院出具的疾病诊断书；劳动部门或者司法鉴定部门提供的丧失劳动能力鉴定书等）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hAnsi="仿宋_GB2312" w:cs="仿宋_GB2312"/>
        </w:rPr>
      </w:pPr>
      <w:r>
        <w:rPr>
          <w:rFonts w:hint="eastAsia"/>
        </w:rPr>
        <w:t>6、因突发性、暂时性事件造成家庭基本生活难以保障</w:t>
      </w:r>
      <w:r>
        <w:rPr>
          <w:rFonts w:hint="eastAsia" w:hAnsi="仿宋_GB2312" w:cs="仿宋_GB2312"/>
        </w:rPr>
        <w:t>的佐证资料（突发事件处理意见书、调解书、判决结案书等）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lang w:val="en-US" w:eastAsia="zh-CN"/>
        </w:rPr>
        <w:t>7、其他按相关规定需要提交的资料。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四、办理程序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1、</w:t>
      </w:r>
      <w:r>
        <w:t>受理：</w:t>
      </w:r>
      <w:r>
        <w:rPr>
          <w:rFonts w:hint="eastAsia"/>
        </w:rPr>
        <w:t>由本人（本人申请有困难的，可以委托村、居民委员会或者他人代为提出申请）向户籍所在地的街道办事处提出书面申请</w:t>
      </w:r>
      <w:r>
        <w:rPr>
          <w:rFonts w:hint="eastAsia" w:hAnsi="仿宋_GB2312" w:cs="仿宋_GB2312"/>
          <w:lang w:eastAsia="zh-CN"/>
        </w:rPr>
        <w:t>或</w:t>
      </w:r>
      <w:r>
        <w:rPr>
          <w:rFonts w:hint="eastAsia" w:ascii="仿宋" w:hAnsi="仿宋" w:eastAsia="仿宋" w:cs="仿宋_GB2312"/>
        </w:rPr>
        <w:t>区政务中心大厅窗口</w:t>
      </w:r>
      <w:r>
        <w:rPr>
          <w:rFonts w:hint="eastAsia"/>
        </w:rPr>
        <w:t>，并按规定提交相关材料，签订居民经济状况核查授权委托书，书面说明劳动能力、生活来源以及赡养抚养扶养情况。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街道办事处以及村、居民委员会发现符合特困人员救助供养条件的人员，应当主动为其依法办理救助供养。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2、</w:t>
      </w:r>
      <w:r>
        <w:rPr>
          <w:rFonts w:ascii="仿宋_GB2312" w:eastAsia="仿宋_GB2312"/>
          <w:kern w:val="2"/>
          <w:sz w:val="32"/>
          <w:szCs w:val="32"/>
        </w:rPr>
        <w:t>审核：</w:t>
      </w:r>
      <w:r>
        <w:rPr>
          <w:rFonts w:hint="eastAsia" w:ascii="Times New Roman" w:hAnsi="Times New Roman" w:eastAsia="仿宋_GB2312"/>
          <w:sz w:val="32"/>
          <w:szCs w:val="32"/>
        </w:rPr>
        <w:t>应当通过入户调查、邻里访问、信函索证、群众评议、信息核查等方式，对申请人的收入状况、财产状况以及其他证明材料等进行调查核实，组织群众评议，于3个工作日内提出初审意见，在申请人所在村（社区）公示不少于7天，公示无异议后，报区民政局审批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t>3</w:t>
      </w:r>
      <w:r>
        <w:rPr>
          <w:rFonts w:hint="eastAsia"/>
        </w:rPr>
        <w:t>、</w:t>
      </w:r>
      <w:r>
        <w:t>审批：</w:t>
      </w:r>
      <w:r>
        <w:rPr>
          <w:rFonts w:hint="eastAsia"/>
        </w:rPr>
        <w:t>区民政局全面审查核实街道办事处上报的调查材料和审核意见，于3个工作日内作出审批决定。对符合条件的申请予以批准，并在申请人所在村（社区）公布不少于7天；对不符合条件的申请不予批准，并书面向申请人说明理由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lang w:eastAsia="zh-CN"/>
        </w:rPr>
      </w:pPr>
      <w:r>
        <w:rPr>
          <w:rFonts w:hint="eastAsia"/>
        </w:rPr>
        <w:t>4、</w:t>
      </w:r>
      <w:r>
        <w:t>资金发放：区民政局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终止程序。发现特困人员不再符合救助供养条件的，村（居）民委员会或者供养服务机构应当及时告知街道办事处，由街道办事处审核并报区民政局核准后，终止救助供养并予以公示。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五、专线内操作流程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cs="仿宋"/>
          <w:szCs w:val="21"/>
        </w:rPr>
        <w:t>湖南省社会救助信息管理系统</w:t>
      </w:r>
      <w:r>
        <w:rPr>
          <w:rFonts w:hint="eastAsia"/>
        </w:rPr>
        <w:t>”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六、办结时限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30个工作日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七、收费标准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免费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八、咨询查询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办理地点：</w:t>
      </w:r>
      <w:r>
        <w:rPr>
          <w:rFonts w:cs="仿宋"/>
          <w:szCs w:val="21"/>
        </w:rPr>
        <w:t>各街道便民服务中心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咨询电话：</w:t>
      </w:r>
      <w:r>
        <w:rPr>
          <w:rFonts w:cs="仿宋"/>
          <w:szCs w:val="21"/>
        </w:rPr>
        <w:t>0731--22232639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九、附属表单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1）株洲市石峰区特困供养人员申请审批表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</w:rPr>
      </w:pPr>
      <w:r>
        <w:rPr>
          <w:rFonts w:hint="eastAsia"/>
        </w:rPr>
        <w:t>十、附属台账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</w:t>
      </w:r>
    </w:p>
    <w:p>
      <w:pPr>
        <w:spacing w:after="100" w:afterAutospacing="1"/>
        <w:jc w:val="center"/>
        <w:rPr>
          <w:sz w:val="44"/>
        </w:rPr>
      </w:pPr>
      <w:r>
        <w:rPr>
          <w:rFonts w:hint="eastAsia"/>
          <w:sz w:val="44"/>
        </w:rPr>
        <w:t>株洲市石峰区特困供养人员申请审批表</w:t>
      </w:r>
    </w:p>
    <w:tbl>
      <w:tblPr>
        <w:tblStyle w:val="4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61"/>
        <w:gridCol w:w="1118"/>
        <w:gridCol w:w="214"/>
        <w:gridCol w:w="382"/>
        <w:gridCol w:w="348"/>
        <w:gridCol w:w="466"/>
        <w:gridCol w:w="832"/>
        <w:gridCol w:w="1445"/>
        <w:gridCol w:w="962"/>
        <w:gridCol w:w="549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  码</w:t>
            </w:r>
          </w:p>
        </w:tc>
        <w:tc>
          <w:tcPr>
            <w:tcW w:w="3621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  口</w:t>
            </w:r>
          </w:p>
          <w:p>
            <w:pPr>
              <w:jc w:val="center"/>
            </w:pPr>
            <w:r>
              <w:rPr>
                <w:rFonts w:hint="eastAsia"/>
              </w:rPr>
              <w:t>性  质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42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 养 形 式</w:t>
            </w:r>
          </w:p>
          <w:p>
            <w:pPr>
              <w:jc w:val="center"/>
            </w:pPr>
            <w:r>
              <w:rPr>
                <w:rFonts w:hint="eastAsia"/>
              </w:rPr>
              <w:t>（分散、集中）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  庭  住  址</w:t>
            </w:r>
          </w:p>
        </w:tc>
        <w:tc>
          <w:tcPr>
            <w:tcW w:w="6597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 人 财 产 情 况</w:t>
            </w:r>
          </w:p>
        </w:tc>
        <w:tc>
          <w:tcPr>
            <w:tcW w:w="6597" w:type="dxa"/>
            <w:gridSpan w:val="9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主要社会关系（称谓、姓名、联系方式）</w:t>
            </w:r>
          </w:p>
        </w:tc>
        <w:tc>
          <w:tcPr>
            <w:tcW w:w="7715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715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村（社区）意见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街道审核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区民政局审批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15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注：本表一式三份，村（社区）、街道、区民政局各存一份。</w:t>
      </w:r>
    </w:p>
    <w:p>
      <w:pPr>
        <w:pStyle w:val="6"/>
        <w:jc w:val="both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94CE1"/>
    <w:rsid w:val="05694CE1"/>
    <w:rsid w:val="3E01108B"/>
    <w:rsid w:val="4A5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customStyle="1" w:styleId="5">
    <w:name w:val="1111111111"/>
    <w:basedOn w:val="6"/>
    <w:qFormat/>
    <w:uiPriority w:val="0"/>
    <w:rPr>
      <w:rFonts w:ascii="仿宋" w:hAnsi="仿宋" w:eastAsia="仿宋"/>
    </w:rPr>
  </w:style>
  <w:style w:type="paragraph" w:customStyle="1" w:styleId="6">
    <w:name w:val="样式1"/>
    <w:basedOn w:val="1"/>
    <w:qFormat/>
    <w:uiPriority w:val="0"/>
    <w:pPr>
      <w:widowControl/>
      <w:spacing w:after="200"/>
      <w:jc w:val="center"/>
      <w:outlineLvl w:val="0"/>
    </w:pPr>
    <w:rPr>
      <w:rFonts w:ascii="仿宋_GB2312" w:hAnsi="Tahoma" w:eastAsia="仿宋_GB2312"/>
      <w:b/>
      <w:kern w:val="0"/>
      <w:sz w:val="44"/>
      <w:szCs w:val="44"/>
    </w:rPr>
  </w:style>
  <w:style w:type="paragraph" w:customStyle="1" w:styleId="7">
    <w:name w:val="22222222222222"/>
    <w:basedOn w:val="8"/>
    <w:qFormat/>
    <w:uiPriority w:val="0"/>
    <w:rPr>
      <w:rFonts w:ascii="仿宋" w:hAnsi="仿宋" w:eastAsia="仿宋"/>
    </w:rPr>
  </w:style>
  <w:style w:type="paragraph" w:customStyle="1" w:styleId="8">
    <w:name w:val="样式2"/>
    <w:basedOn w:val="1"/>
    <w:qFormat/>
    <w:uiPriority w:val="99"/>
    <w:pPr>
      <w:spacing w:after="156" w:afterLines="50"/>
    </w:pPr>
    <w:rPr>
      <w:rFonts w:ascii="仿宋_GB2312" w:hAnsi="Calibri" w:eastAsia="仿宋_GB2312"/>
      <w:b/>
      <w:kern w:val="0"/>
      <w:sz w:val="32"/>
      <w:szCs w:val="32"/>
    </w:rPr>
  </w:style>
  <w:style w:type="paragraph" w:customStyle="1" w:styleId="9">
    <w:name w:val="zzzzzzzzzzzzzz"/>
    <w:basedOn w:val="1"/>
    <w:qFormat/>
    <w:uiPriority w:val="0"/>
    <w:pPr>
      <w:ind w:firstLine="640" w:firstLineChars="200"/>
    </w:pPr>
    <w:rPr>
      <w:rFonts w:ascii="仿宋" w:hAnsi="仿宋" w:eastAsia="仿宋"/>
      <w:kern w:val="0"/>
      <w:sz w:val="32"/>
      <w:szCs w:val="32"/>
    </w:rPr>
  </w:style>
  <w:style w:type="paragraph" w:customStyle="1" w:styleId="10">
    <w:name w:val="文本"/>
    <w:basedOn w:val="1"/>
    <w:qFormat/>
    <w:uiPriority w:val="0"/>
    <w:pPr>
      <w:ind w:firstLine="640" w:firstLineChars="200"/>
    </w:pPr>
    <w:rPr>
      <w:rFonts w:ascii="仿宋_GB2312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2019-08-21T02:29:00Z</dcterms:created>
  <dc:creator>ཡ媛࿆媛࿆࿆࿆ ࿐</dc:creator>
  <cp:lastModifiedBy>admin</cp:lastModifiedBy>
  <dcterms:modified xsi:type="dcterms:W3CDTF">2019-09-17T08:28:22Z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