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3" w:firstLineChars="200"/>
        <w:jc w:val="center"/>
        <w:rPr>
          <w:rFonts w:hint="eastAsia" w:ascii="黑体" w:hAnsi="黑体" w:eastAsia="黑体"/>
          <w:b/>
          <w:sz w:val="44"/>
          <w:szCs w:val="44"/>
        </w:rPr>
      </w:pPr>
      <w:r>
        <w:rPr>
          <w:rFonts w:hint="eastAsia" w:ascii="黑体" w:hAnsi="黑体" w:eastAsia="黑体"/>
          <w:b/>
          <w:sz w:val="44"/>
          <w:szCs w:val="44"/>
        </w:rPr>
        <w:t>湖南乾洲环保科技有限公司</w:t>
      </w:r>
    </w:p>
    <w:p>
      <w:pPr>
        <w:ind w:firstLine="883" w:firstLineChars="200"/>
        <w:jc w:val="center"/>
        <w:rPr>
          <w:rFonts w:ascii="黑体" w:hAnsi="黑体" w:eastAsia="黑体"/>
          <w:b/>
          <w:sz w:val="44"/>
          <w:szCs w:val="44"/>
        </w:rPr>
      </w:pPr>
      <w:bookmarkStart w:id="0" w:name="_GoBack"/>
      <w:r>
        <w:rPr>
          <w:rFonts w:hint="eastAsia" w:ascii="黑体" w:hAnsi="黑体" w:eastAsia="黑体"/>
          <w:b/>
          <w:sz w:val="44"/>
          <w:szCs w:val="44"/>
        </w:rPr>
        <w:t>进行简易注销登记</w:t>
      </w:r>
    </w:p>
    <w:bookmarkEnd w:id="0"/>
    <w:p>
      <w:pPr>
        <w:spacing w:after="0" w:line="360" w:lineRule="auto"/>
        <w:ind w:firstLine="640" w:firstLineChars="200"/>
        <w:jc w:val="both"/>
        <w:rPr>
          <w:rFonts w:ascii="仿宋" w:hAnsi="仿宋" w:eastAsia="仿宋"/>
          <w:sz w:val="32"/>
          <w:szCs w:val="32"/>
        </w:rPr>
      </w:pPr>
      <w:r>
        <w:rPr>
          <w:rFonts w:hint="eastAsia" w:ascii="仿宋" w:hAnsi="仿宋" w:eastAsia="仿宋"/>
          <w:sz w:val="32"/>
          <w:szCs w:val="32"/>
        </w:rPr>
        <w:t>【政策干货】推行简易注销登记改革。</w:t>
      </w:r>
    </w:p>
    <w:p>
      <w:pPr>
        <w:spacing w:after="0" w:line="360" w:lineRule="auto"/>
        <w:ind w:firstLine="640" w:firstLineChars="200"/>
        <w:jc w:val="both"/>
        <w:rPr>
          <w:rFonts w:ascii="仿宋" w:hAnsi="仿宋" w:eastAsia="仿宋"/>
          <w:sz w:val="32"/>
          <w:szCs w:val="32"/>
        </w:rPr>
      </w:pPr>
      <w:r>
        <w:rPr>
          <w:rFonts w:hint="eastAsia" w:ascii="仿宋" w:hAnsi="仿宋" w:eastAsia="仿宋"/>
          <w:sz w:val="32"/>
          <w:szCs w:val="32"/>
        </w:rPr>
        <w:t>【政策依据】《</w:t>
      </w:r>
      <w:r>
        <w:rPr>
          <w:rFonts w:hint="eastAsia" w:ascii="仿宋" w:hAnsi="仿宋" w:eastAsia="仿宋" w:cs="Times New Roman"/>
          <w:bCs/>
          <w:sz w:val="32"/>
          <w:szCs w:val="32"/>
        </w:rPr>
        <w:t>工商总局关于全面推进企业简易注销登记改革的指导意见</w:t>
      </w:r>
      <w:r>
        <w:rPr>
          <w:rFonts w:hint="eastAsia" w:ascii="仿宋" w:hAnsi="仿宋" w:eastAsia="仿宋"/>
          <w:bCs/>
          <w:sz w:val="32"/>
          <w:szCs w:val="32"/>
        </w:rPr>
        <w:t>》（</w:t>
      </w:r>
      <w:r>
        <w:rPr>
          <w:rFonts w:hint="eastAsia" w:ascii="仿宋" w:hAnsi="仿宋" w:eastAsia="仿宋" w:cs="Times New Roman"/>
          <w:sz w:val="32"/>
          <w:szCs w:val="32"/>
        </w:rPr>
        <w:t>工商企注字〔2016〕253号</w:t>
      </w:r>
      <w:r>
        <w:rPr>
          <w:rFonts w:hint="eastAsia" w:ascii="仿宋" w:hAnsi="仿宋" w:eastAsia="仿宋"/>
          <w:bCs/>
          <w:sz w:val="32"/>
          <w:szCs w:val="32"/>
        </w:rPr>
        <w:t>）</w:t>
      </w:r>
      <w:r>
        <w:rPr>
          <w:rFonts w:hint="eastAsia" w:ascii="仿宋" w:hAnsi="仿宋" w:eastAsia="仿宋"/>
          <w:sz w:val="32"/>
          <w:szCs w:val="32"/>
        </w:rPr>
        <w:t>；《</w:t>
      </w:r>
      <w:r>
        <w:rPr>
          <w:rFonts w:hint="eastAsia" w:ascii="仿宋" w:hAnsi="仿宋" w:eastAsia="仿宋" w:cs="Times New Roman"/>
          <w:bCs/>
          <w:sz w:val="32"/>
          <w:szCs w:val="32"/>
        </w:rPr>
        <w:t>工商总局 税务总局关于加强信息共享和联合监管的通知</w:t>
      </w:r>
      <w:r>
        <w:rPr>
          <w:rFonts w:hint="eastAsia" w:ascii="仿宋" w:hAnsi="仿宋" w:eastAsia="仿宋"/>
          <w:bCs/>
          <w:sz w:val="32"/>
          <w:szCs w:val="32"/>
        </w:rPr>
        <w:t>》</w:t>
      </w:r>
      <w:r>
        <w:rPr>
          <w:rFonts w:hint="eastAsia" w:ascii="仿宋" w:hAnsi="仿宋" w:eastAsia="仿宋"/>
          <w:sz w:val="32"/>
          <w:szCs w:val="32"/>
        </w:rPr>
        <w:t>（</w:t>
      </w:r>
      <w:r>
        <w:rPr>
          <w:rFonts w:hint="eastAsia" w:ascii="仿宋" w:hAnsi="仿宋" w:eastAsia="仿宋" w:cs="Times New Roman"/>
          <w:sz w:val="32"/>
          <w:szCs w:val="32"/>
        </w:rPr>
        <w:t>工商企注字〔2018〕11号</w:t>
      </w:r>
      <w:r>
        <w:rPr>
          <w:rFonts w:hint="eastAsia" w:ascii="仿宋" w:hAnsi="仿宋" w:eastAsia="仿宋"/>
          <w:sz w:val="32"/>
          <w:szCs w:val="32"/>
        </w:rPr>
        <w:t>）</w:t>
      </w:r>
    </w:p>
    <w:p>
      <w:pPr>
        <w:spacing w:after="0" w:line="360" w:lineRule="auto"/>
        <w:ind w:firstLine="640" w:firstLineChars="200"/>
        <w:jc w:val="both"/>
        <w:rPr>
          <w:rFonts w:hint="eastAsia" w:ascii="仿宋" w:hAnsi="仿宋" w:eastAsia="仿宋"/>
          <w:sz w:val="32"/>
          <w:szCs w:val="32"/>
        </w:rPr>
      </w:pPr>
      <w:r>
        <w:rPr>
          <w:rFonts w:hint="eastAsia" w:ascii="仿宋" w:hAnsi="仿宋" w:eastAsia="仿宋"/>
          <w:sz w:val="32"/>
          <w:szCs w:val="32"/>
        </w:rPr>
        <w:t>【案例】20</w:t>
      </w:r>
      <w:r>
        <w:rPr>
          <w:rFonts w:hint="eastAsia" w:ascii="仿宋" w:hAnsi="仿宋" w:eastAsia="仿宋"/>
          <w:sz w:val="32"/>
          <w:szCs w:val="32"/>
          <w:lang w:val="en-US" w:eastAsia="zh-CN"/>
        </w:rPr>
        <w:t>20</w:t>
      </w:r>
      <w:r>
        <w:rPr>
          <w:rFonts w:hint="eastAsia" w:ascii="仿宋" w:hAnsi="仿宋" w:eastAsia="仿宋"/>
          <w:sz w:val="32"/>
          <w:szCs w:val="32"/>
        </w:rPr>
        <w:t>年</w:t>
      </w:r>
      <w:r>
        <w:rPr>
          <w:rFonts w:hint="eastAsia" w:ascii="仿宋" w:hAnsi="仿宋" w:eastAsia="仿宋"/>
          <w:sz w:val="32"/>
          <w:szCs w:val="32"/>
          <w:lang w:val="en-US" w:eastAsia="zh-CN"/>
        </w:rPr>
        <w:t>10</w:t>
      </w:r>
      <w:r>
        <w:rPr>
          <w:rFonts w:hint="eastAsia" w:ascii="仿宋" w:hAnsi="仿宋" w:eastAsia="仿宋"/>
          <w:sz w:val="32"/>
          <w:szCs w:val="32"/>
        </w:rPr>
        <w:t>月1</w:t>
      </w:r>
      <w:r>
        <w:rPr>
          <w:rFonts w:hint="eastAsia" w:ascii="仿宋" w:hAnsi="仿宋" w:eastAsia="仿宋"/>
          <w:sz w:val="32"/>
          <w:szCs w:val="32"/>
          <w:lang w:val="en-US" w:eastAsia="zh-CN"/>
        </w:rPr>
        <w:t>4</w:t>
      </w:r>
      <w:r>
        <w:rPr>
          <w:rFonts w:hint="eastAsia" w:ascii="仿宋" w:hAnsi="仿宋" w:eastAsia="仿宋"/>
          <w:sz w:val="32"/>
          <w:szCs w:val="32"/>
        </w:rPr>
        <w:t>日，湖南乾洲环保科技有限公司通过国家企业信用信息公示系统进行了简易注销公告。公告期满后，企业于</w:t>
      </w:r>
      <w:r>
        <w:rPr>
          <w:rFonts w:hint="eastAsia" w:ascii="仿宋" w:hAnsi="仿宋" w:eastAsia="仿宋"/>
          <w:sz w:val="32"/>
          <w:szCs w:val="32"/>
          <w:lang w:val="en-US" w:eastAsia="zh-CN"/>
        </w:rPr>
        <w:t>11</w:t>
      </w:r>
      <w:r>
        <w:rPr>
          <w:rFonts w:hint="eastAsia" w:ascii="仿宋" w:hAnsi="仿宋" w:eastAsia="仿宋"/>
          <w:sz w:val="32"/>
          <w:szCs w:val="32"/>
        </w:rPr>
        <w:t>月</w:t>
      </w:r>
      <w:r>
        <w:rPr>
          <w:rFonts w:hint="eastAsia" w:ascii="仿宋" w:hAnsi="仿宋" w:eastAsia="仿宋"/>
          <w:sz w:val="32"/>
          <w:szCs w:val="32"/>
          <w:lang w:val="en-US" w:eastAsia="zh-CN"/>
        </w:rPr>
        <w:t>11</w:t>
      </w:r>
      <w:r>
        <w:rPr>
          <w:rFonts w:hint="eastAsia" w:ascii="仿宋" w:hAnsi="仿宋" w:eastAsia="仿宋"/>
          <w:sz w:val="32"/>
          <w:szCs w:val="32"/>
        </w:rPr>
        <w:t>日向株洲市市场监督管理局提交了法定材料后，完成了简易注销登记，顺利退出市场。相比普通注销程序，简易注销登记减少了成立清算组进行清算的办事环节，节约了登报公告及清算的费用，减少提交材料6份，有效解决了企业退出难的问题。</w:t>
      </w:r>
    </w:p>
    <w:p>
      <w:pPr>
        <w:spacing w:after="0" w:line="360" w:lineRule="auto"/>
        <w:ind w:firstLine="640" w:firstLineChars="200"/>
        <w:jc w:val="both"/>
        <w:rPr>
          <w:rFonts w:ascii="仿宋" w:hAnsi="仿宋" w:eastAsia="仿宋"/>
          <w:sz w:val="32"/>
          <w:szCs w:val="32"/>
        </w:rPr>
      </w:pPr>
      <w:r>
        <w:rPr>
          <w:rFonts w:hint="eastAsia" w:ascii="仿宋" w:hAnsi="仿宋" w:eastAsia="仿宋"/>
          <w:sz w:val="32"/>
          <w:szCs w:val="32"/>
        </w:rPr>
        <w:t>企业了解相关政策可咨询28680820。需提供帮助的企业可以拨打22212345企业服务专线；惠企政策未落实可拨打22912345优化经济发展环境专线投诉。</w:t>
      </w:r>
    </w:p>
    <w:p>
      <w:pPr>
        <w:rPr>
          <w:rFonts w:ascii="Calibri" w:hAnsi="Calibri" w:eastAsia="宋体"/>
          <w:sz w:val="21"/>
        </w:rPr>
      </w:pPr>
    </w:p>
    <w:p/>
    <w:p>
      <w:pPr>
        <w:spacing w:line="220" w:lineRule="atLeas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2D04D5"/>
    <w:rsid w:val="00323B43"/>
    <w:rsid w:val="003D37D8"/>
    <w:rsid w:val="00426133"/>
    <w:rsid w:val="004358AB"/>
    <w:rsid w:val="00497A3B"/>
    <w:rsid w:val="0061234D"/>
    <w:rsid w:val="007E7410"/>
    <w:rsid w:val="008747D1"/>
    <w:rsid w:val="008B7726"/>
    <w:rsid w:val="00917320"/>
    <w:rsid w:val="009276C0"/>
    <w:rsid w:val="00A30FC7"/>
    <w:rsid w:val="00A73D6F"/>
    <w:rsid w:val="00BD1FED"/>
    <w:rsid w:val="00C52983"/>
    <w:rsid w:val="00D31D50"/>
    <w:rsid w:val="00ED453E"/>
    <w:rsid w:val="00EF63C4"/>
    <w:rsid w:val="00FC2D2B"/>
    <w:rsid w:val="06ED43C0"/>
    <w:rsid w:val="0F8E4214"/>
    <w:rsid w:val="4C3B6CCD"/>
    <w:rsid w:val="54C4086B"/>
    <w:rsid w:val="60B73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rPr>
      <w:rFonts w:ascii="Times New Roman" w:hAnsi="Times New Roman" w:cs="Times New Roman"/>
      <w:sz w:val="24"/>
      <w:szCs w:val="24"/>
    </w:rPr>
  </w:style>
  <w:style w:type="character" w:styleId="5">
    <w:name w:val="Strong"/>
    <w:basedOn w:val="4"/>
    <w:qFormat/>
    <w:uiPriority w:val="22"/>
  </w:style>
  <w:style w:type="character" w:styleId="6">
    <w:name w:val="FollowedHyperlink"/>
    <w:basedOn w:val="4"/>
    <w:semiHidden/>
    <w:unhideWhenUsed/>
    <w:qFormat/>
    <w:uiPriority w:val="99"/>
    <w:rPr>
      <w:color w:val="333333"/>
      <w:u w:val="none"/>
    </w:rPr>
  </w:style>
  <w:style w:type="character" w:styleId="7">
    <w:name w:val="Emphasis"/>
    <w:basedOn w:val="4"/>
    <w:qFormat/>
    <w:uiPriority w:val="20"/>
  </w:style>
  <w:style w:type="character" w:styleId="8">
    <w:name w:val="Hyperlink"/>
    <w:basedOn w:val="4"/>
    <w:semiHidden/>
    <w:unhideWhenUsed/>
    <w:qFormat/>
    <w:uiPriority w:val="99"/>
    <w:rPr>
      <w:color w:val="333333"/>
      <w:u w:val="none"/>
    </w:rPr>
  </w:style>
  <w:style w:type="character" w:customStyle="1" w:styleId="9">
    <w:name w:val="default"/>
    <w:basedOn w:val="4"/>
    <w:qFormat/>
    <w:uiPriority w:val="0"/>
  </w:style>
  <w:style w:type="character" w:customStyle="1" w:styleId="10">
    <w:name w:val="num"/>
    <w:basedOn w:val="4"/>
    <w:qFormat/>
    <w:uiPriority w:val="0"/>
    <w:rPr>
      <w:rFonts w:ascii="Arial" w:hAnsi="Arial" w:cs="Arial"/>
      <w:color w:val="FFFFFF"/>
      <w:sz w:val="13"/>
      <w:szCs w:val="13"/>
    </w:rPr>
  </w:style>
  <w:style w:type="character" w:customStyle="1" w:styleId="11">
    <w:name w:val="red"/>
    <w:basedOn w:val="4"/>
    <w:uiPriority w:val="0"/>
    <w:rPr>
      <w:color w:val="FF0000"/>
    </w:rPr>
  </w:style>
  <w:style w:type="character" w:customStyle="1" w:styleId="12">
    <w:name w:val="brt"/>
    <w:basedOn w:val="4"/>
    <w:qFormat/>
    <w:uiPriority w:val="0"/>
  </w:style>
  <w:style w:type="character" w:customStyle="1" w:styleId="13">
    <w:name w:val="blf"/>
    <w:basedOn w:val="4"/>
    <w:qFormat/>
    <w:uiPriority w:val="0"/>
  </w:style>
  <w:style w:type="character" w:customStyle="1" w:styleId="14">
    <w:name w:val="show"/>
    <w:basedOn w:val="4"/>
    <w:qFormat/>
    <w:uiPriority w:val="0"/>
  </w:style>
  <w:style w:type="character" w:customStyle="1" w:styleId="15">
    <w:name w:val="show1"/>
    <w:basedOn w:val="4"/>
    <w:qFormat/>
    <w:uiPriority w:val="0"/>
  </w:style>
  <w:style w:type="character" w:customStyle="1" w:styleId="16">
    <w:name w:val="default2"/>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58</Words>
  <Characters>334</Characters>
  <Lines>2</Lines>
  <Paragraphs>1</Paragraphs>
  <TotalTime>0</TotalTime>
  <ScaleCrop>false</ScaleCrop>
  <LinksUpToDate>false</LinksUpToDate>
  <CharactersWithSpaces>391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懒人</cp:lastModifiedBy>
  <dcterms:modified xsi:type="dcterms:W3CDTF">2020-12-22T02:08:09Z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