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cs="宋体"/>
          <w:b/>
          <w:kern w:val="0"/>
          <w:sz w:val="28"/>
          <w:szCs w:val="28"/>
        </w:rPr>
      </w:pPr>
      <w:r>
        <w:rPr>
          <w:rFonts w:hint="eastAsia" w:ascii="黑体" w:hAnsi="黑体" w:eastAsia="黑体" w:cs="宋体"/>
          <w:kern w:val="0"/>
          <w:sz w:val="28"/>
          <w:szCs w:val="28"/>
        </w:rPr>
        <w:t>附件2</w:t>
      </w:r>
    </w:p>
    <w:p>
      <w:pPr>
        <w:widowControl/>
        <w:jc w:val="center"/>
        <w:rPr>
          <w:rFonts w:ascii="方正小标宋简体" w:hAnsi="宋体" w:eastAsia="方正小标宋简体" w:cs="宋体"/>
          <w:kern w:val="0"/>
          <w:sz w:val="44"/>
          <w:szCs w:val="44"/>
        </w:rPr>
      </w:pPr>
      <w:bookmarkStart w:id="0" w:name="_GoBack"/>
      <w:r>
        <w:rPr>
          <w:rFonts w:hint="eastAsia" w:ascii="方正小标宋简体" w:hAnsi="宋体" w:eastAsia="方正小标宋简体" w:cs="宋体"/>
          <w:kern w:val="0"/>
          <w:sz w:val="44"/>
          <w:szCs w:val="44"/>
        </w:rPr>
        <w:t>温暖企业专项法律服务行动主题活动安排（9项）</w:t>
      </w:r>
      <w:bookmarkEnd w:id="0"/>
    </w:p>
    <w:tbl>
      <w:tblPr>
        <w:tblStyle w:val="2"/>
        <w:tblW w:w="0" w:type="auto"/>
        <w:jc w:val="center"/>
        <w:tblLayout w:type="fixed"/>
        <w:tblCellMar>
          <w:top w:w="0" w:type="dxa"/>
          <w:left w:w="108" w:type="dxa"/>
          <w:bottom w:w="0" w:type="dxa"/>
          <w:right w:w="108" w:type="dxa"/>
        </w:tblCellMar>
      </w:tblPr>
      <w:tblGrid>
        <w:gridCol w:w="709"/>
        <w:gridCol w:w="1953"/>
        <w:gridCol w:w="7876"/>
        <w:gridCol w:w="2145"/>
        <w:gridCol w:w="1238"/>
      </w:tblGrid>
      <w:tr>
        <w:tblPrEx>
          <w:tblCellMar>
            <w:top w:w="0" w:type="dxa"/>
            <w:left w:w="108" w:type="dxa"/>
            <w:bottom w:w="0" w:type="dxa"/>
            <w:right w:w="108" w:type="dxa"/>
          </w:tblCellMar>
        </w:tblPrEx>
        <w:trPr>
          <w:trHeight w:val="556" w:hRule="atLeast"/>
          <w:tblHeader/>
          <w:jc w:val="center"/>
        </w:trPr>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黑体" w:hAnsi="黑体" w:eastAsia="黑体" w:cs="宋体"/>
                <w:bCs/>
                <w:kern w:val="0"/>
                <w:sz w:val="24"/>
                <w:szCs w:val="24"/>
              </w:rPr>
            </w:pPr>
            <w:r>
              <w:rPr>
                <w:rFonts w:hint="eastAsia" w:ascii="黑体" w:hAnsi="黑体" w:eastAsia="黑体" w:cs="宋体"/>
                <w:bCs/>
                <w:kern w:val="0"/>
                <w:sz w:val="24"/>
                <w:szCs w:val="24"/>
              </w:rPr>
              <w:t>序号</w:t>
            </w:r>
          </w:p>
        </w:tc>
        <w:tc>
          <w:tcPr>
            <w:tcW w:w="1953" w:type="dxa"/>
            <w:tcBorders>
              <w:top w:val="single" w:color="auto" w:sz="4" w:space="0"/>
              <w:left w:val="nil"/>
              <w:bottom w:val="single" w:color="auto" w:sz="4" w:space="0"/>
              <w:right w:val="single" w:color="auto" w:sz="4" w:space="0"/>
            </w:tcBorders>
            <w:noWrap/>
            <w:vAlign w:val="center"/>
          </w:tcPr>
          <w:p>
            <w:pPr>
              <w:widowControl/>
              <w:jc w:val="center"/>
              <w:rPr>
                <w:rFonts w:ascii="黑体" w:hAnsi="黑体" w:eastAsia="黑体" w:cs="宋体"/>
                <w:bCs/>
                <w:kern w:val="0"/>
                <w:sz w:val="24"/>
                <w:szCs w:val="24"/>
              </w:rPr>
            </w:pPr>
            <w:r>
              <w:rPr>
                <w:rFonts w:hint="eastAsia" w:ascii="黑体" w:hAnsi="黑体" w:eastAsia="黑体" w:cs="宋体"/>
                <w:bCs/>
                <w:kern w:val="0"/>
                <w:sz w:val="24"/>
                <w:szCs w:val="24"/>
              </w:rPr>
              <w:t>活动主题</w:t>
            </w:r>
          </w:p>
        </w:tc>
        <w:tc>
          <w:tcPr>
            <w:tcW w:w="7876" w:type="dxa"/>
            <w:tcBorders>
              <w:top w:val="single" w:color="auto" w:sz="4" w:space="0"/>
              <w:left w:val="nil"/>
              <w:bottom w:val="single" w:color="auto" w:sz="4" w:space="0"/>
              <w:right w:val="single" w:color="auto" w:sz="4" w:space="0"/>
            </w:tcBorders>
            <w:noWrap/>
            <w:vAlign w:val="center"/>
          </w:tcPr>
          <w:p>
            <w:pPr>
              <w:widowControl/>
              <w:jc w:val="center"/>
              <w:rPr>
                <w:rFonts w:ascii="黑体" w:hAnsi="黑体" w:eastAsia="黑体" w:cs="宋体"/>
                <w:bCs/>
                <w:kern w:val="0"/>
                <w:sz w:val="24"/>
                <w:szCs w:val="24"/>
              </w:rPr>
            </w:pPr>
            <w:r>
              <w:rPr>
                <w:rFonts w:hint="eastAsia" w:ascii="黑体" w:hAnsi="黑体" w:eastAsia="黑体" w:cs="宋体"/>
                <w:bCs/>
                <w:kern w:val="0"/>
                <w:sz w:val="24"/>
                <w:szCs w:val="24"/>
              </w:rPr>
              <w:t>活动内容</w:t>
            </w:r>
          </w:p>
        </w:tc>
        <w:tc>
          <w:tcPr>
            <w:tcW w:w="2145" w:type="dxa"/>
            <w:tcBorders>
              <w:top w:val="single" w:color="auto" w:sz="4" w:space="0"/>
              <w:left w:val="nil"/>
              <w:bottom w:val="single" w:color="auto" w:sz="4" w:space="0"/>
              <w:right w:val="single" w:color="auto" w:sz="4" w:space="0"/>
            </w:tcBorders>
            <w:noWrap/>
            <w:vAlign w:val="center"/>
          </w:tcPr>
          <w:p>
            <w:pPr>
              <w:widowControl/>
              <w:jc w:val="center"/>
              <w:rPr>
                <w:rFonts w:hint="eastAsia" w:ascii="黑体" w:hAnsi="黑体" w:eastAsia="黑体" w:cs="宋体"/>
                <w:bCs/>
                <w:kern w:val="0"/>
                <w:sz w:val="24"/>
                <w:szCs w:val="24"/>
              </w:rPr>
            </w:pPr>
            <w:r>
              <w:rPr>
                <w:rFonts w:hint="eastAsia" w:ascii="黑体" w:hAnsi="黑体" w:eastAsia="黑体" w:cs="宋体"/>
                <w:bCs/>
                <w:kern w:val="0"/>
                <w:sz w:val="24"/>
                <w:szCs w:val="24"/>
              </w:rPr>
              <w:t>责任科室（部门）</w:t>
            </w:r>
          </w:p>
        </w:tc>
        <w:tc>
          <w:tcPr>
            <w:tcW w:w="1238" w:type="dxa"/>
            <w:tcBorders>
              <w:top w:val="single" w:color="auto" w:sz="4" w:space="0"/>
              <w:left w:val="nil"/>
              <w:bottom w:val="single" w:color="auto" w:sz="4" w:space="0"/>
              <w:right w:val="single" w:color="auto" w:sz="4" w:space="0"/>
            </w:tcBorders>
            <w:noWrap/>
            <w:vAlign w:val="center"/>
          </w:tcPr>
          <w:p>
            <w:pPr>
              <w:widowControl/>
              <w:rPr>
                <w:rFonts w:ascii="黑体" w:hAnsi="黑体" w:eastAsia="黑体" w:cs="宋体"/>
                <w:bCs/>
                <w:kern w:val="0"/>
                <w:sz w:val="24"/>
                <w:szCs w:val="24"/>
              </w:rPr>
            </w:pPr>
            <w:r>
              <w:rPr>
                <w:rFonts w:hint="eastAsia" w:ascii="黑体" w:hAnsi="黑体" w:eastAsia="黑体" w:cs="宋体"/>
                <w:bCs/>
                <w:kern w:val="0"/>
                <w:sz w:val="24"/>
                <w:szCs w:val="24"/>
              </w:rPr>
              <w:t>完成时间</w:t>
            </w:r>
          </w:p>
        </w:tc>
      </w:tr>
      <w:tr>
        <w:tblPrEx>
          <w:tblCellMar>
            <w:top w:w="0" w:type="dxa"/>
            <w:left w:w="108" w:type="dxa"/>
            <w:bottom w:w="0" w:type="dxa"/>
            <w:right w:w="108" w:type="dxa"/>
          </w:tblCellMar>
        </w:tblPrEx>
        <w:trPr>
          <w:trHeight w:val="994"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95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建立企业维权服务平台和企业定点法律帮扶机制</w:t>
            </w:r>
          </w:p>
        </w:tc>
        <w:tc>
          <w:tcPr>
            <w:tcW w:w="7876" w:type="dxa"/>
            <w:tcBorders>
              <w:top w:val="nil"/>
              <w:left w:val="nil"/>
              <w:bottom w:val="single" w:color="auto" w:sz="4" w:space="0"/>
              <w:right w:val="single" w:color="auto" w:sz="4" w:space="0"/>
            </w:tcBorders>
            <w:noWrap w:val="0"/>
            <w:vAlign w:val="center"/>
          </w:tcPr>
          <w:p>
            <w:pPr>
              <w:widowControl/>
              <w:rPr>
                <w:rFonts w:hint="eastAsia" w:ascii="宋体" w:hAnsi="宋体" w:cs="宋体"/>
                <w:bCs/>
                <w:kern w:val="0"/>
                <w:sz w:val="24"/>
                <w:szCs w:val="24"/>
              </w:rPr>
            </w:pPr>
            <w:r>
              <w:rPr>
                <w:rFonts w:hint="eastAsia" w:ascii="宋体" w:hAnsi="宋体" w:cs="宋体"/>
                <w:bCs/>
                <w:kern w:val="0"/>
                <w:sz w:val="24"/>
                <w:szCs w:val="24"/>
              </w:rPr>
              <w:t>制订疫情期间支持企业应对挑战、平稳发展的法律帮扶政策，解决企业复工复产存在的困难和问题，帮助企业共渡难关。建立依托12348法律服务热线、市中小微企业法律服务热线28221003、市企业法律顾问团热线18507330680的企业维权服务平台，为企业开展法律服务和法治体检等法律帮扶措施。整合法律服务资源，为市级领导联系对口企业安排一名律师，为企业找资金、拓市场、拉配套提供法律服务。</w:t>
            </w:r>
          </w:p>
        </w:tc>
        <w:tc>
          <w:tcPr>
            <w:tcW w:w="214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律师工作管理科</w:t>
            </w:r>
          </w:p>
        </w:tc>
        <w:tc>
          <w:tcPr>
            <w:tcW w:w="1238" w:type="dxa"/>
            <w:tcBorders>
              <w:top w:val="nil"/>
              <w:left w:val="nil"/>
              <w:bottom w:val="single" w:color="auto" w:sz="4" w:space="0"/>
              <w:right w:val="single" w:color="auto" w:sz="4" w:space="0"/>
            </w:tcBorders>
            <w:noWrap w:val="0"/>
            <w:vAlign w:val="center"/>
          </w:tcPr>
          <w:p>
            <w:pPr>
              <w:widowControl/>
              <w:ind w:firstLine="240" w:firstLineChars="100"/>
              <w:rPr>
                <w:rFonts w:hint="eastAsia" w:ascii="宋体" w:hAnsi="宋体" w:cs="宋体"/>
                <w:bCs/>
                <w:kern w:val="0"/>
                <w:sz w:val="24"/>
                <w:szCs w:val="24"/>
              </w:rPr>
            </w:pPr>
            <w:r>
              <w:rPr>
                <w:rFonts w:hint="eastAsia" w:ascii="宋体" w:hAnsi="宋体" w:cs="宋体"/>
                <w:bCs/>
                <w:kern w:val="0"/>
                <w:sz w:val="24"/>
                <w:szCs w:val="24"/>
              </w:rPr>
              <w:t>12月</w:t>
            </w:r>
          </w:p>
        </w:tc>
      </w:tr>
      <w:tr>
        <w:tblPrEx>
          <w:tblCellMar>
            <w:top w:w="0" w:type="dxa"/>
            <w:left w:w="108" w:type="dxa"/>
            <w:bottom w:w="0" w:type="dxa"/>
            <w:right w:w="108" w:type="dxa"/>
          </w:tblCellMar>
        </w:tblPrEx>
        <w:trPr>
          <w:trHeight w:val="994"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2</w:t>
            </w:r>
          </w:p>
        </w:tc>
        <w:tc>
          <w:tcPr>
            <w:tcW w:w="1953"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4"/>
                <w:szCs w:val="24"/>
              </w:rPr>
            </w:pPr>
            <w:r>
              <w:rPr>
                <w:rFonts w:hint="eastAsia" w:ascii="宋体" w:hAnsi="宋体" w:cs="宋体"/>
                <w:bCs/>
                <w:kern w:val="0"/>
                <w:sz w:val="24"/>
                <w:szCs w:val="24"/>
                <w:lang w:bidi="ar"/>
              </w:rPr>
              <w:t>企业矛盾纠纷化解</w:t>
            </w:r>
          </w:p>
        </w:tc>
        <w:tc>
          <w:tcPr>
            <w:tcW w:w="7876"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4"/>
                <w:szCs w:val="24"/>
              </w:rPr>
            </w:pPr>
            <w:r>
              <w:rPr>
                <w:rFonts w:hint="eastAsia" w:ascii="宋体" w:hAnsi="宋体" w:cs="宋体"/>
                <w:bCs/>
                <w:kern w:val="0"/>
                <w:sz w:val="24"/>
                <w:szCs w:val="24"/>
                <w:lang w:bidi="ar"/>
              </w:rPr>
              <w:t>开展涉企产权纠纷集中排查化解行动，加强与市中级人民法院工作衔接，将涉企产权纠纷纳入诉前调解范畴，</w:t>
            </w:r>
            <w:r>
              <w:rPr>
                <w:rFonts w:hint="eastAsia" w:ascii="宋体" w:hAnsi="宋体" w:cs="宋体"/>
                <w:bCs/>
                <w:sz w:val="24"/>
                <w:szCs w:val="24"/>
              </w:rPr>
              <w:t>推进律师参与调解工作，完善诉讼与仲裁、调解、公证的有机衔接</w:t>
            </w:r>
            <w:r>
              <w:rPr>
                <w:rFonts w:hint="eastAsia" w:ascii="宋体" w:hAnsi="宋体" w:cs="宋体"/>
                <w:bCs/>
                <w:kern w:val="0"/>
                <w:sz w:val="24"/>
                <w:szCs w:val="24"/>
                <w:lang w:bidi="ar"/>
              </w:rPr>
              <w:t>。</w:t>
            </w:r>
          </w:p>
        </w:tc>
        <w:tc>
          <w:tcPr>
            <w:tcW w:w="214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4"/>
                <w:szCs w:val="24"/>
              </w:rPr>
            </w:pPr>
            <w:r>
              <w:rPr>
                <w:rFonts w:hint="eastAsia" w:ascii="宋体" w:hAnsi="宋体" w:cs="宋体"/>
                <w:kern w:val="0"/>
                <w:sz w:val="24"/>
                <w:szCs w:val="24"/>
              </w:rPr>
              <w:t>人民参与和促进法治科</w:t>
            </w:r>
          </w:p>
        </w:tc>
        <w:tc>
          <w:tcPr>
            <w:tcW w:w="123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12月</w:t>
            </w:r>
          </w:p>
        </w:tc>
      </w:tr>
      <w:tr>
        <w:tblPrEx>
          <w:tblCellMar>
            <w:top w:w="0" w:type="dxa"/>
            <w:left w:w="108" w:type="dxa"/>
            <w:bottom w:w="0" w:type="dxa"/>
            <w:right w:w="108" w:type="dxa"/>
          </w:tblCellMar>
        </w:tblPrEx>
        <w:trPr>
          <w:trHeight w:val="994"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3</w:t>
            </w:r>
          </w:p>
        </w:tc>
        <w:tc>
          <w:tcPr>
            <w:tcW w:w="1953"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4"/>
                <w:szCs w:val="24"/>
              </w:rPr>
            </w:pPr>
            <w:r>
              <w:rPr>
                <w:rFonts w:hint="eastAsia" w:ascii="宋体" w:hAnsi="宋体" w:cs="宋体"/>
                <w:kern w:val="0"/>
                <w:sz w:val="24"/>
                <w:szCs w:val="24"/>
              </w:rPr>
              <w:t>企业法治宣传</w:t>
            </w:r>
          </w:p>
        </w:tc>
        <w:tc>
          <w:tcPr>
            <w:tcW w:w="7876" w:type="dxa"/>
            <w:tcBorders>
              <w:top w:val="nil"/>
              <w:left w:val="nil"/>
              <w:bottom w:val="single" w:color="auto" w:sz="4" w:space="0"/>
              <w:right w:val="single" w:color="auto" w:sz="4" w:space="0"/>
            </w:tcBorders>
            <w:noWrap w:val="0"/>
            <w:vAlign w:val="center"/>
          </w:tcPr>
          <w:p>
            <w:pPr>
              <w:widowControl/>
              <w:spacing w:line="320" w:lineRule="exact"/>
              <w:rPr>
                <w:rFonts w:hint="eastAsia" w:ascii="宋体" w:hAnsi="宋体" w:cs="宋体"/>
                <w:kern w:val="0"/>
                <w:sz w:val="24"/>
                <w:szCs w:val="24"/>
              </w:rPr>
            </w:pPr>
            <w:r>
              <w:rPr>
                <w:rFonts w:hint="eastAsia" w:ascii="宋体" w:hAnsi="宋体" w:cs="宋体"/>
                <w:kern w:val="0"/>
                <w:sz w:val="24"/>
                <w:szCs w:val="24"/>
                <w:lang w:bidi="ar"/>
              </w:rPr>
              <w:t>按照“谁主管谁负责”“谁执法谁普法”的普法责任制的要求，指导涉企主管部门制定普法责任清单，紧扣企业在投资设立、经营管理、合同履行、关停并转等环节的法律需求，开展专项法律服务宣传、法律知识教育活动，防控法律风险。开展普法宣传进企业活动，加强企业经营管理人员和职工学法用法，引导企业守法经营、职工依法维权。将营商环境法治保障等相关法律法规纳入国家工作人员学法用法重点内客，促进依法行政、依法办事。发布一批法律服务助力营商环境典型案例，充分发挥以案释法的警示教育、案例指导、社会宣传等功能作用，开展以企业家刑事风险防范为主题的法律宣讲活动，促进企业家依法经营。</w:t>
            </w:r>
          </w:p>
        </w:tc>
        <w:tc>
          <w:tcPr>
            <w:tcW w:w="214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lang w:bidi="ar"/>
              </w:rPr>
              <w:t>普法与依法治理科</w:t>
            </w:r>
          </w:p>
        </w:tc>
        <w:tc>
          <w:tcPr>
            <w:tcW w:w="123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6月</w:t>
            </w:r>
          </w:p>
        </w:tc>
      </w:tr>
      <w:tr>
        <w:tblPrEx>
          <w:tblCellMar>
            <w:top w:w="0" w:type="dxa"/>
            <w:left w:w="108" w:type="dxa"/>
            <w:bottom w:w="0" w:type="dxa"/>
            <w:right w:w="108" w:type="dxa"/>
          </w:tblCellMar>
        </w:tblPrEx>
        <w:trPr>
          <w:trHeight w:val="1236"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4</w:t>
            </w:r>
          </w:p>
        </w:tc>
        <w:tc>
          <w:tcPr>
            <w:tcW w:w="1953"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4"/>
                <w:szCs w:val="24"/>
              </w:rPr>
            </w:pPr>
            <w:r>
              <w:rPr>
                <w:rFonts w:hint="eastAsia" w:ascii="宋体" w:hAnsi="宋体" w:cs="宋体"/>
                <w:kern w:val="0"/>
                <w:sz w:val="24"/>
                <w:szCs w:val="24"/>
              </w:rPr>
              <w:t>企业法治体检</w:t>
            </w:r>
          </w:p>
        </w:tc>
        <w:tc>
          <w:tcPr>
            <w:tcW w:w="7876" w:type="dxa"/>
            <w:tcBorders>
              <w:top w:val="single" w:color="auto" w:sz="4" w:space="0"/>
              <w:left w:val="nil"/>
              <w:bottom w:val="single" w:color="auto" w:sz="4" w:space="0"/>
              <w:right w:val="single" w:color="auto" w:sz="4" w:space="0"/>
            </w:tcBorders>
            <w:noWrap w:val="0"/>
            <w:vAlign w:val="center"/>
          </w:tcPr>
          <w:p>
            <w:pPr>
              <w:widowControl/>
              <w:spacing w:line="450" w:lineRule="atLeast"/>
              <w:jc w:val="left"/>
              <w:rPr>
                <w:rFonts w:hint="eastAsia" w:ascii="仿宋" w:hAnsi="仿宋" w:eastAsia="仿宋" w:cs="仿宋"/>
                <w:kern w:val="0"/>
                <w:sz w:val="32"/>
                <w:szCs w:val="32"/>
                <w:lang w:bidi="ar"/>
              </w:rPr>
            </w:pPr>
            <w:r>
              <w:rPr>
                <w:rFonts w:hint="eastAsia" w:ascii="宋体" w:hAnsi="宋体" w:cs="宋体"/>
                <w:kern w:val="0"/>
                <w:sz w:val="24"/>
                <w:szCs w:val="24"/>
                <w:lang w:bidi="ar"/>
              </w:rPr>
              <w:t>组织律师、基层法律服务工作者走访市国资委监管企业、民营企业、重点经济建设项目等，积极掌握企业法律服务需求，为企业宣讲法律法规和相关政策，帮助企业加强生态保护，提升防范法律风险能力。深入开展民营企业“法治体检”活动，为民营企业、中小微企业依法防控疫情和有序复工复产提供有力法治保障和优质法律服务。</w:t>
            </w:r>
          </w:p>
          <w:p>
            <w:pPr>
              <w:widowControl/>
              <w:rPr>
                <w:rFonts w:ascii="宋体" w:hAnsi="宋体" w:cs="宋体"/>
                <w:kern w:val="0"/>
                <w:sz w:val="24"/>
                <w:szCs w:val="24"/>
              </w:rPr>
            </w:pPr>
          </w:p>
        </w:tc>
        <w:tc>
          <w:tcPr>
            <w:tcW w:w="214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律师工作管理科、律协秘书处</w:t>
            </w:r>
          </w:p>
        </w:tc>
        <w:tc>
          <w:tcPr>
            <w:tcW w:w="123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6月</w:t>
            </w:r>
          </w:p>
        </w:tc>
      </w:tr>
      <w:tr>
        <w:tblPrEx>
          <w:tblCellMar>
            <w:top w:w="0" w:type="dxa"/>
            <w:left w:w="108" w:type="dxa"/>
            <w:bottom w:w="0" w:type="dxa"/>
            <w:right w:w="108" w:type="dxa"/>
          </w:tblCellMar>
        </w:tblPrEx>
        <w:trPr>
          <w:cantSplit/>
          <w:trHeight w:val="2432"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5</w:t>
            </w:r>
          </w:p>
        </w:tc>
        <w:tc>
          <w:tcPr>
            <w:tcW w:w="1953"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4"/>
                <w:szCs w:val="24"/>
              </w:rPr>
            </w:pPr>
            <w:r>
              <w:rPr>
                <w:rFonts w:hint="eastAsia" w:ascii="宋体" w:hAnsi="宋体" w:cs="宋体"/>
                <w:kern w:val="0"/>
                <w:sz w:val="24"/>
                <w:szCs w:val="24"/>
              </w:rPr>
              <w:t>涉企法律援助</w:t>
            </w:r>
          </w:p>
        </w:tc>
        <w:tc>
          <w:tcPr>
            <w:tcW w:w="7876" w:type="dxa"/>
            <w:tcBorders>
              <w:top w:val="single" w:color="auto" w:sz="4" w:space="0"/>
              <w:left w:val="nil"/>
              <w:bottom w:val="single" w:color="auto" w:sz="4" w:space="0"/>
              <w:right w:val="single" w:color="auto" w:sz="4" w:space="0"/>
            </w:tcBorders>
            <w:noWrap w:val="0"/>
            <w:vAlign w:val="center"/>
          </w:tcPr>
          <w:p>
            <w:pPr>
              <w:widowControl/>
              <w:spacing w:line="360" w:lineRule="exact"/>
              <w:rPr>
                <w:rFonts w:ascii="宋体" w:hAnsi="宋体" w:cs="宋体"/>
                <w:kern w:val="0"/>
                <w:sz w:val="24"/>
                <w:szCs w:val="24"/>
              </w:rPr>
            </w:pPr>
            <w:r>
              <w:rPr>
                <w:rFonts w:hint="eastAsia" w:ascii="宋体" w:hAnsi="宋体" w:cs="宋体"/>
                <w:kern w:val="0"/>
                <w:sz w:val="24"/>
                <w:szCs w:val="24"/>
                <w:lang w:bidi="ar"/>
              </w:rPr>
              <w:t>对12348法律服务热线接到的企业法律咨询及时解答或登记转交市局温暖企业办答复。加大对劳动争议法律援助案件多方协调、沟通力度，引导企业员工依法表述诉求，理性解决问题，避免引发群体性事件，推动构建和谐劳动关系。</w:t>
            </w:r>
          </w:p>
        </w:tc>
        <w:tc>
          <w:tcPr>
            <w:tcW w:w="2145"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仿宋" w:cs="宋体"/>
                <w:kern w:val="0"/>
                <w:sz w:val="24"/>
                <w:szCs w:val="24"/>
              </w:rPr>
            </w:pPr>
            <w:r>
              <w:rPr>
                <w:rFonts w:hint="eastAsia" w:ascii="宋体" w:hAnsi="宋体" w:cs="宋体"/>
                <w:kern w:val="0"/>
                <w:sz w:val="24"/>
                <w:szCs w:val="24"/>
                <w:lang w:bidi="ar"/>
              </w:rPr>
              <w:t>市法律援助中心</w:t>
            </w:r>
          </w:p>
        </w:tc>
        <w:tc>
          <w:tcPr>
            <w:tcW w:w="123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12月</w:t>
            </w:r>
          </w:p>
        </w:tc>
      </w:tr>
      <w:tr>
        <w:tblPrEx>
          <w:tblCellMar>
            <w:top w:w="0" w:type="dxa"/>
            <w:left w:w="108" w:type="dxa"/>
            <w:bottom w:w="0" w:type="dxa"/>
            <w:right w:w="108" w:type="dxa"/>
          </w:tblCellMar>
        </w:tblPrEx>
        <w:trPr>
          <w:cantSplit/>
          <w:trHeight w:val="983"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6</w:t>
            </w:r>
          </w:p>
        </w:tc>
        <w:tc>
          <w:tcPr>
            <w:tcW w:w="1953"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kern w:val="0"/>
                <w:sz w:val="24"/>
                <w:szCs w:val="24"/>
                <w:lang w:bidi="ar"/>
              </w:rPr>
            </w:pPr>
            <w:r>
              <w:rPr>
                <w:rFonts w:hint="eastAsia" w:ascii="宋体" w:hAnsi="宋体" w:cs="宋体"/>
                <w:kern w:val="0"/>
                <w:sz w:val="24"/>
                <w:szCs w:val="24"/>
                <w:lang w:bidi="ar"/>
              </w:rPr>
              <w:t>涉企行政执法监督检查</w:t>
            </w:r>
          </w:p>
        </w:tc>
        <w:tc>
          <w:tcPr>
            <w:tcW w:w="7876" w:type="dxa"/>
            <w:tcBorders>
              <w:top w:val="single" w:color="auto" w:sz="4" w:space="0"/>
              <w:left w:val="nil"/>
              <w:bottom w:val="single" w:color="auto" w:sz="4" w:space="0"/>
              <w:right w:val="single" w:color="auto" w:sz="4" w:space="0"/>
            </w:tcBorders>
            <w:noWrap w:val="0"/>
            <w:vAlign w:val="center"/>
          </w:tcPr>
          <w:p>
            <w:pPr>
              <w:widowControl/>
              <w:spacing w:line="450" w:lineRule="atLeast"/>
              <w:rPr>
                <w:rFonts w:hint="eastAsia" w:ascii="宋体" w:hAnsi="宋体" w:cs="宋体"/>
                <w:kern w:val="0"/>
                <w:sz w:val="24"/>
                <w:szCs w:val="24"/>
                <w:lang w:bidi="ar"/>
              </w:rPr>
            </w:pPr>
            <w:r>
              <w:rPr>
                <w:rFonts w:hint="eastAsia" w:ascii="宋体" w:hAnsi="宋体" w:cs="宋体"/>
                <w:kern w:val="0"/>
                <w:sz w:val="24"/>
                <w:szCs w:val="24"/>
                <w:lang w:bidi="ar"/>
              </w:rPr>
              <w:t>加强对涉企行政执法的指导监督。督促相关行政执法机关严格落实“双随机一公开”和行政执法“三项制度”的要求，推动涉企行政执法工作。</w:t>
            </w:r>
          </w:p>
        </w:tc>
        <w:tc>
          <w:tcPr>
            <w:tcW w:w="214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kern w:val="0"/>
                <w:sz w:val="24"/>
                <w:szCs w:val="24"/>
              </w:rPr>
            </w:pPr>
            <w:r>
              <w:rPr>
                <w:rFonts w:hint="eastAsia" w:ascii="宋体" w:hAnsi="宋体" w:cs="宋体"/>
                <w:kern w:val="0"/>
                <w:sz w:val="24"/>
                <w:szCs w:val="24"/>
              </w:rPr>
              <w:t>行政执法监督科</w:t>
            </w:r>
          </w:p>
        </w:tc>
        <w:tc>
          <w:tcPr>
            <w:tcW w:w="123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8月</w:t>
            </w:r>
          </w:p>
        </w:tc>
      </w:tr>
      <w:tr>
        <w:tblPrEx>
          <w:tblCellMar>
            <w:top w:w="0" w:type="dxa"/>
            <w:left w:w="108" w:type="dxa"/>
            <w:bottom w:w="0" w:type="dxa"/>
            <w:right w:w="108" w:type="dxa"/>
          </w:tblCellMar>
        </w:tblPrEx>
        <w:trPr>
          <w:cantSplit/>
          <w:trHeight w:val="983"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7</w:t>
            </w:r>
          </w:p>
        </w:tc>
        <w:tc>
          <w:tcPr>
            <w:tcW w:w="1953"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4"/>
                <w:szCs w:val="24"/>
                <w:lang w:bidi="ar"/>
              </w:rPr>
            </w:pPr>
            <w:r>
              <w:rPr>
                <w:rFonts w:hint="eastAsia" w:ascii="宋体" w:hAnsi="宋体" w:cs="宋体"/>
                <w:kern w:val="0"/>
                <w:sz w:val="24"/>
                <w:szCs w:val="24"/>
                <w:lang w:bidi="ar"/>
              </w:rPr>
              <w:t>企业公共法律服务</w:t>
            </w:r>
          </w:p>
        </w:tc>
        <w:tc>
          <w:tcPr>
            <w:tcW w:w="7876" w:type="dxa"/>
            <w:tcBorders>
              <w:top w:val="single" w:color="auto" w:sz="4" w:space="0"/>
              <w:left w:val="nil"/>
              <w:bottom w:val="single" w:color="auto" w:sz="4" w:space="0"/>
              <w:right w:val="single" w:color="auto" w:sz="4" w:space="0"/>
            </w:tcBorders>
            <w:noWrap w:val="0"/>
            <w:vAlign w:val="center"/>
          </w:tcPr>
          <w:p>
            <w:pPr>
              <w:widowControl/>
              <w:spacing w:line="450" w:lineRule="atLeast"/>
              <w:rPr>
                <w:rFonts w:hint="eastAsia" w:ascii="宋体" w:hAnsi="宋体" w:cs="宋体"/>
                <w:kern w:val="0"/>
                <w:sz w:val="24"/>
                <w:szCs w:val="24"/>
                <w:lang w:bidi="ar"/>
              </w:rPr>
            </w:pPr>
            <w:r>
              <w:rPr>
                <w:rFonts w:hint="eastAsia" w:ascii="宋体" w:hAnsi="宋体" w:cs="宋体"/>
                <w:kern w:val="0"/>
                <w:sz w:val="24"/>
                <w:szCs w:val="24"/>
                <w:lang w:bidi="ar"/>
              </w:rPr>
              <w:t>为城市更新工作提供各类法律保障和法律服务，宣传相关政策法规，积极化解征迁过程中的矛盾纠纷，将律师、公证、法律援助、司法鉴定、仲裁等法律服务融入到征迁一线和各个重要环节，确保城市更新工作合法有序推进。在产业园区设立公共法律服务工作站，以公共法律服务中心为依托，下沉各类法律服务内容，实现在企业门口享受“一站式”法律服务。</w:t>
            </w:r>
          </w:p>
          <w:p>
            <w:pPr>
              <w:widowControl/>
              <w:spacing w:line="450" w:lineRule="atLeast"/>
              <w:rPr>
                <w:rFonts w:hint="eastAsia" w:ascii="宋体" w:hAnsi="宋体" w:cs="宋体"/>
                <w:kern w:val="0"/>
                <w:sz w:val="24"/>
                <w:szCs w:val="24"/>
                <w:lang w:bidi="ar"/>
              </w:rPr>
            </w:pPr>
            <w:r>
              <w:rPr>
                <w:rFonts w:hint="eastAsia" w:ascii="宋体" w:hAnsi="宋体" w:cs="宋体"/>
                <w:kern w:val="0"/>
                <w:sz w:val="24"/>
                <w:szCs w:val="24"/>
                <w:lang w:bidi="ar"/>
              </w:rPr>
              <w:t>主动为企业技术创新和知识产权保护提供证据保全等公证法律服务，助力企业创新发展和转型升级。充分发挥公证在推进金融业健康发展中的支持保障作用，为企业健康发展提供优质公证法律服务。</w:t>
            </w:r>
          </w:p>
          <w:p>
            <w:pPr>
              <w:widowControl/>
              <w:spacing w:line="450" w:lineRule="atLeast"/>
              <w:rPr>
                <w:rFonts w:hint="eastAsia" w:ascii="宋体" w:hAnsi="宋体" w:cs="宋体"/>
                <w:kern w:val="0"/>
                <w:sz w:val="24"/>
                <w:szCs w:val="24"/>
                <w:lang w:bidi="ar"/>
              </w:rPr>
            </w:pPr>
            <w:r>
              <w:rPr>
                <w:rFonts w:hint="eastAsia" w:ascii="宋体" w:hAnsi="宋体" w:cs="宋体"/>
                <w:sz w:val="24"/>
                <w:szCs w:val="24"/>
              </w:rPr>
              <w:t>依法及时为企业办理仲裁案件，</w:t>
            </w:r>
            <w:r>
              <w:rPr>
                <w:rFonts w:hint="eastAsia" w:ascii="宋体" w:hAnsi="宋体" w:cs="宋体"/>
                <w:color w:val="000000"/>
                <w:sz w:val="24"/>
                <w:szCs w:val="24"/>
              </w:rPr>
              <w:t>促进涉企纠纷得到及时有效化解，为困难企业缓减仲裁费，</w:t>
            </w:r>
            <w:r>
              <w:rPr>
                <w:rFonts w:hint="eastAsia" w:ascii="宋体" w:hAnsi="宋体" w:cs="宋体"/>
                <w:kern w:val="0"/>
                <w:sz w:val="24"/>
                <w:szCs w:val="24"/>
                <w:lang w:bidi="ar"/>
              </w:rPr>
              <w:t>为企业健康发展提供优质仲裁法律服务。</w:t>
            </w:r>
          </w:p>
        </w:tc>
        <w:tc>
          <w:tcPr>
            <w:tcW w:w="214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kern w:val="0"/>
                <w:sz w:val="24"/>
                <w:szCs w:val="24"/>
              </w:rPr>
            </w:pPr>
            <w:r>
              <w:rPr>
                <w:rFonts w:hint="eastAsia" w:ascii="宋体" w:hAnsi="宋体" w:cs="宋体"/>
                <w:kern w:val="0"/>
                <w:sz w:val="24"/>
                <w:szCs w:val="24"/>
              </w:rPr>
              <w:t>公共法律服务科</w:t>
            </w:r>
          </w:p>
        </w:tc>
        <w:tc>
          <w:tcPr>
            <w:tcW w:w="123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12月</w:t>
            </w:r>
          </w:p>
        </w:tc>
      </w:tr>
      <w:tr>
        <w:tblPrEx>
          <w:tblCellMar>
            <w:top w:w="0" w:type="dxa"/>
            <w:left w:w="108" w:type="dxa"/>
            <w:bottom w:w="0" w:type="dxa"/>
            <w:right w:w="108" w:type="dxa"/>
          </w:tblCellMar>
        </w:tblPrEx>
        <w:trPr>
          <w:cantSplit/>
          <w:trHeight w:val="983"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8</w:t>
            </w:r>
          </w:p>
        </w:tc>
        <w:tc>
          <w:tcPr>
            <w:tcW w:w="1953"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4"/>
                <w:szCs w:val="24"/>
                <w:lang w:bidi="ar"/>
              </w:rPr>
            </w:pPr>
            <w:r>
              <w:rPr>
                <w:rFonts w:hint="eastAsia" w:ascii="宋体" w:hAnsi="宋体" w:cs="宋体"/>
                <w:kern w:val="0"/>
                <w:sz w:val="24"/>
                <w:szCs w:val="24"/>
                <w:lang w:bidi="ar"/>
              </w:rPr>
              <w:t>牵头组织清理规范性文件</w:t>
            </w:r>
          </w:p>
        </w:tc>
        <w:tc>
          <w:tcPr>
            <w:tcW w:w="7876" w:type="dxa"/>
            <w:tcBorders>
              <w:top w:val="single" w:color="auto" w:sz="4" w:space="0"/>
              <w:left w:val="nil"/>
              <w:bottom w:val="single" w:color="auto" w:sz="4" w:space="0"/>
              <w:right w:val="single" w:color="auto" w:sz="4" w:space="0"/>
            </w:tcBorders>
            <w:noWrap w:val="0"/>
            <w:vAlign w:val="center"/>
          </w:tcPr>
          <w:p>
            <w:pPr>
              <w:widowControl/>
              <w:spacing w:line="450" w:lineRule="atLeast"/>
              <w:rPr>
                <w:rFonts w:hint="eastAsia" w:ascii="宋体" w:hAnsi="宋体" w:cs="宋体"/>
                <w:kern w:val="0"/>
                <w:sz w:val="24"/>
                <w:szCs w:val="24"/>
                <w:lang w:bidi="ar"/>
              </w:rPr>
            </w:pPr>
            <w:r>
              <w:rPr>
                <w:rFonts w:hint="eastAsia" w:ascii="宋体" w:hAnsi="宋体" w:cs="仿宋"/>
                <w:bCs/>
                <w:kern w:val="0"/>
                <w:sz w:val="24"/>
                <w:szCs w:val="24"/>
                <w:lang w:bidi="ar"/>
              </w:rPr>
              <w:t>牵头组织各县市区政府、各相关市直单位清理妨碍统一市场和公平竞争的规范性文件，及时立、改、废。</w:t>
            </w:r>
          </w:p>
        </w:tc>
        <w:tc>
          <w:tcPr>
            <w:tcW w:w="214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kern w:val="0"/>
                <w:sz w:val="24"/>
                <w:szCs w:val="24"/>
              </w:rPr>
            </w:pPr>
            <w:r>
              <w:rPr>
                <w:rFonts w:hint="eastAsia" w:ascii="宋体" w:hAnsi="宋体" w:cs="宋体"/>
                <w:kern w:val="0"/>
                <w:sz w:val="24"/>
                <w:szCs w:val="24"/>
              </w:rPr>
              <w:t>规范性文件管理科</w:t>
            </w:r>
          </w:p>
        </w:tc>
        <w:tc>
          <w:tcPr>
            <w:tcW w:w="123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8月</w:t>
            </w:r>
          </w:p>
        </w:tc>
      </w:tr>
      <w:tr>
        <w:tblPrEx>
          <w:tblCellMar>
            <w:top w:w="0" w:type="dxa"/>
            <w:left w:w="108" w:type="dxa"/>
            <w:bottom w:w="0" w:type="dxa"/>
            <w:right w:w="108" w:type="dxa"/>
          </w:tblCellMar>
        </w:tblPrEx>
        <w:trPr>
          <w:cantSplit/>
          <w:trHeight w:val="983"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9</w:t>
            </w:r>
          </w:p>
        </w:tc>
        <w:tc>
          <w:tcPr>
            <w:tcW w:w="1953"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kern w:val="0"/>
                <w:sz w:val="24"/>
                <w:szCs w:val="24"/>
                <w:lang w:bidi="ar"/>
              </w:rPr>
            </w:pPr>
            <w:r>
              <w:rPr>
                <w:rFonts w:hint="eastAsia" w:ascii="宋体" w:hAnsi="宋体" w:cs="宋体"/>
                <w:kern w:val="0"/>
                <w:sz w:val="24"/>
                <w:szCs w:val="24"/>
                <w:lang w:bidi="ar"/>
              </w:rPr>
              <w:t>加强互联网+企业法律服务网络保障</w:t>
            </w:r>
          </w:p>
        </w:tc>
        <w:tc>
          <w:tcPr>
            <w:tcW w:w="7876" w:type="dxa"/>
            <w:tcBorders>
              <w:top w:val="single" w:color="auto" w:sz="4" w:space="0"/>
              <w:left w:val="nil"/>
              <w:bottom w:val="single" w:color="auto" w:sz="4" w:space="0"/>
              <w:right w:val="single" w:color="auto" w:sz="4" w:space="0"/>
            </w:tcBorders>
            <w:noWrap w:val="0"/>
            <w:vAlign w:val="center"/>
          </w:tcPr>
          <w:p>
            <w:pPr>
              <w:widowControl/>
              <w:spacing w:line="450" w:lineRule="atLeast"/>
              <w:rPr>
                <w:rFonts w:hint="eastAsia" w:ascii="宋体" w:hAnsi="宋体" w:cs="宋体"/>
                <w:kern w:val="0"/>
                <w:sz w:val="24"/>
                <w:szCs w:val="24"/>
                <w:lang w:bidi="ar"/>
              </w:rPr>
            </w:pPr>
            <w:r>
              <w:rPr>
                <w:rFonts w:hint="eastAsia" w:ascii="宋体" w:hAnsi="宋体" w:cs="宋体"/>
                <w:kern w:val="0"/>
                <w:sz w:val="24"/>
                <w:szCs w:val="24"/>
                <w:lang w:bidi="ar"/>
              </w:rPr>
              <w:t>依托“如法网”平台，加强互联网+企业法律服务工作，对法律援助、司法鉴定、人民调解和律师调解、相对简单的公证事项等推进网上申请、网上办证提供网络保障。</w:t>
            </w:r>
          </w:p>
        </w:tc>
        <w:tc>
          <w:tcPr>
            <w:tcW w:w="214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kern w:val="0"/>
                <w:sz w:val="24"/>
                <w:szCs w:val="24"/>
              </w:rPr>
            </w:pPr>
            <w:r>
              <w:rPr>
                <w:rFonts w:hint="eastAsia" w:ascii="宋体" w:hAnsi="宋体" w:cs="宋体"/>
                <w:kern w:val="0"/>
                <w:sz w:val="24"/>
                <w:szCs w:val="24"/>
              </w:rPr>
              <w:t>信息化建设与法律职业资格管理科</w:t>
            </w:r>
          </w:p>
        </w:tc>
        <w:tc>
          <w:tcPr>
            <w:tcW w:w="123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12月</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8F0E0F"/>
    <w:rsid w:val="678F0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2020-11-27T00:53:00Z</dcterms:created>
  <dc:creator>可苏。</dc:creator>
  <cp:lastModifiedBy>可苏。</cp:lastModifiedBy>
  <dcterms:modified xsi:type="dcterms:W3CDTF">2020-11-27T00:53:40Z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