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</w:trPr>
        <w:tc>
          <w:tcPr>
            <w:tcW w:w="8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right="25" w:rightChars="12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审批意见：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株云环表[2020]14号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一、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湖南泰尔汀起重科技有限公司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投资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800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在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龙头铺街道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卧龙路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新建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年产1500套起重机械、电动葫芦建设项目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该项目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租赁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株洲鼎固机车配件有限公司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生产车间的北面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空置厂房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建筑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面积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约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3200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主要从事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起重机械、电动葫芦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生产，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工艺为切割、焊接、抛丸、喷漆等。项目建成后，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可年产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1500套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起重机械、电动葫芦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二、根据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株洲华晟环保技术有限公司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编制的环境影响报告表结论、专家技术审查意见，在建设单位认真落实各项污染防治措施前提下，从环保角度上分析，同意项目按该环评报告表中确定的规模、地点、内容进行建设。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三、在工程建设中必须严格执行环保“三同时”制度，重点注意以下几个问题。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1.加强大气污染防治。一是抛丸粉尘须经布袋除尘器处理后经排气筒达标排放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；二是焊接废气须经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移动式焊接烟尘净化装置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处理后达标排放；三是喷漆废气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须经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纤维过滤棉装置去除漆雾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UV光解装置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光解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、活性炭装置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吸附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处理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后，经15米高排气筒达标排放。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2.排水系统须采取雨污分流制、清污分流制。生产废水须重复利用，严禁外排；生活污水须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经化粪池处理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达标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市政污水管网排入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云龙污水处理厂。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加强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噪声防护，须选用低声设备，采取降噪隔声措施，合理安排工作时间，减少噪声对周边环境的影响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4.妥善处置固体废物和危险废物。营运期产生的生活垃圾、含油抹布和手套须收集后交由环卫部门处理；废包装材料、废铁屑和废边角料、焊渣和废焊条等须统一收集后须交由专业公司回收处理；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废机油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、含磨削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液铁屑末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油漆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抹布和手套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、废油漆桶、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漆渣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废活性炭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等危险废物须统一收集安置后，交由有资质的单位处理。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400" w:lineRule="atLeast"/>
              <w:ind w:firstLine="48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四、由株洲云龙示范区生态环境局负责该项目“三同时”监督检查及日常监督检查。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五、你单位应在收到本批复后10个工作日内，将批准后的环境影响报告表送株洲云龙示范区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生态环境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局。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六、环境影响报告表经批准后，若项目的性质、规模、地点和环境保护措施等发生重大变动的，须重新报批环境影响报告。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480" w:firstLineChars="200"/>
              <w:jc w:val="righ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株洲市生态环境局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48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9509D"/>
    <w:rsid w:val="04545CA6"/>
    <w:rsid w:val="049236AB"/>
    <w:rsid w:val="0A875556"/>
    <w:rsid w:val="0B6053C4"/>
    <w:rsid w:val="0D053AE0"/>
    <w:rsid w:val="1225037D"/>
    <w:rsid w:val="13697E29"/>
    <w:rsid w:val="13C82FD3"/>
    <w:rsid w:val="219540C6"/>
    <w:rsid w:val="287C257F"/>
    <w:rsid w:val="2C096E9D"/>
    <w:rsid w:val="317449F2"/>
    <w:rsid w:val="38387EDA"/>
    <w:rsid w:val="3B0020C3"/>
    <w:rsid w:val="429B784F"/>
    <w:rsid w:val="44905C46"/>
    <w:rsid w:val="49F9509D"/>
    <w:rsid w:val="4D91290E"/>
    <w:rsid w:val="4E361CF0"/>
    <w:rsid w:val="55991982"/>
    <w:rsid w:val="5F260237"/>
    <w:rsid w:val="61835E98"/>
    <w:rsid w:val="62E213A9"/>
    <w:rsid w:val="631132AE"/>
    <w:rsid w:val="65193D86"/>
    <w:rsid w:val="68D32702"/>
    <w:rsid w:val="6ADA2AB2"/>
    <w:rsid w:val="6B4C61B5"/>
    <w:rsid w:val="6C52154A"/>
    <w:rsid w:val="71007CDB"/>
    <w:rsid w:val="71020A0B"/>
    <w:rsid w:val="71910486"/>
    <w:rsid w:val="738E6AB6"/>
    <w:rsid w:val="7564464D"/>
    <w:rsid w:val="7C9F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customStyle="1" w:styleId="6">
    <w:name w:val="样式1"/>
    <w:basedOn w:val="1"/>
    <w:qFormat/>
    <w:uiPriority w:val="0"/>
    <w:pPr>
      <w:tabs>
        <w:tab w:val="left" w:pos="8820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2019-05-28T08:19:00Z</dcterms:created>
  <dc:creator>么么鱼 </dc:creator>
  <cp:lastModifiedBy>么么鱼 </cp:lastModifiedBy>
  <cp:lastPrinted>2020-10-22T06:39:53Z</cp:lastPrinted>
  <dcterms:modified xsi:type="dcterms:W3CDTF">2020-10-23T02:57:52Z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