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85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613" w:hRule="atLeast"/>
        </w:trPr>
        <w:tc>
          <w:tcPr>
            <w:tcW w:w="8560" w:type="dxa"/>
            <w:noWrap w:val="0"/>
            <w:vAlign w:val="top"/>
          </w:tcPr>
          <w:p>
            <w:pPr>
              <w:keepNext w:val="0"/>
              <w:keepLines w:val="0"/>
              <w:pageBreakBefore w:val="0"/>
              <w:widowControl w:val="0"/>
              <w:tabs>
                <w:tab w:val="left" w:pos="540"/>
              </w:tabs>
              <w:kinsoku/>
              <w:wordWrap/>
              <w:overflowPunct/>
              <w:topLinePunct w:val="0"/>
              <w:autoSpaceDE/>
              <w:autoSpaceDN/>
              <w:bidi w:val="0"/>
              <w:adjustRightInd/>
              <w:snapToGrid w:val="0"/>
              <w:spacing w:line="390" w:lineRule="exact"/>
              <w:ind w:right="25" w:rightChars="12"/>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审批意见：</w:t>
            </w:r>
            <w:r>
              <w:rPr>
                <w:rFonts w:hint="eastAsia" w:ascii="仿宋" w:hAnsi="仿宋" w:eastAsia="仿宋" w:cs="仿宋"/>
                <w:sz w:val="24"/>
                <w:szCs w:val="24"/>
                <w:lang w:val="en-US" w:eastAsia="zh-CN"/>
              </w:rPr>
              <w:t xml:space="preserve">                                       株云环表[2020]11号</w:t>
            </w:r>
          </w:p>
          <w:p>
            <w:pPr>
              <w:keepNext w:val="0"/>
              <w:keepLines w:val="0"/>
              <w:pageBreakBefore w:val="0"/>
              <w:widowControl w:val="0"/>
              <w:numPr>
                <w:ilvl w:val="0"/>
                <w:numId w:val="0"/>
              </w:numPr>
              <w:kinsoku/>
              <w:wordWrap/>
              <w:overflowPunct/>
              <w:topLinePunct w:val="0"/>
              <w:autoSpaceDE/>
              <w:autoSpaceDN/>
              <w:bidi w:val="0"/>
              <w:adjustRightInd/>
              <w:snapToGrid/>
              <w:spacing w:line="39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一、株洲市云龙强力新型建材有限公司拟投资</w:t>
            </w:r>
            <w:r>
              <w:rPr>
                <w:rFonts w:hint="eastAsia" w:ascii="仿宋" w:hAnsi="仿宋" w:eastAsia="仿宋" w:cs="仿宋"/>
                <w:sz w:val="32"/>
                <w:szCs w:val="32"/>
                <w:lang w:val="en-US" w:eastAsia="zh-CN"/>
              </w:rPr>
              <w:t>150</w:t>
            </w:r>
            <w:r>
              <w:rPr>
                <w:rFonts w:hint="eastAsia" w:ascii="仿宋" w:hAnsi="仿宋" w:eastAsia="仿宋" w:cs="仿宋"/>
                <w:sz w:val="32"/>
                <w:szCs w:val="32"/>
                <w:lang w:eastAsia="zh-CN"/>
              </w:rPr>
              <w:t>万元在原厂区（学林办事处大丰社区）</w:t>
            </w:r>
            <w:r>
              <w:rPr>
                <w:rFonts w:hint="eastAsia" w:ascii="仿宋" w:hAnsi="仿宋" w:eastAsia="仿宋" w:cs="仿宋"/>
                <w:color w:val="auto"/>
                <w:sz w:val="32"/>
                <w:szCs w:val="32"/>
                <w:lang w:eastAsia="zh-CN"/>
              </w:rPr>
              <w:t>新建</w:t>
            </w:r>
            <w:r>
              <w:rPr>
                <w:rFonts w:hint="eastAsia" w:ascii="仿宋" w:hAnsi="仿宋" w:eastAsia="仿宋" w:cs="仿宋"/>
                <w:color w:val="auto"/>
                <w:sz w:val="32"/>
                <w:szCs w:val="32"/>
                <w:lang w:val="en-US" w:eastAsia="zh-CN"/>
              </w:rPr>
              <w:t>年产10万吨湿拌砂浆建设项目</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在现有厂区内原址新建一个独立的生产车间，产品主要为防水砂浆和地面砂浆。项目建设完成后预计年产湿拌砂浆10万/t。</w:t>
            </w:r>
          </w:p>
          <w:p>
            <w:pPr>
              <w:keepNext w:val="0"/>
              <w:keepLines w:val="0"/>
              <w:pageBreakBefore w:val="0"/>
              <w:widowControl w:val="0"/>
              <w:numPr>
                <w:ilvl w:val="0"/>
                <w:numId w:val="0"/>
              </w:numPr>
              <w:kinsoku/>
              <w:wordWrap/>
              <w:overflowPunct/>
              <w:topLinePunct w:val="0"/>
              <w:autoSpaceDE/>
              <w:autoSpaceDN/>
              <w:bidi w:val="0"/>
              <w:adjustRightInd/>
              <w:snapToGrid/>
              <w:spacing w:line="39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二、根据</w:t>
            </w:r>
            <w:r>
              <w:rPr>
                <w:rFonts w:hint="eastAsia" w:ascii="仿宋" w:hAnsi="仿宋" w:eastAsia="仿宋" w:cs="仿宋"/>
                <w:sz w:val="32"/>
                <w:szCs w:val="32"/>
                <w:lang w:val="en-US" w:eastAsia="zh-CN"/>
              </w:rPr>
              <w:t>深圳市多瑞环保科技有限公司</w:t>
            </w:r>
            <w:r>
              <w:rPr>
                <w:rFonts w:hint="eastAsia" w:ascii="仿宋" w:hAnsi="仿宋" w:eastAsia="仿宋" w:cs="仿宋"/>
                <w:sz w:val="32"/>
                <w:szCs w:val="32"/>
                <w:lang w:eastAsia="zh-CN"/>
              </w:rPr>
              <w:t>编制的环境影响报告表结论、专家技术审查意见，在建设单位认真落实各项污染防治措施前提下，从环保角度上分析，同意项目按该环评报告表</w:t>
            </w:r>
            <w:r>
              <w:rPr>
                <w:rFonts w:hint="eastAsia" w:ascii="仿宋" w:hAnsi="仿宋" w:eastAsia="仿宋" w:cs="仿宋"/>
                <w:sz w:val="32"/>
                <w:szCs w:val="32"/>
              </w:rPr>
              <w:t>中确定的规模、地点、内容进行建设。</w:t>
            </w:r>
          </w:p>
          <w:p>
            <w:pPr>
              <w:keepNext w:val="0"/>
              <w:keepLines w:val="0"/>
              <w:pageBreakBefore w:val="0"/>
              <w:widowControl w:val="0"/>
              <w:numPr>
                <w:ilvl w:val="0"/>
                <w:numId w:val="0"/>
              </w:numPr>
              <w:kinsoku/>
              <w:wordWrap/>
              <w:overflowPunct/>
              <w:topLinePunct w:val="0"/>
              <w:autoSpaceDE/>
              <w:autoSpaceDN/>
              <w:bidi w:val="0"/>
              <w:adjustRightInd/>
              <w:snapToGrid/>
              <w:spacing w:line="39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三、在工程建设中必须严格执行环保“三同时”制度，重点注意以下几个问题。</w:t>
            </w:r>
          </w:p>
          <w:p>
            <w:pPr>
              <w:keepNext w:val="0"/>
              <w:keepLines w:val="0"/>
              <w:pageBreakBefore w:val="0"/>
              <w:widowControl w:val="0"/>
              <w:numPr>
                <w:ilvl w:val="0"/>
                <w:numId w:val="0"/>
              </w:numPr>
              <w:kinsoku/>
              <w:wordWrap/>
              <w:overflowPunct/>
              <w:topLinePunct w:val="0"/>
              <w:autoSpaceDE/>
              <w:autoSpaceDN/>
              <w:bidi w:val="0"/>
              <w:adjustRightInd/>
              <w:snapToGrid/>
              <w:spacing w:line="39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1.</w:t>
            </w:r>
            <w:r>
              <w:rPr>
                <w:rFonts w:hint="eastAsia" w:ascii="仿宋" w:hAnsi="仿宋" w:eastAsia="仿宋" w:cs="仿宋"/>
                <w:sz w:val="32"/>
                <w:szCs w:val="32"/>
                <w:lang w:eastAsia="zh-CN"/>
              </w:rPr>
              <w:t>做好大气污染防治。一是原料应密闭储存，储存、装卸时须采取喷淋等措施减少扬尘；二是生产区须安装固定喷淋装置，生产时须密闭生产；三是须做好道路扬尘防治，完成厂区硬化，保持进出车辆及道路清洁，安装固定喷淋装置</w:t>
            </w:r>
            <w:r>
              <w:rPr>
                <w:rFonts w:hint="eastAsia" w:ascii="仿宋" w:hAnsi="仿宋" w:eastAsia="仿宋" w:cs="仿宋"/>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做好水污染防治。生活废水须经隔油池、三格式净化池处理后农用不外排；搅拌机清洗废水和运输车辆清洗废水须经沉淀池处理后回用于降尘洒水和清洗用水。</w:t>
            </w:r>
          </w:p>
          <w:p>
            <w:pPr>
              <w:keepNext w:val="0"/>
              <w:keepLines w:val="0"/>
              <w:pageBreakBefore w:val="0"/>
              <w:widowControl w:val="0"/>
              <w:numPr>
                <w:ilvl w:val="0"/>
                <w:numId w:val="0"/>
              </w:numPr>
              <w:kinsoku/>
              <w:wordWrap/>
              <w:overflowPunct/>
              <w:topLinePunct w:val="0"/>
              <w:autoSpaceDE/>
              <w:autoSpaceDN/>
              <w:bidi w:val="0"/>
              <w:adjustRightInd/>
              <w:snapToGrid/>
              <w:spacing w:line="39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做好噪声防护。须采取</w:t>
            </w:r>
            <w:r>
              <w:rPr>
                <w:rFonts w:hint="eastAsia" w:ascii="仿宋" w:hAnsi="仿宋" w:eastAsia="仿宋" w:cs="仿宋"/>
                <w:sz w:val="32"/>
                <w:szCs w:val="32"/>
              </w:rPr>
              <w:t>隔声</w:t>
            </w:r>
            <w:r>
              <w:rPr>
                <w:rFonts w:hint="eastAsia" w:ascii="仿宋" w:hAnsi="仿宋" w:eastAsia="仿宋" w:cs="仿宋"/>
                <w:sz w:val="32"/>
                <w:szCs w:val="32"/>
                <w:lang w:eastAsia="zh-CN"/>
              </w:rPr>
              <w:t>、</w:t>
            </w:r>
            <w:r>
              <w:rPr>
                <w:rFonts w:hint="eastAsia" w:ascii="仿宋" w:hAnsi="仿宋" w:eastAsia="仿宋" w:cs="仿宋"/>
                <w:sz w:val="32"/>
                <w:szCs w:val="32"/>
              </w:rPr>
              <w:t>减振</w:t>
            </w:r>
            <w:r>
              <w:rPr>
                <w:rFonts w:hint="eastAsia" w:ascii="仿宋" w:hAnsi="仿宋" w:eastAsia="仿宋" w:cs="仿宋"/>
                <w:sz w:val="32"/>
                <w:szCs w:val="32"/>
                <w:lang w:eastAsia="zh-CN"/>
              </w:rPr>
              <w:t>等噪声污染防治</w:t>
            </w:r>
            <w:r>
              <w:rPr>
                <w:rFonts w:hint="eastAsia" w:ascii="仿宋" w:hAnsi="仿宋" w:eastAsia="仿宋" w:cs="仿宋"/>
                <w:sz w:val="32"/>
                <w:szCs w:val="32"/>
              </w:rPr>
              <w:t>措施</w:t>
            </w:r>
            <w:r>
              <w:rPr>
                <w:rFonts w:hint="eastAsia" w:ascii="仿宋" w:hAnsi="仿宋" w:eastAsia="仿宋" w:cs="仿宋"/>
                <w:sz w:val="32"/>
                <w:szCs w:val="32"/>
                <w:lang w:eastAsia="zh-CN"/>
              </w:rPr>
              <w:t>减少噪声对周边环境的影响。</w:t>
            </w:r>
          </w:p>
          <w:p>
            <w:pPr>
              <w:keepNext w:val="0"/>
              <w:keepLines w:val="0"/>
              <w:pageBreakBefore w:val="0"/>
              <w:widowControl w:val="0"/>
              <w:numPr>
                <w:ilvl w:val="0"/>
                <w:numId w:val="0"/>
              </w:numPr>
              <w:kinsoku/>
              <w:wordWrap/>
              <w:overflowPunct/>
              <w:topLinePunct w:val="0"/>
              <w:autoSpaceDE/>
              <w:autoSpaceDN/>
              <w:bidi w:val="0"/>
              <w:adjustRightInd/>
              <w:snapToGrid/>
              <w:spacing w:line="39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4.妥善处理固体废物。沉淀池产生的沉渣须统一收集后外售砖厂；车间沉淀池沉渣、生产时产生的粉尘须收集后回用；生活垃圾须收集后交由环卫部门处理；</w:t>
            </w:r>
            <w:r>
              <w:rPr>
                <w:rFonts w:hint="eastAsia" w:ascii="仿宋" w:hAnsi="仿宋" w:eastAsia="仿宋" w:cs="仿宋"/>
                <w:sz w:val="32"/>
                <w:szCs w:val="32"/>
                <w:lang w:eastAsia="zh-CN"/>
              </w:rPr>
              <w:t>废机油等危险废物须统一收集后交由有资质的单位处理。</w:t>
            </w:r>
          </w:p>
          <w:p>
            <w:pPr>
              <w:keepNext w:val="0"/>
              <w:keepLines w:val="0"/>
              <w:pageBreakBefore w:val="0"/>
              <w:widowControl w:val="0"/>
              <w:numPr>
                <w:ilvl w:val="0"/>
                <w:numId w:val="0"/>
              </w:numPr>
              <w:kinsoku/>
              <w:wordWrap/>
              <w:overflowPunct/>
              <w:topLinePunct w:val="0"/>
              <w:autoSpaceDE/>
              <w:autoSpaceDN/>
              <w:bidi w:val="0"/>
              <w:adjustRightInd/>
              <w:snapToGrid/>
              <w:spacing w:line="3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四、由株洲云龙示范区生态环境局负责该项目“三同时”监督检查及日常监督检查。</w:t>
            </w:r>
          </w:p>
          <w:p>
            <w:pPr>
              <w:keepNext w:val="0"/>
              <w:keepLines w:val="0"/>
              <w:pageBreakBefore w:val="0"/>
              <w:widowControl w:val="0"/>
              <w:numPr>
                <w:ilvl w:val="0"/>
                <w:numId w:val="0"/>
              </w:numPr>
              <w:kinsoku/>
              <w:wordWrap/>
              <w:overflowPunct/>
              <w:topLinePunct w:val="0"/>
              <w:autoSpaceDE/>
              <w:autoSpaceDN/>
              <w:bidi w:val="0"/>
              <w:adjustRightInd/>
              <w:snapToGrid/>
              <w:spacing w:line="3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五、你单位应在收到本批复后10个工作日内，将批准后的环境影响报告表送株洲云龙示范区生态环境局。                                </w:t>
            </w:r>
          </w:p>
          <w:p>
            <w:pPr>
              <w:keepNext w:val="0"/>
              <w:keepLines w:val="0"/>
              <w:pageBreakBefore w:val="0"/>
              <w:widowControl w:val="0"/>
              <w:numPr>
                <w:ilvl w:val="0"/>
                <w:numId w:val="0"/>
              </w:numPr>
              <w:kinsoku/>
              <w:wordWrap/>
              <w:overflowPunct/>
              <w:topLinePunct w:val="0"/>
              <w:autoSpaceDE/>
              <w:autoSpaceDN/>
              <w:bidi w:val="0"/>
              <w:adjustRightInd/>
              <w:snapToGrid/>
              <w:spacing w:line="3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六、环境影响报告表经批准后，若项目的性质、规模、地点和环境保护措施等发生重大变动的，须重新报备环境影响评价文件。</w:t>
            </w:r>
          </w:p>
          <w:p>
            <w:pPr>
              <w:keepNext w:val="0"/>
              <w:keepLines w:val="0"/>
              <w:pageBreakBefore w:val="0"/>
              <w:widowControl w:val="0"/>
              <w:numPr>
                <w:ilvl w:val="0"/>
                <w:numId w:val="0"/>
              </w:numPr>
              <w:kinsoku/>
              <w:wordWrap/>
              <w:overflowPunct/>
              <w:topLinePunct w:val="0"/>
              <w:autoSpaceDE/>
              <w:autoSpaceDN/>
              <w:bidi w:val="0"/>
              <w:adjustRightInd/>
              <w:snapToGrid/>
              <w:spacing w:line="390" w:lineRule="exact"/>
              <w:ind w:firstLine="640" w:firstLineChars="200"/>
              <w:textAlignment w:val="auto"/>
              <w:rPr>
                <w:rFonts w:hint="eastAsia" w:ascii="仿宋" w:hAnsi="仿宋" w:eastAsia="仿宋" w:cs="仿宋"/>
                <w:sz w:val="32"/>
                <w:szCs w:val="32"/>
                <w:lang w:val="en-US" w:eastAsia="zh-CN"/>
              </w:rPr>
            </w:pPr>
          </w:p>
          <w:p>
            <w:pPr>
              <w:keepNext w:val="0"/>
              <w:keepLines w:val="0"/>
              <w:pageBreakBefore w:val="0"/>
              <w:widowControl w:val="0"/>
              <w:numPr>
                <w:ilvl w:val="0"/>
                <w:numId w:val="0"/>
              </w:numPr>
              <w:kinsoku/>
              <w:wordWrap w:val="0"/>
              <w:overflowPunct/>
              <w:topLinePunct w:val="0"/>
              <w:autoSpaceDE/>
              <w:autoSpaceDN/>
              <w:bidi w:val="0"/>
              <w:adjustRightInd/>
              <w:snapToGrid/>
              <w:spacing w:line="390" w:lineRule="exact"/>
              <w:ind w:firstLine="640" w:firstLineChars="200"/>
              <w:jc w:val="righ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株洲市生态环境局    </w:t>
            </w:r>
          </w:p>
          <w:p>
            <w:pPr>
              <w:keepNext w:val="0"/>
              <w:keepLines w:val="0"/>
              <w:pageBreakBefore w:val="0"/>
              <w:widowControl w:val="0"/>
              <w:numPr>
                <w:ilvl w:val="0"/>
                <w:numId w:val="0"/>
              </w:numPr>
              <w:kinsoku/>
              <w:wordWrap w:val="0"/>
              <w:overflowPunct/>
              <w:topLinePunct w:val="0"/>
              <w:autoSpaceDE/>
              <w:autoSpaceDN/>
              <w:bidi w:val="0"/>
              <w:adjustRightInd/>
              <w:snapToGrid/>
              <w:spacing w:line="390" w:lineRule="exact"/>
              <w:ind w:firstLine="640" w:firstLineChars="200"/>
              <w:jc w:val="right"/>
              <w:textAlignment w:val="auto"/>
              <w:rPr>
                <w:rFonts w:hint="default" w:ascii="仿宋" w:hAnsi="仿宋" w:eastAsia="仿宋" w:cs="仿宋"/>
                <w:sz w:val="24"/>
                <w:szCs w:val="24"/>
                <w:lang w:val="en-US" w:eastAsia="zh-CN"/>
              </w:rPr>
            </w:pPr>
            <w:r>
              <w:rPr>
                <w:rFonts w:hint="eastAsia" w:ascii="仿宋" w:hAnsi="仿宋" w:eastAsia="仿宋" w:cs="仿宋"/>
                <w:sz w:val="32"/>
                <w:szCs w:val="32"/>
                <w:lang w:val="en-US" w:eastAsia="zh-CN"/>
              </w:rPr>
              <w:t>2020年9月15</w:t>
            </w:r>
            <w:bookmarkStart w:id="0" w:name="_GoBack"/>
            <w:bookmarkEnd w:id="0"/>
            <w:r>
              <w:rPr>
                <w:rFonts w:hint="eastAsia" w:ascii="仿宋" w:hAnsi="仿宋" w:eastAsia="仿宋" w:cs="仿宋"/>
                <w:sz w:val="32"/>
                <w:szCs w:val="32"/>
                <w:lang w:val="en-US" w:eastAsia="zh-CN"/>
              </w:rPr>
              <w:t xml:space="preserve">日 </w:t>
            </w:r>
            <w:r>
              <w:rPr>
                <w:rFonts w:hint="eastAsia" w:ascii="仿宋" w:hAnsi="仿宋" w:eastAsia="仿宋" w:cs="仿宋"/>
                <w:sz w:val="24"/>
                <w:szCs w:val="24"/>
                <w:lang w:val="en-US" w:eastAsia="zh-CN"/>
              </w:rPr>
              <w:t xml:space="preserve">    </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F9509D"/>
    <w:rsid w:val="04545CA6"/>
    <w:rsid w:val="049236AB"/>
    <w:rsid w:val="0A875556"/>
    <w:rsid w:val="0B6053C4"/>
    <w:rsid w:val="0D053AE0"/>
    <w:rsid w:val="19F2287F"/>
    <w:rsid w:val="2ACB3CC3"/>
    <w:rsid w:val="2C2731C8"/>
    <w:rsid w:val="2D25444E"/>
    <w:rsid w:val="317449F2"/>
    <w:rsid w:val="38387EDA"/>
    <w:rsid w:val="3B0020C3"/>
    <w:rsid w:val="429B784F"/>
    <w:rsid w:val="44905C46"/>
    <w:rsid w:val="49F9509D"/>
    <w:rsid w:val="4D91290E"/>
    <w:rsid w:val="61835E98"/>
    <w:rsid w:val="62E213A9"/>
    <w:rsid w:val="65193D86"/>
    <w:rsid w:val="6ADA2AB2"/>
    <w:rsid w:val="6C52154A"/>
    <w:rsid w:val="71020A0B"/>
    <w:rsid w:val="7DF83B64"/>
    <w:rsid w:val="7FE44D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spacing w:after="120" w:afterLines="0" w:line="240" w:lineRule="auto"/>
      <w:ind w:left="420" w:leftChars="200" w:firstLine="420" w:firstLineChars="200"/>
    </w:pPr>
    <w:rPr>
      <w:sz w:val="21"/>
      <w:szCs w:val="24"/>
    </w:rPr>
  </w:style>
  <w:style w:type="paragraph" w:styleId="3">
    <w:name w:val="Body Text Indent"/>
    <w:basedOn w:val="1"/>
    <w:qFormat/>
    <w:uiPriority w:val="0"/>
    <w:pPr>
      <w:spacing w:line="460" w:lineRule="exact"/>
      <w:ind w:firstLine="561"/>
      <w:jc w:val="left"/>
    </w:pPr>
    <w:rPr>
      <w:sz w:val="28"/>
    </w:rPr>
  </w:style>
  <w:style w:type="paragraph" w:styleId="4">
    <w:name w:val="Plain Text"/>
    <w:basedOn w:val="1"/>
    <w:qFormat/>
    <w:uiPriority w:val="0"/>
    <w:rPr>
      <w:rFonts w:ascii="宋体" w:hAnsi="Courier New"/>
      <w:szCs w:val="20"/>
    </w:rPr>
  </w:style>
  <w:style w:type="paragraph" w:customStyle="1" w:styleId="7">
    <w:name w:val="Default"/>
    <w:unhideWhenUsed/>
    <w:qFormat/>
    <w:uiPriority w:val="99"/>
    <w:pPr>
      <w:widowControl w:val="0"/>
      <w:autoSpaceDE w:val="0"/>
      <w:autoSpaceDN w:val="0"/>
      <w:adjustRightInd w:val="0"/>
    </w:pPr>
    <w:rPr>
      <w:rFonts w:ascii="宋体" w:hAnsi="宋体" w:eastAsia="宋体" w:cs="Times New Roman"/>
      <w:color w:val="000000"/>
      <w:sz w:val="24"/>
      <w:lang w:val="en-US" w:eastAsia="zh-CN" w:bidi="ar-SA"/>
    </w:rPr>
  </w:style>
  <w:style w:type="paragraph" w:customStyle="1" w:styleId="8">
    <w:name w:val="样式1"/>
    <w:basedOn w:val="1"/>
    <w:qFormat/>
    <w:uiPriority w:val="0"/>
    <w:pPr>
      <w:tabs>
        <w:tab w:val="left" w:pos="8820"/>
      </w:tabs>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2019-05-28T08:19:00Z</dcterms:created>
  <dc:creator>么么鱼 </dc:creator>
  <cp:lastModifiedBy>么么鱼 </cp:lastModifiedBy>
  <cp:lastPrinted>2020-09-15T08:00:16Z</cp:lastPrinted>
  <dcterms:modified xsi:type="dcterms:W3CDTF">2020-09-15T08:04:31Z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