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_GBK"/>
          <w:sz w:val="36"/>
          <w:szCs w:val="36"/>
        </w:rPr>
      </w:pPr>
      <w:r>
        <w:rPr>
          <w:rFonts w:hint="eastAsia" w:eastAsia="方正小标宋_GBK"/>
          <w:sz w:val="36"/>
          <w:szCs w:val="36"/>
          <w:lang w:val="en-US" w:eastAsia="zh-CN"/>
        </w:rPr>
        <w:t>炎陵县九龙工业园管理委员会2019年度</w:t>
      </w:r>
      <w:r>
        <w:rPr>
          <w:rFonts w:eastAsia="方正小标宋_GBK"/>
          <w:sz w:val="36"/>
          <w:szCs w:val="36"/>
        </w:rPr>
        <w:t>部门</w:t>
      </w:r>
    </w:p>
    <w:p>
      <w:pPr>
        <w:spacing w:line="600" w:lineRule="exact"/>
        <w:jc w:val="center"/>
        <w:rPr>
          <w:rFonts w:eastAsia="方正小标宋_GBK"/>
          <w:sz w:val="36"/>
          <w:szCs w:val="36"/>
        </w:rPr>
      </w:pPr>
      <w:r>
        <w:rPr>
          <w:rFonts w:eastAsia="方正小标宋_GBK"/>
          <w:sz w:val="36"/>
          <w:szCs w:val="36"/>
        </w:rPr>
        <w:t>整体支出绩效评价报告</w:t>
      </w:r>
    </w:p>
    <w:p>
      <w:pPr>
        <w:spacing w:line="600" w:lineRule="exact"/>
        <w:jc w:val="center"/>
        <w:rPr>
          <w:rFonts w:eastAsia="方正小标宋_GBK"/>
          <w:sz w:val="36"/>
          <w:szCs w:val="36"/>
        </w:rPr>
      </w:pPr>
    </w:p>
    <w:p>
      <w:pPr>
        <w:pStyle w:val="5"/>
        <w:shd w:val="clear" w:color="auto" w:fill="FFFFFF"/>
        <w:spacing w:before="0" w:beforeAutospacing="0" w:after="0" w:afterAutospacing="0" w:line="540" w:lineRule="exact"/>
        <w:ind w:firstLine="480"/>
        <w:jc w:val="both"/>
        <w:rPr>
          <w:rFonts w:hint="eastAsia" w:ascii="黑体" w:hAnsi="黑体" w:eastAsia="黑体" w:cs="黑体"/>
          <w:b/>
          <w:color w:val="333333"/>
          <w:sz w:val="32"/>
          <w:szCs w:val="32"/>
        </w:rPr>
      </w:pPr>
      <w:r>
        <w:rPr>
          <w:rFonts w:hint="eastAsia" w:asciiTheme="minorEastAsia" w:hAnsiTheme="minorEastAsia" w:eastAsiaTheme="minorEastAsia"/>
          <w:b/>
          <w:color w:val="333333"/>
          <w:sz w:val="32"/>
          <w:szCs w:val="32"/>
        </w:rPr>
        <w:t>一</w:t>
      </w:r>
      <w:r>
        <w:rPr>
          <w:rFonts w:hint="eastAsia" w:ascii="黑体" w:hAnsi="黑体" w:eastAsia="黑体" w:cs="黑体"/>
          <w:b/>
          <w:color w:val="333333"/>
          <w:sz w:val="32"/>
          <w:szCs w:val="32"/>
        </w:rPr>
        <w:t>、</w:t>
      </w:r>
      <w:r>
        <w:rPr>
          <w:rFonts w:hint="eastAsia" w:ascii="黑体" w:hAnsi="黑体" w:eastAsia="黑体" w:cs="黑体"/>
          <w:b/>
          <w:color w:val="333333"/>
          <w:sz w:val="32"/>
          <w:szCs w:val="32"/>
          <w:lang w:eastAsia="zh-CN"/>
        </w:rPr>
        <w:t>部门、</w:t>
      </w:r>
      <w:r>
        <w:rPr>
          <w:rFonts w:hint="eastAsia" w:ascii="黑体" w:hAnsi="黑体" w:eastAsia="黑体" w:cs="黑体"/>
          <w:b/>
          <w:color w:val="333333"/>
          <w:sz w:val="32"/>
          <w:szCs w:val="32"/>
        </w:rPr>
        <w:t>单位基本情况</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（一）基本情况</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炎陵县</w:t>
      </w:r>
      <w:r>
        <w:rPr>
          <w:rFonts w:hint="eastAsia" w:ascii="仿宋_GB2312" w:hAnsi="仿宋_GB2312" w:eastAsia="仿宋_GB2312" w:cs="仿宋_GB2312"/>
          <w:color w:val="333333"/>
          <w:sz w:val="32"/>
          <w:szCs w:val="32"/>
        </w:rPr>
        <w:t>九龙工业园管理委员会为全额拨款参公事业单位，内设科室有办公室、规划建设科、招商产业科、企业服务科、财政金融科、九龙社会事务局六个科室。2019年县编办核实人员编制数为27人，年末实有在职人员25人。</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（二）主要工作职责</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1.贯彻执行国家有关对工业园区开发的方针、政策，落实省、市、区有关对工业园区开发的文件精神，并结合实际拟订具体的实施和管理办法。</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2.根据区城市总体规划和园区产业发展，负责编制并组织实施工业园区总体发展规划以及控制性详细规划。</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3.负责优化工业园区投资环境，开展和落实全区的招商引资工作。</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4.负责园区融资工作和归口管理九龙工业园龙酃实业开发有限公司。</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5.负责工业园区基础设施建设，协调企业的各种行政性审批事项，根据投资项目的规划、定点和施工，负责企业用地的放样和企业厂房规划与设计的审核。</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6.负责工业园区精神文明建设，协助有关部门做好企业用工和社会劳动保障等工作。</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7.负责工业园区经济运行及有关涉外事务，协调和沟通工业园区企业间、企业与各方面之间的关系。</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8.协助工业园区企业搞好安全生产、环境保护、绿化美化亮化、计划生育和综合治理等工作。</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9.承办县委、县人民政府交办的其他工作。</w:t>
      </w:r>
    </w:p>
    <w:p>
      <w:pPr>
        <w:pStyle w:val="5"/>
        <w:shd w:val="clear" w:color="auto" w:fill="FFFFFF"/>
        <w:spacing w:before="0" w:beforeAutospacing="0" w:after="0" w:afterAutospacing="0" w:line="540" w:lineRule="exact"/>
        <w:ind w:firstLine="480"/>
        <w:jc w:val="both"/>
        <w:rPr>
          <w:rFonts w:hint="eastAsia" w:ascii="黑体" w:hAnsi="黑体" w:eastAsia="黑体" w:cs="黑体"/>
          <w:b/>
          <w:color w:val="333333"/>
          <w:sz w:val="32"/>
          <w:szCs w:val="32"/>
        </w:rPr>
      </w:pPr>
      <w:r>
        <w:rPr>
          <w:rFonts w:hint="eastAsia" w:ascii="黑体" w:hAnsi="黑体" w:eastAsia="黑体" w:cs="黑体"/>
          <w:b/>
          <w:color w:val="333333"/>
          <w:sz w:val="32"/>
          <w:szCs w:val="32"/>
        </w:rPr>
        <w:t>二、一般公共预算支出情况</w:t>
      </w:r>
    </w:p>
    <w:p>
      <w:pPr>
        <w:pStyle w:val="5"/>
        <w:shd w:val="clear" w:color="auto" w:fill="FFFFFF"/>
        <w:spacing w:before="0" w:beforeAutospacing="0" w:after="0" w:afterAutospacing="0" w:line="540" w:lineRule="exac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（一）基本支出情况</w:t>
      </w:r>
    </w:p>
    <w:p>
      <w:pPr>
        <w:pStyle w:val="11"/>
        <w:widowControl/>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2019年一般公共预算支出10262.56万元，占总支出的79.53%；</w:t>
      </w:r>
    </w:p>
    <w:p>
      <w:pPr>
        <w:pStyle w:val="11"/>
        <w:widowControl/>
        <w:spacing w:line="60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（一）基本支出情况</w:t>
      </w:r>
    </w:p>
    <w:p>
      <w:pPr>
        <w:pStyle w:val="11"/>
        <w:widowControl/>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847.12万元，占一般公共预算支出的8.25%。按经济科目分类：工资福利支出292.17万元、商品和服务支出412.32万元、对个人和家庭的补助12.5万元、对企业补助130.13万元。按政府功能科目分类：社会保障和就业支出34.72万元、卫生健康支出16.86万元、农林水支出7.5万元、资源勘探信息等支出725.01万元、住房保障支出63.03万元。</w:t>
      </w:r>
    </w:p>
    <w:p>
      <w:pPr>
        <w:pStyle w:val="11"/>
        <w:widowControl/>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2019年“三公”经费预算数为3.22万元，其中公务接待费预算数3.22万元、公务用车运行维护费0万元。“三公”经费决算数为0万元，结转下年支出3.22万元。</w:t>
      </w:r>
    </w:p>
    <w:p>
      <w:pPr>
        <w:pStyle w:val="11"/>
        <w:widowControl/>
        <w:numPr>
          <w:ilvl w:val="0"/>
          <w:numId w:val="1"/>
        </w:numPr>
        <w:spacing w:line="60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项目支出情况</w:t>
      </w:r>
    </w:p>
    <w:p>
      <w:pPr>
        <w:pStyle w:val="11"/>
        <w:widowControl/>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9415.44万元，占一般公共预算支出的91.75%。按项目支出功能科目分类：一般公共服务支出2750.62万元、教育支出1577.45万元、科学技术支出1946.36万元、节能环保支出125.94万元、城乡社区支出2848.07万元、资源勘探信息等支出167万元。</w:t>
      </w:r>
    </w:p>
    <w:p>
      <w:pPr>
        <w:pStyle w:val="11"/>
        <w:widowControl/>
        <w:numPr>
          <w:ilvl w:val="0"/>
          <w:numId w:val="2"/>
        </w:numPr>
        <w:spacing w:line="600" w:lineRule="exact"/>
        <w:ind w:left="640" w:firstLine="0" w:firstLineChars="0"/>
        <w:jc w:val="left"/>
        <w:rPr>
          <w:rFonts w:hint="eastAsia" w:ascii="黑体" w:hAnsi="黑体" w:eastAsia="黑体" w:cs="黑体"/>
          <w:b/>
          <w:sz w:val="32"/>
          <w:szCs w:val="32"/>
        </w:rPr>
      </w:pPr>
      <w:r>
        <w:rPr>
          <w:rFonts w:hint="eastAsia" w:ascii="黑体" w:hAnsi="黑体" w:eastAsia="黑体" w:cs="黑体"/>
          <w:b/>
          <w:sz w:val="32"/>
          <w:szCs w:val="32"/>
        </w:rPr>
        <w:t>政府性基金预算支出情况</w:t>
      </w:r>
    </w:p>
    <w:p>
      <w:pPr>
        <w:pStyle w:val="11"/>
        <w:widowControl/>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2019年政府性基金预算支出2640.53万元，占总支出的20.47%。项目支出功能科目为城乡社区支出2640.53万元。</w:t>
      </w:r>
    </w:p>
    <w:p>
      <w:pPr>
        <w:pStyle w:val="11"/>
        <w:widowControl/>
        <w:numPr>
          <w:ilvl w:val="0"/>
          <w:numId w:val="2"/>
        </w:numPr>
        <w:spacing w:line="600" w:lineRule="exact"/>
        <w:ind w:left="640" w:firstLine="0" w:firstLineChars="0"/>
        <w:jc w:val="left"/>
        <w:rPr>
          <w:rFonts w:hint="eastAsia" w:ascii="黑体" w:hAnsi="黑体" w:eastAsia="黑体" w:cs="黑体"/>
          <w:b/>
          <w:sz w:val="32"/>
          <w:szCs w:val="32"/>
        </w:rPr>
      </w:pPr>
      <w:r>
        <w:rPr>
          <w:rFonts w:hint="eastAsia" w:ascii="黑体" w:hAnsi="黑体" w:eastAsia="黑体" w:cs="黑体"/>
          <w:b/>
          <w:sz w:val="32"/>
          <w:szCs w:val="32"/>
        </w:rPr>
        <w:t>社会保险基金预算支出情况</w:t>
      </w:r>
    </w:p>
    <w:p>
      <w:pPr>
        <w:pStyle w:val="11"/>
        <w:widowControl/>
        <w:spacing w:line="600" w:lineRule="exact"/>
        <w:ind w:left="64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2019年无社会保险基金预算支出。</w:t>
      </w:r>
    </w:p>
    <w:p>
      <w:pPr>
        <w:widowControl/>
        <w:spacing w:line="600" w:lineRule="exact"/>
        <w:ind w:firstLine="645"/>
        <w:jc w:val="left"/>
        <w:rPr>
          <w:rFonts w:hint="eastAsia" w:ascii="黑体" w:hAnsi="黑体" w:eastAsia="黑体" w:cs="黑体"/>
          <w:b/>
          <w:sz w:val="32"/>
          <w:szCs w:val="32"/>
        </w:rPr>
      </w:pPr>
      <w:r>
        <w:rPr>
          <w:rFonts w:hint="eastAsia" w:ascii="黑体" w:hAnsi="黑体" w:eastAsia="黑体" w:cs="黑体"/>
          <w:b/>
          <w:sz w:val="32"/>
          <w:szCs w:val="32"/>
        </w:rPr>
        <w:t>五、部门整体支出绩效情况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2019年，炎陵工业集中区认真贯彻落实市、县“产业项目建设”和“园区转型升级”发展要求，积极应对经济下行形势，攻坚克难，爬坡过坎，各项工作取得一定成绩，总体概括为“一好、两明显、三推进”。</w:t>
      </w:r>
    </w:p>
    <w:p>
      <w:pPr>
        <w:pStyle w:val="13"/>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“一好”即经济指标稳中向好</w:t>
      </w:r>
    </w:p>
    <w:p>
      <w:pPr>
        <w:pStyle w:val="13"/>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2019年，经济形势总体下行，但在市委、市政府，县委、县政府的坚强领导下，在市园区办的精心指导下，园区经济实现了稳中向好的形势。全年</w:t>
      </w:r>
      <w:r>
        <w:rPr>
          <w:rFonts w:hint="eastAsia" w:ascii="仿宋_GB2312" w:hAnsi="仿宋_GB2312" w:eastAsia="仿宋_GB2312" w:cs="仿宋_GB2312"/>
          <w:bCs/>
          <w:sz w:val="32"/>
          <w:szCs w:val="32"/>
        </w:rPr>
        <w:t>完成技工贸总收入83.81亿元，同比增长10.76%；完成固定资产投资40亿元，同比增长24%；完成工业增加值31.02亿元，同比增长28.28%；入库税收6.18亿元；</w:t>
      </w:r>
      <w:r>
        <w:rPr>
          <w:rFonts w:hint="eastAsia" w:ascii="仿宋_GB2312" w:hAnsi="仿宋_GB2312" w:eastAsia="仿宋_GB2312" w:cs="仿宋_GB2312"/>
          <w:sz w:val="32"/>
          <w:szCs w:val="32"/>
        </w:rPr>
        <w:t>完成高新技术产值29亿元；新增规模以上企业6家。</w:t>
      </w:r>
    </w:p>
    <w:p>
      <w:pPr>
        <w:pStyle w:val="13"/>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“两明显”即产业建设特色明显、改革创新实效明显</w:t>
      </w:r>
    </w:p>
    <w:p>
      <w:pPr>
        <w:pStyle w:val="2"/>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一是产业建设特色明显。一是传统产业提质升级。</w:t>
      </w:r>
      <w:r>
        <w:rPr>
          <w:rFonts w:hint="eastAsia" w:ascii="仿宋_GB2312" w:hAnsi="仿宋_GB2312" w:eastAsia="仿宋_GB2312" w:cs="仿宋_GB2312"/>
          <w:sz w:val="32"/>
          <w:szCs w:val="32"/>
        </w:rPr>
        <w:t>纺织产业是园区的传统主导产业，近年来，以东信、万昌、银太为代表的纺织企业不断淘汰落后产能，持续进行技术改造，引进国内外尖端纺织设备进行设备升级，在当前经济形势下能保生产、保稳定，并保持了一定的增长。据统计，2019年，东信、万昌、银太分别缴纳税收523.3万元、232.2万元、329.2万元。</w:t>
      </w:r>
      <w:r>
        <w:rPr>
          <w:rFonts w:hint="eastAsia" w:ascii="仿宋_GB2312" w:hAnsi="仿宋_GB2312" w:eastAsia="仿宋_GB2312" w:cs="仿宋_GB2312"/>
          <w:b/>
          <w:bCs/>
          <w:sz w:val="32"/>
          <w:szCs w:val="32"/>
        </w:rPr>
        <w:t>二是主导产业集聚集群。</w:t>
      </w:r>
      <w:r>
        <w:rPr>
          <w:rFonts w:hint="eastAsia" w:ascii="仿宋_GB2312" w:hAnsi="仿宋_GB2312" w:eastAsia="仿宋_GB2312" w:cs="仿宋_GB2312"/>
          <w:sz w:val="32"/>
          <w:szCs w:val="32"/>
        </w:rPr>
        <w:t>新材料产业为炎陵特色主导产业，近年来发展迅速，涌现了一大批骨干龙头企业和“小巨人”企业，聚集了以欧科亿、泰鼎新材等为代表的新材料企业，非金属硬质材料“石墨—人造金刚石—金刚石制品”产业链闭环基本形成，钨、钽、铌、钛等金属硬质材料加工与株硬集团等龙头企业形成跨区域合作与配套。</w:t>
      </w:r>
      <w:r>
        <w:rPr>
          <w:rFonts w:hint="eastAsia" w:ascii="仿宋_GB2312" w:hAnsi="仿宋_GB2312" w:eastAsia="仿宋_GB2312" w:cs="仿宋_GB2312"/>
          <w:b/>
          <w:color w:val="000000"/>
          <w:sz w:val="32"/>
          <w:szCs w:val="32"/>
        </w:rPr>
        <w:t>三是新兴产业渐成规模。</w:t>
      </w:r>
      <w:r>
        <w:rPr>
          <w:rFonts w:hint="eastAsia" w:ascii="仿宋_GB2312" w:hAnsi="仿宋_GB2312" w:eastAsia="仿宋_GB2312" w:cs="仿宋_GB2312"/>
          <w:bCs/>
          <w:sz w:val="32"/>
          <w:szCs w:val="32"/>
        </w:rPr>
        <w:t>随着国声声学、全康智能家电等项目入园，电子信息产业发展迅速</w:t>
      </w:r>
      <w:r>
        <w:rPr>
          <w:rFonts w:hint="eastAsia" w:ascii="仿宋_GB2312" w:hAnsi="仿宋_GB2312" w:eastAsia="仿宋_GB2312" w:cs="仿宋_GB2312"/>
          <w:sz w:val="32"/>
          <w:szCs w:val="32"/>
        </w:rPr>
        <w:t xml:space="preserve">。目前，国声声学建成耳机&amp;音箱生产线60条，安排就业3500人，拟打造集声学研究、音乐演艺、旅游文化于一体的声学文化生态圈；全康智能家电致力于打造炎陵智能家电产业链，目前已经形成了“1+5”产业体系。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二是改革创新实效明显。</w:t>
      </w:r>
      <w:r>
        <w:rPr>
          <w:rFonts w:hint="eastAsia" w:ascii="仿宋_GB2312" w:hAnsi="仿宋_GB2312" w:eastAsia="仿宋_GB2312" w:cs="仿宋_GB2312"/>
          <w:sz w:val="32"/>
          <w:szCs w:val="32"/>
        </w:rPr>
        <w:t>2019年，市园区办对炎陵工业集中区体制机制改革有6项任务，即：园区开发公司转型发展、财政体制改革、绩效薪酬制度改革、推进产业链发展、园区转型升级、理顺管理体制。2019年，出台了平台公司转型发展方案、园区财政管理体制实施办法、绩效薪酬管理制度和竞聘上岗方案；完成自主可控及信息安全产业链、新进硬质材料产业链“一划两图七清单”等产业链发展任务；8月份完成省高新区申报工作；完成了中小企业创业园归并管理工作，并将园区三村社会事务移交霞阳镇管理，园区剥离社会事务职能。6项任务，除财政体制改革、绩效薪酬制度改革需持续推进外，其他4项均通过考核验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“三推进”即项目建设克难推进、标厂建设稳步推进、党的建设全面推进</w:t>
      </w:r>
      <w:r>
        <w:rPr>
          <w:rFonts w:hint="eastAsia" w:ascii="仿宋_GB2312" w:hAnsi="仿宋_GB2312" w:eastAsia="仿宋_GB2312" w:cs="仿宋_GB2312"/>
          <w:sz w:val="32"/>
          <w:szCs w:val="32"/>
          <w:lang w:eastAsia="zh-CN"/>
        </w:rPr>
        <w:t>。</w:t>
      </w:r>
    </w:p>
    <w:p>
      <w:pPr>
        <w:pStyle w:val="13"/>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一是项目建设克难推进。</w:t>
      </w:r>
      <w:r>
        <w:rPr>
          <w:rFonts w:hint="eastAsia" w:ascii="仿宋_GB2312" w:hAnsi="仿宋_GB2312" w:eastAsia="仿宋_GB2312" w:cs="仿宋_GB2312"/>
          <w:sz w:val="32"/>
          <w:szCs w:val="32"/>
        </w:rPr>
        <w:t>2019年，新引进项目15个，如博友纳米、炎龙铸造、南方钽铌、湘婷纺织等，合同引资总额43.6亿元；新开工项目11个，如炎钛新材、全康包材、欧科亿二期、博友纳米一期、星驰钽粉等；新竣工项目7个，如和昌高温合金、全康电子二期、欧科亿二期等。10月16日全康科技公司举行隆重的智能家电制造竣工投产仪式。启动新材料检测中心建设。全年</w:t>
      </w:r>
      <w:r>
        <w:rPr>
          <w:rFonts w:hint="eastAsia" w:ascii="仿宋_GB2312" w:hAnsi="仿宋_GB2312" w:eastAsia="仿宋_GB2312" w:cs="仿宋_GB2312"/>
          <w:bCs/>
          <w:sz w:val="32"/>
          <w:szCs w:val="32"/>
        </w:rPr>
        <w:t>动态储备土地312亩，</w:t>
      </w:r>
      <w:r>
        <w:rPr>
          <w:rFonts w:hint="eastAsia" w:ascii="仿宋_GB2312" w:hAnsi="仿宋_GB2312" w:eastAsia="仿宋_GB2312" w:cs="仿宋_GB2312"/>
          <w:sz w:val="32"/>
          <w:szCs w:val="32"/>
        </w:rPr>
        <w:t>批回土地266亩，挂牌办证421亩。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二是标厂建设稳步推进。</w:t>
      </w:r>
      <w:r>
        <w:rPr>
          <w:rFonts w:hint="eastAsia" w:ascii="仿宋_GB2312" w:hAnsi="仿宋_GB2312" w:eastAsia="仿宋_GB2312" w:cs="仿宋_GB2312"/>
          <w:sz w:val="32"/>
          <w:szCs w:val="32"/>
        </w:rPr>
        <w:t>9月份与株洲地产集团签订合作建标厂协议，拟投资6亿元，在九龙西园建设占地约380亩、建筑面积约26万平方米的标准厂房，目前一期项目正在进行三通一平工作；2019年已完成标厂建设23万平方米，其中新开工14万平方米，竣工9万平方米，完成全年目标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三是党的建设全面推进。</w:t>
      </w:r>
      <w:r>
        <w:rPr>
          <w:rFonts w:hint="eastAsia" w:ascii="仿宋_GB2312" w:hAnsi="仿宋_GB2312" w:eastAsia="仿宋_GB2312" w:cs="仿宋_GB2312"/>
          <w:sz w:val="32"/>
          <w:szCs w:val="32"/>
        </w:rPr>
        <w:t>深入开展“不忘初心、牢记使命”主题教育活动，积极配合市委巡察工作，全面落实意识形态主体责任和</w:t>
      </w:r>
      <w:r>
        <w:rPr>
          <w:rFonts w:hint="eastAsia" w:ascii="仿宋_GB2312" w:hAnsi="仿宋_GB2312" w:eastAsia="仿宋_GB2312" w:cs="仿宋_GB2312"/>
          <w:sz w:val="32"/>
          <w:szCs w:val="32"/>
          <w:lang w:val="zh-CN"/>
        </w:rPr>
        <w:t>从严治党要求，</w:t>
      </w:r>
      <w:r>
        <w:rPr>
          <w:rFonts w:hint="eastAsia" w:ascii="仿宋_GB2312" w:hAnsi="仿宋_GB2312" w:eastAsia="仿宋_GB2312" w:cs="仿宋_GB2312"/>
          <w:sz w:val="32"/>
          <w:szCs w:val="32"/>
        </w:rPr>
        <w:t>抓实机关党建和“两新”党建工作，基层组织和队伍建设不断加强，为园区发展提供有力的组织保障。</w:t>
      </w:r>
    </w:p>
    <w:p>
      <w:pPr>
        <w:pStyle w:val="11"/>
        <w:widowControl/>
        <w:spacing w:line="600" w:lineRule="exact"/>
        <w:ind w:left="640" w:firstLine="0" w:firstLineChars="0"/>
        <w:jc w:val="left"/>
        <w:rPr>
          <w:rFonts w:hint="eastAsia" w:ascii="黑体" w:hAnsi="黑体" w:eastAsia="黑体" w:cs="黑体"/>
          <w:b/>
          <w:sz w:val="32"/>
          <w:szCs w:val="32"/>
        </w:rPr>
      </w:pPr>
      <w:r>
        <w:rPr>
          <w:rFonts w:hint="eastAsia" w:ascii="黑体" w:hAnsi="黑体" w:eastAsia="黑体" w:cs="黑体"/>
          <w:b/>
          <w:sz w:val="32"/>
          <w:szCs w:val="32"/>
        </w:rPr>
        <w:t>六、存在的问题及原因分析</w:t>
      </w:r>
    </w:p>
    <w:p>
      <w:pPr>
        <w:widowControl/>
        <w:spacing w:line="600" w:lineRule="exact"/>
        <w:ind w:firstLine="480" w:firstLineChars="1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（一）经济下行压力大，工业增速放缓。</w:t>
      </w:r>
    </w:p>
    <w:p>
      <w:pPr>
        <w:widowControl/>
        <w:spacing w:line="600" w:lineRule="exact"/>
        <w:ind w:firstLine="480" w:firstLineChars="1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（二）市场低迷和经济大环境影响，中小企业投资商资金异常困难，因资金紧缺，已入驻项目难以开工建设，在建的项目推进不快。</w:t>
      </w:r>
    </w:p>
    <w:p>
      <w:pPr>
        <w:widowControl/>
        <w:spacing w:line="600" w:lineRule="exact"/>
        <w:ind w:firstLine="480" w:firstLineChars="1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（三）制造企业面临订单少、库存多、资金压力大的艰难局面。</w:t>
      </w:r>
    </w:p>
    <w:p>
      <w:pPr>
        <w:widowControl/>
        <w:spacing w:line="600" w:lineRule="exact"/>
        <w:ind w:firstLine="480" w:firstLineChars="1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（四）招商项目多，新投企业少，新上规模工业企业少，工业经济增长乏力。</w:t>
      </w:r>
    </w:p>
    <w:p>
      <w:pPr>
        <w:widowControl/>
        <w:spacing w:line="600" w:lineRule="exact"/>
        <w:ind w:firstLine="480" w:firstLineChars="1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（五）是工业园基础设施建设投入大，上级项目资金争取较难，建设资金短缺，后续投入难以为继。</w:t>
      </w:r>
    </w:p>
    <w:p>
      <w:pPr>
        <w:widowControl/>
        <w:spacing w:line="600" w:lineRule="exact"/>
        <w:ind w:firstLine="640" w:firstLineChars="200"/>
        <w:jc w:val="left"/>
        <w:rPr>
          <w:rFonts w:hint="eastAsia" w:ascii="黑体" w:hAnsi="黑体" w:eastAsia="黑体" w:cs="黑体"/>
          <w:b/>
          <w:sz w:val="32"/>
          <w:szCs w:val="32"/>
        </w:rPr>
      </w:pPr>
      <w:r>
        <w:rPr>
          <w:rFonts w:hint="eastAsia" w:ascii="黑体" w:hAnsi="黑体" w:eastAsia="黑体" w:cs="黑体"/>
          <w:b/>
          <w:kern w:val="0"/>
          <w:sz w:val="32"/>
          <w:szCs w:val="32"/>
        </w:rPr>
        <w:t>七、</w:t>
      </w:r>
      <w:r>
        <w:rPr>
          <w:rFonts w:hint="eastAsia" w:ascii="黑体" w:hAnsi="黑体" w:eastAsia="黑体" w:cs="黑体"/>
          <w:b/>
          <w:sz w:val="32"/>
          <w:szCs w:val="32"/>
        </w:rPr>
        <w:t>下一步改进措施</w:t>
      </w:r>
      <w:bookmarkStart w:id="1" w:name="_GoBack"/>
      <w:bookmarkEnd w:id="1"/>
    </w:p>
    <w:p>
      <w:pPr>
        <w:widowControl/>
        <w:shd w:val="clear" w:color="auto" w:fill="FFFFFF"/>
        <w:spacing w:line="600" w:lineRule="exact"/>
        <w:ind w:firstLine="707" w:firstLineChars="22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合理安排收支预算，严格预算管理。按照“以收定支，量入支出，保证重点，兼顾一般”的原则，科学合理编制部门预算，使预算更加切合实际。进一步细化预算，严格执行，增强预算约束意识。提高科学化、精细化预算管理水平。</w:t>
      </w:r>
    </w:p>
    <w:p>
      <w:pPr>
        <w:widowControl/>
        <w:shd w:val="clear" w:color="auto" w:fill="FFFFFF"/>
        <w:spacing w:line="600" w:lineRule="exact"/>
        <w:ind w:firstLine="707" w:firstLineChars="22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（二）规范财务行为，提高会计基础工作质量。严格执行财经纪律和各项财务制度，严格财经手续，完善经费使用内部控制制度，加强对原始票据的合法性，完整性审核，做到票据合法规范，手续完备。</w:t>
      </w:r>
    </w:p>
    <w:p>
      <w:pPr>
        <w:widowControl/>
        <w:shd w:val="clear" w:color="auto" w:fill="FFFFFF"/>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（三）建设阳光财务、提高资金效益。进一步完善财政预决算、“三公经费”及重大专项公开工作。使重大项目管理制度更加科学合理，程序更加规范透明，分配更加公平公正，资金更加安全高效。</w:t>
      </w:r>
    </w:p>
    <w:p>
      <w:pPr>
        <w:pStyle w:val="11"/>
        <w:widowControl/>
        <w:numPr>
          <w:ilvl w:val="0"/>
          <w:numId w:val="3"/>
        </w:numPr>
        <w:spacing w:line="600" w:lineRule="exact"/>
        <w:ind w:firstLineChars="0"/>
        <w:jc w:val="left"/>
        <w:rPr>
          <w:rFonts w:asciiTheme="minorEastAsia" w:hAnsiTheme="minorEastAsia"/>
          <w:b/>
          <w:sz w:val="32"/>
          <w:szCs w:val="32"/>
        </w:rPr>
      </w:pPr>
      <w:r>
        <w:rPr>
          <w:rFonts w:asciiTheme="minorEastAsia" w:hAnsiTheme="minorEastAsia"/>
          <w:b/>
          <w:sz w:val="32"/>
          <w:szCs w:val="32"/>
        </w:rPr>
        <w:t>其他需要说明的情况</w:t>
      </w:r>
    </w:p>
    <w:p>
      <w:pPr>
        <w:widowControl/>
        <w:shd w:val="clear" w:color="auto" w:fill="FFFFFF"/>
        <w:spacing w:line="600" w:lineRule="exact"/>
        <w:ind w:firstLine="640" w:firstLineChars="200"/>
        <w:rPr>
          <w:rFonts w:cs="仿宋_GB2312" w:asciiTheme="minorEastAsia" w:hAnsiTheme="minorEastAsia"/>
          <w:color w:val="000000"/>
          <w:kern w:val="0"/>
          <w:sz w:val="32"/>
          <w:szCs w:val="32"/>
        </w:rPr>
      </w:pPr>
      <w:r>
        <w:rPr>
          <w:rFonts w:hint="eastAsia" w:cs="仿宋_GB2312" w:asciiTheme="minorEastAsia" w:hAnsiTheme="minorEastAsia"/>
          <w:color w:val="000000"/>
          <w:kern w:val="0"/>
          <w:sz w:val="32"/>
          <w:szCs w:val="32"/>
        </w:rPr>
        <w:t>无</w:t>
      </w: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hint="eastAsia" w:eastAsia="方正小标宋简体"/>
          <w:bCs/>
          <w:kern w:val="0"/>
          <w:sz w:val="36"/>
          <w:szCs w:val="36"/>
        </w:rPr>
      </w:pPr>
    </w:p>
    <w:p>
      <w:pPr>
        <w:spacing w:line="560" w:lineRule="exact"/>
        <w:jc w:val="center"/>
        <w:rPr>
          <w:rFonts w:eastAsia="楷体_GB2312"/>
          <w:bCs/>
          <w:kern w:val="0"/>
          <w:sz w:val="32"/>
          <w:szCs w:val="32"/>
        </w:rPr>
      </w:pPr>
      <w:r>
        <w:rPr>
          <w:rFonts w:hint="eastAsia" w:eastAsia="方正小标宋简体"/>
          <w:bCs/>
          <w:kern w:val="0"/>
          <w:sz w:val="36"/>
          <w:szCs w:val="36"/>
        </w:rPr>
        <w:t>部</w:t>
      </w:r>
      <w:r>
        <w:rPr>
          <w:rFonts w:eastAsia="方正小标宋简体"/>
          <w:bCs/>
          <w:kern w:val="0"/>
          <w:sz w:val="36"/>
          <w:szCs w:val="36"/>
        </w:rPr>
        <w:t>门整体支出绩效综合评价报告表</w:t>
      </w:r>
      <w:r>
        <w:rPr>
          <w:rFonts w:eastAsia="方正小标宋简体"/>
          <w:bCs/>
          <w:kern w:val="0"/>
          <w:sz w:val="44"/>
          <w:szCs w:val="44"/>
        </w:rPr>
        <w:br w:type="textWrapping"/>
      </w:r>
      <w:r>
        <w:rPr>
          <w:rFonts w:eastAsia="楷体_GB2312"/>
          <w:bCs/>
          <w:kern w:val="0"/>
          <w:sz w:val="32"/>
          <w:szCs w:val="32"/>
        </w:rPr>
        <w:t>（201</w:t>
      </w:r>
      <w:r>
        <w:rPr>
          <w:rFonts w:hint="eastAsia" w:eastAsia="楷体_GB2312"/>
          <w:bCs/>
          <w:kern w:val="0"/>
          <w:sz w:val="32"/>
          <w:szCs w:val="32"/>
        </w:rPr>
        <w:t>9</w:t>
      </w:r>
      <w:r>
        <w:rPr>
          <w:rFonts w:eastAsia="楷体_GB2312"/>
          <w:bCs/>
          <w:kern w:val="0"/>
          <w:sz w:val="32"/>
          <w:szCs w:val="32"/>
        </w:rPr>
        <w:t xml:space="preserve"> 年度）</w:t>
      </w:r>
    </w:p>
    <w:p>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hint="eastAsia" w:eastAsia="黑体"/>
          <w:kern w:val="0"/>
          <w:szCs w:val="21"/>
        </w:rPr>
        <w:t>炎陵县九龙工业园管理委员会</w:t>
      </w:r>
      <w:r>
        <w:rPr>
          <w:rFonts w:eastAsia="黑体"/>
          <w:kern w:val="0"/>
          <w:szCs w:val="21"/>
        </w:rPr>
        <w:tab/>
      </w: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60"/>
        <w:gridCol w:w="1200"/>
        <w:gridCol w:w="585"/>
        <w:gridCol w:w="595"/>
        <w:gridCol w:w="15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5"/>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kern w:val="0"/>
                <w:szCs w:val="21"/>
              </w:rPr>
            </w:pPr>
            <w:r>
              <w:rPr>
                <w:kern w:val="0"/>
                <w:szCs w:val="21"/>
              </w:rPr>
              <w:t>部门（单位）名称：</w:t>
            </w:r>
          </w:p>
          <w:p>
            <w:pPr>
              <w:widowControl/>
              <w:spacing w:line="560" w:lineRule="exact"/>
              <w:rPr>
                <w:rFonts w:eastAsia="黑体"/>
                <w:kern w:val="0"/>
                <w:szCs w:val="21"/>
              </w:rPr>
            </w:pPr>
            <w:r>
              <w:rPr>
                <w:rFonts w:eastAsia="黑体"/>
                <w:kern w:val="0"/>
                <w:szCs w:val="21"/>
              </w:rPr>
              <w:t>　</w:t>
            </w:r>
            <w:r>
              <w:rPr>
                <w:rFonts w:hint="eastAsia" w:eastAsia="黑体"/>
                <w:kern w:val="0"/>
                <w:szCs w:val="21"/>
              </w:rPr>
              <w:t>炎陵县九龙工业园管理委员会</w:t>
            </w:r>
          </w:p>
        </w:tc>
        <w:tc>
          <w:tcPr>
            <w:tcW w:w="4760" w:type="dxa"/>
            <w:gridSpan w:val="2"/>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kern w:val="0"/>
                <w:szCs w:val="21"/>
              </w:rPr>
            </w:pPr>
            <w:r>
              <w:rPr>
                <w:kern w:val="0"/>
                <w:szCs w:val="21"/>
              </w:rPr>
              <w:t>单位负责人：</w:t>
            </w:r>
            <w:r>
              <w:rPr>
                <w:rFonts w:hint="eastAsia"/>
                <w:kern w:val="0"/>
                <w:szCs w:val="21"/>
              </w:rPr>
              <w:t>周桥梁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kern w:val="0"/>
                <w:szCs w:val="21"/>
              </w:rPr>
            </w:pPr>
            <w:r>
              <w:rPr>
                <w:kern w:val="0"/>
                <w:szCs w:val="21"/>
              </w:rPr>
              <w:t xml:space="preserve">年末职工人数： </w:t>
            </w:r>
            <w:r>
              <w:rPr>
                <w:rFonts w:hint="eastAsia"/>
                <w:kern w:val="0"/>
                <w:szCs w:val="21"/>
              </w:rPr>
              <w:t>25</w:t>
            </w:r>
            <w:r>
              <w:rPr>
                <w:kern w:val="0"/>
                <w:szCs w:val="21"/>
              </w:rPr>
              <w:t xml:space="preserve"> 人（人员编制： </w:t>
            </w:r>
            <w:r>
              <w:rPr>
                <w:rFonts w:hint="eastAsia"/>
                <w:kern w:val="0"/>
                <w:szCs w:val="21"/>
              </w:rPr>
              <w:t>27</w:t>
            </w:r>
            <w:r>
              <w:rPr>
                <w:kern w:val="0"/>
                <w:szCs w:val="21"/>
              </w:rPr>
              <w:t>人）</w:t>
            </w:r>
          </w:p>
        </w:tc>
        <w:tc>
          <w:tcPr>
            <w:tcW w:w="5355" w:type="dxa"/>
            <w:gridSpan w:val="3"/>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kern w:val="0"/>
                <w:szCs w:val="21"/>
              </w:rPr>
            </w:pPr>
            <w:r>
              <w:rPr>
                <w:kern w:val="0"/>
                <w:szCs w:val="21"/>
              </w:rPr>
              <w:t>年末资产总额</w:t>
            </w:r>
            <w:r>
              <w:rPr>
                <w:rFonts w:hint="eastAsia"/>
                <w:kern w:val="0"/>
                <w:szCs w:val="21"/>
              </w:rPr>
              <w:t>:1131.36</w:t>
            </w:r>
            <w:r>
              <w:rPr>
                <w:kern w:val="0"/>
                <w:szCs w:val="21"/>
              </w:rPr>
              <w:t>万元；负债总额：</w:t>
            </w:r>
            <w:r>
              <w:rPr>
                <w:rFonts w:hint="eastAsia"/>
                <w:kern w:val="0"/>
                <w:szCs w:val="21"/>
              </w:rPr>
              <w:t>876.74</w:t>
            </w:r>
            <w:r>
              <w:rPr>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年度预算收支情况</w:t>
            </w:r>
            <w:r>
              <w:rPr>
                <w:kern w:val="0"/>
                <w:szCs w:val="21"/>
              </w:rPr>
              <w:br w:type="textWrapping"/>
            </w:r>
            <w:r>
              <w:rPr>
                <w:kern w:val="0"/>
                <w:szCs w:val="21"/>
              </w:rPr>
              <w:t>（万元）</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eastAsiaTheme="minorEastAsia"/>
                <w:kern w:val="0"/>
                <w:szCs w:val="21"/>
                <w:lang w:eastAsia="zh-CN"/>
              </w:rPr>
            </w:pPr>
            <w:r>
              <w:rPr>
                <w:kern w:val="0"/>
                <w:szCs w:val="21"/>
              </w:rPr>
              <w:t>年初预算资金：</w:t>
            </w:r>
            <w:r>
              <w:rPr>
                <w:rFonts w:hint="eastAsia"/>
                <w:kern w:val="0"/>
                <w:szCs w:val="21"/>
              </w:rPr>
              <w:t>249.35</w:t>
            </w:r>
            <w:r>
              <w:rPr>
                <w:rFonts w:hint="eastAsia"/>
                <w:kern w:val="0"/>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eastAsiaTheme="minorEastAsia"/>
                <w:kern w:val="0"/>
                <w:szCs w:val="21"/>
                <w:lang w:eastAsia="zh-CN"/>
              </w:rPr>
            </w:pPr>
            <w:r>
              <w:rPr>
                <w:kern w:val="0"/>
                <w:szCs w:val="21"/>
              </w:rPr>
              <w:t>年度收入总额：</w:t>
            </w:r>
            <w:r>
              <w:rPr>
                <w:rFonts w:hint="eastAsia"/>
                <w:kern w:val="0"/>
                <w:szCs w:val="21"/>
              </w:rPr>
              <w:t>12903.1</w:t>
            </w:r>
            <w:r>
              <w:rPr>
                <w:rFonts w:hint="eastAsia"/>
                <w:kern w:val="0"/>
                <w:szCs w:val="21"/>
                <w:lang w:eastAsia="zh-CN"/>
              </w:rPr>
              <w:t>万元</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eastAsiaTheme="minorEastAsia"/>
                <w:kern w:val="0"/>
                <w:szCs w:val="21"/>
                <w:lang w:eastAsia="zh-CN"/>
              </w:rPr>
            </w:pPr>
            <w:r>
              <w:rPr>
                <w:kern w:val="0"/>
                <w:szCs w:val="21"/>
              </w:rPr>
              <w:t>年度支出总额：</w:t>
            </w:r>
            <w:r>
              <w:rPr>
                <w:rFonts w:hint="eastAsia"/>
                <w:kern w:val="0"/>
                <w:szCs w:val="21"/>
              </w:rPr>
              <w:t>12903.1</w:t>
            </w:r>
            <w:r>
              <w:rPr>
                <w:rFonts w:hint="eastAsia"/>
                <w:kern w:val="0"/>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105" w:firstLineChars="50"/>
              <w:jc w:val="left"/>
              <w:rPr>
                <w:rFonts w:hint="eastAsia" w:eastAsiaTheme="minorEastAsia"/>
                <w:kern w:val="0"/>
                <w:szCs w:val="21"/>
                <w:lang w:eastAsia="zh-CN"/>
              </w:rPr>
            </w:pPr>
            <w:r>
              <w:rPr>
                <w:kern w:val="0"/>
                <w:szCs w:val="21"/>
              </w:rPr>
              <w:t>其中</w:t>
            </w:r>
            <w:r>
              <w:rPr>
                <w:rFonts w:hint="eastAsia"/>
                <w:kern w:val="0"/>
                <w:szCs w:val="21"/>
              </w:rPr>
              <w:t>：一般</w:t>
            </w:r>
            <w:r>
              <w:rPr>
                <w:kern w:val="0"/>
                <w:szCs w:val="21"/>
              </w:rPr>
              <w:t>公共财政拨款：</w:t>
            </w:r>
            <w:r>
              <w:rPr>
                <w:rFonts w:hint="eastAsia"/>
                <w:kern w:val="0"/>
                <w:szCs w:val="21"/>
              </w:rPr>
              <w:t>10262.56</w:t>
            </w:r>
            <w:r>
              <w:rPr>
                <w:rFonts w:hint="eastAsia"/>
                <w:kern w:val="0"/>
                <w:szCs w:val="21"/>
                <w:lang w:eastAsia="zh-CN"/>
              </w:rPr>
              <w:t>万元</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eastAsiaTheme="minorEastAsia"/>
                <w:kern w:val="0"/>
                <w:szCs w:val="21"/>
                <w:lang w:eastAsia="zh-CN"/>
              </w:rPr>
            </w:pPr>
            <w:r>
              <w:rPr>
                <w:kern w:val="0"/>
                <w:szCs w:val="21"/>
              </w:rPr>
              <w:t>其中： 基本支出：</w:t>
            </w:r>
            <w:r>
              <w:rPr>
                <w:rFonts w:hint="eastAsia"/>
                <w:kern w:val="0"/>
                <w:szCs w:val="21"/>
              </w:rPr>
              <w:t>847.12</w:t>
            </w:r>
            <w:r>
              <w:rPr>
                <w:rFonts w:hint="eastAsia"/>
                <w:kern w:val="0"/>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eastAsiaTheme="minorEastAsia"/>
                <w:kern w:val="0"/>
                <w:szCs w:val="21"/>
                <w:lang w:eastAsia="zh-CN"/>
              </w:rPr>
            </w:pPr>
            <w:r>
              <w:rPr>
                <w:kern w:val="0"/>
                <w:szCs w:val="21"/>
              </w:rPr>
              <w:t xml:space="preserve">       政府性基金拨款：</w:t>
            </w:r>
            <w:r>
              <w:rPr>
                <w:rFonts w:hint="eastAsia"/>
                <w:kern w:val="0"/>
                <w:szCs w:val="21"/>
              </w:rPr>
              <w:t>2640.53</w:t>
            </w:r>
            <w:r>
              <w:rPr>
                <w:rFonts w:hint="eastAsia"/>
                <w:kern w:val="0"/>
                <w:szCs w:val="21"/>
                <w:lang w:eastAsia="zh-CN"/>
              </w:rPr>
              <w:t>万元</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eastAsiaTheme="minorEastAsia"/>
                <w:kern w:val="0"/>
                <w:szCs w:val="21"/>
                <w:lang w:eastAsia="zh-CN"/>
              </w:rPr>
            </w:pPr>
            <w:r>
              <w:rPr>
                <w:kern w:val="0"/>
                <w:szCs w:val="21"/>
              </w:rPr>
              <w:t xml:space="preserve">       项目支出：</w:t>
            </w:r>
            <w:r>
              <w:rPr>
                <w:rFonts w:hint="eastAsia"/>
                <w:kern w:val="0"/>
                <w:szCs w:val="21"/>
              </w:rPr>
              <w:t>12055.98</w:t>
            </w:r>
            <w:r>
              <w:rPr>
                <w:rFonts w:hint="eastAsia"/>
                <w:kern w:val="0"/>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r>
              <w:rPr>
                <w:kern w:val="0"/>
                <w:szCs w:val="21"/>
              </w:rPr>
              <w:t>纳入专户管理的非税收入拨款：</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r>
              <w:rPr>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r>
              <w:rPr>
                <w:kern w:val="0"/>
                <w:szCs w:val="21"/>
              </w:rPr>
              <w:t xml:space="preserve">                  其他资金：</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rPr>
                <w:kern w:val="0"/>
                <w:szCs w:val="21"/>
              </w:rPr>
            </w:pPr>
            <w:r>
              <w:rPr>
                <w:rFonts w:hint="eastAsia"/>
                <w:kern w:val="0"/>
                <w:szCs w:val="21"/>
              </w:rPr>
              <w:t>1、负责工业园党建、党务工作；2、编制工业园发展规划并组织实施；3、负责工业园基础设施建设、企业招商、管理、服务、安全生产工作；4、承办县委、县政府交办的其他工作。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kern w:val="0"/>
                <w:szCs w:val="21"/>
              </w:rPr>
            </w:pPr>
          </w:p>
          <w:p>
            <w:pPr>
              <w:widowControl/>
              <w:jc w:val="left"/>
              <w:rPr>
                <w:rFonts w:hint="eastAsia"/>
                <w:kern w:val="0"/>
                <w:szCs w:val="21"/>
              </w:rPr>
            </w:pPr>
            <w:r>
              <w:rPr>
                <w:kern w:val="0"/>
                <w:szCs w:val="21"/>
              </w:rPr>
              <w:t>目标</w:t>
            </w:r>
            <w:r>
              <w:rPr>
                <w:rFonts w:hint="eastAsia"/>
                <w:kern w:val="0"/>
                <w:szCs w:val="21"/>
              </w:rPr>
              <w:t>1</w:t>
            </w:r>
            <w:r>
              <w:rPr>
                <w:kern w:val="0"/>
                <w:szCs w:val="21"/>
              </w:rPr>
              <w:t>：</w:t>
            </w:r>
            <w:r>
              <w:rPr>
                <w:rFonts w:hint="eastAsia"/>
                <w:kern w:val="0"/>
                <w:szCs w:val="21"/>
              </w:rPr>
              <w:t>围绕“园区转型升级”要求，强化园区基础配套、控规修编、储备土地、完善园区服务体系等。</w:t>
            </w:r>
          </w:p>
          <w:p>
            <w:pPr>
              <w:widowControl/>
              <w:jc w:val="left"/>
              <w:rPr>
                <w:rFonts w:hint="eastAsia"/>
                <w:kern w:val="0"/>
                <w:szCs w:val="21"/>
              </w:rPr>
            </w:pPr>
            <w:r>
              <w:rPr>
                <w:kern w:val="0"/>
                <w:szCs w:val="21"/>
              </w:rPr>
              <w:t>目标</w:t>
            </w:r>
            <w:r>
              <w:rPr>
                <w:rFonts w:hint="eastAsia"/>
                <w:kern w:val="0"/>
                <w:szCs w:val="21"/>
              </w:rPr>
              <w:t>2</w:t>
            </w:r>
            <w:r>
              <w:rPr>
                <w:kern w:val="0"/>
                <w:szCs w:val="21"/>
              </w:rPr>
              <w:t>：</w:t>
            </w:r>
            <w:r>
              <w:rPr>
                <w:rFonts w:hint="eastAsia"/>
                <w:kern w:val="0"/>
                <w:szCs w:val="21"/>
              </w:rPr>
              <w:t>围绕“产业项目建设”要求，加大招商引资力度。一是力争已引进项目建成投产，做大做强现有企业；二是创新招商引资方式，争取引进科技含量高、效益好的规模工业企业。</w:t>
            </w:r>
          </w:p>
          <w:p>
            <w:pPr>
              <w:widowControl/>
              <w:jc w:val="left"/>
              <w:rPr>
                <w:kern w:val="0"/>
                <w:szCs w:val="21"/>
              </w:rPr>
            </w:pPr>
            <w:r>
              <w:rPr>
                <w:rFonts w:hint="eastAsia"/>
                <w:kern w:val="0"/>
                <w:szCs w:val="21"/>
              </w:rPr>
              <w:t>目标3：守住“安全、环保”目标底线，长抓不懈，突出优先解决环保问题，确保园区平安稳定、事业发展。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部门整体支出</w:t>
            </w:r>
          </w:p>
          <w:p>
            <w:pPr>
              <w:widowControl/>
              <w:spacing w:line="560" w:lineRule="exact"/>
              <w:jc w:val="center"/>
              <w:rPr>
                <w:kern w:val="0"/>
                <w:szCs w:val="21"/>
              </w:rPr>
            </w:pPr>
            <w:r>
              <w:rPr>
                <w:kern w:val="0"/>
                <w:szCs w:val="21"/>
              </w:rPr>
              <w:t>年度绩效指标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noWrap w:val="0"/>
            <w:vAlign w:val="center"/>
          </w:tcPr>
          <w:p>
            <w:pPr>
              <w:ind w:firstLine="420"/>
              <w:rPr>
                <w:kern w:val="0"/>
                <w:szCs w:val="21"/>
              </w:rPr>
            </w:pPr>
            <w:r>
              <w:rPr>
                <w:rFonts w:hint="eastAsia"/>
                <w:kern w:val="0"/>
                <w:szCs w:val="21"/>
              </w:rPr>
              <w:t>进一步理顺工业园区的财政分配关系，调动园区发展经济、培植财源、做大做强的积极性，增强园区自主发展活力，加快推进园区转型升级和创新发展。2019年园区在经济形势总体下行的困难下，全年完成技工贸总收入83.81亿元，固定资产投资40亿元，工业增加值31.02亿元，实现税收1.3亿元，完成高新技术产值29亿元，新增规模以上企业6家，就业人数达1.45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部门整体支出</w:t>
            </w:r>
          </w:p>
          <w:p>
            <w:pPr>
              <w:jc w:val="center"/>
            </w:pPr>
            <w:r>
              <w:rPr>
                <w:kern w:val="0"/>
                <w:szCs w:val="21"/>
              </w:rPr>
              <w:t>年度绩效指标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效益指标</w:t>
            </w:r>
          </w:p>
        </w:tc>
        <w:tc>
          <w:tcPr>
            <w:tcW w:w="5940"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560" w:lineRule="exact"/>
              <w:ind w:firstLine="420" w:firstLineChars="200"/>
              <w:jc w:val="both"/>
              <w:rPr>
                <w:rFonts w:ascii="宋体" w:hAnsi="宋体" w:cs="楷体"/>
                <w:sz w:val="21"/>
                <w:szCs w:val="21"/>
              </w:rPr>
            </w:pPr>
            <w:r>
              <w:rPr>
                <w:rFonts w:hint="eastAsia"/>
                <w:kern w:val="0"/>
                <w:sz w:val="21"/>
                <w:szCs w:val="21"/>
              </w:rPr>
              <w:t>一、</w:t>
            </w:r>
            <w:r>
              <w:rPr>
                <w:rFonts w:hint="eastAsia" w:ascii="宋体" w:hAnsi="宋体" w:cs="仿宋"/>
                <w:sz w:val="21"/>
                <w:szCs w:val="21"/>
              </w:rPr>
              <w:t>全年</w:t>
            </w:r>
            <w:r>
              <w:rPr>
                <w:rFonts w:hint="eastAsia" w:ascii="宋体" w:hAnsi="宋体"/>
                <w:bCs/>
                <w:sz w:val="21"/>
                <w:szCs w:val="21"/>
              </w:rPr>
              <w:t>完成</w:t>
            </w:r>
            <w:r>
              <w:rPr>
                <w:rFonts w:ascii="宋体" w:hAnsi="宋体"/>
                <w:bCs/>
                <w:sz w:val="21"/>
                <w:szCs w:val="21"/>
              </w:rPr>
              <w:t>技工贸总收入</w:t>
            </w:r>
            <w:r>
              <w:rPr>
                <w:rFonts w:hint="eastAsia" w:ascii="宋体" w:hAnsi="宋体" w:cs="仿宋"/>
                <w:bCs/>
                <w:sz w:val="21"/>
                <w:szCs w:val="21"/>
              </w:rPr>
              <w:t>83.81</w:t>
            </w:r>
            <w:r>
              <w:rPr>
                <w:rFonts w:ascii="宋体" w:hAnsi="宋体"/>
                <w:bCs/>
                <w:sz w:val="21"/>
                <w:szCs w:val="21"/>
              </w:rPr>
              <w:t>亿元，</w:t>
            </w:r>
            <w:r>
              <w:rPr>
                <w:rFonts w:hint="eastAsia" w:ascii="宋体" w:hAnsi="宋体" w:cs="仿宋"/>
                <w:bCs/>
                <w:sz w:val="21"/>
                <w:szCs w:val="21"/>
              </w:rPr>
              <w:t>同比增长10.76%；完成固定资产投资40亿元，同比增长24%；完成工业增加值31.02亿元，同比增长28.28%；入库税收6.18亿元；</w:t>
            </w:r>
            <w:r>
              <w:rPr>
                <w:rFonts w:hint="eastAsia" w:ascii="宋体" w:hAnsi="宋体" w:cs="方正楷体简体"/>
                <w:sz w:val="21"/>
                <w:szCs w:val="21"/>
              </w:rPr>
              <w:t>完成高新技术产值29亿元；新增规模以上企业6家</w:t>
            </w:r>
            <w:r>
              <w:rPr>
                <w:rFonts w:hint="eastAsia" w:ascii="宋体" w:hAnsi="宋体" w:cs="仿宋"/>
                <w:sz w:val="21"/>
                <w:szCs w:val="21"/>
              </w:rPr>
              <w:t>。</w:t>
            </w:r>
          </w:p>
          <w:p>
            <w:pPr>
              <w:pStyle w:val="2"/>
              <w:adjustRightInd w:val="0"/>
              <w:snapToGrid w:val="0"/>
              <w:spacing w:line="560" w:lineRule="exact"/>
              <w:ind w:firstLine="420" w:firstLineChars="200"/>
              <w:rPr>
                <w:rFonts w:ascii="宋体" w:hAnsi="宋体" w:cs="仿宋"/>
                <w:sz w:val="21"/>
                <w:szCs w:val="21"/>
              </w:rPr>
            </w:pPr>
            <w:r>
              <w:rPr>
                <w:rFonts w:hint="eastAsia" w:ascii="宋体" w:hAnsi="宋体" w:cs="仿宋"/>
                <w:bCs/>
                <w:sz w:val="21"/>
                <w:szCs w:val="21"/>
              </w:rPr>
              <w:t>二、</w:t>
            </w:r>
            <w:r>
              <w:rPr>
                <w:rFonts w:hint="eastAsia" w:ascii="宋体" w:hAnsi="宋体" w:cs="仿宋"/>
                <w:sz w:val="21"/>
                <w:szCs w:val="21"/>
              </w:rPr>
              <w:t>2019年，东信、万昌、银太分别缴纳税收523.3万元、232.2万元、329.2万元。新材料产业为炎陵特色主导产业，近年来</w:t>
            </w:r>
            <w:r>
              <w:rPr>
                <w:rFonts w:ascii="宋体" w:hAnsi="宋体" w:cs="仿宋"/>
                <w:sz w:val="21"/>
                <w:szCs w:val="21"/>
              </w:rPr>
              <w:t>聚集了以欧科亿、</w:t>
            </w:r>
            <w:r>
              <w:rPr>
                <w:rFonts w:hint="eastAsia" w:ascii="宋体" w:hAnsi="宋体" w:cs="仿宋"/>
                <w:sz w:val="21"/>
                <w:szCs w:val="21"/>
              </w:rPr>
              <w:t>泰鼎新材</w:t>
            </w:r>
            <w:r>
              <w:rPr>
                <w:rFonts w:ascii="宋体" w:hAnsi="宋体" w:cs="仿宋"/>
                <w:sz w:val="21"/>
                <w:szCs w:val="21"/>
              </w:rPr>
              <w:t>等为代表的</w:t>
            </w:r>
            <w:r>
              <w:rPr>
                <w:rFonts w:hint="eastAsia" w:ascii="宋体" w:hAnsi="宋体" w:cs="仿宋"/>
                <w:sz w:val="21"/>
                <w:szCs w:val="21"/>
              </w:rPr>
              <w:t>新</w:t>
            </w:r>
            <w:r>
              <w:rPr>
                <w:rFonts w:ascii="宋体" w:hAnsi="宋体" w:cs="仿宋"/>
                <w:sz w:val="21"/>
                <w:szCs w:val="21"/>
              </w:rPr>
              <w:t>材料企业</w:t>
            </w:r>
            <w:r>
              <w:rPr>
                <w:rFonts w:hint="eastAsia" w:ascii="宋体" w:hAnsi="宋体" w:cs="仿宋"/>
                <w:sz w:val="21"/>
                <w:szCs w:val="21"/>
              </w:rPr>
              <w:t>，</w:t>
            </w:r>
            <w:r>
              <w:rPr>
                <w:rFonts w:ascii="宋体" w:hAnsi="宋体" w:cs="仿宋"/>
                <w:sz w:val="21"/>
                <w:szCs w:val="21"/>
              </w:rPr>
              <w:t>非金属硬质材料“石墨—人造金刚石—金刚石制品”产业链闭环基本形成</w:t>
            </w:r>
            <w:r>
              <w:rPr>
                <w:rFonts w:hint="eastAsia" w:ascii="宋体" w:hAnsi="宋体" w:cs="仿宋"/>
                <w:sz w:val="21"/>
                <w:szCs w:val="21"/>
              </w:rPr>
              <w:t>。</w:t>
            </w:r>
            <w:r>
              <w:rPr>
                <w:rFonts w:hint="eastAsia" w:ascii="宋体" w:hAnsi="宋体" w:cs="仿宋"/>
                <w:bCs/>
                <w:sz w:val="21"/>
                <w:szCs w:val="21"/>
              </w:rPr>
              <w:t>电子信息产业发展迅速</w:t>
            </w:r>
            <w:r>
              <w:rPr>
                <w:rFonts w:hint="eastAsia" w:ascii="宋体" w:hAnsi="宋体" w:cs="仿宋"/>
                <w:sz w:val="21"/>
                <w:szCs w:val="21"/>
              </w:rPr>
              <w:t>。目前，国声声学</w:t>
            </w:r>
            <w:r>
              <w:rPr>
                <w:rFonts w:ascii="宋体" w:hAnsi="宋体" w:cs="仿宋"/>
                <w:sz w:val="21"/>
                <w:szCs w:val="21"/>
              </w:rPr>
              <w:t>建成耳机&amp;音箱生产线60条</w:t>
            </w:r>
            <w:r>
              <w:rPr>
                <w:rFonts w:hint="eastAsia" w:ascii="宋体" w:hAnsi="宋体" w:cs="仿宋"/>
                <w:sz w:val="21"/>
                <w:szCs w:val="21"/>
              </w:rPr>
              <w:t>，</w:t>
            </w:r>
            <w:r>
              <w:rPr>
                <w:rFonts w:ascii="宋体" w:hAnsi="宋体" w:cs="仿宋"/>
                <w:sz w:val="21"/>
                <w:szCs w:val="21"/>
              </w:rPr>
              <w:t>安排就业3</w:t>
            </w:r>
            <w:r>
              <w:rPr>
                <w:rFonts w:hint="eastAsia" w:ascii="宋体" w:hAnsi="宋体" w:cs="仿宋"/>
                <w:sz w:val="21"/>
                <w:szCs w:val="21"/>
              </w:rPr>
              <w:t>5</w:t>
            </w:r>
            <w:r>
              <w:rPr>
                <w:rFonts w:ascii="宋体" w:hAnsi="宋体" w:cs="仿宋"/>
                <w:sz w:val="21"/>
                <w:szCs w:val="21"/>
              </w:rPr>
              <w:t>00人</w:t>
            </w:r>
            <w:r>
              <w:rPr>
                <w:rFonts w:hint="eastAsia" w:ascii="宋体" w:hAnsi="宋体" w:cs="仿宋"/>
                <w:sz w:val="21"/>
                <w:szCs w:val="21"/>
              </w:rPr>
              <w:t xml:space="preserve">；全康智能家电致力于打造炎陵智能家电产业链，目前已经形成了“1+5”产业体系。 </w:t>
            </w:r>
          </w:p>
          <w:p>
            <w:pPr>
              <w:spacing w:line="560" w:lineRule="exact"/>
              <w:ind w:firstLine="420" w:firstLineChars="200"/>
              <w:rPr>
                <w:rFonts w:ascii="仿宋" w:hAnsi="仿宋" w:eastAsia="仿宋" w:cs="仿宋_GB2312"/>
                <w:szCs w:val="21"/>
              </w:rPr>
            </w:pPr>
            <w:r>
              <w:rPr>
                <w:rFonts w:hint="eastAsia" w:ascii="宋体" w:hAnsi="宋体" w:cs="仿宋"/>
                <w:bCs/>
                <w:szCs w:val="21"/>
              </w:rPr>
              <w:t>三、改革创新实效明显。</w:t>
            </w:r>
            <w:r>
              <w:rPr>
                <w:rFonts w:hint="eastAsia" w:ascii="宋体" w:hAnsi="宋体" w:cs="仿宋"/>
                <w:szCs w:val="21"/>
              </w:rPr>
              <w:t>2019年，炎陵工业集中区体制机制改革完成6项任务，</w:t>
            </w:r>
            <w:r>
              <w:rPr>
                <w:rFonts w:hint="eastAsia" w:ascii="宋体" w:hAnsi="宋体" w:cs="仿宋_GB2312"/>
                <w:szCs w:val="21"/>
              </w:rPr>
              <w:t>出台了平台公司转型发展方案、</w:t>
            </w:r>
            <w:r>
              <w:rPr>
                <w:rFonts w:hint="eastAsia" w:ascii="宋体" w:hAnsi="宋体" w:cs="仿宋"/>
                <w:szCs w:val="21"/>
              </w:rPr>
              <w:t>园区财政管理体制实施办法、绩效薪酬管理制度和竞聘上岗方案；</w:t>
            </w:r>
            <w:r>
              <w:rPr>
                <w:rFonts w:hint="eastAsia" w:ascii="宋体" w:hAnsi="宋体" w:cs="仿宋_GB2312"/>
                <w:szCs w:val="21"/>
              </w:rPr>
              <w:t>完成自主可控及信息安全产业链、新进硬质材料产业链“一划两图七清单”等产业链发展任务；</w:t>
            </w:r>
            <w:r>
              <w:rPr>
                <w:rFonts w:hint="eastAsia" w:ascii="宋体" w:hAnsi="宋体" w:cs="仿宋"/>
                <w:szCs w:val="21"/>
              </w:rPr>
              <w:t>8月份完成省高新区申报工作；</w:t>
            </w:r>
            <w:r>
              <w:rPr>
                <w:rFonts w:ascii="仿宋" w:hAnsi="仿宋" w:eastAsia="仿宋" w:cs="仿宋_GB2312"/>
                <w:szCs w:val="21"/>
              </w:rPr>
              <w:t xml:space="preserve"> </w:t>
            </w:r>
          </w:p>
          <w:p>
            <w:pPr>
              <w:spacing w:line="560" w:lineRule="exact"/>
              <w:ind w:firstLine="420" w:firstLineChars="200"/>
              <w:rPr>
                <w:rFonts w:ascii="宋体" w:hAnsi="宋体" w:cs="仿宋"/>
                <w:szCs w:val="21"/>
              </w:rPr>
            </w:pPr>
            <w:r>
              <w:rPr>
                <w:rFonts w:hint="eastAsia" w:ascii="宋体" w:hAnsi="宋体" w:cs="楷体"/>
                <w:szCs w:val="21"/>
              </w:rPr>
              <w:t>四、项目建设克难推进、标厂建设稳步推进。</w:t>
            </w:r>
            <w:r>
              <w:rPr>
                <w:rFonts w:hint="eastAsia" w:ascii="宋体" w:hAnsi="宋体" w:cs="仿宋_GB2312"/>
                <w:szCs w:val="21"/>
              </w:rPr>
              <w:t>2019年，新引进项目15个，如</w:t>
            </w:r>
            <w:r>
              <w:rPr>
                <w:rFonts w:hint="eastAsia" w:ascii="宋体" w:hAnsi="宋体" w:cs="仿宋"/>
                <w:szCs w:val="21"/>
              </w:rPr>
              <w:t>博友纳米、</w:t>
            </w:r>
            <w:r>
              <w:rPr>
                <w:rFonts w:hint="eastAsia" w:ascii="宋体" w:hAnsi="宋体" w:cs="仿宋_GB2312"/>
                <w:szCs w:val="21"/>
              </w:rPr>
              <w:t>炎龙铸造、南方钽铌、湘婷纺织等，合同引资总额43.6亿元；新开工项目11个，全年</w:t>
            </w:r>
            <w:r>
              <w:rPr>
                <w:rFonts w:hint="eastAsia" w:ascii="宋体" w:hAnsi="宋体" w:cs="仿宋"/>
                <w:bCs/>
                <w:szCs w:val="21"/>
              </w:rPr>
              <w:t>动态储备土地312亩，</w:t>
            </w:r>
            <w:r>
              <w:rPr>
                <w:rFonts w:hint="eastAsia" w:ascii="宋体" w:hAnsi="宋体" w:cs="仿宋_GB2312"/>
                <w:szCs w:val="21"/>
              </w:rPr>
              <w:t>批</w:t>
            </w:r>
            <w:r>
              <w:rPr>
                <w:rFonts w:hint="eastAsia" w:ascii="宋体" w:hAnsi="宋体" w:cs="仿宋"/>
                <w:szCs w:val="21"/>
              </w:rPr>
              <w:t>回土地266亩，</w:t>
            </w:r>
            <w:r>
              <w:rPr>
                <w:rFonts w:hint="eastAsia" w:ascii="宋体" w:hAnsi="宋体" w:cs="仿宋_GB2312"/>
                <w:szCs w:val="21"/>
              </w:rPr>
              <w:t>挂牌办证421亩。</w:t>
            </w:r>
            <w:r>
              <w:rPr>
                <w:rFonts w:hint="eastAsia" w:ascii="宋体" w:hAnsi="宋体" w:cs="仿宋"/>
                <w:szCs w:val="21"/>
              </w:rPr>
              <w:t>9月份与</w:t>
            </w:r>
            <w:r>
              <w:rPr>
                <w:rFonts w:hint="eastAsia" w:ascii="宋体" w:hAnsi="宋体" w:cs="方正仿宋_GB2312"/>
                <w:szCs w:val="21"/>
              </w:rPr>
              <w:t>株洲地产集团签订合作建标厂协议，拟投资6亿元，在九龙西园建设占地约380亩、建筑面积约26万平方米的标准厂房，目前一期</w:t>
            </w:r>
            <w:r>
              <w:rPr>
                <w:rFonts w:hint="eastAsia" w:ascii="宋体" w:hAnsi="宋体" w:cs="仿宋"/>
                <w:szCs w:val="21"/>
              </w:rPr>
              <w:t>项目正在进行三通一平工作；2019年</w:t>
            </w:r>
            <w:r>
              <w:rPr>
                <w:rFonts w:hint="eastAsia" w:ascii="宋体" w:hAnsi="宋体" w:cs="仿宋_GB2312"/>
                <w:szCs w:val="21"/>
              </w:rPr>
              <w:t>已完成标厂建设23万平方米，其中新开工14万平方米，竣工9万平方米，完成全年目标任务。</w:t>
            </w:r>
          </w:p>
          <w:p>
            <w:pPr>
              <w:spacing w:line="360" w:lineRule="exact"/>
              <w:ind w:firstLine="420" w:firstLineChars="20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3" w:hRule="atLeast"/>
          <w:jc w:val="center"/>
        </w:trPr>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单位自评情况分析及结论</w:t>
            </w:r>
          </w:p>
        </w:tc>
        <w:tc>
          <w:tcPr>
            <w:tcW w:w="8400"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kern w:val="0"/>
                <w:szCs w:val="21"/>
              </w:rPr>
            </w:pPr>
          </w:p>
          <w:p>
            <w:pPr>
              <w:numPr>
                <w:ilvl w:val="0"/>
                <w:numId w:val="4"/>
              </w:numPr>
              <w:spacing w:line="560" w:lineRule="exact"/>
              <w:rPr>
                <w:kern w:val="0"/>
                <w:szCs w:val="21"/>
              </w:rPr>
            </w:pPr>
            <w:r>
              <w:rPr>
                <w:kern w:val="0"/>
                <w:szCs w:val="21"/>
              </w:rPr>
              <w:t>绩效目标完成情况分析：</w:t>
            </w:r>
            <w:r>
              <w:rPr>
                <w:rFonts w:hint="eastAsia"/>
                <w:kern w:val="0"/>
                <w:szCs w:val="21"/>
              </w:rPr>
              <w:t>（一）工业经济保持稳步发展，主要目标基本实现。工业园基础设施建设有序推进。（二）提升主导产业质量和水平。（三）围绕“项目攻坚”，扎实推进项目建设和服务。加强证照办理服务，组织技改项目申报，大力实施企业帮扶与工业人才培养，聚力解决融资平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0" w:type="dxa"/>
            <w:gridSpan w:val="6"/>
            <w:tcBorders>
              <w:top w:val="single" w:color="auto" w:sz="4" w:space="0"/>
              <w:left w:val="single" w:color="auto" w:sz="4" w:space="0"/>
              <w:bottom w:val="single" w:color="auto" w:sz="4" w:space="0"/>
              <w:right w:val="single" w:color="auto" w:sz="4" w:space="0"/>
            </w:tcBorders>
            <w:noWrap w:val="0"/>
            <w:vAlign w:val="top"/>
          </w:tcPr>
          <w:p>
            <w:pPr>
              <w:numPr>
                <w:ilvl w:val="0"/>
                <w:numId w:val="4"/>
              </w:numPr>
              <w:spacing w:line="560" w:lineRule="exact"/>
              <w:rPr>
                <w:kern w:val="0"/>
                <w:sz w:val="24"/>
              </w:rPr>
            </w:pPr>
            <w:r>
              <w:rPr>
                <w:kern w:val="0"/>
                <w:sz w:val="24"/>
              </w:rPr>
              <w:t>自我评价结论：</w:t>
            </w:r>
            <w:r>
              <w:rPr>
                <w:rFonts w:hint="eastAsia"/>
                <w:kern w:val="0"/>
                <w:sz w:val="24"/>
              </w:rPr>
              <w:t>2019年度各项指标完成良好。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存在的问题</w:t>
            </w:r>
          </w:p>
        </w:tc>
        <w:tc>
          <w:tcPr>
            <w:tcW w:w="8400" w:type="dxa"/>
            <w:gridSpan w:val="6"/>
            <w:tcBorders>
              <w:top w:val="single" w:color="auto" w:sz="4" w:space="0"/>
              <w:left w:val="single" w:color="auto" w:sz="4" w:space="0"/>
              <w:bottom w:val="single" w:color="auto" w:sz="4" w:space="0"/>
              <w:right w:val="single" w:color="auto" w:sz="4" w:space="0"/>
            </w:tcBorders>
            <w:noWrap w:val="0"/>
            <w:vAlign w:val="bottom"/>
          </w:tcPr>
          <w:p>
            <w:pPr>
              <w:spacing w:line="560" w:lineRule="exact"/>
              <w:ind w:right="420"/>
              <w:rPr>
                <w:kern w:val="0"/>
                <w:sz w:val="24"/>
              </w:rPr>
            </w:pPr>
            <w:r>
              <w:rPr>
                <w:rFonts w:hint="eastAsia"/>
                <w:kern w:val="0"/>
                <w:szCs w:val="21"/>
              </w:rPr>
              <w:t>一、经济下行压力大，工业增速放缓。二、市场低迷和经济大环境影响，中小企业投资商资金异常困难，因资金紧缺，已入驻项目难以开工建设，在建的项目推进不快。三、制造企业面临订单少、库存多、资金压力大的艰难局面。四、招商项目多，新投企业少，新上规模工业企业少，工业经济增长乏力。五、是工业园基础设施建设投入大，上级项目资金争取较难，建设资金短缺，后续投入难以为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改进措施与建议</w:t>
            </w:r>
          </w:p>
        </w:tc>
        <w:tc>
          <w:tcPr>
            <w:tcW w:w="8400" w:type="dxa"/>
            <w:gridSpan w:val="6"/>
            <w:tcBorders>
              <w:top w:val="single" w:color="auto" w:sz="4" w:space="0"/>
              <w:left w:val="single" w:color="auto" w:sz="4" w:space="0"/>
              <w:bottom w:val="single" w:color="auto" w:sz="4" w:space="0"/>
              <w:right w:val="single" w:color="auto" w:sz="4" w:space="0"/>
            </w:tcBorders>
            <w:noWrap w:val="0"/>
            <w:vAlign w:val="bottom"/>
          </w:tcPr>
          <w:p>
            <w:pPr>
              <w:spacing w:line="560" w:lineRule="exact"/>
              <w:ind w:right="420"/>
              <w:rPr>
                <w:kern w:val="0"/>
                <w:szCs w:val="21"/>
              </w:rPr>
            </w:pPr>
            <w:r>
              <w:rPr>
                <w:rFonts w:hint="eastAsia"/>
                <w:kern w:val="0"/>
                <w:szCs w:val="21"/>
              </w:rPr>
              <w:t>一、合理安排收支预算，严格预算管理。按照“以收定支，量入支出，保证重点，兼顾一般”的原则，科学合理编制部门预算，使预算更加切合实际。进一步细化预算，严格执行，增强预算约束意识。提高科学化、精细化预算管理水平。二、规范财务行为，提高会计基础工作质量。严格执行财经纪律和各项财务制度，严格财经手续，完善经费使用内部控制制度，加强对原始票据的合法性，完整性审核，做到票据合法规范，手续完备。三、建设阳光财务、提高资金效益。进一步完善财政预决算、“三公经费”及重大专项公开工作。使重大项目管理制度更加科学合理，程序更加规范透明，分配更加公平公正，资金更加安全高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8400" w:type="dxa"/>
            <w:gridSpan w:val="6"/>
            <w:tcBorders>
              <w:top w:val="single" w:color="auto" w:sz="4" w:space="0"/>
              <w:left w:val="single" w:color="auto" w:sz="4" w:space="0"/>
              <w:bottom w:val="single" w:color="auto" w:sz="4" w:space="0"/>
              <w:right w:val="single" w:color="auto" w:sz="4" w:space="0"/>
            </w:tcBorders>
            <w:noWrap w:val="0"/>
            <w:vAlign w:val="bottom"/>
          </w:tcPr>
          <w:p>
            <w:pPr>
              <w:spacing w:line="560" w:lineRule="exact"/>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pPr>
        <w:widowControl/>
        <w:tabs>
          <w:tab w:val="left" w:pos="1333"/>
          <w:tab w:val="left" w:pos="3793"/>
          <w:tab w:val="left" w:pos="5853"/>
        </w:tabs>
        <w:spacing w:line="560" w:lineRule="exact"/>
        <w:ind w:firstLine="315" w:firstLineChars="150"/>
        <w:jc w:val="left"/>
        <w:rPr>
          <w:kern w:val="0"/>
          <w:szCs w:val="21"/>
        </w:rPr>
      </w:pPr>
      <w:r>
        <w:rPr>
          <w:kern w:val="0"/>
          <w:szCs w:val="21"/>
        </w:rPr>
        <w:t>填报人：                    联系电话：                     填报日期：</w:t>
      </w:r>
    </w:p>
    <w:p>
      <w:pPr>
        <w:sectPr>
          <w:footerReference r:id="rId5" w:type="first"/>
          <w:footerReference r:id="rId3" w:type="default"/>
          <w:footerReference r:id="rId4" w:type="even"/>
          <w:pgSz w:w="11906" w:h="16838"/>
          <w:pgMar w:top="1440" w:right="1797" w:bottom="1440" w:left="1797" w:header="851" w:footer="1474" w:gutter="0"/>
          <w:pgNumType w:fmt="numberInDash"/>
          <w:cols w:space="720" w:num="1"/>
          <w:docGrid w:type="linesAndChars" w:linePitch="312" w:charSpace="0"/>
        </w:sectPr>
      </w:pPr>
    </w:p>
    <w:p>
      <w:pPr>
        <w:spacing w:line="560" w:lineRule="exact"/>
        <w:rPr>
          <w:rFonts w:ascii="黑体" w:hAnsi="黑体" w:eastAsia="黑体"/>
          <w:kern w:val="0"/>
          <w:sz w:val="30"/>
          <w:szCs w:val="30"/>
        </w:rPr>
      </w:pPr>
      <w:bookmarkStart w:id="0" w:name="RANGE!A1:H22"/>
      <w:r>
        <w:rPr>
          <w:rFonts w:ascii="黑体" w:hAnsi="黑体" w:eastAsia="黑体"/>
          <w:kern w:val="0"/>
          <w:sz w:val="30"/>
          <w:szCs w:val="30"/>
        </w:rPr>
        <w:t>附件</w:t>
      </w:r>
      <w:bookmarkEnd w:id="0"/>
      <w:r>
        <w:rPr>
          <w:rFonts w:ascii="黑体" w:hAnsi="黑体" w:eastAsia="黑体"/>
          <w:kern w:val="0"/>
          <w:sz w:val="30"/>
          <w:szCs w:val="30"/>
        </w:rPr>
        <w:t>3</w:t>
      </w:r>
    </w:p>
    <w:p>
      <w:pPr>
        <w:spacing w:line="560" w:lineRule="exact"/>
        <w:jc w:val="center"/>
        <w:rPr>
          <w:rFonts w:eastAsia="方正小标宋简体"/>
          <w:sz w:val="36"/>
          <w:szCs w:val="36"/>
        </w:rPr>
      </w:pPr>
      <w:r>
        <w:rPr>
          <w:rFonts w:eastAsia="方正小标宋简体"/>
          <w:sz w:val="36"/>
          <w:szCs w:val="36"/>
        </w:rPr>
        <w:t>部门整体支出绩效评价指标评分表</w:t>
      </w:r>
    </w:p>
    <w:p>
      <w:pPr>
        <w:spacing w:line="560" w:lineRule="exact"/>
        <w:jc w:val="center"/>
        <w:rPr>
          <w:rFonts w:eastAsia="方正小标宋简体"/>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796" w:type="dxa"/>
            <w:vMerge w:val="restart"/>
            <w:tcBorders>
              <w:top w:val="single" w:color="auto" w:sz="4" w:space="0"/>
              <w:left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①符合国家法律法规、国民经济和社会发展总体规划，计1分；</w:t>
            </w:r>
          </w:p>
          <w:p>
            <w:pPr>
              <w:widowControl/>
              <w:jc w:val="left"/>
              <w:rPr>
                <w:rFonts w:eastAsia="仿宋_GB2312"/>
                <w:kern w:val="0"/>
                <w:szCs w:val="21"/>
              </w:rPr>
            </w:pPr>
            <w:r>
              <w:rPr>
                <w:rFonts w:eastAsia="仿宋_GB2312"/>
                <w:kern w:val="0"/>
                <w:szCs w:val="21"/>
              </w:rPr>
              <w:t>②符合部门“三定”方案确定的职责，计1分；</w:t>
            </w:r>
          </w:p>
          <w:p>
            <w:pPr>
              <w:widowControl/>
              <w:jc w:val="left"/>
              <w:rPr>
                <w:rFonts w:eastAsia="仿宋_GB2312"/>
                <w:kern w:val="0"/>
                <w:szCs w:val="21"/>
              </w:rPr>
            </w:pPr>
            <w:r>
              <w:rPr>
                <w:rFonts w:eastAsia="仿宋_GB2312"/>
                <w:kern w:val="0"/>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eastAsia="仿宋_GB2312"/>
                <w:kern w:val="0"/>
                <w:szCs w:val="21"/>
              </w:rPr>
            </w:pPr>
            <w:r>
              <w:rPr>
                <w:rFonts w:hint="eastAsia" w:eastAsia="仿宋_GB2312"/>
                <w:kern w:val="0"/>
                <w:szCs w:val="21"/>
              </w:rPr>
              <w:t>绩效目标符合国家法律法规、国民经济和社会发展总体规划、“三定”方案、中长期规划。</w:t>
            </w:r>
          </w:p>
          <w:p>
            <w:pPr>
              <w:widowControl/>
              <w:ind w:firstLine="630" w:firstLineChars="300"/>
              <w:rPr>
                <w:kern w:val="0"/>
                <w:szCs w:val="21"/>
              </w:rPr>
            </w:pPr>
            <w:r>
              <w:rPr>
                <w:rFonts w:hint="eastAsia" w:eastAsia="仿宋_GB2312"/>
                <w:kern w:val="0"/>
                <w:szCs w:val="21"/>
              </w:rPr>
              <w:t>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2" w:hRule="atLeast"/>
          <w:jc w:val="center"/>
        </w:trPr>
        <w:tc>
          <w:tcPr>
            <w:tcW w:w="796" w:type="dxa"/>
            <w:vMerge w:val="continue"/>
            <w:tcBorders>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①将部门整体的绩效目标细化分解为具体的工作任务，计1分；</w:t>
            </w:r>
          </w:p>
          <w:p>
            <w:pPr>
              <w:widowControl/>
              <w:jc w:val="left"/>
              <w:rPr>
                <w:rFonts w:eastAsia="仿宋_GB2312"/>
                <w:kern w:val="0"/>
                <w:szCs w:val="21"/>
              </w:rPr>
            </w:pPr>
            <w:r>
              <w:rPr>
                <w:rFonts w:eastAsia="仿宋_GB2312"/>
                <w:kern w:val="0"/>
                <w:szCs w:val="21"/>
              </w:rPr>
              <w:t>②通过清晰、可衡量的指标值予以体现，计1分；</w:t>
            </w:r>
          </w:p>
          <w:p>
            <w:pPr>
              <w:widowControl/>
              <w:jc w:val="left"/>
              <w:rPr>
                <w:rFonts w:eastAsia="仿宋_GB2312"/>
                <w:kern w:val="0"/>
                <w:szCs w:val="21"/>
              </w:rPr>
            </w:pPr>
            <w:r>
              <w:rPr>
                <w:rFonts w:eastAsia="仿宋_GB2312"/>
                <w:kern w:val="0"/>
                <w:szCs w:val="21"/>
              </w:rPr>
              <w:t>③绩效指标与部门年度的任务数和计划数相对应，计1分；</w:t>
            </w:r>
          </w:p>
          <w:p>
            <w:pPr>
              <w:widowControl/>
              <w:jc w:val="left"/>
              <w:rPr>
                <w:rFonts w:eastAsia="仿宋_GB2312"/>
                <w:kern w:val="0"/>
                <w:szCs w:val="21"/>
              </w:rPr>
            </w:pPr>
            <w:r>
              <w:rPr>
                <w:rFonts w:eastAsia="仿宋_GB2312"/>
                <w:kern w:val="0"/>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eastAsia="仿宋_GB2312"/>
                <w:kern w:val="0"/>
                <w:szCs w:val="21"/>
              </w:rPr>
            </w:pPr>
            <w:r>
              <w:rPr>
                <w:rFonts w:hint="eastAsia" w:eastAsia="仿宋_GB2312"/>
                <w:kern w:val="0"/>
                <w:szCs w:val="21"/>
              </w:rPr>
              <w:t>绩效指标细化分解了计提工作任务、指标清晰、可衡量与部门年度的任务数和计划数相对应、与本年度部门预算资金相匹配</w:t>
            </w:r>
          </w:p>
          <w:p>
            <w:pPr>
              <w:widowControl/>
              <w:rPr>
                <w:kern w:val="0"/>
                <w:szCs w:val="21"/>
              </w:rPr>
            </w:pPr>
            <w:r>
              <w:rPr>
                <w:rFonts w:hint="eastAsia" w:eastAsia="仿宋_GB2312"/>
                <w:kern w:val="0"/>
                <w:szCs w:val="21"/>
              </w:rPr>
              <w:t>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jc w:val="center"/>
        </w:trPr>
        <w:tc>
          <w:tcPr>
            <w:tcW w:w="796" w:type="dxa"/>
            <w:vMerge w:val="restart"/>
            <w:tcBorders>
              <w:top w:val="single" w:color="auto" w:sz="4" w:space="0"/>
              <w:left w:val="single" w:color="auto" w:sz="4" w:space="0"/>
              <w:right w:val="single" w:color="auto" w:sz="4" w:space="0"/>
            </w:tcBorders>
            <w:noWrap w:val="0"/>
            <w:vAlign w:val="center"/>
          </w:tcPr>
          <w:p>
            <w:pPr>
              <w:jc w:val="center"/>
              <w:rPr>
                <w:rFonts w:eastAsia="仿宋_GB2312"/>
                <w:kern w:val="0"/>
                <w:szCs w:val="21"/>
              </w:rPr>
            </w:pPr>
            <w:r>
              <w:rPr>
                <w:rFonts w:eastAsia="仿宋_GB2312"/>
                <w:kern w:val="0"/>
                <w:szCs w:val="21"/>
              </w:rPr>
              <w:t xml:space="preserve">投 </w:t>
            </w:r>
          </w:p>
          <w:p>
            <w:pPr>
              <w:jc w:val="center"/>
              <w:rPr>
                <w:rFonts w:eastAsia="仿宋_GB2312"/>
                <w:kern w:val="0"/>
                <w:szCs w:val="21"/>
              </w:rPr>
            </w:pPr>
          </w:p>
          <w:p>
            <w:pPr>
              <w:jc w:val="center"/>
              <w:rPr>
                <w:szCs w:val="21"/>
              </w:rPr>
            </w:pPr>
            <w:r>
              <w:rPr>
                <w:rFonts w:eastAsia="仿宋_GB2312"/>
                <w:kern w:val="0"/>
                <w:szCs w:val="21"/>
              </w:rPr>
              <w:t>入</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在职人员控制率=（在职人员数/编制数）×100%，在职人员数：部门（单位）实际在职人数，以财政部门确定的部门决算编制口径为准。</w:t>
            </w:r>
            <w:r>
              <w:rPr>
                <w:rFonts w:eastAsia="仿宋_GB2312"/>
                <w:kern w:val="0"/>
                <w:szCs w:val="21"/>
              </w:rPr>
              <w:br w:type="textWrapping"/>
            </w:r>
            <w:r>
              <w:rPr>
                <w:rFonts w:eastAsia="仿宋_GB2312"/>
                <w:kern w:val="0"/>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在职人员控制率=（在职人员数22/编制数28）*100%=78%</w:t>
            </w:r>
          </w:p>
          <w:p>
            <w:pPr>
              <w:widowControl/>
              <w:jc w:val="center"/>
              <w:rPr>
                <w:kern w:val="0"/>
                <w:szCs w:val="21"/>
              </w:rPr>
            </w:pPr>
            <w:r>
              <w:rPr>
                <w:rFonts w:hint="eastAsia" w:eastAsia="仿宋_GB2312"/>
                <w:kern w:val="0"/>
                <w:szCs w:val="21"/>
              </w:rPr>
              <w:t>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796" w:type="dxa"/>
            <w:vMerge w:val="continue"/>
            <w:tcBorders>
              <w:left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r>
              <w:rPr>
                <w:rFonts w:eastAsia="仿宋_GB2312"/>
                <w:bCs/>
                <w:kern w:val="0"/>
                <w:szCs w:val="21"/>
              </w:rPr>
              <w:t>“三公经费”变动率=[（本年度“三公经费”总额</w:t>
            </w:r>
            <w:r>
              <w:rPr>
                <w:rFonts w:hint="eastAsia" w:eastAsia="仿宋_GB2312"/>
                <w:bCs/>
                <w:kern w:val="0"/>
                <w:szCs w:val="21"/>
              </w:rPr>
              <w:t>3.22</w:t>
            </w:r>
            <w:r>
              <w:rPr>
                <w:rFonts w:eastAsia="仿宋_GB2312"/>
                <w:bCs/>
                <w:kern w:val="0"/>
                <w:szCs w:val="21"/>
              </w:rPr>
              <w:t>-上年度“三公经费”总额</w:t>
            </w:r>
            <w:r>
              <w:rPr>
                <w:rFonts w:hint="eastAsia" w:eastAsia="仿宋_GB2312"/>
                <w:bCs/>
                <w:kern w:val="0"/>
                <w:szCs w:val="21"/>
              </w:rPr>
              <w:t>3.22</w:t>
            </w:r>
            <w:r>
              <w:rPr>
                <w:rFonts w:eastAsia="仿宋_GB2312"/>
                <w:bCs/>
                <w:kern w:val="0"/>
                <w:szCs w:val="21"/>
              </w:rPr>
              <w:t>）/上年度“三公经费”</w:t>
            </w:r>
            <w:r>
              <w:rPr>
                <w:rFonts w:hint="eastAsia" w:eastAsia="仿宋_GB2312"/>
                <w:bCs/>
                <w:kern w:val="0"/>
                <w:szCs w:val="21"/>
              </w:rPr>
              <w:t>持平计</w:t>
            </w:r>
            <w:r>
              <w:rPr>
                <w:rFonts w:hint="eastAsia"/>
                <w:bCs/>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1" w:hRule="atLeast"/>
          <w:jc w:val="center"/>
        </w:trPr>
        <w:tc>
          <w:tcPr>
            <w:tcW w:w="796" w:type="dxa"/>
            <w:vMerge w:val="continue"/>
            <w:tcBorders>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重点支出安排率≥90%，计4分；</w:t>
            </w:r>
            <w:r>
              <w:rPr>
                <w:rFonts w:eastAsia="仿宋_GB2312"/>
                <w:kern w:val="0"/>
                <w:szCs w:val="21"/>
              </w:rPr>
              <w:br w:type="textWrapping"/>
            </w:r>
            <w:r>
              <w:rPr>
                <w:rFonts w:eastAsia="仿宋_GB2312"/>
                <w:kern w:val="0"/>
                <w:szCs w:val="21"/>
              </w:rPr>
              <w:t>80%（含）-90%，计3分；</w:t>
            </w:r>
            <w:r>
              <w:rPr>
                <w:rFonts w:eastAsia="仿宋_GB2312"/>
                <w:kern w:val="0"/>
                <w:szCs w:val="21"/>
              </w:rPr>
              <w:br w:type="textWrapping"/>
            </w:r>
            <w:r>
              <w:rPr>
                <w:rFonts w:eastAsia="仿宋_GB2312"/>
                <w:kern w:val="0"/>
                <w:szCs w:val="21"/>
              </w:rPr>
              <w:t>70%（含）-80%，计2分；</w:t>
            </w:r>
            <w:r>
              <w:rPr>
                <w:rFonts w:eastAsia="仿宋_GB2312"/>
                <w:kern w:val="0"/>
                <w:szCs w:val="21"/>
              </w:rPr>
              <w:br w:type="textWrapping"/>
            </w:r>
            <w:r>
              <w:rPr>
                <w:rFonts w:eastAsia="仿宋_GB2312"/>
                <w:kern w:val="0"/>
                <w:szCs w:val="21"/>
              </w:rPr>
              <w:t>60%（含）-70%，计1分；</w:t>
            </w:r>
            <w:r>
              <w:rPr>
                <w:rFonts w:eastAsia="仿宋_GB2312"/>
                <w:kern w:val="0"/>
                <w:szCs w:val="21"/>
              </w:rPr>
              <w:br w:type="textWrapping"/>
            </w:r>
            <w:r>
              <w:rPr>
                <w:rFonts w:eastAsia="仿宋_GB2312"/>
                <w:kern w:val="0"/>
                <w:szCs w:val="21"/>
              </w:rPr>
              <w:t>低于60%不得分。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重点支出安排率=（重点项目支出/项目总支出）×100%</w:t>
            </w:r>
            <w:r>
              <w:rPr>
                <w:rFonts w:eastAsia="仿宋_GB2312"/>
                <w:kern w:val="0"/>
                <w:szCs w:val="21"/>
              </w:rPr>
              <w:br w:type="textWrapping"/>
            </w:r>
            <w:r>
              <w:rPr>
                <w:rFonts w:eastAsia="仿宋_GB2312"/>
                <w:kern w:val="0"/>
                <w:szCs w:val="21"/>
              </w:rPr>
              <w:t>重点项目支出：市委、市政府确定的为民办实事和部门重点工程与重点工作支出。</w:t>
            </w:r>
            <w:r>
              <w:rPr>
                <w:rFonts w:eastAsia="仿宋_GB2312"/>
                <w:kern w:val="0"/>
                <w:szCs w:val="21"/>
              </w:rPr>
              <w:br w:type="textWrapping"/>
            </w:r>
            <w:r>
              <w:rPr>
                <w:rFonts w:eastAsia="仿宋_GB2312"/>
                <w:kern w:val="0"/>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r>
              <w:rPr>
                <w:rFonts w:eastAsia="仿宋_GB2312"/>
                <w:kern w:val="0"/>
                <w:szCs w:val="21"/>
              </w:rPr>
              <w:t>重点支出安排率=（重点项目支出</w:t>
            </w:r>
            <w:r>
              <w:rPr>
                <w:rFonts w:hint="eastAsia" w:eastAsia="仿宋_GB2312"/>
                <w:kern w:val="0"/>
                <w:szCs w:val="21"/>
              </w:rPr>
              <w:t>2140.5</w:t>
            </w:r>
            <w:r>
              <w:rPr>
                <w:rFonts w:eastAsia="仿宋_GB2312"/>
                <w:kern w:val="0"/>
                <w:szCs w:val="21"/>
              </w:rPr>
              <w:t>/项目总支出</w:t>
            </w:r>
            <w:r>
              <w:rPr>
                <w:rFonts w:hint="eastAsia" w:eastAsia="仿宋_GB2312"/>
                <w:kern w:val="0"/>
                <w:szCs w:val="21"/>
              </w:rPr>
              <w:t>2140.5</w:t>
            </w:r>
            <w:r>
              <w:rPr>
                <w:rFonts w:eastAsia="仿宋_GB2312"/>
                <w:kern w:val="0"/>
                <w:szCs w:val="21"/>
              </w:rPr>
              <w:t>）×100%</w:t>
            </w:r>
            <w:r>
              <w:rPr>
                <w:rFonts w:hint="eastAsia" w:eastAsia="仿宋_GB2312"/>
                <w:kern w:val="0"/>
                <w:szCs w:val="21"/>
              </w:rPr>
              <w:t>=100%</w:t>
            </w:r>
            <w:r>
              <w:rPr>
                <w:rFonts w:eastAsia="仿宋_GB2312"/>
                <w:kern w:val="0"/>
                <w:szCs w:val="21"/>
              </w:rPr>
              <w:br w:type="textWrapping"/>
            </w:r>
            <w:r>
              <w:rPr>
                <w:rFonts w:hint="eastAsia" w:eastAsia="仿宋_GB2312"/>
                <w:kern w:val="0"/>
                <w:szCs w:val="21"/>
              </w:rPr>
              <w:t>计</w:t>
            </w:r>
            <w:r>
              <w:rPr>
                <w:rFonts w:hint="eastAsia"/>
                <w:bCs/>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预算调整率=（预算调整数/预算数）×100%。</w:t>
            </w:r>
            <w:r>
              <w:rPr>
                <w:rFonts w:eastAsia="仿宋_GB2312"/>
                <w:kern w:val="0"/>
                <w:szCs w:val="21"/>
              </w:rPr>
              <w:br w:type="textWrapping"/>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预算调整率=（预算调整数</w:t>
            </w:r>
            <w:r>
              <w:rPr>
                <w:rFonts w:hint="eastAsia" w:eastAsia="仿宋_GB2312"/>
                <w:kern w:val="0"/>
                <w:szCs w:val="21"/>
              </w:rPr>
              <w:t>0</w:t>
            </w:r>
            <w:r>
              <w:rPr>
                <w:rFonts w:eastAsia="仿宋_GB2312"/>
                <w:kern w:val="0"/>
                <w:szCs w:val="21"/>
              </w:rPr>
              <w:t>/预算数</w:t>
            </w:r>
            <w:r>
              <w:rPr>
                <w:rFonts w:hint="eastAsia"/>
                <w:kern w:val="0"/>
                <w:szCs w:val="21"/>
              </w:rPr>
              <w:t>4433.01</w:t>
            </w:r>
            <w:r>
              <w:rPr>
                <w:rFonts w:eastAsia="仿宋_GB2312"/>
                <w:kern w:val="0"/>
                <w:szCs w:val="21"/>
              </w:rPr>
              <w:t>）×100%</w:t>
            </w:r>
            <w:r>
              <w:rPr>
                <w:rFonts w:hint="eastAsia" w:eastAsia="仿宋_GB2312"/>
                <w:kern w:val="0"/>
                <w:szCs w:val="21"/>
              </w:rPr>
              <w:t>=0</w:t>
            </w:r>
            <w:r>
              <w:rPr>
                <w:rFonts w:eastAsia="仿宋_GB2312"/>
                <w:kern w:val="0"/>
                <w:szCs w:val="21"/>
              </w:rPr>
              <w:t>。</w:t>
            </w:r>
            <w:r>
              <w:rPr>
                <w:rFonts w:eastAsia="仿宋_GB2312"/>
                <w:kern w:val="0"/>
                <w:szCs w:val="21"/>
              </w:rPr>
              <w:br w:type="textWrapping"/>
            </w:r>
          </w:p>
          <w:p>
            <w:pPr>
              <w:widowControl/>
              <w:jc w:val="center"/>
              <w:rPr>
                <w:kern w:val="0"/>
                <w:szCs w:val="21"/>
              </w:rPr>
            </w:pPr>
            <w:r>
              <w:rPr>
                <w:rFonts w:hint="eastAsia" w:eastAsia="仿宋_GB2312"/>
                <w:kern w:val="0"/>
                <w:szCs w:val="21"/>
              </w:rPr>
              <w:t>计</w:t>
            </w:r>
            <w:r>
              <w:rPr>
                <w:rFonts w:hint="eastAsia"/>
                <w:bCs/>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资金的支出应与实施进度一致。</w:t>
            </w:r>
          </w:p>
          <w:p>
            <w:pPr>
              <w:widowControl/>
              <w:jc w:val="center"/>
              <w:rPr>
                <w:kern w:val="0"/>
                <w:szCs w:val="21"/>
              </w:rPr>
            </w:pPr>
            <w:r>
              <w:rPr>
                <w:rFonts w:hint="eastAsia" w:eastAsia="仿宋_GB2312"/>
                <w:kern w:val="0"/>
                <w:szCs w:val="21"/>
              </w:rPr>
              <w:t>计</w:t>
            </w:r>
            <w:r>
              <w:rPr>
                <w:rFonts w:hint="eastAsia"/>
                <w:bCs/>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r>
              <w:rPr>
                <w:rFonts w:eastAsia="仿宋_GB2312"/>
                <w:kern w:val="0"/>
                <w:szCs w:val="21"/>
              </w:rPr>
              <w:t>当年有结余，但不超过上年结转，</w:t>
            </w:r>
            <w:r>
              <w:rPr>
                <w:rFonts w:hint="eastAsia" w:eastAsia="仿宋_GB2312"/>
                <w:kern w:val="0"/>
                <w:szCs w:val="21"/>
              </w:rPr>
              <w:t>计</w:t>
            </w:r>
            <w:r>
              <w:rPr>
                <w:rFonts w:eastAsia="仿宋_GB2312"/>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eastAsia="仿宋_GB2312"/>
                <w:kern w:val="0"/>
                <w:szCs w:val="21"/>
              </w:rPr>
              <w:t>三公经费”控制率=（“三公经费”实际支出数</w:t>
            </w:r>
            <w:r>
              <w:rPr>
                <w:rFonts w:hint="eastAsia" w:eastAsia="仿宋_GB2312"/>
                <w:kern w:val="0"/>
                <w:szCs w:val="21"/>
              </w:rPr>
              <w:t>3.22</w:t>
            </w:r>
            <w:r>
              <w:rPr>
                <w:rFonts w:eastAsia="仿宋_GB2312"/>
                <w:kern w:val="0"/>
                <w:szCs w:val="21"/>
              </w:rPr>
              <w:t>/“三公经费”预算安排数</w:t>
            </w:r>
            <w:r>
              <w:rPr>
                <w:rFonts w:hint="eastAsia" w:eastAsia="仿宋_GB2312"/>
                <w:kern w:val="0"/>
                <w:szCs w:val="21"/>
              </w:rPr>
              <w:t>3.22</w:t>
            </w:r>
            <w:r>
              <w:rPr>
                <w:rFonts w:eastAsia="仿宋_GB2312"/>
                <w:kern w:val="0"/>
                <w:szCs w:val="21"/>
              </w:rPr>
              <w:t>）×100%。</w:t>
            </w:r>
            <w:r>
              <w:rPr>
                <w:rFonts w:hint="eastAsia" w:eastAsia="仿宋_GB2312"/>
                <w:kern w:val="0"/>
                <w:szCs w:val="21"/>
              </w:rPr>
              <w:t>=0%</w:t>
            </w:r>
          </w:p>
          <w:p>
            <w:pPr>
              <w:widowControl/>
              <w:jc w:val="center"/>
              <w:rPr>
                <w:kern w:val="0"/>
                <w:szCs w:val="21"/>
              </w:rPr>
            </w:pPr>
            <w:r>
              <w:rPr>
                <w:rFonts w:hint="eastAsia" w:eastAsia="仿宋_GB2312"/>
                <w:kern w:val="0"/>
                <w:szCs w:val="21"/>
              </w:rPr>
              <w:t>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796" w:type="dxa"/>
            <w:vMerge w:val="restart"/>
            <w:tcBorders>
              <w:top w:val="single" w:color="auto" w:sz="4" w:space="0"/>
              <w:left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①已制定或具有预算资金管理办法，内部财务管理制度、会计核算制度等管理制度，2分；</w:t>
            </w:r>
            <w:r>
              <w:rPr>
                <w:rFonts w:eastAsia="仿宋_GB2312"/>
                <w:kern w:val="0"/>
                <w:szCs w:val="21"/>
              </w:rPr>
              <w:br w:type="textWrapping"/>
            </w:r>
            <w:r>
              <w:rPr>
                <w:rFonts w:eastAsia="仿宋_GB2312"/>
                <w:kern w:val="0"/>
                <w:szCs w:val="21"/>
              </w:rPr>
              <w:t>②相关管理制度合法、合规、完整，2分；</w:t>
            </w:r>
            <w:r>
              <w:rPr>
                <w:rFonts w:eastAsia="仿宋_GB2312"/>
                <w:kern w:val="0"/>
                <w:szCs w:val="21"/>
              </w:rPr>
              <w:br w:type="textWrapping"/>
            </w:r>
            <w:r>
              <w:rPr>
                <w:rFonts w:eastAsia="仿宋_GB2312"/>
                <w:kern w:val="0"/>
                <w:szCs w:val="21"/>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已建立了各项管理制度并得到有效执行</w:t>
            </w:r>
          </w:p>
          <w:p>
            <w:pPr>
              <w:widowControl/>
              <w:jc w:val="center"/>
              <w:rPr>
                <w:kern w:val="0"/>
                <w:szCs w:val="21"/>
              </w:rPr>
            </w:pPr>
            <w:r>
              <w:rPr>
                <w:rFonts w:hint="eastAsia" w:eastAsia="仿宋_GB2312"/>
                <w:kern w:val="0"/>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6" w:type="dxa"/>
            <w:vMerge w:val="continue"/>
            <w:tcBorders>
              <w:left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①支出符合国家财经法规和财务管理制度规定以及有关专项资金管理办法的规定；</w:t>
            </w:r>
            <w:r>
              <w:rPr>
                <w:rFonts w:eastAsia="仿宋_GB2312"/>
                <w:kern w:val="0"/>
                <w:szCs w:val="21"/>
              </w:rPr>
              <w:br w:type="textWrapping"/>
            </w:r>
            <w:r>
              <w:rPr>
                <w:rFonts w:eastAsia="仿宋_GB2312"/>
                <w:kern w:val="0"/>
                <w:szCs w:val="21"/>
              </w:rPr>
              <w:t>②资金拨付有完整的审批程序和手续；</w:t>
            </w:r>
            <w:r>
              <w:rPr>
                <w:rFonts w:eastAsia="仿宋_GB2312"/>
                <w:kern w:val="0"/>
                <w:szCs w:val="21"/>
              </w:rPr>
              <w:br w:type="textWrapping"/>
            </w:r>
            <w:r>
              <w:rPr>
                <w:rFonts w:eastAsia="仿宋_GB2312"/>
                <w:kern w:val="0"/>
                <w:szCs w:val="21"/>
              </w:rPr>
              <w:t>③项目支出符合政府采购及基建预决算评审相关要求；</w:t>
            </w:r>
            <w:r>
              <w:rPr>
                <w:rFonts w:eastAsia="仿宋_GB2312"/>
                <w:kern w:val="0"/>
                <w:szCs w:val="21"/>
              </w:rPr>
              <w:br w:type="textWrapping"/>
            </w:r>
            <w:r>
              <w:rPr>
                <w:rFonts w:eastAsia="仿宋_GB2312"/>
                <w:kern w:val="0"/>
                <w:szCs w:val="21"/>
              </w:rPr>
              <w:t>④支出符合部门预算批复的用途；</w:t>
            </w:r>
            <w:r>
              <w:rPr>
                <w:rFonts w:eastAsia="仿宋_GB2312"/>
                <w:kern w:val="0"/>
                <w:szCs w:val="21"/>
              </w:rPr>
              <w:br w:type="textWrapping"/>
            </w:r>
            <w:r>
              <w:rPr>
                <w:rFonts w:eastAsia="仿宋_GB2312"/>
                <w:kern w:val="0"/>
                <w:szCs w:val="21"/>
              </w:rPr>
              <w:t>⑤资金使用无截留、挤占、挪用、虚列支出等情况。</w:t>
            </w:r>
            <w:r>
              <w:rPr>
                <w:rFonts w:eastAsia="仿宋_GB2312"/>
                <w:kern w:val="0"/>
                <w:szCs w:val="21"/>
              </w:rPr>
              <w:br w:type="textWrapping"/>
            </w:r>
            <w:r>
              <w:rPr>
                <w:rFonts w:eastAsia="仿宋_GB2312"/>
                <w:kern w:val="0"/>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使用预算资金符合相关的预算财务管理制度的规定，用以反映和考核部门（单位）预算资金的规范运行情况。</w:t>
            </w:r>
          </w:p>
          <w:p>
            <w:pPr>
              <w:widowControl/>
              <w:jc w:val="center"/>
              <w:rPr>
                <w:kern w:val="0"/>
                <w:szCs w:val="21"/>
              </w:rPr>
            </w:pPr>
            <w:r>
              <w:rPr>
                <w:rFonts w:hint="eastAsia"/>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96" w:type="dxa"/>
            <w:vMerge w:val="continue"/>
            <w:tcBorders>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①按规定内容公开预决算信息，1分；</w:t>
            </w:r>
            <w:r>
              <w:rPr>
                <w:rFonts w:eastAsia="仿宋_GB2312"/>
                <w:kern w:val="0"/>
                <w:szCs w:val="21"/>
              </w:rPr>
              <w:br w:type="textWrapping"/>
            </w:r>
            <w:r>
              <w:rPr>
                <w:rFonts w:eastAsia="仿宋_GB2312"/>
                <w:kern w:val="0"/>
                <w:szCs w:val="21"/>
              </w:rPr>
              <w:t>②按规定时限公开预决算信息，1分；</w:t>
            </w:r>
            <w:r>
              <w:rPr>
                <w:rFonts w:eastAsia="仿宋_GB2312"/>
                <w:kern w:val="0"/>
                <w:szCs w:val="21"/>
              </w:rPr>
              <w:br w:type="textWrapping"/>
            </w:r>
            <w:r>
              <w:rPr>
                <w:rFonts w:eastAsia="仿宋_GB2312"/>
                <w:kern w:val="0"/>
                <w:szCs w:val="21"/>
              </w:rPr>
              <w:t>③基础数据信息和会计信息资料真实，1分；</w:t>
            </w:r>
            <w:r>
              <w:rPr>
                <w:rFonts w:eastAsia="仿宋_GB2312"/>
                <w:kern w:val="0"/>
                <w:szCs w:val="21"/>
              </w:rPr>
              <w:br w:type="textWrapping"/>
            </w:r>
            <w:r>
              <w:rPr>
                <w:rFonts w:eastAsia="仿宋_GB2312"/>
                <w:kern w:val="0"/>
                <w:szCs w:val="21"/>
              </w:rPr>
              <w:t>④基础数据信息和会计信息资料完整，1分；</w:t>
            </w:r>
            <w:r>
              <w:rPr>
                <w:rFonts w:eastAsia="仿宋_GB2312"/>
                <w:kern w:val="0"/>
                <w:szCs w:val="21"/>
              </w:rPr>
              <w:br w:type="textWrapping"/>
            </w:r>
            <w:r>
              <w:rPr>
                <w:rFonts w:eastAsia="仿宋_GB2312"/>
                <w:kern w:val="0"/>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预决算信息</w:t>
            </w:r>
            <w:r>
              <w:rPr>
                <w:rFonts w:hint="eastAsia" w:eastAsia="仿宋_GB2312"/>
                <w:kern w:val="0"/>
                <w:szCs w:val="21"/>
              </w:rPr>
              <w:t>已公开、资料完整、准确真实</w:t>
            </w:r>
            <w:r>
              <w:rPr>
                <w:rFonts w:eastAsia="仿宋_GB2312"/>
                <w:kern w:val="0"/>
                <w:szCs w:val="21"/>
              </w:rPr>
              <w:t>。</w:t>
            </w:r>
          </w:p>
          <w:p>
            <w:pPr>
              <w:widowControl/>
              <w:jc w:val="center"/>
              <w:rPr>
                <w:kern w:val="0"/>
                <w:szCs w:val="21"/>
              </w:rPr>
            </w:pPr>
            <w:r>
              <w:rPr>
                <w:rFonts w:hint="eastAsia" w:eastAsia="仿宋_GB2312"/>
                <w:kern w:val="0"/>
                <w:szCs w:val="21"/>
              </w:rPr>
              <w:t>5分</w:t>
            </w:r>
            <w:r>
              <w:rPr>
                <w:rFonts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796" w:type="dxa"/>
            <w:vMerge w:val="restart"/>
            <w:tcBorders>
              <w:top w:val="single" w:color="auto" w:sz="4" w:space="0"/>
              <w:left w:val="single" w:color="auto" w:sz="4" w:space="0"/>
              <w:right w:val="single" w:color="auto" w:sz="4" w:space="0"/>
            </w:tcBorders>
            <w:noWrap w:val="0"/>
            <w:vAlign w:val="center"/>
          </w:tcPr>
          <w:p>
            <w:pPr>
              <w:jc w:val="center"/>
              <w:rPr>
                <w:rFonts w:eastAsia="仿宋_GB2312"/>
                <w:kern w:val="0"/>
                <w:szCs w:val="21"/>
              </w:rPr>
            </w:pPr>
            <w:r>
              <w:rPr>
                <w:rFonts w:eastAsia="仿宋_GB2312"/>
                <w:kern w:val="0"/>
                <w:szCs w:val="21"/>
              </w:rPr>
              <w:t>过</w:t>
            </w:r>
          </w:p>
          <w:p>
            <w:pPr>
              <w:jc w:val="center"/>
              <w:rPr>
                <w:rFonts w:eastAsia="仿宋_GB2312"/>
                <w:kern w:val="0"/>
                <w:szCs w:val="21"/>
              </w:rPr>
            </w:pPr>
          </w:p>
          <w:p>
            <w:pPr>
              <w:jc w:val="center"/>
              <w:rPr>
                <w:rFonts w:eastAsia="仿宋_GB2312"/>
                <w:kern w:val="0"/>
                <w:szCs w:val="21"/>
              </w:rPr>
            </w:pPr>
          </w:p>
          <w:p>
            <w:pPr>
              <w:jc w:val="center"/>
              <w:rPr>
                <w:szCs w:val="21"/>
              </w:rPr>
            </w:pPr>
            <w:r>
              <w:rPr>
                <w:rFonts w:eastAsia="仿宋_GB2312"/>
                <w:kern w:val="0"/>
                <w:szCs w:val="21"/>
              </w:rPr>
              <w:t>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①已制定或具有资产管理制度，1分；</w:t>
            </w:r>
            <w:r>
              <w:rPr>
                <w:rFonts w:eastAsia="仿宋_GB2312"/>
                <w:kern w:val="0"/>
                <w:szCs w:val="21"/>
              </w:rPr>
              <w:br w:type="textWrapping"/>
            </w:r>
            <w:r>
              <w:rPr>
                <w:rFonts w:eastAsia="仿宋_GB2312"/>
                <w:kern w:val="0"/>
                <w:szCs w:val="21"/>
              </w:rPr>
              <w:t>②相关资产管理制度合法、合规、完整，1分；</w:t>
            </w:r>
            <w:r>
              <w:rPr>
                <w:rFonts w:eastAsia="仿宋_GB2312"/>
                <w:kern w:val="0"/>
                <w:szCs w:val="21"/>
              </w:rPr>
              <w:br w:type="textWrapping"/>
            </w:r>
            <w:r>
              <w:rPr>
                <w:rFonts w:eastAsia="仿宋_GB2312"/>
                <w:kern w:val="0"/>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制定了</w:t>
            </w:r>
            <w:r>
              <w:rPr>
                <w:rFonts w:eastAsia="仿宋_GB2312"/>
                <w:kern w:val="0"/>
                <w:szCs w:val="21"/>
              </w:rPr>
              <w:t>管理制度</w:t>
            </w:r>
            <w:r>
              <w:rPr>
                <w:rFonts w:hint="eastAsia" w:eastAsia="仿宋_GB2312"/>
                <w:kern w:val="0"/>
                <w:szCs w:val="21"/>
              </w:rPr>
              <w:t>、</w:t>
            </w:r>
            <w:r>
              <w:rPr>
                <w:rFonts w:eastAsia="仿宋_GB2312"/>
                <w:kern w:val="0"/>
                <w:szCs w:val="21"/>
              </w:rPr>
              <w:t>健全完整</w:t>
            </w:r>
            <w:r>
              <w:rPr>
                <w:rFonts w:hint="eastAsia" w:eastAsia="仿宋_GB2312"/>
                <w:kern w:val="0"/>
                <w:szCs w:val="21"/>
              </w:rPr>
              <w:t>，合法合规资产管理制度有效执行</w:t>
            </w:r>
          </w:p>
          <w:p>
            <w:pPr>
              <w:widowControl/>
              <w:jc w:val="center"/>
              <w:rPr>
                <w:kern w:val="0"/>
                <w:szCs w:val="21"/>
              </w:rPr>
            </w:pPr>
            <w:r>
              <w:rPr>
                <w:rFonts w:hint="eastAsia" w:eastAsia="仿宋_GB2312"/>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796" w:type="dxa"/>
            <w:vMerge w:val="continue"/>
            <w:tcBorders>
              <w:left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①资产保存完整；</w:t>
            </w:r>
            <w:r>
              <w:rPr>
                <w:rFonts w:eastAsia="仿宋_GB2312"/>
                <w:kern w:val="0"/>
                <w:szCs w:val="21"/>
              </w:rPr>
              <w:br w:type="textWrapping"/>
            </w:r>
            <w:r>
              <w:rPr>
                <w:rFonts w:eastAsia="仿宋_GB2312"/>
                <w:kern w:val="0"/>
                <w:szCs w:val="21"/>
              </w:rPr>
              <w:t>②资产配置合理；</w:t>
            </w:r>
            <w:r>
              <w:rPr>
                <w:rFonts w:eastAsia="仿宋_GB2312"/>
                <w:kern w:val="0"/>
                <w:szCs w:val="21"/>
              </w:rPr>
              <w:br w:type="textWrapping"/>
            </w:r>
            <w:r>
              <w:rPr>
                <w:rFonts w:eastAsia="仿宋_GB2312"/>
                <w:kern w:val="0"/>
                <w:szCs w:val="21"/>
              </w:rPr>
              <w:t xml:space="preserve">③资产处置规范； </w:t>
            </w:r>
            <w:r>
              <w:rPr>
                <w:rFonts w:eastAsia="仿宋_GB2312"/>
                <w:kern w:val="0"/>
                <w:szCs w:val="21"/>
              </w:rPr>
              <w:br w:type="textWrapping"/>
            </w:r>
            <w:r>
              <w:rPr>
                <w:rFonts w:eastAsia="仿宋_GB2312"/>
                <w:kern w:val="0"/>
                <w:szCs w:val="21"/>
              </w:rPr>
              <w:t>④资产账务管理合规，帐实相符；</w:t>
            </w:r>
            <w:r>
              <w:rPr>
                <w:rFonts w:eastAsia="仿宋_GB2312"/>
                <w:kern w:val="0"/>
                <w:szCs w:val="21"/>
              </w:rPr>
              <w:br w:type="textWrapping"/>
            </w:r>
            <w:r>
              <w:rPr>
                <w:rFonts w:eastAsia="仿宋_GB2312"/>
                <w:kern w:val="0"/>
                <w:szCs w:val="21"/>
              </w:rPr>
              <w:t>⑤资产有偿使用及处置收入及时足额上缴；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eastAsia="仿宋_GB2312"/>
                <w:kern w:val="0"/>
                <w:szCs w:val="21"/>
              </w:rPr>
              <w:t>资产保存完整、使用合规、配置合理、处置规范、收入及时</w:t>
            </w:r>
            <w:r>
              <w:rPr>
                <w:rFonts w:hint="eastAsia" w:eastAsia="仿宋_GB2312"/>
                <w:kern w:val="0"/>
                <w:szCs w:val="21"/>
              </w:rPr>
              <w:t>足额上缴财政</w:t>
            </w:r>
          </w:p>
          <w:p>
            <w:pPr>
              <w:widowControl/>
              <w:jc w:val="center"/>
              <w:rPr>
                <w:kern w:val="0"/>
                <w:szCs w:val="21"/>
              </w:rPr>
            </w:pPr>
            <w:r>
              <w:rPr>
                <w:rFonts w:hint="eastAsia"/>
                <w:bCs/>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96" w:type="dxa"/>
            <w:vMerge w:val="continue"/>
            <w:tcBorders>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rFonts w:eastAsia="仿宋_GB2312"/>
                <w:kern w:val="0"/>
                <w:szCs w:val="21"/>
              </w:rPr>
              <w:t>固定资产利用率=（在用固定资产总额</w:t>
            </w:r>
            <w:r>
              <w:rPr>
                <w:rFonts w:hint="eastAsia" w:eastAsia="仿宋_GB2312"/>
                <w:kern w:val="0"/>
                <w:szCs w:val="21"/>
              </w:rPr>
              <w:t>254.63</w:t>
            </w:r>
            <w:r>
              <w:rPr>
                <w:rFonts w:eastAsia="仿宋_GB2312"/>
                <w:kern w:val="0"/>
                <w:szCs w:val="21"/>
              </w:rPr>
              <w:t>/所有固定资产</w:t>
            </w:r>
            <w:r>
              <w:rPr>
                <w:rFonts w:hint="eastAsia" w:eastAsia="仿宋_GB2312"/>
                <w:kern w:val="0"/>
                <w:szCs w:val="21"/>
              </w:rPr>
              <w:t>254.63</w:t>
            </w:r>
            <w:r>
              <w:rPr>
                <w:rFonts w:eastAsia="仿宋_GB2312"/>
                <w:kern w:val="0"/>
                <w:szCs w:val="21"/>
              </w:rPr>
              <w:t>×100%</w:t>
            </w:r>
            <w:r>
              <w:rPr>
                <w:rFonts w:hint="eastAsia" w:eastAsia="仿宋_GB2312"/>
                <w:kern w:val="0"/>
                <w:szCs w:val="21"/>
              </w:rPr>
              <w:t>=100%</w:t>
            </w:r>
          </w:p>
          <w:p>
            <w:pPr>
              <w:widowControl/>
              <w:jc w:val="center"/>
              <w:rPr>
                <w:kern w:val="0"/>
                <w:szCs w:val="21"/>
              </w:rPr>
            </w:pPr>
            <w:r>
              <w:rPr>
                <w:rFonts w:hint="eastAsia" w:eastAsia="仿宋_GB2312"/>
                <w:kern w:val="0"/>
                <w:szCs w:val="21"/>
              </w:rPr>
              <w:t xml:space="preserve">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①（重点工作完成件数/重点工作计划件数）*6</w:t>
            </w:r>
          </w:p>
          <w:p>
            <w:pPr>
              <w:widowControl/>
              <w:jc w:val="left"/>
              <w:rPr>
                <w:rFonts w:eastAsia="仿宋_GB2312"/>
                <w:kern w:val="0"/>
                <w:szCs w:val="21"/>
              </w:rPr>
            </w:pPr>
            <w:r>
              <w:rPr>
                <w:rFonts w:eastAsia="仿宋_GB2312"/>
                <w:kern w:val="0"/>
                <w:szCs w:val="21"/>
              </w:rPr>
              <w:t>②根据绩效办2013年对各部门为民办实事和部门重点工程与重点工作考核分数折算。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eastAsia="仿宋_GB2312"/>
                <w:kern w:val="0"/>
                <w:szCs w:val="21"/>
              </w:rPr>
            </w:pPr>
            <w:r>
              <w:rPr>
                <w:rFonts w:hint="eastAsia" w:eastAsia="仿宋_GB2312"/>
                <w:kern w:val="0"/>
                <w:szCs w:val="21"/>
              </w:rPr>
              <w:t>重点工作完成率100%得6分</w:t>
            </w:r>
          </w:p>
          <w:p>
            <w:pPr>
              <w:widowControl/>
              <w:spacing w:line="240" w:lineRule="exact"/>
              <w:jc w:val="center"/>
              <w:rPr>
                <w:rFonts w:hint="eastAsia" w:eastAsia="仿宋_GB2312"/>
                <w:kern w:val="0"/>
                <w:szCs w:val="21"/>
              </w:rPr>
            </w:pPr>
            <w:r>
              <w:rPr>
                <w:rFonts w:hint="eastAsia" w:eastAsia="仿宋_GB2312"/>
                <w:kern w:val="0"/>
                <w:szCs w:val="21"/>
              </w:rPr>
              <w:t>民办实事和部门重点工程与重点工作考核分数100/100得4分</w:t>
            </w:r>
          </w:p>
          <w:p>
            <w:pPr>
              <w:widowControl/>
              <w:spacing w:line="240" w:lineRule="exact"/>
              <w:jc w:val="center"/>
              <w:rPr>
                <w:kern w:val="0"/>
                <w:szCs w:val="21"/>
              </w:rPr>
            </w:pPr>
            <w:r>
              <w:rPr>
                <w:rFonts w:hint="eastAsia" w:eastAsia="仿宋_GB2312"/>
                <w:kern w:val="0"/>
                <w:szCs w:val="21"/>
              </w:rPr>
              <w:t>合计10分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质量达标实际工作数：2013年部门（单位）实际完成为民办实事和部门重点工程与重点工作数中，质量达到绩效标准值的工作任务数量。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质量达标率100%</w:t>
            </w:r>
          </w:p>
          <w:p>
            <w:pPr>
              <w:widowControl/>
              <w:jc w:val="center"/>
              <w:rPr>
                <w:rFonts w:hint="eastAsia"/>
                <w:bCs/>
                <w:kern w:val="0"/>
                <w:szCs w:val="21"/>
              </w:rPr>
            </w:pPr>
            <w:r>
              <w:rPr>
                <w:rFonts w:hint="eastAsia" w:eastAsia="仿宋_GB2312"/>
                <w:kern w:val="0"/>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7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2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经济效益，社会效益及生态效益都达到年初预期目标</w:t>
            </w:r>
          </w:p>
          <w:p>
            <w:pPr>
              <w:widowControl/>
              <w:jc w:val="center"/>
              <w:rPr>
                <w:kern w:val="0"/>
                <w:szCs w:val="21"/>
              </w:rPr>
            </w:pPr>
            <w:r>
              <w:rPr>
                <w:rFonts w:hint="eastAsia" w:eastAsia="仿宋_GB2312"/>
                <w:kern w:val="0"/>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根据问卷调查，900分/1000*8</w:t>
            </w:r>
          </w:p>
          <w:p>
            <w:pPr>
              <w:widowControl/>
              <w:jc w:val="center"/>
              <w:rPr>
                <w:kern w:val="0"/>
                <w:szCs w:val="21"/>
              </w:rPr>
            </w:pPr>
            <w:r>
              <w:rPr>
                <w:rFonts w:hint="eastAsia" w:eastAsia="仿宋_GB2312"/>
                <w:kern w:val="0"/>
                <w:szCs w:val="21"/>
              </w:rPr>
              <w:t>7.2分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99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r>
              <w:rPr>
                <w:rFonts w:hint="eastAsia"/>
                <w:kern w:val="0"/>
                <w:szCs w:val="21"/>
              </w:rPr>
              <w:t>98.2</w:t>
            </w:r>
          </w:p>
        </w:tc>
      </w:tr>
    </w:tbl>
    <w:p>
      <w:pPr>
        <w:sectPr>
          <w:pgSz w:w="16838" w:h="11906" w:orient="landscape"/>
          <w:pgMar w:top="1797" w:right="1440" w:bottom="1797" w:left="1440" w:header="851" w:footer="992" w:gutter="0"/>
          <w:pgNumType w:fmt="numberInDash"/>
          <w:cols w:space="720" w:num="1"/>
          <w:docGrid w:type="lines" w:linePitch="312" w:charSpace="0"/>
        </w:sectPr>
      </w:pPr>
    </w:p>
    <w:p>
      <w:pPr>
        <w:spacing w:line="560" w:lineRule="exact"/>
        <w:rPr>
          <w:rFonts w:eastAsia="黑体"/>
          <w:sz w:val="30"/>
          <w:szCs w:val="30"/>
        </w:rPr>
      </w:pPr>
      <w:r>
        <w:rPr>
          <w:rFonts w:eastAsia="黑体"/>
          <w:kern w:val="0"/>
          <w:sz w:val="30"/>
          <w:szCs w:val="30"/>
        </w:rPr>
        <w:t>附件4</w:t>
      </w:r>
    </w:p>
    <w:p>
      <w:pPr>
        <w:spacing w:line="560" w:lineRule="exact"/>
        <w:jc w:val="center"/>
        <w:rPr>
          <w:rFonts w:eastAsia="方正小标宋简体"/>
          <w:bCs/>
          <w:sz w:val="36"/>
          <w:szCs w:val="36"/>
        </w:rPr>
      </w:pPr>
      <w:r>
        <w:rPr>
          <w:rFonts w:eastAsia="方正小标宋简体"/>
          <w:bCs/>
          <w:sz w:val="36"/>
          <w:szCs w:val="36"/>
        </w:rPr>
        <w:t>公众或服务对象满意度调查问卷</w:t>
      </w:r>
    </w:p>
    <w:p>
      <w:pPr>
        <w:spacing w:line="560" w:lineRule="exact"/>
        <w:jc w:val="left"/>
        <w:rPr>
          <w:rFonts w:eastAsia="仿宋_GB2312"/>
          <w:sz w:val="24"/>
        </w:rPr>
      </w:pPr>
    </w:p>
    <w:p>
      <w:pPr>
        <w:spacing w:line="560" w:lineRule="exact"/>
        <w:jc w:val="left"/>
        <w:rPr>
          <w:rFonts w:eastAsia="仿宋_GB2312"/>
          <w:sz w:val="24"/>
        </w:rPr>
      </w:pPr>
      <w:r>
        <w:rPr>
          <w:rFonts w:eastAsia="仿宋_GB2312"/>
          <w:sz w:val="24"/>
        </w:rPr>
        <w:t>问卷编号：No.________调查时间：___________调查地点：___________</w:t>
      </w:r>
    </w:p>
    <w:p>
      <w:pPr>
        <w:spacing w:line="560" w:lineRule="exact"/>
        <w:jc w:val="left"/>
        <w:rPr>
          <w:rFonts w:eastAsia="仿宋_GB2312"/>
          <w:sz w:val="24"/>
        </w:rPr>
      </w:pPr>
      <w:r>
        <w:rPr>
          <w:rFonts w:eastAsia="仿宋_GB2312"/>
          <w:sz w:val="24"/>
        </w:rPr>
        <w:t>调查人员：___________调查对象：___________性    别：___________</w:t>
      </w:r>
    </w:p>
    <w:p>
      <w:pPr>
        <w:spacing w:line="560" w:lineRule="exact"/>
        <w:jc w:val="left"/>
        <w:rPr>
          <w:rFonts w:eastAsia="仿宋_GB2312"/>
          <w:sz w:val="24"/>
        </w:rPr>
      </w:pPr>
      <w:r>
        <w:rPr>
          <w:rFonts w:eastAsia="仿宋_GB2312"/>
          <w:sz w:val="24"/>
        </w:rPr>
        <w:t>授权单位：炎陵县财政局绩效</w:t>
      </w:r>
      <w:r>
        <w:rPr>
          <w:rFonts w:hint="eastAsia" w:eastAsia="仿宋_GB2312"/>
          <w:sz w:val="24"/>
        </w:rPr>
        <w:t>管理</w:t>
      </w:r>
      <w:r>
        <w:rPr>
          <w:rFonts w:eastAsia="仿宋_GB2312"/>
          <w:sz w:val="24"/>
        </w:rPr>
        <w:t>股</w:t>
      </w:r>
    </w:p>
    <w:p>
      <w:pPr>
        <w:spacing w:line="560" w:lineRule="exact"/>
        <w:jc w:val="left"/>
        <w:rPr>
          <w:rFonts w:eastAsia="仿宋_GB2312"/>
          <w:sz w:val="24"/>
        </w:rPr>
      </w:pPr>
      <w:r>
        <w:rPr>
          <w:rFonts w:eastAsia="仿宋_GB2312"/>
          <w:sz w:val="24"/>
        </w:rPr>
        <w:t>您好！我们是炎陵县财政局绩效</w:t>
      </w:r>
      <w:r>
        <w:rPr>
          <w:rFonts w:hint="eastAsia" w:eastAsia="仿宋_GB2312"/>
          <w:sz w:val="24"/>
        </w:rPr>
        <w:t>管理</w:t>
      </w:r>
      <w:r>
        <w:rPr>
          <w:rFonts w:eastAsia="仿宋_GB2312"/>
          <w:sz w:val="24"/>
        </w:rPr>
        <w:t>股安排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pPr>
        <w:spacing w:line="560" w:lineRule="exact"/>
        <w:jc w:val="left"/>
        <w:rPr>
          <w:rFonts w:eastAsia="仿宋_GB2312"/>
          <w:sz w:val="24"/>
        </w:rPr>
      </w:pPr>
      <w:r>
        <w:rPr>
          <w:rFonts w:eastAsia="仿宋_GB2312"/>
          <w:sz w:val="24"/>
        </w:rPr>
        <w:t>Q1.您对该部门工作现状的总体评价是：</w:t>
      </w:r>
    </w:p>
    <w:p>
      <w:pPr>
        <w:spacing w:line="560" w:lineRule="exact"/>
        <w:ind w:left="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Q2.您认为该部门深入基层调查研究，倾听群众意见，掌握真实、准确情况方面做得如何：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Q3.您认为该部门在解决群众反映强烈的热点、难点、焦点问题方面做得如何：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Q4.您对该部门支出项目在促进社会经济发展、提高人民生活水平方面的满意度</w:t>
      </w:r>
    </w:p>
    <w:p>
      <w:pPr>
        <w:spacing w:line="560" w:lineRule="exact"/>
        <w:jc w:val="left"/>
        <w:rPr>
          <w:rFonts w:eastAsia="仿宋_GB2312"/>
          <w:sz w:val="24"/>
        </w:rPr>
      </w:pPr>
      <w:r>
        <w:rPr>
          <w:rFonts w:eastAsia="仿宋_GB2312"/>
          <w:sz w:val="24"/>
        </w:rPr>
        <w:t xml:space="preserve">   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Q5.您认为该部门在履行服务承诺以及服务态度、服务质量方面做得如何：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Q6.您认为该部门在依法办事、依法行政，杜绝不作为和乱作为方面做得如何：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Q7.您认为该部门在宣传国家政策、普及法规常识方面做得如何：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Q8.您认为该部门在改革和完善机关办事制度，缩短办事时间，提高工作效率方面做得如何：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Q9.您认为该部门在实施信息公开方面，如党务、政务、办事程序、财务公开等方面做得如何：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Q10.您认为该部门在厉行节约、制止奢侈浪费行为等方面做得如何：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如果您对部门工作还存在有见解性的意见或建议，请您在此处进行说明：</w:t>
      </w:r>
    </w:p>
    <w:p>
      <w:pPr>
        <w:spacing w:line="560" w:lineRule="exact"/>
        <w:jc w:val="left"/>
        <w:rPr>
          <w:rFonts w:hint="eastAsia" w:eastAsia="仿宋_GB2312"/>
          <w:sz w:val="24"/>
        </w:rPr>
      </w:pPr>
      <w:r>
        <w:rPr>
          <w:rFonts w:eastAsia="仿宋_GB2312"/>
          <w:sz w:val="24"/>
        </w:rPr>
        <w:t>____________________________________________________________________________________________________________________________________________________________________________________________________________</w:t>
      </w:r>
      <w:r>
        <w:rPr>
          <w:rFonts w:hint="eastAsia" w:eastAsia="仿宋_GB2312"/>
          <w:sz w:val="24"/>
        </w:rPr>
        <w:t xml:space="preserve"> </w:t>
      </w:r>
    </w:p>
    <w:p>
      <w:pPr>
        <w:rPr>
          <w:rFonts w:hint="eastAsia"/>
        </w:rPr>
      </w:pPr>
      <w:r>
        <w:rPr>
          <w:rFonts w:eastAsia="仿宋_GB2312"/>
          <w:sz w:val="24"/>
        </w:rPr>
        <w:t>备注：本问卷计分50分，10个问题，每个问题5分：非常满意计5分，满意计4分，一般计3分，不满意计0分</w:t>
      </w:r>
      <w:r>
        <w:rPr>
          <w:rFonts w:hint="eastAsia"/>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5"/>
        <w:shd w:val="clear" w:color="auto" w:fill="FFFFFF"/>
        <w:spacing w:before="0" w:beforeAutospacing="0" w:after="0" w:afterAutospacing="0" w:line="540" w:lineRule="exact"/>
        <w:ind w:firstLine="640" w:firstLineChars="200"/>
        <w:jc w:val="both"/>
        <w:rPr>
          <w:rFonts w:asciiTheme="minorEastAsia" w:hAnsiTheme="minorEastAsia" w:eastAsiaTheme="minorEastAsia"/>
          <w:color w:val="333333"/>
          <w:sz w:val="32"/>
          <w:szCs w:val="32"/>
        </w:rPr>
      </w:pP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简体">
    <w:altName w:val="微软雅黑"/>
    <w:panose1 w:val="00000000000000000000"/>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hint="eastAsia" w:ascii="宋体" w:hAnsi="宋体"/>
        <w:sz w:val="24"/>
        <w:szCs w:val="24"/>
      </w:rPr>
    </w:pPr>
    <w:r>
      <w:rPr>
        <w:rStyle w:val="8"/>
        <w:rFonts w:hint="eastAsia" w:ascii="宋体" w:hAnsi="宋体"/>
        <w:sz w:val="24"/>
        <w:szCs w:val="24"/>
      </w:rPr>
      <w:t xml:space="preserve"> </w:t>
    </w:r>
    <w:r>
      <w:rPr>
        <w:rFonts w:hint="eastAsia" w:ascii="宋体" w:hAnsi="宋体"/>
        <w:sz w:val="24"/>
        <w:szCs w:val="24"/>
      </w:rPr>
      <w:fldChar w:fldCharType="begin"/>
    </w:r>
    <w:r>
      <w:rPr>
        <w:rStyle w:val="8"/>
        <w:rFonts w:hint="eastAsia" w:ascii="宋体" w:hAnsi="宋体"/>
        <w:sz w:val="24"/>
        <w:szCs w:val="24"/>
      </w:rPr>
      <w:instrText xml:space="preserve">PAGE  </w:instrText>
    </w:r>
    <w:r>
      <w:rPr>
        <w:rFonts w:hint="eastAsia" w:ascii="宋体" w:hAnsi="宋体"/>
        <w:sz w:val="24"/>
        <w:szCs w:val="24"/>
      </w:rPr>
      <w:fldChar w:fldCharType="separate"/>
    </w:r>
    <w:r>
      <w:rPr>
        <w:rStyle w:val="8"/>
        <w:rFonts w:ascii="宋体" w:hAnsi="宋体"/>
        <w:sz w:val="24"/>
        <w:szCs w:val="24"/>
      </w:rPr>
      <w:t>- 1 -</w:t>
    </w:r>
    <w:r>
      <w:rPr>
        <w:rFonts w:hint="eastAsia" w:ascii="宋体" w:hAnsi="宋体"/>
        <w:sz w:val="24"/>
        <w:szCs w:val="24"/>
      </w:rPr>
      <w:fldChar w:fldCharType="end"/>
    </w:r>
    <w:r>
      <w:rPr>
        <w:rStyle w:val="8"/>
        <w:rFonts w:hint="eastAsia" w:ascii="宋体" w:hAnsi="宋体"/>
        <w:sz w:val="24"/>
        <w:szCs w:val="24"/>
      </w:rPr>
      <w:t xml:space="preserve"> </w:t>
    </w:r>
  </w:p>
  <w:p>
    <w:pPr>
      <w:pStyle w:val="3"/>
      <w:framePr w:wrap="around" w:vAnchor="text" w:hAnchor="margin" w:xAlign="outside" w:y="1"/>
      <w:rPr>
        <w:rStyle w:val="8"/>
        <w:rFonts w:ascii="宋体" w:hAnsi="宋体"/>
        <w:sz w:val="24"/>
        <w:szCs w:val="24"/>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sz w:val="24"/>
        <w:szCs w:val="24"/>
      </w:rPr>
    </w:pPr>
    <w:r>
      <w:rPr>
        <w:rStyle w:val="8"/>
        <w:rFonts w:hint="eastAsia" w:ascii="宋体" w:hAnsi="宋体"/>
        <w:sz w:val="24"/>
        <w:szCs w:val="24"/>
      </w:rPr>
      <w:t xml:space="preserve">- </w:t>
    </w:r>
    <w:r>
      <w:rPr>
        <w:rFonts w:ascii="宋体" w:hAnsi="宋体"/>
        <w:sz w:val="24"/>
        <w:szCs w:val="24"/>
      </w:rPr>
      <w:fldChar w:fldCharType="begin"/>
    </w:r>
    <w:r>
      <w:rPr>
        <w:rStyle w:val="8"/>
        <w:rFonts w:ascii="宋体" w:hAnsi="宋体"/>
        <w:sz w:val="24"/>
        <w:szCs w:val="24"/>
      </w:rPr>
      <w:instrText xml:space="preserve"> PAGE </w:instrText>
    </w:r>
    <w:r>
      <w:rPr>
        <w:rFonts w:ascii="宋体" w:hAnsi="宋体"/>
        <w:sz w:val="24"/>
        <w:szCs w:val="24"/>
      </w:rPr>
      <w:fldChar w:fldCharType="separate"/>
    </w:r>
    <w:r>
      <w:rPr>
        <w:rStyle w:val="8"/>
        <w:rFonts w:ascii="宋体" w:hAnsi="宋体"/>
        <w:sz w:val="24"/>
        <w:szCs w:val="24"/>
      </w:rPr>
      <w:t>1</w:t>
    </w:r>
    <w:r>
      <w:rPr>
        <w:rFonts w:ascii="宋体" w:hAnsi="宋体"/>
        <w:sz w:val="24"/>
        <w:szCs w:val="24"/>
      </w:rPr>
      <w:fldChar w:fldCharType="end"/>
    </w:r>
    <w:r>
      <w:rPr>
        <w:rStyle w:val="8"/>
        <w:rFonts w:hint="eastAsia" w:ascii="宋体" w:hAnsi="宋体"/>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DEA76"/>
    <w:multiLevelType w:val="singleLevel"/>
    <w:tmpl w:val="AC3DEA76"/>
    <w:lvl w:ilvl="0" w:tentative="0">
      <w:start w:val="2"/>
      <w:numFmt w:val="chineseCounting"/>
      <w:suff w:val="nothing"/>
      <w:lvlText w:val="（%1）"/>
      <w:lvlJc w:val="left"/>
      <w:rPr>
        <w:rFonts w:hint="eastAsia"/>
      </w:rPr>
    </w:lvl>
  </w:abstractNum>
  <w:abstractNum w:abstractNumId="1">
    <w:nsid w:val="07516A72"/>
    <w:multiLevelType w:val="multilevel"/>
    <w:tmpl w:val="07516A7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CF10450"/>
    <w:multiLevelType w:val="multilevel"/>
    <w:tmpl w:val="1CF10450"/>
    <w:lvl w:ilvl="0" w:tentative="0">
      <w:start w:val="8"/>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33875024"/>
    <w:multiLevelType w:val="singleLevel"/>
    <w:tmpl w:val="33875024"/>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lvlOverride w:ilvl="0">
      <w:startOverride w:val="1"/>
      <w:lvl w:ilvl="0" w:tentative="1">
        <w:start w:val="1"/>
        <w:numFmt w:val="decimal"/>
        <w:lvlText w:val="%1、"/>
        <w:lvlJc w:val="left"/>
        <w:pPr>
          <w:tabs>
            <w:tab w:val="left" w:pos="360"/>
          </w:tabs>
          <w:ind w:left="360" w:hanging="36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90"/>
    <w:rsid w:val="001F4837"/>
    <w:rsid w:val="0020257F"/>
    <w:rsid w:val="0022202E"/>
    <w:rsid w:val="00264690"/>
    <w:rsid w:val="003713AE"/>
    <w:rsid w:val="00380D02"/>
    <w:rsid w:val="003F026B"/>
    <w:rsid w:val="004135B6"/>
    <w:rsid w:val="00473776"/>
    <w:rsid w:val="004D1D2D"/>
    <w:rsid w:val="005957A5"/>
    <w:rsid w:val="005B6A40"/>
    <w:rsid w:val="008E74BE"/>
    <w:rsid w:val="008F2D15"/>
    <w:rsid w:val="00937940"/>
    <w:rsid w:val="00967C7F"/>
    <w:rsid w:val="0097662F"/>
    <w:rsid w:val="009F0AD6"/>
    <w:rsid w:val="00A16DFA"/>
    <w:rsid w:val="00B57BBF"/>
    <w:rsid w:val="00BA03BA"/>
    <w:rsid w:val="00C066AB"/>
    <w:rsid w:val="00C545F6"/>
    <w:rsid w:val="00CC3013"/>
    <w:rsid w:val="00E644D0"/>
    <w:rsid w:val="00FD2B25"/>
    <w:rsid w:val="266B478E"/>
    <w:rsid w:val="40674189"/>
    <w:rsid w:val="5A906334"/>
    <w:rsid w:val="6843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99"/>
    <w:pPr>
      <w:spacing w:line="620" w:lineRule="exact"/>
      <w:ind w:firstLine="570"/>
    </w:pPr>
    <w:rPr>
      <w:rFonts w:ascii="Times New Roman" w:hAnsi="Times New Roman" w:eastAsia="宋体" w:cs="Times New Roman"/>
      <w:sz w:val="24"/>
      <w:szCs w:val="24"/>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uiPriority w:val="0"/>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 w:type="paragraph" w:styleId="11">
    <w:name w:val="List Paragraph"/>
    <w:basedOn w:val="1"/>
    <w:qFormat/>
    <w:uiPriority w:val="99"/>
    <w:pPr>
      <w:ind w:firstLine="420" w:firstLineChars="200"/>
    </w:pPr>
    <w:rPr>
      <w:rFonts w:ascii="Calibri" w:hAnsi="Calibri" w:eastAsia="宋体" w:cs="Times New Roman"/>
    </w:rPr>
  </w:style>
  <w:style w:type="paragraph" w:customStyle="1" w:styleId="12">
    <w:name w:val="_Style 3"/>
    <w:basedOn w:val="1"/>
    <w:uiPriority w:val="0"/>
    <w:pPr>
      <w:widowControl/>
      <w:jc w:val="left"/>
    </w:pPr>
    <w:rPr>
      <w:rFonts w:ascii="Verdana" w:hAnsi="Verdana" w:eastAsia="仿宋_GB2312" w:cs="Times New Roman"/>
      <w:kern w:val="0"/>
      <w:sz w:val="28"/>
      <w:szCs w:val="20"/>
      <w:lang w:eastAsia="en-US"/>
    </w:rPr>
  </w:style>
  <w:style w:type="paragraph" w:customStyle="1" w:styleId="13">
    <w:name w:val="样式 文字 + 首行缩进:  2 字符3"/>
    <w:basedOn w:val="1"/>
    <w:qFormat/>
    <w:uiPriority w:val="99"/>
    <w:pPr>
      <w:spacing w:line="360" w:lineRule="auto"/>
      <w:jc w:val="left"/>
    </w:pPr>
    <w:rPr>
      <w:sz w:val="28"/>
      <w:szCs w:val="28"/>
    </w:rPr>
  </w:style>
  <w:style w:type="character" w:customStyle="1" w:styleId="14">
    <w:name w:val="正文文本缩进 Char"/>
    <w:basedOn w:val="7"/>
    <w:link w:val="2"/>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476</Words>
  <Characters>2717</Characters>
  <Lines>22</Lines>
  <Paragraphs>6</Paragraphs>
  <TotalTime>36</TotalTime>
  <ScaleCrop>false</ScaleCrop>
  <LinksUpToDate>false</LinksUpToDate>
  <CharactersWithSpaces>3187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2020-10-18T14:47:00Z</dcterms:created>
  <dc:creator>user</dc:creator>
  <cp:lastModifiedBy>Administrator</cp:lastModifiedBy>
  <cp:lastPrinted>2020-10-21T07:35:00Z</cp:lastPrinted>
  <dcterms:modified xsi:type="dcterms:W3CDTF">2020-11-04T03:55:31Z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