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333333"/>
          <w:spacing w:val="0"/>
          <w:sz w:val="32"/>
          <w:szCs w:val="32"/>
          <w:shd w:val="clear" w:fill="FFFFFF"/>
          <w:lang w:val="en-US" w:eastAsia="zh-CN"/>
        </w:rPr>
      </w:pPr>
      <w:r>
        <w:rPr>
          <w:rFonts w:hint="eastAsia" w:ascii="黑体" w:hAnsi="黑体" w:eastAsia="黑体" w:cs="黑体"/>
          <w:b w:val="0"/>
          <w:color w:val="333333"/>
          <w:spacing w:val="0"/>
          <w:sz w:val="32"/>
          <w:szCs w:val="32"/>
          <w:shd w:val="clear" w:fill="FFFFFF"/>
          <w:lang w:eastAsia="zh-CN"/>
        </w:rPr>
        <w:t>附件</w:t>
      </w:r>
      <w:r>
        <w:rPr>
          <w:rFonts w:hint="eastAsia" w:ascii="黑体" w:hAnsi="黑体" w:eastAsia="黑体" w:cs="黑体"/>
          <w:b w:val="0"/>
          <w:color w:val="333333"/>
          <w:spacing w:val="0"/>
          <w:sz w:val="32"/>
          <w:szCs w:val="32"/>
          <w:shd w:val="clear" w:fill="FFFFFF"/>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b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关于《株洲市</w:t>
      </w:r>
      <w:r>
        <w:rPr>
          <w:rFonts w:hint="eastAsia" w:ascii="方正小标宋简体" w:hAnsi="方正小标宋简体" w:eastAsia="方正小标宋简体" w:cs="方正小标宋简体"/>
          <w:sz w:val="44"/>
          <w:szCs w:val="44"/>
        </w:rPr>
        <w:t>放宽市场主体住所(经营场所)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登记条件的</w:t>
      </w:r>
      <w:r>
        <w:rPr>
          <w:rFonts w:hint="eastAsia" w:ascii="方正小标宋简体" w:hAnsi="方正小标宋简体" w:eastAsia="方正小标宋简体" w:cs="方正小标宋简体"/>
          <w:sz w:val="44"/>
          <w:szCs w:val="44"/>
          <w:lang w:eastAsia="zh-CN"/>
        </w:rPr>
        <w:t>实施办法（征求意见稿）》的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color w:val="333333"/>
          <w:spacing w:val="0"/>
          <w:sz w:val="44"/>
          <w:szCs w:val="44"/>
          <w:shd w:val="clear" w:fill="FFFFFF"/>
          <w:lang w:val="en-US" w:eastAsia="zh-CN"/>
        </w:rPr>
      </w:pPr>
      <w:r>
        <w:rPr>
          <w:rFonts w:hint="eastAsia" w:ascii="方正小标宋简体" w:hAnsi="方正小标宋简体" w:eastAsia="方正小标宋简体" w:cs="方正小标宋简体"/>
          <w:sz w:val="44"/>
          <w:szCs w:val="44"/>
          <w:lang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一、制定依据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国务院《关于印发注册资本登记制度改革方案的通知》(国发〔2014〕7号)</w:t>
      </w:r>
      <w:r>
        <w:rPr>
          <w:rFonts w:hint="eastAsia" w:ascii="仿宋" w:hAnsi="仿宋" w:eastAsia="仿宋" w:cs="仿宋"/>
          <w:sz w:val="32"/>
          <w:szCs w:val="32"/>
          <w:lang w:eastAsia="zh-CN"/>
        </w:rPr>
        <w:t>规定：“简化住所（经营场所）登记手续。申请人提交场所合法使用证明即可予以登记。对市场主体住所（经营场所）的条件，各省、自治区、直辖市人民政府根据法律法规的规定和本地区管理的实际需要，按照既方便市场主体准入，又有效保障经济社会秩序的原则，可以自行或者授权下级人民政府作出具体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湖南省人民政府办公厅关于印发《湖南省放宽市场主体住所（经营场所）登记条件的规定》的通知（湘政办发〔2016〕69号）第十五条规定：“市州人民政府可根据实际情况，制定本地区市场主体住所(经营场所)登记条件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二、制定的必要性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住所（经营场所）登记，是市场主体注册登记的重要事项之一，也是当前市场主体反映比较集中的痛点、难点问题，简化住所登记手续，对降低准入门槛，优化营商环境，促进市场主体加快发展具有重要意义。当前我市市场主体住所登记依据的文件是</w:t>
      </w:r>
      <w:r>
        <w:rPr>
          <w:rFonts w:hint="eastAsia" w:ascii="仿宋" w:hAnsi="仿宋" w:eastAsia="仿宋" w:cs="仿宋"/>
          <w:sz w:val="32"/>
          <w:szCs w:val="32"/>
          <w:lang w:eastAsia="zh-CN"/>
        </w:rPr>
        <w:t>《湖南省放宽市场主体住所（经营场所）登记条件的规定》，</w:t>
      </w:r>
      <w:r>
        <w:rPr>
          <w:rFonts w:hint="eastAsia" w:ascii="仿宋" w:hAnsi="仿宋" w:eastAsia="仿宋" w:cs="仿宋"/>
          <w:sz w:val="32"/>
          <w:szCs w:val="32"/>
          <w:lang w:val="en-US" w:eastAsia="zh-CN"/>
        </w:rPr>
        <w:t>今年2月29日，《民政部 国家发展改革委 公安部 司法部 人力资源社会保障部 国家卫生健康委关于改进和规范基层群众性自治组织出具证明工作的指导意见》明确指出：市场主体住所证明（经营场所证明、同意住宅改变为经营性用房证明、社区经营性用房无扰民证明）不应由基层群众性自治组织出具，随之市场主体反映取得“住改商”证明、房屋权属证明难的情况越来越多，解决住所证明问题越来越迫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办法共18条内容，包括适用主体、界定、原则、放宽范围、需提交的材料、监管及住所登记承诺等内容。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办法整体以</w:t>
      </w:r>
      <w:r>
        <w:rPr>
          <w:rFonts w:hint="eastAsia" w:ascii="仿宋" w:hAnsi="仿宋" w:eastAsia="仿宋" w:cs="仿宋"/>
          <w:sz w:val="32"/>
          <w:szCs w:val="32"/>
          <w:lang w:eastAsia="zh-CN"/>
        </w:rPr>
        <w:t>《湖南省放宽市场主体住所（经营场所）登记条件的规定》为依据，但进一步放宽了相关条件，包括将“住改商”证明改为申请人承诺、将“一址多照”适用条件放宽、允许集群注册、允许以符合特定条件的电费缴费发票作为住所证明文件、将前置许可部门核准的许可文件作为住所使用证明等。在监管方面，遵守省政府的规定。</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pPr>
        <w:pStyle w:val="4"/>
        <w:keepNext w:val="0"/>
        <w:keepLines w:val="0"/>
        <w:widowControl/>
        <w:suppressLineNumbers w:val="0"/>
        <w:spacing w:before="376" w:beforeAutospacing="0" w:after="376" w:afterAutospacing="0"/>
        <w:ind w:right="0"/>
        <w:jc w:val="left"/>
        <w:rPr>
          <w:rFonts w:hint="default" w:ascii="仿宋" w:hAnsi="仿宋" w:eastAsia="仿宋" w:cs="仿宋"/>
          <w:b w:val="0"/>
          <w:color w:val="333333"/>
          <w:spacing w:val="0"/>
          <w:sz w:val="31"/>
          <w:szCs w:val="31"/>
          <w:shd w:val="clear" w:fill="FFFFFF"/>
          <w:lang w:val="en-US" w:eastAsia="zh-CN"/>
        </w:rPr>
      </w:pPr>
    </w:p>
    <w:p>
      <w:pPr>
        <w:rPr>
          <w:rFonts w:hint="default"/>
          <w:lang w:val="en-US" w:eastAsia="zh-CN"/>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BA1D486-32BB-4BA2-87D3-1444E366547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74ADA708-11B8-4089-9C34-C723F3A6D919}"/>
  </w:font>
  <w:font w:name="仿宋">
    <w:panose1 w:val="02010609060101010101"/>
    <w:charset w:val="86"/>
    <w:family w:val="modern"/>
    <w:pitch w:val="default"/>
    <w:sig w:usb0="800002BF" w:usb1="38CF7CFA" w:usb2="00000016" w:usb3="00000000" w:csb0="00040001" w:csb1="00000000"/>
    <w:embedRegular r:id="rId3" w:fontKey="{A28906AA-C02F-44E0-A542-03146F97A0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3D62"/>
    <w:rsid w:val="04631B83"/>
    <w:rsid w:val="07D53690"/>
    <w:rsid w:val="082D39E5"/>
    <w:rsid w:val="166B48A2"/>
    <w:rsid w:val="1BD455D8"/>
    <w:rsid w:val="20636927"/>
    <w:rsid w:val="226F0860"/>
    <w:rsid w:val="22E909B7"/>
    <w:rsid w:val="336C2092"/>
    <w:rsid w:val="410013D2"/>
    <w:rsid w:val="46267C75"/>
    <w:rsid w:val="46D31EE8"/>
    <w:rsid w:val="46F01C6E"/>
    <w:rsid w:val="473F6477"/>
    <w:rsid w:val="47572289"/>
    <w:rsid w:val="514E0710"/>
    <w:rsid w:val="51FA5262"/>
    <w:rsid w:val="55C71B69"/>
    <w:rsid w:val="56E45B24"/>
    <w:rsid w:val="5B787FA1"/>
    <w:rsid w:val="60EA5FB5"/>
    <w:rsid w:val="63EC10D7"/>
    <w:rsid w:val="64D27A2E"/>
    <w:rsid w:val="65325AEB"/>
    <w:rsid w:val="6A6C2243"/>
    <w:rsid w:val="6FC947B5"/>
    <w:rsid w:val="75057262"/>
    <w:rsid w:val="7AE753D0"/>
    <w:rsid w:val="7D6C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333333"/>
      <w:u w:val="none"/>
    </w:rPr>
  </w:style>
  <w:style w:type="character" w:styleId="9">
    <w:name w:val="Hyperlink"/>
    <w:basedOn w:val="6"/>
    <w:qFormat/>
    <w:uiPriority w:val="0"/>
    <w:rPr>
      <w:color w:val="333333"/>
      <w:u w:val="none"/>
    </w:rPr>
  </w:style>
  <w:style w:type="character" w:customStyle="1" w:styleId="10">
    <w:name w:val="ld-name-active"/>
    <w:basedOn w:val="6"/>
    <w:qFormat/>
    <w:uiPriority w:val="0"/>
    <w:rPr>
      <w:shd w:val="clear" w:fill="C51010"/>
    </w:rPr>
  </w:style>
  <w:style w:type="character" w:customStyle="1" w:styleId="11">
    <w:name w:val="hover17"/>
    <w:basedOn w:val="6"/>
    <w:qFormat/>
    <w:uiPriority w:val="0"/>
  </w:style>
  <w:style w:type="character" w:customStyle="1" w:styleId="12">
    <w:name w:val="bsharetext"/>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2020-09-03T01:24:00Z</dcterms:created>
  <dc:creator>Administrator</dc:creator>
  <cp:lastModifiedBy>朱坤</cp:lastModifiedBy>
  <cp:lastPrinted>2020-09-03T03:15:00Z</cp:lastPrinted>
  <dcterms:modified xsi:type="dcterms:W3CDTF">2020-09-03T04:34:14Z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