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仿宋_GB2312" w:eastAsia="仿宋_GB2312"/>
          <w:color w:val="000000" w:themeColor="text1"/>
          <w:sz w:val="36"/>
          <w:szCs w:val="36"/>
        </w:rPr>
      </w:pPr>
    </w:p>
    <w:p>
      <w:pPr>
        <w:pStyle w:val="9"/>
        <w:jc w:val="center"/>
        <w:rPr>
          <w:color w:val="000000" w:themeColor="text1"/>
          <w:sz w:val="56"/>
          <w:szCs w:val="56"/>
        </w:rPr>
      </w:pPr>
    </w:p>
    <w:p>
      <w:pPr>
        <w:pStyle w:val="9"/>
        <w:jc w:val="center"/>
        <w:rPr>
          <w:color w:val="000000" w:themeColor="text1"/>
          <w:sz w:val="84"/>
          <w:szCs w:val="84"/>
        </w:rPr>
      </w:pPr>
    </w:p>
    <w:p>
      <w:pPr>
        <w:pStyle w:val="9"/>
        <w:jc w:val="center"/>
        <w:rPr>
          <w:color w:val="000000" w:themeColor="text1"/>
          <w:sz w:val="84"/>
          <w:szCs w:val="84"/>
        </w:rPr>
      </w:pPr>
    </w:p>
    <w:p>
      <w:pPr>
        <w:pStyle w:val="9"/>
        <w:jc w:val="center"/>
        <w:rPr>
          <w:rFonts w:ascii="方正小标宋简体" w:eastAsia="方正小标宋简体"/>
          <w:color w:val="000000" w:themeColor="text1"/>
          <w:sz w:val="72"/>
          <w:szCs w:val="72"/>
        </w:rPr>
      </w:pPr>
      <w:r>
        <w:rPr>
          <w:rFonts w:hint="eastAsia" w:ascii="方正小标宋简体" w:eastAsia="方正小标宋简体"/>
          <w:color w:val="000000" w:themeColor="text1"/>
          <w:sz w:val="72"/>
          <w:szCs w:val="72"/>
        </w:rPr>
        <w:t>醴陵市畜牧水产事务中心</w:t>
      </w:r>
    </w:p>
    <w:p>
      <w:pPr>
        <w:pStyle w:val="9"/>
        <w:jc w:val="center"/>
        <w:rPr>
          <w:rFonts w:ascii="方正小标宋简体" w:eastAsia="方正小标宋简体"/>
          <w:color w:val="000000" w:themeColor="text1"/>
          <w:sz w:val="72"/>
          <w:szCs w:val="72"/>
        </w:rPr>
      </w:pPr>
      <w:r>
        <w:rPr>
          <w:rFonts w:hint="eastAsia" w:ascii="方正小标宋简体" w:eastAsia="方正小标宋简体"/>
          <w:color w:val="000000" w:themeColor="text1"/>
          <w:sz w:val="72"/>
          <w:szCs w:val="72"/>
        </w:rPr>
        <w:t>2019年度部门决算</w:t>
      </w:r>
    </w:p>
    <w:p>
      <w:pPr>
        <w:pStyle w:val="9"/>
        <w:spacing w:before="240"/>
        <w:jc w:val="center"/>
        <w:rPr>
          <w:color w:val="000000" w:themeColor="text1"/>
          <w:sz w:val="56"/>
          <w:szCs w:val="56"/>
        </w:rPr>
      </w:pPr>
    </w:p>
    <w:p>
      <w:pPr>
        <w:pStyle w:val="9"/>
        <w:jc w:val="center"/>
        <w:rPr>
          <w:color w:val="000000" w:themeColor="text1"/>
          <w:sz w:val="56"/>
          <w:szCs w:val="56"/>
        </w:rPr>
      </w:pPr>
    </w:p>
    <w:p>
      <w:pPr>
        <w:pStyle w:val="9"/>
        <w:jc w:val="center"/>
        <w:rPr>
          <w:color w:val="000000" w:themeColor="text1"/>
          <w:sz w:val="56"/>
          <w:szCs w:val="56"/>
        </w:rPr>
      </w:pPr>
    </w:p>
    <w:p>
      <w:pPr>
        <w:pStyle w:val="9"/>
        <w:jc w:val="center"/>
        <w:rPr>
          <w:color w:val="000000" w:themeColor="text1"/>
          <w:sz w:val="56"/>
          <w:szCs w:val="56"/>
        </w:rPr>
      </w:pPr>
    </w:p>
    <w:p>
      <w:pPr>
        <w:pStyle w:val="9"/>
        <w:jc w:val="center"/>
        <w:rPr>
          <w:color w:val="000000" w:themeColor="text1"/>
          <w:sz w:val="56"/>
          <w:szCs w:val="56"/>
        </w:rPr>
      </w:pPr>
    </w:p>
    <w:p>
      <w:pPr>
        <w:pStyle w:val="9"/>
        <w:jc w:val="center"/>
        <w:rPr>
          <w:color w:val="000000" w:themeColor="text1"/>
          <w:sz w:val="56"/>
          <w:szCs w:val="56"/>
        </w:rPr>
      </w:pPr>
    </w:p>
    <w:p>
      <w:pPr>
        <w:pStyle w:val="9"/>
        <w:spacing w:line="520" w:lineRule="exact"/>
        <w:rPr>
          <w:rFonts w:hAnsi="黑体"/>
          <w:color w:val="000000" w:themeColor="text1"/>
          <w:sz w:val="52"/>
          <w:szCs w:val="52"/>
        </w:rPr>
      </w:pPr>
    </w:p>
    <w:p>
      <w:pPr>
        <w:pStyle w:val="9"/>
        <w:spacing w:line="520" w:lineRule="exact"/>
        <w:jc w:val="center"/>
        <w:rPr>
          <w:rFonts w:hAnsi="黑体"/>
          <w:color w:val="000000" w:themeColor="text1"/>
          <w:sz w:val="52"/>
          <w:szCs w:val="52"/>
        </w:rPr>
      </w:pPr>
    </w:p>
    <w:p>
      <w:pPr>
        <w:pStyle w:val="9"/>
        <w:spacing w:line="520" w:lineRule="exact"/>
        <w:jc w:val="center"/>
        <w:rPr>
          <w:rFonts w:hAnsi="黑体"/>
          <w:color w:val="000000" w:themeColor="text1"/>
          <w:sz w:val="52"/>
          <w:szCs w:val="52"/>
        </w:rPr>
      </w:pPr>
      <w:r>
        <w:rPr>
          <w:rFonts w:hint="eastAsia" w:hAnsi="黑体"/>
          <w:color w:val="000000" w:themeColor="text1"/>
          <w:sz w:val="52"/>
          <w:szCs w:val="52"/>
        </w:rPr>
        <w:t>目录</w:t>
      </w:r>
    </w:p>
    <w:p>
      <w:pPr>
        <w:pStyle w:val="9"/>
        <w:spacing w:line="520" w:lineRule="exact"/>
        <w:rPr>
          <w:rFonts w:hAnsi="黑体" w:cs="仿宋_GB2312"/>
          <w:b/>
          <w:color w:val="000000" w:themeColor="text1"/>
          <w:sz w:val="32"/>
          <w:szCs w:val="32"/>
        </w:rPr>
      </w:pPr>
      <w:r>
        <w:rPr>
          <w:rFonts w:hint="eastAsia" w:hAnsi="黑体"/>
          <w:b/>
          <w:color w:val="000000" w:themeColor="text1"/>
          <w:sz w:val="32"/>
          <w:szCs w:val="32"/>
        </w:rPr>
        <w:t>第一部分XX单位概况</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一、部门职责</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二、机构设置</w:t>
      </w:r>
    </w:p>
    <w:p>
      <w:pPr>
        <w:pStyle w:val="9"/>
        <w:spacing w:line="520" w:lineRule="exact"/>
        <w:rPr>
          <w:rFonts w:hAnsi="黑体" w:cs="仿宋_GB2312"/>
          <w:b/>
          <w:color w:val="000000" w:themeColor="text1"/>
          <w:sz w:val="32"/>
          <w:szCs w:val="32"/>
        </w:rPr>
      </w:pPr>
      <w:r>
        <w:rPr>
          <w:rFonts w:hint="eastAsia" w:hAnsi="黑体"/>
          <w:b/>
          <w:color w:val="000000" w:themeColor="text1"/>
          <w:sz w:val="32"/>
          <w:szCs w:val="32"/>
        </w:rPr>
        <w:t>第二部分</w:t>
      </w:r>
      <w:r>
        <w:rPr>
          <w:rFonts w:hAnsi="黑体"/>
          <w:b/>
          <w:color w:val="000000" w:themeColor="text1"/>
          <w:sz w:val="32"/>
          <w:szCs w:val="32"/>
        </w:rPr>
        <w:t>2019</w:t>
      </w:r>
      <w:r>
        <w:rPr>
          <w:rFonts w:hint="eastAsia" w:hAnsi="黑体"/>
          <w:b/>
          <w:color w:val="000000" w:themeColor="text1"/>
          <w:sz w:val="32"/>
          <w:szCs w:val="32"/>
        </w:rPr>
        <w:t>年度部门决算表</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一、收入支出决算总表</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二、收入决算表</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三、支出决算表</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四、财政拨款收入支出决算总表</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五、一般公共预算财政拨款支出决算表</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六、一般公共预算财政拨款基本支出决算表</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七、一般公共预算财政拨款“三公”经费支出决算表</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八、政府性基金预算财政拨款收入支出决算表</w:t>
      </w:r>
    </w:p>
    <w:p>
      <w:pPr>
        <w:pStyle w:val="9"/>
        <w:spacing w:line="520" w:lineRule="exact"/>
        <w:rPr>
          <w:rFonts w:hAnsi="黑体" w:cs="仿宋_GB2312"/>
          <w:b/>
          <w:color w:val="000000" w:themeColor="text1"/>
          <w:sz w:val="32"/>
          <w:szCs w:val="32"/>
        </w:rPr>
      </w:pPr>
      <w:r>
        <w:rPr>
          <w:rFonts w:hint="eastAsia" w:hAnsi="黑体"/>
          <w:b/>
          <w:color w:val="000000" w:themeColor="text1"/>
          <w:sz w:val="32"/>
          <w:szCs w:val="32"/>
        </w:rPr>
        <w:t>第三部分</w:t>
      </w:r>
      <w:r>
        <w:rPr>
          <w:rFonts w:hAnsi="黑体"/>
          <w:b/>
          <w:color w:val="000000" w:themeColor="text1"/>
          <w:sz w:val="32"/>
          <w:szCs w:val="32"/>
        </w:rPr>
        <w:t>2019</w:t>
      </w:r>
      <w:r>
        <w:rPr>
          <w:rFonts w:hint="eastAsia" w:hAnsi="黑体"/>
          <w:b/>
          <w:color w:val="000000" w:themeColor="text1"/>
          <w:sz w:val="32"/>
          <w:szCs w:val="32"/>
        </w:rPr>
        <w:t>年度部门决算情况说明</w:t>
      </w:r>
    </w:p>
    <w:p>
      <w:pPr>
        <w:pStyle w:val="9"/>
        <w:spacing w:line="520" w:lineRule="exact"/>
        <w:ind w:firstLine="800" w:firstLineChars="250"/>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一、收入支出决算总体情况说明</w:t>
      </w:r>
    </w:p>
    <w:p>
      <w:pPr>
        <w:spacing w:line="520" w:lineRule="exact"/>
        <w:ind w:firstLine="800" w:firstLineChars="250"/>
        <w:jc w:val="left"/>
        <w:rPr>
          <w:rFonts w:ascii="楷体" w:hAnsi="楷体" w:eastAsia="楷体" w:cs="仿宋_GB2312"/>
          <w:color w:val="000000" w:themeColor="text1"/>
          <w:sz w:val="32"/>
          <w:szCs w:val="32"/>
        </w:rPr>
      </w:pPr>
      <w:r>
        <w:rPr>
          <w:rFonts w:ascii="楷体" w:hAnsi="楷体" w:eastAsia="楷体" w:cs="仿宋_GB2312"/>
          <w:color w:val="000000" w:themeColor="text1"/>
          <w:sz w:val="32"/>
          <w:szCs w:val="32"/>
        </w:rPr>
        <w:t>二、收入决算情况说明</w:t>
      </w:r>
    </w:p>
    <w:p>
      <w:pPr>
        <w:autoSpaceDE w:val="0"/>
        <w:autoSpaceDN w:val="0"/>
        <w:adjustRightInd w:val="0"/>
        <w:spacing w:line="520" w:lineRule="exact"/>
        <w:ind w:firstLine="800" w:firstLineChars="25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三、支出决算情况说明</w:t>
      </w:r>
    </w:p>
    <w:p>
      <w:pPr>
        <w:autoSpaceDE w:val="0"/>
        <w:autoSpaceDN w:val="0"/>
        <w:adjustRightInd w:val="0"/>
        <w:spacing w:line="520" w:lineRule="exact"/>
        <w:ind w:firstLine="800" w:firstLineChars="25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四、财政拨款收入支出决算总体情况说明</w:t>
      </w:r>
    </w:p>
    <w:p>
      <w:pPr>
        <w:autoSpaceDE w:val="0"/>
        <w:autoSpaceDN w:val="0"/>
        <w:adjustRightInd w:val="0"/>
        <w:spacing w:line="520" w:lineRule="exact"/>
        <w:ind w:firstLine="800" w:firstLineChars="25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五、一般公共预算财政拨款支出决算情况说明</w:t>
      </w:r>
    </w:p>
    <w:p>
      <w:pPr>
        <w:autoSpaceDE w:val="0"/>
        <w:autoSpaceDN w:val="0"/>
        <w:adjustRightInd w:val="0"/>
        <w:spacing w:line="520" w:lineRule="exact"/>
        <w:ind w:firstLine="800" w:firstLineChars="25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六、一般公共预算财政拨款基本支出决算情况说明</w:t>
      </w:r>
    </w:p>
    <w:p>
      <w:pPr>
        <w:autoSpaceDE w:val="0"/>
        <w:autoSpaceDN w:val="0"/>
        <w:adjustRightInd w:val="0"/>
        <w:spacing w:line="520" w:lineRule="exact"/>
        <w:ind w:firstLine="800" w:firstLineChars="250"/>
        <w:jc w:val="left"/>
        <w:rPr>
          <w:rFonts w:ascii="楷体" w:hAnsi="楷体" w:eastAsia="楷体" w:cs="仿宋_GB2312"/>
          <w:color w:val="000000" w:themeColor="text1"/>
          <w:kern w:val="0"/>
          <w:sz w:val="32"/>
          <w:szCs w:val="32"/>
        </w:rPr>
      </w:pPr>
      <w:r>
        <w:rPr>
          <w:rFonts w:ascii="楷体" w:hAnsi="楷体" w:eastAsia="楷体" w:cs="仿宋_GB2312"/>
          <w:color w:val="000000" w:themeColor="text1"/>
          <w:kern w:val="0"/>
          <w:sz w:val="32"/>
          <w:szCs w:val="32"/>
        </w:rPr>
        <w:t>七、一般公共预算财政拨款三公经费支出决算情况说明</w:t>
      </w:r>
    </w:p>
    <w:p>
      <w:pPr>
        <w:autoSpaceDE w:val="0"/>
        <w:autoSpaceDN w:val="0"/>
        <w:adjustRightInd w:val="0"/>
        <w:spacing w:line="520" w:lineRule="exact"/>
        <w:ind w:firstLine="800" w:firstLineChars="250"/>
        <w:jc w:val="left"/>
        <w:rPr>
          <w:rFonts w:ascii="楷体" w:hAnsi="楷体" w:eastAsia="楷体" w:cs="仿宋_GB2312"/>
          <w:color w:val="000000" w:themeColor="text1"/>
          <w:kern w:val="0"/>
          <w:sz w:val="32"/>
          <w:szCs w:val="32"/>
        </w:rPr>
      </w:pPr>
      <w:r>
        <w:rPr>
          <w:rFonts w:hint="eastAsia" w:ascii="楷体" w:hAnsi="楷体" w:eastAsia="楷体" w:cs="仿宋_GB2312"/>
          <w:color w:val="000000" w:themeColor="text1"/>
          <w:kern w:val="0"/>
          <w:sz w:val="32"/>
          <w:szCs w:val="32"/>
        </w:rPr>
        <w:t>八</w:t>
      </w:r>
      <w:r>
        <w:rPr>
          <w:rFonts w:ascii="楷体" w:hAnsi="楷体" w:eastAsia="楷体" w:cs="仿宋_GB2312"/>
          <w:color w:val="000000" w:themeColor="text1"/>
          <w:kern w:val="0"/>
          <w:sz w:val="32"/>
          <w:szCs w:val="32"/>
        </w:rPr>
        <w:t>、</w:t>
      </w:r>
      <w:r>
        <w:rPr>
          <w:rFonts w:hint="eastAsia" w:ascii="楷体" w:hAnsi="楷体" w:eastAsia="楷体" w:cs="仿宋_GB2312"/>
          <w:color w:val="000000" w:themeColor="text1"/>
          <w:kern w:val="0"/>
          <w:sz w:val="32"/>
          <w:szCs w:val="32"/>
        </w:rPr>
        <w:t>政府性基金预算收入支出决算情况</w:t>
      </w:r>
    </w:p>
    <w:p>
      <w:pPr>
        <w:autoSpaceDE w:val="0"/>
        <w:autoSpaceDN w:val="0"/>
        <w:adjustRightInd w:val="0"/>
        <w:spacing w:line="520" w:lineRule="exact"/>
        <w:ind w:firstLine="800" w:firstLineChars="250"/>
        <w:jc w:val="left"/>
        <w:rPr>
          <w:rFonts w:ascii="楷体" w:hAnsi="楷体" w:eastAsia="楷体" w:cs="仿宋_GB2312"/>
          <w:color w:val="000000" w:themeColor="text1"/>
          <w:kern w:val="0"/>
          <w:sz w:val="32"/>
          <w:szCs w:val="32"/>
        </w:rPr>
      </w:pPr>
      <w:r>
        <w:rPr>
          <w:rFonts w:hint="eastAsia" w:ascii="楷体" w:hAnsi="楷体" w:eastAsia="楷体" w:cs="仿宋_GB2312"/>
          <w:color w:val="000000" w:themeColor="text1"/>
          <w:kern w:val="0"/>
          <w:sz w:val="32"/>
          <w:szCs w:val="32"/>
        </w:rPr>
        <w:t>九</w:t>
      </w:r>
      <w:r>
        <w:rPr>
          <w:rFonts w:ascii="楷体" w:hAnsi="楷体" w:eastAsia="楷体" w:cs="仿宋_GB2312"/>
          <w:color w:val="000000" w:themeColor="text1"/>
          <w:kern w:val="0"/>
          <w:sz w:val="32"/>
          <w:szCs w:val="32"/>
        </w:rPr>
        <w:t>、预算绩效情况说明</w:t>
      </w:r>
    </w:p>
    <w:p>
      <w:pPr>
        <w:autoSpaceDE w:val="0"/>
        <w:autoSpaceDN w:val="0"/>
        <w:adjustRightInd w:val="0"/>
        <w:spacing w:line="520" w:lineRule="exact"/>
        <w:ind w:firstLine="800" w:firstLineChars="250"/>
        <w:jc w:val="left"/>
        <w:rPr>
          <w:rFonts w:ascii="楷体" w:hAnsi="楷体" w:eastAsia="楷体" w:cs="仿宋_GB2312"/>
          <w:color w:val="000000" w:themeColor="text1"/>
          <w:kern w:val="0"/>
          <w:sz w:val="32"/>
          <w:szCs w:val="32"/>
        </w:rPr>
      </w:pPr>
      <w:r>
        <w:rPr>
          <w:rFonts w:hint="eastAsia" w:ascii="楷体" w:hAnsi="楷体" w:eastAsia="楷体" w:cs="仿宋_GB2312"/>
          <w:color w:val="000000" w:themeColor="text1"/>
          <w:kern w:val="0"/>
          <w:sz w:val="32"/>
          <w:szCs w:val="32"/>
        </w:rPr>
        <w:t>十</w:t>
      </w:r>
      <w:r>
        <w:rPr>
          <w:rFonts w:ascii="楷体" w:hAnsi="楷体" w:eastAsia="楷体" w:cs="仿宋_GB2312"/>
          <w:color w:val="000000" w:themeColor="text1"/>
          <w:kern w:val="0"/>
          <w:sz w:val="32"/>
          <w:szCs w:val="32"/>
        </w:rPr>
        <w:t>、其他重要事项情况说明</w:t>
      </w:r>
    </w:p>
    <w:p>
      <w:pPr>
        <w:autoSpaceDE w:val="0"/>
        <w:autoSpaceDN w:val="0"/>
        <w:adjustRightInd w:val="0"/>
        <w:spacing w:line="520" w:lineRule="exact"/>
        <w:jc w:val="left"/>
        <w:rPr>
          <w:rFonts w:ascii="黑体" w:hAnsi="黑体" w:eastAsia="黑体" w:cs="仿宋_GB2312"/>
          <w:b/>
          <w:color w:val="000000" w:themeColor="text1"/>
          <w:kern w:val="0"/>
          <w:sz w:val="32"/>
          <w:szCs w:val="32"/>
        </w:rPr>
      </w:pPr>
      <w:r>
        <w:rPr>
          <w:rFonts w:ascii="黑体" w:hAnsi="黑体" w:eastAsia="黑体" w:cs="黑体"/>
          <w:b/>
          <w:color w:val="000000" w:themeColor="text1"/>
          <w:kern w:val="0"/>
          <w:sz w:val="32"/>
          <w:szCs w:val="32"/>
        </w:rPr>
        <w:t>第四部分名词解释</w:t>
      </w:r>
    </w:p>
    <w:p>
      <w:pPr>
        <w:spacing w:line="520" w:lineRule="exact"/>
        <w:jc w:val="left"/>
        <w:rPr>
          <w:rFonts w:ascii="黑体" w:hAnsi="黑体" w:eastAsia="黑体" w:cs="仿宋_GB2312"/>
          <w:b/>
          <w:color w:val="000000" w:themeColor="text1"/>
          <w:kern w:val="0"/>
          <w:sz w:val="32"/>
          <w:szCs w:val="32"/>
        </w:rPr>
      </w:pPr>
      <w:r>
        <w:rPr>
          <w:rFonts w:ascii="黑体" w:hAnsi="黑体" w:eastAsia="黑体" w:cs="黑体"/>
          <w:b/>
          <w:color w:val="000000" w:themeColor="text1"/>
          <w:kern w:val="0"/>
          <w:sz w:val="32"/>
          <w:szCs w:val="32"/>
        </w:rPr>
        <w:t>第五部分</w:t>
      </w:r>
      <w:r>
        <w:rPr>
          <w:rFonts w:hint="eastAsia" w:ascii="黑体" w:hAnsi="黑体" w:eastAsia="黑体" w:cs="黑体"/>
          <w:b/>
          <w:color w:val="000000" w:themeColor="text1"/>
          <w:kern w:val="0"/>
          <w:sz w:val="32"/>
          <w:szCs w:val="32"/>
        </w:rPr>
        <w:t>其他</w:t>
      </w:r>
    </w:p>
    <w:p>
      <w:pPr>
        <w:jc w:val="center"/>
        <w:rPr>
          <w:color w:val="000000" w:themeColor="text1"/>
          <w:sz w:val="72"/>
          <w:szCs w:val="72"/>
        </w:rPr>
      </w:pPr>
    </w:p>
    <w:p>
      <w:pPr>
        <w:jc w:val="center"/>
        <w:rPr>
          <w:color w:val="000000" w:themeColor="text1"/>
          <w:sz w:val="72"/>
          <w:szCs w:val="72"/>
        </w:rPr>
      </w:pPr>
    </w:p>
    <w:p>
      <w:pPr>
        <w:jc w:val="center"/>
        <w:rPr>
          <w:color w:val="000000" w:themeColor="text1"/>
          <w:sz w:val="72"/>
          <w:szCs w:val="72"/>
        </w:rPr>
      </w:pPr>
    </w:p>
    <w:p>
      <w:pPr>
        <w:jc w:val="center"/>
        <w:rPr>
          <w:color w:val="000000" w:themeColor="text1"/>
          <w:sz w:val="72"/>
          <w:szCs w:val="72"/>
        </w:rPr>
      </w:pPr>
    </w:p>
    <w:p>
      <w:pPr>
        <w:rPr>
          <w:color w:val="000000" w:themeColor="text1"/>
          <w:sz w:val="72"/>
          <w:szCs w:val="72"/>
        </w:rPr>
      </w:pPr>
    </w:p>
    <w:p>
      <w:pPr>
        <w:pStyle w:val="9"/>
        <w:jc w:val="center"/>
        <w:rPr>
          <w:color w:val="000000" w:themeColor="text1"/>
          <w:sz w:val="84"/>
          <w:szCs w:val="84"/>
        </w:rPr>
      </w:pPr>
      <w:r>
        <w:rPr>
          <w:rFonts w:hint="eastAsia"/>
          <w:color w:val="000000" w:themeColor="text1"/>
          <w:sz w:val="84"/>
          <w:szCs w:val="84"/>
        </w:rPr>
        <w:t>第一部分</w:t>
      </w:r>
    </w:p>
    <w:p>
      <w:pPr>
        <w:pStyle w:val="9"/>
        <w:jc w:val="center"/>
        <w:rPr>
          <w:color w:val="000000" w:themeColor="text1"/>
          <w:sz w:val="84"/>
          <w:szCs w:val="84"/>
        </w:rPr>
      </w:pPr>
    </w:p>
    <w:p>
      <w:pPr>
        <w:pStyle w:val="9"/>
        <w:jc w:val="center"/>
        <w:rPr>
          <w:color w:val="000000" w:themeColor="text1"/>
          <w:sz w:val="84"/>
          <w:szCs w:val="84"/>
        </w:rPr>
      </w:pPr>
      <w:r>
        <w:rPr>
          <w:rFonts w:hint="eastAsia"/>
          <w:color w:val="000000" w:themeColor="text1"/>
          <w:sz w:val="84"/>
          <w:szCs w:val="84"/>
        </w:rPr>
        <w:t>醴陵市畜牧水产事务中心概况</w:t>
      </w:r>
    </w:p>
    <w:p>
      <w:pPr>
        <w:jc w:val="center"/>
        <w:rPr>
          <w:color w:val="000000" w:themeColor="text1"/>
          <w:sz w:val="72"/>
          <w:szCs w:val="72"/>
        </w:rPr>
      </w:pPr>
    </w:p>
    <w:p>
      <w:pPr>
        <w:jc w:val="center"/>
        <w:rPr>
          <w:color w:val="000000" w:themeColor="text1"/>
          <w:sz w:val="72"/>
          <w:szCs w:val="72"/>
        </w:rPr>
      </w:pPr>
    </w:p>
    <w:p>
      <w:pPr>
        <w:jc w:val="center"/>
        <w:rPr>
          <w:color w:val="000000" w:themeColor="text1"/>
          <w:sz w:val="72"/>
          <w:szCs w:val="72"/>
        </w:rPr>
      </w:pPr>
    </w:p>
    <w:p>
      <w:pPr>
        <w:jc w:val="center"/>
        <w:rPr>
          <w:color w:val="000000" w:themeColor="text1"/>
          <w:sz w:val="72"/>
          <w:szCs w:val="72"/>
        </w:rPr>
      </w:pPr>
    </w:p>
    <w:p>
      <w:pPr>
        <w:jc w:val="left"/>
        <w:rPr>
          <w:rFonts w:ascii="黑体" w:hAnsi="黑体" w:eastAsia="黑体"/>
          <w:color w:val="000000" w:themeColor="text1"/>
          <w:sz w:val="32"/>
          <w:szCs w:val="32"/>
        </w:rPr>
      </w:pPr>
    </w:p>
    <w:p>
      <w:pPr>
        <w:widowControl/>
        <w:spacing w:line="600" w:lineRule="exact"/>
        <w:ind w:firstLine="640" w:firstLineChars="200"/>
        <w:jc w:val="left"/>
        <w:rPr>
          <w:rFonts w:ascii="黑体" w:hAnsi="黑体" w:eastAsia="黑体" w:cs="Times New Roman"/>
          <w:bCs/>
          <w:color w:val="000000" w:themeColor="text1"/>
          <w:kern w:val="0"/>
          <w:sz w:val="32"/>
          <w:szCs w:val="32"/>
        </w:rPr>
      </w:pPr>
      <w:r>
        <w:rPr>
          <w:rFonts w:hint="eastAsia" w:ascii="黑体" w:hAnsi="黑体" w:eastAsia="黑体" w:cs="Times New Roman"/>
          <w:bCs/>
          <w:color w:val="000000" w:themeColor="text1"/>
          <w:kern w:val="0"/>
          <w:sz w:val="32"/>
          <w:szCs w:val="32"/>
        </w:rPr>
        <w:t>一、部门职责</w:t>
      </w:r>
    </w:p>
    <w:p>
      <w:pPr>
        <w:widowControl/>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醴陵市畜牧水产事务中心是醴陵市</w:t>
      </w:r>
      <w:r>
        <w:rPr>
          <w:rFonts w:hint="eastAsia" w:ascii="仿宋" w:hAnsi="仿宋" w:eastAsia="仿宋"/>
          <w:sz w:val="32"/>
          <w:szCs w:val="32"/>
        </w:rPr>
        <w:t>农业局下属的正科级事业单位，</w:t>
      </w:r>
      <w:r>
        <w:rPr>
          <w:rFonts w:hint="eastAsia" w:ascii="仿宋" w:hAnsi="仿宋" w:eastAsia="仿宋"/>
          <w:bCs/>
          <w:kern w:val="0"/>
          <w:sz w:val="32"/>
          <w:szCs w:val="32"/>
        </w:rPr>
        <w:t>本单位有以下二级单位：</w:t>
      </w:r>
      <w:r>
        <w:rPr>
          <w:rFonts w:hint="eastAsia" w:ascii="仿宋" w:hAnsi="仿宋" w:eastAsia="仿宋"/>
          <w:kern w:val="0"/>
          <w:sz w:val="32"/>
          <w:szCs w:val="32"/>
          <w:shd w:val="clear" w:color="auto" w:fill="FFFFFF"/>
        </w:rPr>
        <w:t>动物疫病预防控制中心、动物卫生监督所、兽药监督检验所、农产品质量监测检测站、渔政管理站、乡镇动物防疫站（20个），这些单位无独立的财务核算权，与局机关合并公开预算</w:t>
      </w:r>
      <w:r>
        <w:rPr>
          <w:rFonts w:hint="eastAsia" w:ascii="仿宋" w:hAnsi="仿宋" w:eastAsia="仿宋"/>
          <w:bCs/>
          <w:kern w:val="0"/>
          <w:sz w:val="32"/>
          <w:szCs w:val="32"/>
          <w:shd w:val="clear" w:color="auto" w:fill="FFFFFF"/>
        </w:rPr>
        <w:t>。</w:t>
      </w:r>
      <w:r>
        <w:rPr>
          <w:rFonts w:hint="eastAsia" w:ascii="仿宋" w:hAnsi="仿宋" w:eastAsia="仿宋"/>
          <w:bCs/>
          <w:kern w:val="0"/>
          <w:sz w:val="32"/>
          <w:szCs w:val="32"/>
        </w:rPr>
        <w:t>本</w:t>
      </w:r>
      <w:r>
        <w:rPr>
          <w:rFonts w:hint="eastAsia" w:ascii="仿宋" w:hAnsi="仿宋" w:eastAsia="仿宋"/>
          <w:kern w:val="0"/>
          <w:sz w:val="32"/>
          <w:szCs w:val="32"/>
        </w:rPr>
        <w:t>部门主要职责是：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（一）贯彻执行国家、省和株洲市有关畜牧、兽医、水产工作法律、法规和方针、政策，拟订全市畜牧、兽医、渔业、饲料工业产业发展和相关科学技术研究的中长期规划并组织实施。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（二）预测并发布全市畜牧、兽医、渔业、饲料工业和农恳产品供求情况等经济信息，指导畜牧、兽医、水产、饲料、农恳农场技术推广体系建设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（三）监督管理全市种畜禽、水产种苗、牧草种子、兽药、兽医医疗器械、饲料、饲料添加剂的质量监测和鉴定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（四）监督管理全市畜禽、水产品种资源、草地资源的保护和开发利用。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（五）负责全市动物防疫、检疫的监督管理，负责动物疫情发布并组织实施动物疫病的控制与扑灭工作，负责兽医医政、药政和动物产品安全的监督管理，负责全市官方兽医 、执业兽医、兽医实验室生物安全的管理。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（六）负责全市畜牧、兽医、渔业、农恳农场专项资金的管理和重大项目审核、申报。</w:t>
      </w:r>
    </w:p>
    <w:p>
      <w:pPr>
        <w:widowControl/>
        <w:shd w:val="clear" w:color="auto" w:fill="FFFFFF"/>
        <w:spacing w:line="600" w:lineRule="exact"/>
        <w:ind w:firstLine="606"/>
        <w:jc w:val="left"/>
        <w:rPr>
          <w:rFonts w:ascii="仿宋" w:hAnsi="仿宋" w:eastAsia="仿宋"/>
          <w:kern w:val="0"/>
          <w:sz w:val="32"/>
          <w:szCs w:val="32"/>
        </w:rPr>
      </w:pPr>
      <w:r>
        <w:rPr>
          <w:rFonts w:hint="eastAsia" w:ascii="仿宋" w:hAnsi="仿宋" w:eastAsia="仿宋"/>
          <w:sz w:val="32"/>
          <w:szCs w:val="32"/>
        </w:rPr>
        <w:t>（七）承办市委、市人民政府交办的其他事项。</w:t>
      </w:r>
    </w:p>
    <w:p>
      <w:pPr>
        <w:widowControl/>
        <w:spacing w:line="600" w:lineRule="exact"/>
        <w:rPr>
          <w:rFonts w:ascii="黑体" w:hAnsi="黑体" w:eastAsia="黑体" w:cs="Times New Roman"/>
          <w:bCs/>
          <w:color w:val="000000" w:themeColor="text1"/>
          <w:kern w:val="0"/>
          <w:sz w:val="32"/>
          <w:szCs w:val="32"/>
        </w:rPr>
      </w:pPr>
      <w:r>
        <w:rPr>
          <w:rFonts w:hint="eastAsia" w:ascii="黑体" w:hAnsi="黑体" w:eastAsia="黑体" w:cs="Times New Roman"/>
          <w:bCs/>
          <w:color w:val="000000" w:themeColor="text1"/>
          <w:kern w:val="0"/>
          <w:sz w:val="32"/>
          <w:szCs w:val="32"/>
        </w:rPr>
        <w:t>二、机构设置及决算单位构成</w:t>
      </w:r>
    </w:p>
    <w:p>
      <w:pPr>
        <w:widowControl/>
        <w:spacing w:line="600" w:lineRule="exact"/>
        <w:rPr>
          <w:rFonts w:ascii="仿宋" w:hAnsi="仿宋" w:eastAsia="仿宋"/>
          <w:bCs/>
          <w:kern w:val="0"/>
          <w:sz w:val="32"/>
          <w:szCs w:val="32"/>
        </w:rPr>
      </w:pPr>
      <w:r>
        <w:rPr>
          <w:rFonts w:hint="eastAsia" w:ascii="仿宋" w:hAnsi="仿宋" w:eastAsia="仿宋"/>
          <w:bCs/>
          <w:kern w:val="0"/>
          <w:sz w:val="32"/>
          <w:szCs w:val="32"/>
        </w:rPr>
        <w:t>（一）内设机构设置。</w:t>
      </w:r>
    </w:p>
    <w:p>
      <w:pPr>
        <w:widowControl/>
        <w:spacing w:line="600" w:lineRule="exact"/>
        <w:ind w:firstLine="480" w:firstLineChars="150"/>
        <w:rPr>
          <w:rFonts w:ascii="仿宋" w:hAnsi="仿宋" w:eastAsia="仿宋"/>
          <w:bCs/>
          <w:kern w:val="0"/>
          <w:sz w:val="32"/>
          <w:szCs w:val="32"/>
        </w:rPr>
      </w:pPr>
      <w:r>
        <w:rPr>
          <w:rFonts w:hint="eastAsia" w:ascii="仿宋" w:hAnsi="仿宋" w:eastAsia="仿宋"/>
          <w:bCs/>
          <w:kern w:val="0"/>
          <w:sz w:val="32"/>
          <w:szCs w:val="32"/>
        </w:rPr>
        <w:t>醴陵市畜牧水产事务中心内设机构包括：</w:t>
      </w:r>
      <w:r>
        <w:rPr>
          <w:rFonts w:hint="eastAsia" w:ascii="仿宋" w:hAnsi="仿宋" w:eastAsia="仿宋"/>
          <w:sz w:val="32"/>
          <w:szCs w:val="32"/>
        </w:rPr>
        <w:t>办公室、人事教育股、计财股、畜牧股、渔业股、行政审批股、医政股七个科室。</w:t>
      </w:r>
    </w:p>
    <w:p>
      <w:pPr>
        <w:widowControl/>
        <w:spacing w:line="600" w:lineRule="exact"/>
        <w:rPr>
          <w:rFonts w:ascii="仿宋" w:hAnsi="仿宋" w:eastAsia="仿宋"/>
          <w:bCs/>
          <w:kern w:val="0"/>
          <w:sz w:val="32"/>
          <w:szCs w:val="32"/>
        </w:rPr>
      </w:pPr>
      <w:r>
        <w:rPr>
          <w:rFonts w:hint="eastAsia" w:ascii="仿宋" w:hAnsi="仿宋" w:eastAsia="仿宋"/>
          <w:bCs/>
          <w:kern w:val="0"/>
          <w:sz w:val="32"/>
          <w:szCs w:val="32"/>
        </w:rPr>
        <w:t>（二）决算单位构成。</w:t>
      </w:r>
    </w:p>
    <w:p>
      <w:pPr>
        <w:widowControl/>
        <w:spacing w:line="60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醴陵市畜牧水产事务中心2019年度部门决算汇总公开单位构成包括：醴陵市畜牧水产事务中心本级以及二级预算单位。</w:t>
      </w:r>
    </w:p>
    <w:p>
      <w:pPr>
        <w:jc w:val="center"/>
        <w:rPr>
          <w:rFonts w:ascii="仿宋" w:hAnsi="仿宋" w:eastAsia="仿宋"/>
          <w:color w:val="000000" w:themeColor="text1"/>
          <w:sz w:val="28"/>
          <w:szCs w:val="28"/>
        </w:rPr>
      </w:pPr>
    </w:p>
    <w:p>
      <w:pPr>
        <w:jc w:val="center"/>
        <w:rPr>
          <w:rFonts w:ascii="仿宋" w:hAnsi="仿宋" w:eastAsia="仿宋"/>
          <w:color w:val="000000" w:themeColor="text1"/>
          <w:sz w:val="28"/>
          <w:szCs w:val="28"/>
        </w:rPr>
      </w:pPr>
    </w:p>
    <w:p>
      <w:pPr>
        <w:jc w:val="center"/>
        <w:rPr>
          <w:rFonts w:ascii="仿宋" w:hAnsi="仿宋" w:eastAsia="仿宋"/>
          <w:color w:val="000000" w:themeColor="text1"/>
          <w:sz w:val="28"/>
          <w:szCs w:val="28"/>
        </w:rPr>
      </w:pPr>
    </w:p>
    <w:p>
      <w:pPr>
        <w:jc w:val="center"/>
        <w:rPr>
          <w:rFonts w:ascii="仿宋" w:hAnsi="仿宋" w:eastAsia="仿宋"/>
          <w:color w:val="000000" w:themeColor="text1"/>
          <w:sz w:val="28"/>
          <w:szCs w:val="28"/>
        </w:rPr>
      </w:pPr>
    </w:p>
    <w:p>
      <w:pPr>
        <w:jc w:val="center"/>
        <w:rPr>
          <w:rFonts w:ascii="仿宋" w:hAnsi="仿宋" w:eastAsia="仿宋"/>
          <w:color w:val="000000" w:themeColor="text1"/>
          <w:sz w:val="28"/>
          <w:szCs w:val="28"/>
        </w:rPr>
      </w:pPr>
    </w:p>
    <w:p>
      <w:pPr>
        <w:jc w:val="center"/>
        <w:rPr>
          <w:rFonts w:ascii="仿宋" w:hAnsi="仿宋" w:eastAsia="仿宋"/>
          <w:color w:val="000000" w:themeColor="text1"/>
          <w:sz w:val="72"/>
          <w:szCs w:val="72"/>
        </w:rPr>
      </w:pPr>
    </w:p>
    <w:p>
      <w:pPr>
        <w:jc w:val="center"/>
        <w:rPr>
          <w:rFonts w:ascii="仿宋" w:hAnsi="仿宋" w:eastAsia="仿宋"/>
          <w:color w:val="000000" w:themeColor="text1"/>
          <w:sz w:val="72"/>
          <w:szCs w:val="72"/>
        </w:rPr>
      </w:pPr>
    </w:p>
    <w:p>
      <w:pPr>
        <w:jc w:val="center"/>
        <w:rPr>
          <w:rFonts w:ascii="仿宋" w:hAnsi="仿宋" w:eastAsia="仿宋"/>
          <w:color w:val="000000" w:themeColor="text1"/>
          <w:sz w:val="72"/>
          <w:szCs w:val="72"/>
        </w:rPr>
      </w:pPr>
    </w:p>
    <w:p>
      <w:pPr>
        <w:jc w:val="center"/>
        <w:rPr>
          <w:rFonts w:ascii="仿宋" w:hAnsi="仿宋" w:eastAsia="仿宋"/>
          <w:color w:val="000000" w:themeColor="text1"/>
          <w:sz w:val="72"/>
          <w:szCs w:val="72"/>
        </w:rPr>
      </w:pPr>
    </w:p>
    <w:p>
      <w:pPr>
        <w:rPr>
          <w:rFonts w:ascii="仿宋" w:hAnsi="仿宋" w:eastAsia="仿宋"/>
          <w:color w:val="000000" w:themeColor="text1"/>
          <w:sz w:val="72"/>
          <w:szCs w:val="72"/>
        </w:rPr>
      </w:pPr>
    </w:p>
    <w:p>
      <w:pPr>
        <w:pStyle w:val="9"/>
        <w:jc w:val="center"/>
        <w:rPr>
          <w:color w:val="000000" w:themeColor="text1"/>
          <w:sz w:val="84"/>
          <w:szCs w:val="84"/>
        </w:rPr>
      </w:pPr>
    </w:p>
    <w:p>
      <w:pPr>
        <w:pStyle w:val="9"/>
        <w:jc w:val="center"/>
        <w:rPr>
          <w:color w:val="000000" w:themeColor="text1"/>
          <w:sz w:val="84"/>
          <w:szCs w:val="84"/>
        </w:rPr>
      </w:pPr>
    </w:p>
    <w:p>
      <w:pPr>
        <w:pStyle w:val="9"/>
        <w:jc w:val="center"/>
        <w:rPr>
          <w:color w:val="000000" w:themeColor="text1"/>
          <w:sz w:val="84"/>
          <w:szCs w:val="84"/>
        </w:rPr>
      </w:pPr>
    </w:p>
    <w:p>
      <w:pPr>
        <w:pStyle w:val="9"/>
        <w:jc w:val="center"/>
        <w:rPr>
          <w:color w:val="000000" w:themeColor="text1"/>
          <w:sz w:val="84"/>
          <w:szCs w:val="84"/>
        </w:rPr>
      </w:pPr>
    </w:p>
    <w:p>
      <w:pPr>
        <w:pStyle w:val="9"/>
        <w:jc w:val="center"/>
        <w:rPr>
          <w:color w:val="000000" w:themeColor="text1"/>
          <w:sz w:val="84"/>
          <w:szCs w:val="84"/>
        </w:rPr>
      </w:pPr>
      <w:r>
        <w:rPr>
          <w:rFonts w:hint="eastAsia"/>
          <w:color w:val="000000" w:themeColor="text1"/>
          <w:sz w:val="84"/>
          <w:szCs w:val="84"/>
        </w:rPr>
        <w:t>第二部分</w:t>
      </w:r>
    </w:p>
    <w:p>
      <w:pPr>
        <w:pStyle w:val="9"/>
        <w:jc w:val="center"/>
        <w:rPr>
          <w:color w:val="000000" w:themeColor="text1"/>
          <w:sz w:val="84"/>
          <w:szCs w:val="84"/>
        </w:rPr>
      </w:pPr>
    </w:p>
    <w:p>
      <w:pPr>
        <w:pStyle w:val="9"/>
        <w:jc w:val="center"/>
        <w:rPr>
          <w:color w:val="000000" w:themeColor="text1"/>
          <w:sz w:val="84"/>
          <w:szCs w:val="84"/>
        </w:rPr>
      </w:pPr>
      <w:r>
        <w:rPr>
          <w:rFonts w:hint="eastAsia"/>
          <w:color w:val="000000" w:themeColor="text1"/>
          <w:sz w:val="84"/>
          <w:szCs w:val="84"/>
        </w:rPr>
        <w:t>部门决算表</w:t>
      </w:r>
    </w:p>
    <w:p>
      <w:pPr>
        <w:jc w:val="center"/>
        <w:rPr>
          <w:color w:val="000000" w:themeColor="text1"/>
          <w:sz w:val="72"/>
          <w:szCs w:val="72"/>
        </w:rPr>
      </w:pPr>
    </w:p>
    <w:p>
      <w:pPr>
        <w:jc w:val="center"/>
        <w:rPr>
          <w:color w:val="000000" w:themeColor="text1"/>
          <w:sz w:val="72"/>
          <w:szCs w:val="72"/>
        </w:rPr>
      </w:pPr>
    </w:p>
    <w:p>
      <w:pPr>
        <w:jc w:val="center"/>
        <w:rPr>
          <w:color w:val="000000" w:themeColor="text1"/>
          <w:sz w:val="72"/>
          <w:szCs w:val="72"/>
        </w:rPr>
      </w:pPr>
    </w:p>
    <w:p>
      <w:pPr>
        <w:jc w:val="center"/>
        <w:rPr>
          <w:color w:val="000000" w:themeColor="text1"/>
          <w:sz w:val="72"/>
          <w:szCs w:val="72"/>
        </w:rPr>
      </w:pPr>
    </w:p>
    <w:p>
      <w:pPr>
        <w:jc w:val="center"/>
        <w:rPr>
          <w:color w:val="000000" w:themeColor="text1"/>
          <w:sz w:val="72"/>
          <w:szCs w:val="72"/>
        </w:rPr>
      </w:pPr>
    </w:p>
    <w:p>
      <w:pPr>
        <w:jc w:val="center"/>
        <w:rPr>
          <w:color w:val="000000" w:themeColor="text1"/>
          <w:sz w:val="72"/>
          <w:szCs w:val="72"/>
        </w:rPr>
      </w:pPr>
    </w:p>
    <w:p>
      <w:pPr>
        <w:jc w:val="left"/>
        <w:rPr>
          <w:rFonts w:ascii="Times New Roman" w:hAnsi="Times New Roman" w:eastAsia="仿宋_GB2312" w:cs="Times New Roman"/>
          <w:color w:val="000000" w:themeColor="text1"/>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pPr>
    </w:p>
    <w:p>
      <w:pPr>
        <w:jc w:val="center"/>
        <w:rPr>
          <w:rFonts w:ascii="黑体" w:hAnsi="黑体" w:eastAsia="黑体"/>
          <w:sz w:val="36"/>
          <w:szCs w:val="32"/>
        </w:r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部门：醴陵市畜牧水产事务中心公开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3147.85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二、卫生健康支出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5879.11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四、商业服务业等支出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135.96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3283.81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6010.46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3194.81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468.16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6478.62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6478.62</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醴陵市畜牧水产事务中心</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pPr w:leftFromText="180" w:rightFromText="180" w:vertAnchor="text" w:tblpXSpec="center" w:tblpY="1"/>
        <w:tblOverlap w:val="never"/>
        <w:tblW w:w="12826" w:type="dxa"/>
        <w:tblInd w:w="0" w:type="dxa"/>
        <w:tblLayout w:type="autofit"/>
        <w:tblCellMar>
          <w:top w:w="0" w:type="dxa"/>
          <w:left w:w="108" w:type="dxa"/>
          <w:bottom w:w="0" w:type="dxa"/>
          <w:right w:w="108" w:type="dxa"/>
        </w:tblCellMar>
      </w:tblPr>
      <w:tblGrid>
        <w:gridCol w:w="1197"/>
        <w:gridCol w:w="2589"/>
        <w:gridCol w:w="1307"/>
        <w:gridCol w:w="1252"/>
        <w:gridCol w:w="1134"/>
        <w:gridCol w:w="1134"/>
        <w:gridCol w:w="1134"/>
        <w:gridCol w:w="1399"/>
        <w:gridCol w:w="1680"/>
      </w:tblGrid>
      <w:tr>
        <w:tblPrEx>
          <w:tblCellMar>
            <w:top w:w="0" w:type="dxa"/>
            <w:left w:w="108" w:type="dxa"/>
            <w:bottom w:w="0" w:type="dxa"/>
            <w:right w:w="108" w:type="dxa"/>
          </w:tblCellMar>
        </w:tblPrEx>
        <w:trPr>
          <w:trHeight w:val="185" w:hRule="atLeast"/>
        </w:trPr>
        <w:tc>
          <w:tcPr>
            <w:tcW w:w="3786"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w:t>
            </w:r>
          </w:p>
        </w:tc>
        <w:tc>
          <w:tcPr>
            <w:tcW w:w="130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25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39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680"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5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0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5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80"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58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0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5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80"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52" w:hRule="atLeast"/>
        </w:trPr>
        <w:tc>
          <w:tcPr>
            <w:tcW w:w="3786"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39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680"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258" w:hRule="atLeast"/>
        </w:trPr>
        <w:tc>
          <w:tcPr>
            <w:tcW w:w="3786"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3283.81</w:t>
            </w:r>
            <w:r>
              <w:rPr>
                <w:rFonts w:ascii="Times New Roman" w:hAnsi="Times New Roman" w:eastAsia="仿宋_GB2312" w:cs="Times New Roman"/>
                <w:kern w:val="0"/>
                <w:szCs w:val="21"/>
              </w:rPr>
              <w:t>　</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3147.85</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135.96</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163"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卫生健康支出</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44"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行政事业单位医疗</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8"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2101102</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事业单位医疗</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82"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农林水支出</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3152.46</w:t>
            </w:r>
            <w:r>
              <w:rPr>
                <w:rFonts w:ascii="Times New Roman" w:hAnsi="Times New Roman" w:eastAsia="仿宋_GB2312" w:cs="Times New Roman"/>
                <w:kern w:val="0"/>
                <w:szCs w:val="21"/>
              </w:rPr>
              <w:t>　</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3016.50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135.96</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52"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3140.46</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3004.50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135.96</w:t>
            </w:r>
          </w:p>
        </w:tc>
      </w:tr>
      <w:tr>
        <w:tblPrEx>
          <w:tblCellMar>
            <w:top w:w="0" w:type="dxa"/>
            <w:left w:w="108" w:type="dxa"/>
            <w:bottom w:w="0" w:type="dxa"/>
            <w:right w:w="108" w:type="dxa"/>
          </w:tblCellMar>
        </w:tblPrEx>
        <w:trPr>
          <w:trHeight w:val="282"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2130101</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1668.43</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1668.43</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282"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2130106</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科技转化与推广服务</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282"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2130108</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病虫害控制</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862.27</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862.27</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372" w:hRule="atLeast"/>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2130109</w:t>
            </w:r>
          </w:p>
        </w:tc>
        <w:tc>
          <w:tcPr>
            <w:tcW w:w="258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农产品质量安全</w:t>
            </w:r>
          </w:p>
        </w:tc>
        <w:tc>
          <w:tcPr>
            <w:tcW w:w="130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r>
              <w:rPr>
                <w:rFonts w:ascii="Times New Roman" w:hAnsi="Times New Roman" w:eastAsia="仿宋_GB2312" w:cs="Times New Roman"/>
                <w:kern w:val="0"/>
                <w:szCs w:val="21"/>
              </w:rPr>
              <w:t>　</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9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80"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78" w:hRule="atLeast"/>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2130110</w:t>
            </w:r>
          </w:p>
        </w:tc>
        <w:tc>
          <w:tcPr>
            <w:tcW w:w="258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执法监管</w:t>
            </w:r>
          </w:p>
        </w:tc>
        <w:tc>
          <w:tcPr>
            <w:tcW w:w="130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r>
              <w:rPr>
                <w:rFonts w:ascii="Times New Roman" w:hAnsi="Times New Roman" w:eastAsia="仿宋_GB2312" w:cs="Times New Roman"/>
                <w:kern w:val="0"/>
                <w:szCs w:val="21"/>
              </w:rPr>
              <w:t>　</w:t>
            </w:r>
          </w:p>
        </w:tc>
        <w:tc>
          <w:tcPr>
            <w:tcW w:w="125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r>
              <w:rPr>
                <w:rFonts w:ascii="Times New Roman" w:hAnsi="Times New Roman" w:eastAsia="仿宋_GB2312" w:cs="Times New Roman"/>
                <w:kern w:val="0"/>
                <w:szCs w:val="21"/>
              </w:rPr>
              <w:t>　</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39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30" w:hRule="atLeast"/>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2130135</w:t>
            </w:r>
          </w:p>
        </w:tc>
        <w:tc>
          <w:tcPr>
            <w:tcW w:w="258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农业资源保护修复与利用</w:t>
            </w:r>
          </w:p>
        </w:tc>
        <w:tc>
          <w:tcPr>
            <w:tcW w:w="130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18.00</w:t>
            </w:r>
          </w:p>
        </w:tc>
        <w:tc>
          <w:tcPr>
            <w:tcW w:w="125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262" w:hRule="atLeast"/>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258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其他农业支出</w:t>
            </w:r>
          </w:p>
        </w:tc>
        <w:tc>
          <w:tcPr>
            <w:tcW w:w="130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567.76</w:t>
            </w:r>
          </w:p>
        </w:tc>
        <w:tc>
          <w:tcPr>
            <w:tcW w:w="125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431.8</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135.96</w:t>
            </w:r>
          </w:p>
        </w:tc>
      </w:tr>
      <w:tr>
        <w:tblPrEx>
          <w:tblCellMar>
            <w:top w:w="0" w:type="dxa"/>
            <w:left w:w="108" w:type="dxa"/>
            <w:bottom w:w="0" w:type="dxa"/>
            <w:right w:w="108" w:type="dxa"/>
          </w:tblCellMar>
        </w:tblPrEx>
        <w:trPr>
          <w:trHeight w:val="252" w:hRule="atLeast"/>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21308</w:t>
            </w:r>
          </w:p>
        </w:tc>
        <w:tc>
          <w:tcPr>
            <w:tcW w:w="258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普惠金融发展支出</w:t>
            </w:r>
          </w:p>
        </w:tc>
        <w:tc>
          <w:tcPr>
            <w:tcW w:w="130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125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284" w:hRule="atLeast"/>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2130899</w:t>
            </w:r>
          </w:p>
        </w:tc>
        <w:tc>
          <w:tcPr>
            <w:tcW w:w="258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其他普惠金融发展支出</w:t>
            </w:r>
          </w:p>
        </w:tc>
        <w:tc>
          <w:tcPr>
            <w:tcW w:w="130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125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246" w:hRule="atLeast"/>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w:t>
            </w:r>
          </w:p>
        </w:tc>
        <w:tc>
          <w:tcPr>
            <w:tcW w:w="258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商业服务业等支出</w:t>
            </w:r>
          </w:p>
        </w:tc>
        <w:tc>
          <w:tcPr>
            <w:tcW w:w="130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25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280" w:hRule="atLeast"/>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21602</w:t>
            </w:r>
          </w:p>
        </w:tc>
        <w:tc>
          <w:tcPr>
            <w:tcW w:w="258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商业流通事务</w:t>
            </w:r>
          </w:p>
        </w:tc>
        <w:tc>
          <w:tcPr>
            <w:tcW w:w="130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25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264" w:hRule="atLeast"/>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2160299</w:t>
            </w:r>
          </w:p>
        </w:tc>
        <w:tc>
          <w:tcPr>
            <w:tcW w:w="2589"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其他商业流通事务支出</w:t>
            </w:r>
          </w:p>
        </w:tc>
        <w:tc>
          <w:tcPr>
            <w:tcW w:w="130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25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39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80"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615" w:hRule="atLeast"/>
        </w:trPr>
        <w:tc>
          <w:tcPr>
            <w:tcW w:w="12826"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ind w:left="6880" w:hanging="6880" w:hangingChars="215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textWrapping" w:clear="all"/>
      </w: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醴陵市畜牧水产事务中心</w:t>
      </w:r>
      <w:r>
        <w:rPr>
          <w:rFonts w:ascii="Times New Roman" w:hAnsi="Times New Roman" w:eastAsia="仿宋_GB2312" w:cs="Times New Roman"/>
          <w:color w:val="000000"/>
          <w:kern w:val="0"/>
          <w:sz w:val="20"/>
          <w:szCs w:val="20"/>
        </w:rPr>
        <w:t>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5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04"/>
        <w:gridCol w:w="2536"/>
        <w:gridCol w:w="1575"/>
        <w:gridCol w:w="1417"/>
        <w:gridCol w:w="1560"/>
        <w:gridCol w:w="1559"/>
        <w:gridCol w:w="1627"/>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45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w:t>
            </w:r>
          </w:p>
        </w:tc>
        <w:tc>
          <w:tcPr>
            <w:tcW w:w="15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41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56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55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62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00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53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1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200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53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1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6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4" w:hRule="atLeast"/>
          <w:jc w:val="center"/>
        </w:trPr>
        <w:tc>
          <w:tcPr>
            <w:tcW w:w="454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17"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5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627"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jc w:val="center"/>
        </w:trPr>
        <w:tc>
          <w:tcPr>
            <w:tcW w:w="454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6010.46</w:t>
            </w:r>
            <w:r>
              <w:rPr>
                <w:rFonts w:ascii="Times New Roman" w:hAnsi="Times New Roman" w:eastAsia="仿宋_GB2312" w:cs="Times New Roman"/>
                <w:kern w:val="0"/>
                <w:szCs w:val="21"/>
              </w:rPr>
              <w:t>　</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2051.58</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3958.89</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4"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卫生健康支出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行政事业单位医疗</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4"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2101102</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事业单位医疗</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82.35</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农林水支出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5879.11</w:t>
            </w:r>
            <w:r>
              <w:rPr>
                <w:rFonts w:ascii="Times New Roman" w:hAnsi="Times New Roman" w:eastAsia="仿宋_GB2312" w:cs="Times New Roman"/>
                <w:kern w:val="0"/>
                <w:szCs w:val="21"/>
              </w:rPr>
              <w:t>　</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1969.23</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3909.89</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3"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5867.11</w:t>
            </w:r>
            <w:r>
              <w:rPr>
                <w:rFonts w:ascii="Times New Roman" w:hAnsi="Times New Roman" w:eastAsia="仿宋_GB2312" w:cs="Times New Roman"/>
                <w:kern w:val="0"/>
                <w:szCs w:val="21"/>
              </w:rPr>
              <w:t>　</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1969.23</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3897.89</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4"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2130101</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1594.83</w:t>
            </w:r>
            <w:r>
              <w:rPr>
                <w:rFonts w:ascii="Times New Roman" w:hAnsi="Times New Roman" w:eastAsia="仿宋_GB2312" w:cs="Times New Roman"/>
                <w:kern w:val="0"/>
                <w:szCs w:val="21"/>
              </w:rPr>
              <w:t>　</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1594.83</w:t>
            </w:r>
            <w:r>
              <w:rPr>
                <w:rFonts w:ascii="Times New Roman" w:hAnsi="Times New Roman" w:eastAsia="仿宋_GB2312" w:cs="Times New Roman"/>
                <w:kern w:val="0"/>
                <w:szCs w:val="21"/>
              </w:rPr>
              <w:t>　</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2130106</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科技转化与推广服务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2130108</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病虫害控制</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862.27</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862.27</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2130109</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农产品质量安全</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2130110</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执法监管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2130135</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农业资源保护修复与利用</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2916.58</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2898.58</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469.44</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356.40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113.04</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21308</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普惠金融发展支出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2130899</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其他普惠金融发展支出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商业服务业等支出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21602</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商业流通事务</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8" w:hRule="atLeast"/>
          <w:jc w:val="center"/>
        </w:trPr>
        <w:tc>
          <w:tcPr>
            <w:tcW w:w="200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2160299</w:t>
            </w:r>
          </w:p>
        </w:tc>
        <w:tc>
          <w:tcPr>
            <w:tcW w:w="2536"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其他商业流通事务支出</w:t>
            </w:r>
          </w:p>
        </w:tc>
        <w:tc>
          <w:tcPr>
            <w:tcW w:w="15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41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5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627"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51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醴陵市畜牧水产事务中心 </w:t>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3147.85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w:t>
            </w: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0.00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0.00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二、卫生健康支出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82.35</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82.35</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w:t>
            </w: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5841.48</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5841.48</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四、商业服务业等支出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49.00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49.00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3147.85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5972.83</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5972.83</w:t>
            </w:r>
            <w:r>
              <w:rPr>
                <w:rFonts w:ascii="Times New Roman" w:hAnsi="Times New Roman" w:eastAsia="仿宋_GB2312" w:cs="Times New Roman"/>
                <w:kern w:val="0"/>
                <w:szCs w:val="21"/>
              </w:rPr>
              <w:t>　</w:t>
            </w:r>
          </w:p>
        </w:tc>
        <w:tc>
          <w:tcPr>
            <w:tcW w:w="1572" w:type="dxa"/>
            <w:shd w:val="clear" w:color="auto" w:fill="auto"/>
            <w:noWrap/>
            <w:vAlign w:val="center"/>
          </w:tcPr>
          <w:p>
            <w:pPr>
              <w:widowControl/>
              <w:ind w:firstLine="930" w:firstLineChars="441"/>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0.00</w:t>
            </w: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3104.70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279.72</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279.72</w:t>
            </w:r>
            <w:r>
              <w:rPr>
                <w:rFonts w:ascii="Times New Roman" w:hAnsi="Times New Roman" w:eastAsia="仿宋_GB2312" w:cs="Times New Roman"/>
                <w:kern w:val="0"/>
                <w:szCs w:val="21"/>
              </w:rPr>
              <w:t>　</w:t>
            </w:r>
          </w:p>
        </w:tc>
        <w:tc>
          <w:tcPr>
            <w:tcW w:w="1572" w:type="dxa"/>
            <w:shd w:val="clear" w:color="auto" w:fill="auto"/>
            <w:noWrap/>
            <w:vAlign w:val="center"/>
          </w:tcPr>
          <w:p>
            <w:pPr>
              <w:widowControl/>
              <w:ind w:firstLine="945" w:firstLineChars="4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3104.70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6252.55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6252.55</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6252.55</w:t>
            </w:r>
            <w:r>
              <w:rPr>
                <w:rFonts w:ascii="Times New Roman" w:hAnsi="Times New Roman" w:eastAsia="仿宋_GB2312" w:cs="Times New Roman"/>
                <w:kern w:val="0"/>
                <w:szCs w:val="21"/>
              </w:rPr>
              <w:t>　</w:t>
            </w:r>
          </w:p>
        </w:tc>
        <w:tc>
          <w:tcPr>
            <w:tcW w:w="1572" w:type="dxa"/>
            <w:shd w:val="clear" w:color="auto" w:fill="auto"/>
            <w:noWrap/>
            <w:vAlign w:val="center"/>
          </w:tcPr>
          <w:p>
            <w:pPr>
              <w:widowControl/>
              <w:ind w:firstLine="930" w:firstLineChars="441"/>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0.00</w:t>
            </w: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jc w:val="left"/>
        <w:rPr>
          <w:rFonts w:ascii="Times New Roman" w:hAnsi="Times New Roman" w:eastAsia="仿宋_GB2312" w:cs="Times New Roman"/>
          <w:color w:val="000000" w:themeColor="text1"/>
          <w:kern w:val="0"/>
          <w:sz w:val="32"/>
          <w:szCs w:val="32"/>
        </w:rPr>
      </w:pPr>
    </w:p>
    <w:p>
      <w:pPr>
        <w:jc w:val="left"/>
        <w:rPr>
          <w:rFonts w:ascii="Times New Roman" w:hAnsi="Times New Roman" w:eastAsia="仿宋_GB2312" w:cs="Times New Roman"/>
          <w:color w:val="000000" w:themeColor="text1"/>
          <w:kern w:val="0"/>
          <w:sz w:val="32"/>
          <w:szCs w:val="32"/>
        </w:rPr>
      </w:pPr>
    </w:p>
    <w:p>
      <w:pPr>
        <w:widowControl/>
        <w:ind w:firstLine="4500" w:firstLineChars="1250"/>
        <w:jc w:val="left"/>
        <w:rPr>
          <w:rFonts w:ascii="Times New Roman" w:hAnsi="Times New Roman" w:eastAsia="仿宋_GB2312" w:cs="Times New Roman"/>
          <w:kern w:val="0"/>
          <w:szCs w:val="21"/>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醴陵市畜牧水产事务中心</w:t>
      </w:r>
      <w:r>
        <w:rPr>
          <w:rFonts w:ascii="Times New Roman" w:hAnsi="Times New Roman" w:eastAsia="仿宋_GB2312" w:cs="Times New Roman"/>
          <w:color w:val="000000"/>
          <w:kern w:val="0"/>
          <w:szCs w:val="21"/>
        </w:rPr>
        <w:t>公开05表</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4"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5972.83</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2051.58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3921.25</w:t>
            </w:r>
          </w:p>
        </w:tc>
      </w:tr>
      <w:tr>
        <w:tblPrEx>
          <w:tblCellMar>
            <w:top w:w="0" w:type="dxa"/>
            <w:left w:w="108" w:type="dxa"/>
            <w:bottom w:w="0" w:type="dxa"/>
            <w:right w:w="108" w:type="dxa"/>
          </w:tblCellMar>
        </w:tblPrEx>
        <w:trPr>
          <w:trHeight w:val="20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82.35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82.35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0.00</w:t>
            </w:r>
          </w:p>
        </w:tc>
      </w:tr>
      <w:tr>
        <w:tblPrEx>
          <w:tblCellMar>
            <w:top w:w="0" w:type="dxa"/>
            <w:left w:w="108" w:type="dxa"/>
            <w:bottom w:w="0" w:type="dxa"/>
            <w:right w:w="108" w:type="dxa"/>
          </w:tblCellMar>
        </w:tblPrEx>
        <w:trPr>
          <w:trHeight w:val="26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82.35</w:t>
            </w:r>
          </w:p>
        </w:tc>
        <w:tc>
          <w:tcPr>
            <w:tcW w:w="3492" w:type="dxa"/>
            <w:tcBorders>
              <w:top w:val="nil"/>
              <w:left w:val="nil"/>
              <w:bottom w:val="single" w:color="auto" w:sz="4" w:space="0"/>
              <w:right w:val="single" w:color="auto" w:sz="4" w:space="0"/>
            </w:tcBorders>
            <w:shd w:val="clear" w:color="auto" w:fill="auto"/>
            <w:vAlign w:val="center"/>
          </w:tcPr>
          <w:p>
            <w:pPr>
              <w:widowControl/>
              <w:ind w:firstLine="2520" w:firstLineChars="1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82.35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0.00</w:t>
            </w:r>
          </w:p>
        </w:tc>
      </w:tr>
      <w:tr>
        <w:tblPrEx>
          <w:tblCellMar>
            <w:top w:w="0" w:type="dxa"/>
            <w:left w:w="108" w:type="dxa"/>
            <w:bottom w:w="0" w:type="dxa"/>
            <w:right w:w="108" w:type="dxa"/>
          </w:tblCellMar>
        </w:tblPrEx>
        <w:trPr>
          <w:trHeight w:val="23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82.35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82.35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0.00</w:t>
            </w:r>
          </w:p>
        </w:tc>
      </w:tr>
      <w:tr>
        <w:tblPrEx>
          <w:tblCellMar>
            <w:top w:w="0" w:type="dxa"/>
            <w:left w:w="108" w:type="dxa"/>
            <w:bottom w:w="0" w:type="dxa"/>
            <w:right w:w="108" w:type="dxa"/>
          </w:tblCellMar>
        </w:tblPrEx>
        <w:trPr>
          <w:trHeight w:val="33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5841.48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1969.23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3872.25</w:t>
            </w:r>
          </w:p>
        </w:tc>
      </w:tr>
      <w:tr>
        <w:tblPrEx>
          <w:tblCellMar>
            <w:top w:w="0" w:type="dxa"/>
            <w:left w:w="108" w:type="dxa"/>
            <w:bottom w:w="0" w:type="dxa"/>
            <w:right w:w="108" w:type="dxa"/>
          </w:tblCellMar>
        </w:tblPrEx>
        <w:trPr>
          <w:trHeight w:val="282"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5829.48</w:t>
            </w:r>
          </w:p>
        </w:tc>
        <w:tc>
          <w:tcPr>
            <w:tcW w:w="3492" w:type="dxa"/>
            <w:tcBorders>
              <w:top w:val="nil"/>
              <w:left w:val="nil"/>
              <w:bottom w:val="single" w:color="auto" w:sz="4" w:space="0"/>
              <w:right w:val="single" w:color="auto" w:sz="4"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1969.23</w:t>
            </w:r>
          </w:p>
        </w:tc>
        <w:tc>
          <w:tcPr>
            <w:tcW w:w="3000" w:type="dxa"/>
            <w:tcBorders>
              <w:top w:val="nil"/>
              <w:left w:val="nil"/>
              <w:bottom w:val="single" w:color="auto" w:sz="4" w:space="0"/>
              <w:right w:val="single" w:color="auto" w:sz="8" w:space="0"/>
            </w:tcBorders>
            <w:shd w:val="clear" w:color="auto" w:fill="auto"/>
            <w:vAlign w:val="center"/>
          </w:tcPr>
          <w:p>
            <w:pPr>
              <w:widowControl/>
              <w:ind w:firstLine="1890" w:firstLineChars="9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3860.25</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1594.83</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1594.83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0.00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2130106</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科技转化与推广服务</w:t>
            </w:r>
          </w:p>
        </w:tc>
        <w:tc>
          <w:tcPr>
            <w:tcW w:w="3000" w:type="dxa"/>
            <w:tcBorders>
              <w:top w:val="nil"/>
              <w:left w:val="nil"/>
              <w:bottom w:val="single" w:color="auto" w:sz="8" w:space="0"/>
              <w:right w:val="single" w:color="auto" w:sz="4"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2130108</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病虫害控制</w:t>
            </w:r>
          </w:p>
        </w:tc>
        <w:tc>
          <w:tcPr>
            <w:tcW w:w="3000" w:type="dxa"/>
            <w:tcBorders>
              <w:top w:val="nil"/>
              <w:left w:val="nil"/>
              <w:bottom w:val="single" w:color="auto" w:sz="8" w:space="0"/>
              <w:right w:val="single" w:color="auto" w:sz="4" w:space="0"/>
            </w:tcBorders>
            <w:shd w:val="clear" w:color="auto" w:fill="auto"/>
            <w:vAlign w:val="center"/>
          </w:tcPr>
          <w:p>
            <w:pPr>
              <w:widowControl/>
              <w:ind w:firstLine="2205" w:firstLineChars="10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862.27</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ind w:firstLine="2205" w:firstLineChars="10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862.27</w:t>
            </w:r>
          </w:p>
        </w:tc>
      </w:tr>
      <w:tr>
        <w:tblPrEx>
          <w:tblCellMar>
            <w:top w:w="0" w:type="dxa"/>
            <w:left w:w="108" w:type="dxa"/>
            <w:bottom w:w="0" w:type="dxa"/>
            <w:right w:w="108" w:type="dxa"/>
          </w:tblCellMar>
        </w:tblPrEx>
        <w:trPr>
          <w:trHeight w:val="13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2130109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农产品质量安全</w:t>
            </w:r>
          </w:p>
        </w:tc>
        <w:tc>
          <w:tcPr>
            <w:tcW w:w="3000" w:type="dxa"/>
            <w:tcBorders>
              <w:top w:val="nil"/>
              <w:left w:val="nil"/>
              <w:bottom w:val="single" w:color="auto" w:sz="8" w:space="0"/>
              <w:right w:val="single" w:color="auto" w:sz="4" w:space="0"/>
            </w:tcBorders>
            <w:shd w:val="clear" w:color="auto" w:fill="auto"/>
            <w:vAlign w:val="center"/>
          </w:tcPr>
          <w:p>
            <w:pPr>
              <w:widowControl/>
              <w:ind w:firstLine="2415" w:firstLineChars="11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ind w:firstLine="2415" w:firstLineChars="11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r>
      <w:tr>
        <w:tblPrEx>
          <w:tblCellMar>
            <w:top w:w="0" w:type="dxa"/>
            <w:left w:w="108" w:type="dxa"/>
            <w:bottom w:w="0" w:type="dxa"/>
            <w:right w:w="108" w:type="dxa"/>
          </w:tblCellMar>
        </w:tblPrEx>
        <w:trPr>
          <w:trHeight w:val="22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2130110</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执法监管</w:t>
            </w:r>
          </w:p>
        </w:tc>
        <w:tc>
          <w:tcPr>
            <w:tcW w:w="3000" w:type="dxa"/>
            <w:tcBorders>
              <w:top w:val="nil"/>
              <w:left w:val="nil"/>
              <w:bottom w:val="single" w:color="auto" w:sz="8" w:space="0"/>
              <w:right w:val="single" w:color="auto" w:sz="4" w:space="0"/>
            </w:tcBorders>
            <w:shd w:val="clear" w:color="auto" w:fill="auto"/>
            <w:vAlign w:val="center"/>
          </w:tcPr>
          <w:p>
            <w:pPr>
              <w:widowControl/>
              <w:ind w:firstLine="2415" w:firstLineChars="11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ind w:firstLine="2415" w:firstLineChars="11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2130135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农业资源保护修复与利用</w:t>
            </w:r>
          </w:p>
        </w:tc>
        <w:tc>
          <w:tcPr>
            <w:tcW w:w="3000" w:type="dxa"/>
            <w:tcBorders>
              <w:top w:val="nil"/>
              <w:left w:val="nil"/>
              <w:bottom w:val="single" w:color="auto" w:sz="8" w:space="0"/>
              <w:right w:val="single" w:color="auto" w:sz="4" w:space="0"/>
            </w:tcBorders>
            <w:shd w:val="clear" w:color="auto" w:fill="auto"/>
            <w:vAlign w:val="center"/>
          </w:tcPr>
          <w:p>
            <w:pPr>
              <w:widowControl/>
              <w:ind w:firstLine="2100" w:firstLineChars="10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2916.58</w:t>
            </w:r>
          </w:p>
        </w:tc>
        <w:tc>
          <w:tcPr>
            <w:tcW w:w="3492" w:type="dxa"/>
            <w:tcBorders>
              <w:top w:val="nil"/>
              <w:left w:val="nil"/>
              <w:bottom w:val="single" w:color="auto" w:sz="8" w:space="0"/>
              <w:right w:val="single" w:color="auto" w:sz="4" w:space="0"/>
            </w:tcBorders>
            <w:shd w:val="clear" w:color="auto" w:fill="auto"/>
            <w:vAlign w:val="center"/>
          </w:tcPr>
          <w:p>
            <w:pPr>
              <w:widowControl/>
              <w:ind w:firstLine="2730" w:firstLineChars="13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18.00</w:t>
            </w:r>
          </w:p>
        </w:tc>
        <w:tc>
          <w:tcPr>
            <w:tcW w:w="3000" w:type="dxa"/>
            <w:tcBorders>
              <w:top w:val="nil"/>
              <w:left w:val="nil"/>
              <w:bottom w:val="single" w:color="auto" w:sz="8" w:space="0"/>
              <w:right w:val="single" w:color="auto" w:sz="8" w:space="0"/>
            </w:tcBorders>
            <w:shd w:val="clear" w:color="auto" w:fill="auto"/>
            <w:vAlign w:val="center"/>
          </w:tcPr>
          <w:p>
            <w:pPr>
              <w:widowControl/>
              <w:ind w:firstLine="2100" w:firstLineChars="10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2898.58</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其他农业支出</w:t>
            </w:r>
          </w:p>
        </w:tc>
        <w:tc>
          <w:tcPr>
            <w:tcW w:w="3000" w:type="dxa"/>
            <w:tcBorders>
              <w:top w:val="nil"/>
              <w:left w:val="nil"/>
              <w:bottom w:val="single" w:color="auto" w:sz="8" w:space="0"/>
              <w:right w:val="single" w:color="auto" w:sz="4" w:space="0"/>
            </w:tcBorders>
            <w:shd w:val="clear" w:color="auto" w:fill="auto"/>
            <w:vAlign w:val="center"/>
          </w:tcPr>
          <w:p>
            <w:pPr>
              <w:widowControl/>
              <w:ind w:firstLine="2205" w:firstLineChars="10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431.80</w:t>
            </w:r>
          </w:p>
        </w:tc>
        <w:tc>
          <w:tcPr>
            <w:tcW w:w="3492" w:type="dxa"/>
            <w:tcBorders>
              <w:top w:val="nil"/>
              <w:left w:val="nil"/>
              <w:bottom w:val="single" w:color="auto" w:sz="8" w:space="0"/>
              <w:right w:val="single" w:color="auto" w:sz="4" w:space="0"/>
            </w:tcBorders>
            <w:shd w:val="clear" w:color="auto" w:fill="auto"/>
            <w:vAlign w:val="center"/>
          </w:tcPr>
          <w:p>
            <w:pPr>
              <w:widowControl/>
              <w:ind w:firstLine="2625" w:firstLineChars="12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356.40</w:t>
            </w:r>
          </w:p>
        </w:tc>
        <w:tc>
          <w:tcPr>
            <w:tcW w:w="3000" w:type="dxa"/>
            <w:tcBorders>
              <w:top w:val="nil"/>
              <w:left w:val="nil"/>
              <w:bottom w:val="single" w:color="auto" w:sz="8" w:space="0"/>
              <w:right w:val="single" w:color="auto" w:sz="8"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75.40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21308</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普惠金融发展支出</w:t>
            </w:r>
          </w:p>
        </w:tc>
        <w:tc>
          <w:tcPr>
            <w:tcW w:w="3000" w:type="dxa"/>
            <w:tcBorders>
              <w:top w:val="nil"/>
              <w:left w:val="nil"/>
              <w:bottom w:val="single" w:color="auto" w:sz="8" w:space="0"/>
              <w:right w:val="single" w:color="auto" w:sz="4"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2130899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其他普惠金融发展支出</w:t>
            </w:r>
          </w:p>
        </w:tc>
        <w:tc>
          <w:tcPr>
            <w:tcW w:w="3000" w:type="dxa"/>
            <w:tcBorders>
              <w:top w:val="nil"/>
              <w:left w:val="nil"/>
              <w:bottom w:val="single" w:color="auto" w:sz="8" w:space="0"/>
              <w:right w:val="single" w:color="auto" w:sz="4"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商业服务业等支出</w:t>
            </w:r>
          </w:p>
        </w:tc>
        <w:tc>
          <w:tcPr>
            <w:tcW w:w="3000" w:type="dxa"/>
            <w:tcBorders>
              <w:top w:val="nil"/>
              <w:left w:val="nil"/>
              <w:bottom w:val="single" w:color="auto" w:sz="8" w:space="0"/>
              <w:right w:val="single" w:color="auto" w:sz="4"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商业流通事务</w:t>
            </w:r>
          </w:p>
        </w:tc>
        <w:tc>
          <w:tcPr>
            <w:tcW w:w="3000" w:type="dxa"/>
            <w:tcBorders>
              <w:top w:val="nil"/>
              <w:left w:val="nil"/>
              <w:bottom w:val="single" w:color="auto" w:sz="8" w:space="0"/>
              <w:right w:val="single" w:color="auto" w:sz="4"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2160299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其他商业流通事务支出</w:t>
            </w:r>
          </w:p>
        </w:tc>
        <w:tc>
          <w:tcPr>
            <w:tcW w:w="3000" w:type="dxa"/>
            <w:tcBorders>
              <w:top w:val="nil"/>
              <w:left w:val="nil"/>
              <w:bottom w:val="single" w:color="auto" w:sz="8" w:space="0"/>
              <w:right w:val="single" w:color="auto" w:sz="4" w:space="0"/>
            </w:tcBorders>
            <w:shd w:val="clear" w:color="auto" w:fill="auto"/>
            <w:vAlign w:val="center"/>
          </w:tcPr>
          <w:p>
            <w:pPr>
              <w:widowControl/>
              <w:ind w:firstLine="2310" w:firstLineChars="1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c>
          <w:tcPr>
            <w:tcW w:w="3492" w:type="dxa"/>
            <w:tcBorders>
              <w:top w:val="nil"/>
              <w:left w:val="nil"/>
              <w:bottom w:val="single" w:color="auto" w:sz="8" w:space="0"/>
              <w:right w:val="single" w:color="auto" w:sz="4" w:space="0"/>
            </w:tcBorders>
            <w:shd w:val="clear" w:color="auto" w:fill="auto"/>
            <w:vAlign w:val="center"/>
          </w:tcPr>
          <w:p>
            <w:pPr>
              <w:widowControl/>
              <w:ind w:firstLine="2835" w:firstLineChars="135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ind w:firstLine="5320" w:firstLineChars="1900"/>
        <w:rPr>
          <w:rFonts w:ascii="Times New Roman" w:hAnsi="Times New Roman" w:eastAsia="方正小标宋_GBK" w:cs="Times New Roman"/>
          <w:color w:val="000000"/>
          <w:kern w:val="0"/>
          <w:sz w:val="28"/>
          <w:szCs w:val="36"/>
        </w:rPr>
      </w:pPr>
      <w:bookmarkStart w:id="2" w:name="_GoBack"/>
      <w:bookmarkEnd w:id="2"/>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4996" w:type="pct"/>
        <w:tblInd w:w="0" w:type="dxa"/>
        <w:tblLayout w:type="fixed"/>
        <w:tblCellMar>
          <w:top w:w="0" w:type="dxa"/>
          <w:left w:w="108" w:type="dxa"/>
          <w:bottom w:w="0" w:type="dxa"/>
          <w:right w:w="108" w:type="dxa"/>
        </w:tblCellMar>
      </w:tblPr>
      <w:tblGrid>
        <w:gridCol w:w="1003"/>
        <w:gridCol w:w="2522"/>
        <w:gridCol w:w="1110"/>
        <w:gridCol w:w="1043"/>
        <w:gridCol w:w="2029"/>
        <w:gridCol w:w="844"/>
        <w:gridCol w:w="941"/>
        <w:gridCol w:w="3915"/>
        <w:gridCol w:w="756"/>
      </w:tblGrid>
      <w:tr>
        <w:tblPrEx>
          <w:tblCellMar>
            <w:top w:w="0" w:type="dxa"/>
            <w:left w:w="108" w:type="dxa"/>
            <w:bottom w:w="0" w:type="dxa"/>
            <w:right w:w="108" w:type="dxa"/>
          </w:tblCellMar>
        </w:tblPrEx>
        <w:trPr>
          <w:trHeight w:val="585" w:hRule="atLeast"/>
        </w:trPr>
        <w:tc>
          <w:tcPr>
            <w:tcW w:w="35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890"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391"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368"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71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297"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332"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1382"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26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890"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1625.57</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716"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166.20　</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138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923.77</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25.78</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110.63</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36.58</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138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37.7</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61.16</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160.66</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1.24</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37.7</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165.30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10.03</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b/>
                <w:color w:val="000000"/>
                <w:kern w:val="0"/>
                <w:sz w:val="18"/>
                <w:szCs w:val="18"/>
              </w:rPr>
              <w:t>　</w:t>
            </w:r>
            <w:r>
              <w:rPr>
                <w:rFonts w:hint="eastAsia" w:ascii="仿宋_GB2312" w:hAnsi="宋体" w:eastAsia="仿宋_GB2312" w:cs="宋体"/>
                <w:color w:val="000000"/>
                <w:kern w:val="0"/>
                <w:sz w:val="18"/>
                <w:szCs w:val="18"/>
              </w:rPr>
              <w:t>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3.26</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51.31</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25.14</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3.01</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86.59</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21.72</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4.42</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0.48</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890"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73.49</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0.60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4.25</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1.15</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0.69</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64.89</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21.46</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138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c>
          <w:tcPr>
            <w:tcW w:w="368"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716"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19.13</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138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0.17</w:t>
            </w:r>
          </w:p>
        </w:tc>
        <w:tc>
          <w:tcPr>
            <w:tcW w:w="368"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716"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5.49</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138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3.50</w:t>
            </w:r>
          </w:p>
        </w:tc>
        <w:tc>
          <w:tcPr>
            <w:tcW w:w="368"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716"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12.92</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138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0.00</w:t>
            </w:r>
          </w:p>
        </w:tc>
      </w:tr>
      <w:tr>
        <w:tblPrEx>
          <w:tblCellMar>
            <w:top w:w="0" w:type="dxa"/>
            <w:left w:w="108" w:type="dxa"/>
            <w:bottom w:w="0" w:type="dxa"/>
            <w:right w:w="108" w:type="dxa"/>
          </w:tblCellMar>
        </w:tblPrEx>
        <w:trPr>
          <w:trHeight w:val="255" w:hRule="exact"/>
        </w:trPr>
        <w:tc>
          <w:tcPr>
            <w:tcW w:w="354"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890" w:type="pct"/>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391" w:type="pct"/>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4.93</w:t>
            </w:r>
          </w:p>
        </w:tc>
        <w:tc>
          <w:tcPr>
            <w:tcW w:w="368" w:type="pct"/>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716" w:type="pct"/>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297" w:type="pct"/>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13.83</w:t>
            </w:r>
          </w:p>
        </w:tc>
        <w:tc>
          <w:tcPr>
            <w:tcW w:w="332" w:type="pct"/>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82" w:type="pct"/>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66" w:type="pct"/>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68"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716"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0.00</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8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354" w:type="pct"/>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90"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68"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716"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297"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17.68</w:t>
            </w:r>
          </w:p>
        </w:tc>
        <w:tc>
          <w:tcPr>
            <w:tcW w:w="332" w:type="pct"/>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82" w:type="pct"/>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66" w:type="pct"/>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244" w:type="pct"/>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391" w:type="pct"/>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1699.06</w:t>
            </w:r>
          </w:p>
        </w:tc>
        <w:tc>
          <w:tcPr>
            <w:tcW w:w="3096" w:type="pct"/>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266" w:type="pct"/>
            <w:tcBorders>
              <w:top w:val="nil"/>
              <w:left w:val="nil"/>
              <w:bottom w:val="single" w:color="auto" w:sz="8" w:space="0"/>
              <w:right w:val="single" w:color="auto" w:sz="8" w:space="0"/>
            </w:tcBorders>
            <w:shd w:val="clear" w:color="auto" w:fill="auto"/>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203.90</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16.60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14.32</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13.14</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13.14</w:t>
            </w: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1.18</w:t>
            </w: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1077" w:right="1440" w:bottom="1077" w:left="1440" w:header="851" w:footer="992" w:gutter="0"/>
          <w:cols w:space="425" w:num="1"/>
          <w:docGrid w:linePitch="312" w:charSpace="0"/>
        </w:sectPr>
      </w:pPr>
      <w:r>
        <w:rPr>
          <w:rFonts w:hint="eastAsia" w:ascii="Times New Roman" w:hAnsi="Times New Roman" w:eastAsia="仿宋_GB2312" w:cs="Times New Roman"/>
          <w:kern w:val="0"/>
          <w:szCs w:val="21"/>
        </w:rPr>
        <w:t>本单位没有政府性基金收入，也没有使用政府性基金安排的支出，故本表无数据</w:t>
      </w:r>
    </w:p>
    <w:p>
      <w:pPr>
        <w:pStyle w:val="9"/>
        <w:jc w:val="center"/>
        <w:rPr>
          <w:color w:val="000000" w:themeColor="text1"/>
          <w:sz w:val="72"/>
          <w:szCs w:val="72"/>
        </w:rPr>
      </w:pPr>
    </w:p>
    <w:p>
      <w:pPr>
        <w:pStyle w:val="9"/>
        <w:jc w:val="center"/>
        <w:rPr>
          <w:color w:val="000000" w:themeColor="text1"/>
          <w:sz w:val="72"/>
          <w:szCs w:val="72"/>
        </w:rPr>
      </w:pPr>
    </w:p>
    <w:p>
      <w:pPr>
        <w:pStyle w:val="9"/>
        <w:rPr>
          <w:color w:val="000000" w:themeColor="text1"/>
          <w:sz w:val="72"/>
          <w:szCs w:val="72"/>
        </w:rPr>
      </w:pPr>
    </w:p>
    <w:p>
      <w:pPr>
        <w:pStyle w:val="9"/>
        <w:jc w:val="center"/>
        <w:rPr>
          <w:color w:val="000000" w:themeColor="text1"/>
          <w:sz w:val="72"/>
          <w:szCs w:val="72"/>
        </w:rPr>
      </w:pPr>
    </w:p>
    <w:p>
      <w:pPr>
        <w:pStyle w:val="9"/>
        <w:jc w:val="center"/>
        <w:rPr>
          <w:color w:val="000000" w:themeColor="text1"/>
          <w:sz w:val="72"/>
          <w:szCs w:val="72"/>
        </w:rPr>
      </w:pPr>
      <w:r>
        <w:rPr>
          <w:rFonts w:hint="eastAsia"/>
          <w:color w:val="000000" w:themeColor="text1"/>
          <w:sz w:val="72"/>
          <w:szCs w:val="72"/>
        </w:rPr>
        <w:t>第三部分</w:t>
      </w:r>
    </w:p>
    <w:p>
      <w:pPr>
        <w:pStyle w:val="9"/>
        <w:jc w:val="center"/>
        <w:rPr>
          <w:color w:val="000000" w:themeColor="text1"/>
          <w:sz w:val="70"/>
          <w:szCs w:val="70"/>
        </w:rPr>
      </w:pPr>
    </w:p>
    <w:p>
      <w:pPr>
        <w:pStyle w:val="9"/>
        <w:jc w:val="center"/>
        <w:rPr>
          <w:color w:val="000000" w:themeColor="text1"/>
          <w:sz w:val="70"/>
          <w:szCs w:val="70"/>
        </w:rPr>
      </w:pPr>
      <w:r>
        <w:rPr>
          <w:color w:val="000000" w:themeColor="text1"/>
          <w:sz w:val="70"/>
          <w:szCs w:val="70"/>
        </w:rPr>
        <w:t>2019</w:t>
      </w:r>
      <w:r>
        <w:rPr>
          <w:rFonts w:hint="eastAsia"/>
          <w:color w:val="000000" w:themeColor="text1"/>
          <w:sz w:val="70"/>
          <w:szCs w:val="70"/>
        </w:rPr>
        <w:t>年度部门决算情况说明</w:t>
      </w:r>
    </w:p>
    <w:p>
      <w:pPr>
        <w:widowControl/>
        <w:jc w:val="left"/>
        <w:rPr>
          <w:rFonts w:ascii="黑体" w:eastAsia="黑体" w:cs="黑体"/>
          <w:color w:val="000000" w:themeColor="text1"/>
          <w:kern w:val="0"/>
          <w:sz w:val="70"/>
          <w:szCs w:val="70"/>
        </w:rPr>
      </w:pPr>
      <w:r>
        <w:rPr>
          <w:color w:val="000000" w:themeColor="text1"/>
          <w:sz w:val="70"/>
          <w:szCs w:val="70"/>
        </w:rPr>
        <w:br w:type="page"/>
      </w:r>
    </w:p>
    <w:p>
      <w:pPr>
        <w:pStyle w:val="9"/>
        <w:rPr>
          <w:rFonts w:asciiTheme="minorEastAsia" w:hAnsiTheme="minorEastAsia" w:eastAsiaTheme="minorEastAsia"/>
          <w:color w:val="000000" w:themeColor="text1"/>
          <w:sz w:val="32"/>
          <w:szCs w:val="32"/>
        </w:rPr>
      </w:pPr>
    </w:p>
    <w:p>
      <w:pPr>
        <w:pStyle w:val="9"/>
        <w:rPr>
          <w:rFonts w:hAnsi="黑体"/>
          <w:b/>
          <w:color w:val="000000" w:themeColor="text1"/>
          <w:sz w:val="32"/>
          <w:szCs w:val="32"/>
        </w:rPr>
      </w:pPr>
      <w:r>
        <w:rPr>
          <w:rFonts w:hint="eastAsia" w:hAnsi="黑体"/>
          <w:b/>
          <w:color w:val="000000" w:themeColor="text1"/>
          <w:sz w:val="32"/>
          <w:szCs w:val="32"/>
        </w:rPr>
        <w:t>一、收入支出决算总体情况说明</w:t>
      </w:r>
    </w:p>
    <w:p>
      <w:pPr>
        <w:pStyle w:val="9"/>
        <w:ind w:firstLine="640" w:firstLineChars="200"/>
        <w:rPr>
          <w:rFonts w:ascii="仿宋" w:hAnsi="仿宋" w:eastAsia="仿宋"/>
          <w:color w:val="000000" w:themeColor="text1"/>
          <w:sz w:val="32"/>
          <w:szCs w:val="32"/>
        </w:rPr>
      </w:pPr>
      <w:r>
        <w:rPr>
          <w:rFonts w:hint="eastAsia" w:ascii="仿宋" w:hAnsi="仿宋" w:eastAsia="仿宋"/>
          <w:sz w:val="32"/>
          <w:szCs w:val="32"/>
        </w:rPr>
        <w:t>2019 年度收入总计6478.62万元，支出总计6478.62万元。与2018年相比，减少1128.99万元，减少14.84%，</w:t>
      </w:r>
      <w:r>
        <w:rPr>
          <w:rFonts w:hint="eastAsia" w:ascii="仿宋" w:hAnsi="仿宋" w:eastAsia="仿宋"/>
          <w:color w:val="000000" w:themeColor="text1"/>
          <w:sz w:val="32"/>
          <w:szCs w:val="32"/>
        </w:rPr>
        <w:t>主要是因为2018年上级及本级拨付畜禽退养专项资金，而2019年没有退养专项资金。</w:t>
      </w:r>
    </w:p>
    <w:p>
      <w:pPr>
        <w:pStyle w:val="9"/>
        <w:rPr>
          <w:rFonts w:hAnsi="黑体"/>
          <w:b/>
          <w:color w:val="000000" w:themeColor="text1"/>
          <w:sz w:val="32"/>
          <w:szCs w:val="32"/>
        </w:rPr>
      </w:pPr>
      <w:r>
        <w:rPr>
          <w:rFonts w:hint="eastAsia" w:hAnsi="黑体"/>
          <w:b/>
          <w:color w:val="000000" w:themeColor="text1"/>
          <w:sz w:val="32"/>
          <w:szCs w:val="32"/>
        </w:rPr>
        <w:t>二、收入决算情况说明</w:t>
      </w:r>
    </w:p>
    <w:p>
      <w:pPr>
        <w:pStyle w:val="9"/>
        <w:ind w:firstLine="640" w:firstLineChars="200"/>
        <w:rPr>
          <w:rFonts w:ascii="仿宋" w:hAnsi="仿宋" w:eastAsia="仿宋"/>
          <w:sz w:val="32"/>
          <w:szCs w:val="32"/>
        </w:rPr>
      </w:pPr>
      <w:r>
        <w:rPr>
          <w:rFonts w:hint="eastAsia" w:ascii="仿宋" w:hAnsi="仿宋" w:eastAsia="仿宋"/>
          <w:sz w:val="32"/>
          <w:szCs w:val="32"/>
        </w:rPr>
        <w:t>本年收入合计3283.81万元，其中：财政拨款收入3147.85万元，占95.86%；上级补助收入0万元，占0%；事业收入0万元，占0%；经营收入0万元，占0%；附属单位上缴收入0万元，占0%；其他收入135.96万元，占4.14%。</w:t>
      </w:r>
    </w:p>
    <w:p>
      <w:pPr>
        <w:pStyle w:val="9"/>
        <w:rPr>
          <w:rFonts w:hAnsi="黑体"/>
          <w:b/>
          <w:color w:val="000000" w:themeColor="text1"/>
          <w:sz w:val="32"/>
          <w:szCs w:val="32"/>
        </w:rPr>
      </w:pPr>
      <w:r>
        <w:rPr>
          <w:rFonts w:hint="eastAsia" w:hAnsi="黑体"/>
          <w:b/>
          <w:color w:val="000000" w:themeColor="text1"/>
          <w:sz w:val="32"/>
          <w:szCs w:val="32"/>
        </w:rPr>
        <w:t>三、支出决算情况说明</w:t>
      </w:r>
    </w:p>
    <w:p>
      <w:pPr>
        <w:pStyle w:val="9"/>
        <w:ind w:firstLine="640" w:firstLineChars="200"/>
        <w:rPr>
          <w:rFonts w:ascii="仿宋" w:hAnsi="仿宋" w:eastAsia="仿宋"/>
          <w:sz w:val="32"/>
          <w:szCs w:val="32"/>
        </w:rPr>
      </w:pPr>
      <w:r>
        <w:rPr>
          <w:rFonts w:hint="eastAsia" w:ascii="仿宋" w:hAnsi="仿宋" w:eastAsia="仿宋"/>
          <w:sz w:val="32"/>
          <w:szCs w:val="32"/>
        </w:rPr>
        <w:t>本年支出合计6010.46万元，其中：基本支出2051.58万元，占34.13%；项目支出3958.89万元，占65.87%；上缴上级支出0万元，占0%；经营支出0万元，占0%；对附属单位补助支出0万元，占0%。</w:t>
      </w:r>
    </w:p>
    <w:p>
      <w:pPr>
        <w:pStyle w:val="9"/>
        <w:rPr>
          <w:rFonts w:hAnsi="黑体"/>
          <w:b/>
          <w:color w:val="000000" w:themeColor="text1"/>
          <w:sz w:val="32"/>
          <w:szCs w:val="32"/>
        </w:rPr>
      </w:pPr>
      <w:r>
        <w:rPr>
          <w:rFonts w:hint="eastAsia" w:hAnsi="黑体"/>
          <w:b/>
          <w:color w:val="000000" w:themeColor="text1"/>
          <w:sz w:val="32"/>
          <w:szCs w:val="32"/>
        </w:rPr>
        <w:t>四、财政拨款收入支出决算总体情况说明</w:t>
      </w:r>
    </w:p>
    <w:p>
      <w:pPr>
        <w:pStyle w:val="9"/>
        <w:rPr>
          <w:rFonts w:ascii="仿宋" w:hAnsi="仿宋" w:eastAsia="仿宋"/>
          <w:color w:val="000000" w:themeColor="text1"/>
          <w:sz w:val="32"/>
          <w:szCs w:val="32"/>
        </w:rPr>
      </w:pPr>
      <w:r>
        <w:rPr>
          <w:rFonts w:hint="eastAsia" w:ascii="仿宋" w:hAnsi="仿宋" w:eastAsia="仿宋"/>
          <w:sz w:val="32"/>
          <w:szCs w:val="32"/>
        </w:rPr>
        <w:t>2019年度财政拨款收入总计6252.55万元，支出总计6252.55万元，与2018年相比，减少1228.75万元,减少16.42%，</w:t>
      </w:r>
      <w:r>
        <w:rPr>
          <w:rFonts w:hint="eastAsia" w:ascii="仿宋" w:hAnsi="仿宋" w:eastAsia="仿宋"/>
          <w:color w:val="000000" w:themeColor="text1"/>
          <w:sz w:val="32"/>
          <w:szCs w:val="32"/>
        </w:rPr>
        <w:t>主要是因为2018年上级及本级拨付畜禽退养专项资金，而2019年没有退养专项资金。</w:t>
      </w:r>
    </w:p>
    <w:p>
      <w:pPr>
        <w:pStyle w:val="9"/>
        <w:rPr>
          <w:rFonts w:hAnsi="黑体"/>
          <w:b/>
          <w:color w:val="000000" w:themeColor="text1"/>
          <w:sz w:val="32"/>
          <w:szCs w:val="32"/>
        </w:rPr>
      </w:pPr>
      <w:r>
        <w:rPr>
          <w:rFonts w:hint="eastAsia" w:hAnsi="黑体"/>
          <w:b/>
          <w:color w:val="000000" w:themeColor="text1"/>
          <w:sz w:val="32"/>
          <w:szCs w:val="32"/>
        </w:rPr>
        <w:t>五、一般公共预算财政拨款支出决算情况说明</w:t>
      </w:r>
    </w:p>
    <w:p>
      <w:pPr>
        <w:pStyle w:val="9"/>
        <w:ind w:firstLine="643" w:firstLineChars="200"/>
        <w:rPr>
          <w:rFonts w:ascii="楷体" w:hAnsi="楷体" w:eastAsia="楷体"/>
          <w:b/>
          <w:sz w:val="32"/>
          <w:szCs w:val="32"/>
        </w:rPr>
      </w:pPr>
      <w:r>
        <w:rPr>
          <w:rFonts w:hint="eastAsia" w:ascii="楷体" w:hAnsi="楷体" w:eastAsia="楷体"/>
          <w:b/>
          <w:sz w:val="32"/>
          <w:szCs w:val="32"/>
        </w:rPr>
        <w:t>（一）财政拨款支出决算总体情况</w:t>
      </w:r>
    </w:p>
    <w:p>
      <w:pPr>
        <w:pStyle w:val="9"/>
        <w:ind w:firstLine="800" w:firstLineChars="250"/>
        <w:rPr>
          <w:rFonts w:ascii="仿宋" w:hAnsi="仿宋" w:eastAsia="仿宋"/>
          <w:color w:val="000000" w:themeColor="text1"/>
          <w:sz w:val="32"/>
          <w:szCs w:val="32"/>
        </w:rPr>
      </w:pPr>
      <w:r>
        <w:rPr>
          <w:rFonts w:hint="eastAsia" w:ascii="仿宋" w:hAnsi="仿宋" w:eastAsia="仿宋"/>
          <w:sz w:val="32"/>
          <w:szCs w:val="32"/>
        </w:rPr>
        <w:t>2019年度财政拨款支出5972.83万元，占本年支出合计的99.37%，与2018年相比，财政拨款支出增加1596.23万元，增长36.47%，</w:t>
      </w:r>
      <w:r>
        <w:rPr>
          <w:rFonts w:hint="eastAsia" w:ascii="仿宋" w:hAnsi="仿宋" w:eastAsia="仿宋"/>
          <w:color w:val="000000" w:themeColor="text1"/>
          <w:sz w:val="32"/>
          <w:szCs w:val="32"/>
        </w:rPr>
        <w:t>主要是因为上年结转的畜禽粪污资源化利用项目资金集中在2019年拨付。</w:t>
      </w:r>
    </w:p>
    <w:p>
      <w:pPr>
        <w:pStyle w:val="9"/>
        <w:ind w:firstLine="482" w:firstLineChars="150"/>
        <w:rPr>
          <w:rFonts w:ascii="楷体" w:hAnsi="楷体" w:eastAsia="楷体"/>
          <w:b/>
          <w:sz w:val="32"/>
          <w:szCs w:val="32"/>
        </w:rPr>
      </w:pPr>
      <w:r>
        <w:rPr>
          <w:rFonts w:hint="eastAsia" w:ascii="楷体" w:hAnsi="楷体" w:eastAsia="楷体"/>
          <w:b/>
          <w:sz w:val="32"/>
          <w:szCs w:val="32"/>
        </w:rPr>
        <w:t>（二）财政拨款支出决算结构情况</w:t>
      </w:r>
    </w:p>
    <w:p>
      <w:pPr>
        <w:pStyle w:val="9"/>
        <w:ind w:firstLine="640" w:firstLineChars="200"/>
        <w:rPr>
          <w:rFonts w:ascii="仿宋" w:hAnsi="仿宋" w:eastAsia="仿宋"/>
          <w:sz w:val="32"/>
          <w:szCs w:val="32"/>
        </w:rPr>
      </w:pPr>
      <w:r>
        <w:rPr>
          <w:rFonts w:hint="eastAsia" w:ascii="仿宋" w:hAnsi="仿宋" w:eastAsia="仿宋"/>
          <w:sz w:val="32"/>
          <w:szCs w:val="32"/>
        </w:rPr>
        <w:t>2019年度财政拨款支出5972.83万元，主要用于以下方面：卫生健康支出82.35万元，占1.38%；农林水支出5841.48万元，占97.8%;商业服务业等支出49万元，占0.82%。</w:t>
      </w:r>
    </w:p>
    <w:p>
      <w:pPr>
        <w:pStyle w:val="9"/>
        <w:ind w:firstLine="472" w:firstLineChars="147"/>
        <w:rPr>
          <w:rFonts w:ascii="楷体" w:hAnsi="楷体" w:eastAsia="楷体"/>
          <w:b/>
          <w:sz w:val="32"/>
          <w:szCs w:val="32"/>
        </w:rPr>
      </w:pPr>
      <w:r>
        <w:rPr>
          <w:rFonts w:hint="eastAsia" w:ascii="楷体" w:hAnsi="楷体" w:eastAsia="楷体"/>
          <w:b/>
          <w:sz w:val="32"/>
          <w:szCs w:val="32"/>
        </w:rPr>
        <w:t>（三）财政拨款支出决算具体情况</w:t>
      </w:r>
    </w:p>
    <w:p>
      <w:pPr>
        <w:pStyle w:val="9"/>
        <w:ind w:firstLine="800" w:firstLineChars="250"/>
        <w:rPr>
          <w:rFonts w:ascii="仿宋" w:hAnsi="仿宋" w:eastAsia="仿宋"/>
          <w:sz w:val="32"/>
          <w:szCs w:val="32"/>
        </w:rPr>
      </w:pPr>
      <w:r>
        <w:rPr>
          <w:rFonts w:hint="eastAsia" w:ascii="仿宋" w:hAnsi="仿宋" w:eastAsia="仿宋"/>
          <w:sz w:val="32"/>
          <w:szCs w:val="32"/>
        </w:rPr>
        <w:t>2019年度财政拨款支出年初预算数为1724.33万元，支出决算数为6252.55万元，完成年初预算的362.61%，其中：</w:t>
      </w:r>
    </w:p>
    <w:p>
      <w:pPr>
        <w:pStyle w:val="9"/>
        <w:ind w:firstLine="800" w:firstLineChars="250"/>
        <w:rPr>
          <w:rFonts w:ascii="仿宋" w:hAnsi="仿宋" w:eastAsia="仿宋"/>
          <w:sz w:val="32"/>
          <w:szCs w:val="32"/>
        </w:rPr>
      </w:pPr>
      <w:r>
        <w:rPr>
          <w:rFonts w:hint="eastAsia" w:ascii="仿宋" w:hAnsi="仿宋" w:eastAsia="仿宋"/>
          <w:sz w:val="32"/>
          <w:szCs w:val="32"/>
        </w:rPr>
        <w:t>1、一般公共服务（类）市场监督管理事务（款）其他市场监督管理事务（项）。</w:t>
      </w:r>
    </w:p>
    <w:p>
      <w:pPr>
        <w:pStyle w:val="9"/>
        <w:ind w:firstLine="800" w:firstLineChars="250"/>
        <w:rPr>
          <w:rFonts w:ascii="仿宋" w:hAnsi="仿宋" w:eastAsia="仿宋"/>
          <w:sz w:val="32"/>
          <w:szCs w:val="32"/>
        </w:rPr>
      </w:pPr>
      <w:r>
        <w:rPr>
          <w:rFonts w:hint="eastAsia" w:ascii="仿宋" w:hAnsi="仿宋" w:eastAsia="仿宋"/>
          <w:sz w:val="32"/>
          <w:szCs w:val="32"/>
        </w:rPr>
        <w:t>年初预算为24万元，支出决算为0万元，完成年初预算的0%，决算数大于（小于）年初预算数的主要原因是：拨付时将该支出列入到林农水支出中。</w:t>
      </w:r>
    </w:p>
    <w:p>
      <w:pPr>
        <w:pStyle w:val="9"/>
        <w:ind w:firstLine="800" w:firstLineChars="250"/>
        <w:rPr>
          <w:rFonts w:ascii="仿宋" w:hAnsi="仿宋" w:eastAsia="仿宋"/>
          <w:sz w:val="32"/>
          <w:szCs w:val="32"/>
        </w:rPr>
      </w:pPr>
      <w:r>
        <w:rPr>
          <w:rFonts w:hint="eastAsia" w:ascii="仿宋" w:hAnsi="仿宋" w:eastAsia="仿宋"/>
          <w:sz w:val="32"/>
          <w:szCs w:val="32"/>
        </w:rPr>
        <w:t>2、卫生健康支出（类）行政事业单位医疗（款）事业单位医疗（项）。</w:t>
      </w:r>
    </w:p>
    <w:p>
      <w:pPr>
        <w:pStyle w:val="9"/>
        <w:ind w:firstLine="800" w:firstLineChars="250"/>
        <w:rPr>
          <w:rFonts w:ascii="仿宋" w:hAnsi="仿宋" w:eastAsia="仿宋"/>
          <w:sz w:val="32"/>
          <w:szCs w:val="32"/>
        </w:rPr>
      </w:pPr>
      <w:r>
        <w:rPr>
          <w:rFonts w:hint="eastAsia" w:ascii="仿宋" w:hAnsi="仿宋" w:eastAsia="仿宋"/>
          <w:sz w:val="32"/>
          <w:szCs w:val="32"/>
        </w:rPr>
        <w:t>年初预算为82.35万元，支出决算为82.35万元，完成年初预算的100%，年初预算和支出决算无差异。</w:t>
      </w:r>
    </w:p>
    <w:p>
      <w:pPr>
        <w:pStyle w:val="9"/>
        <w:ind w:firstLine="800" w:firstLineChars="250"/>
        <w:rPr>
          <w:rFonts w:ascii="仿宋" w:hAnsi="仿宋" w:eastAsia="仿宋"/>
          <w:sz w:val="32"/>
          <w:szCs w:val="32"/>
        </w:rPr>
      </w:pPr>
      <w:r>
        <w:rPr>
          <w:rFonts w:hint="eastAsia" w:ascii="仿宋" w:hAnsi="仿宋" w:eastAsia="仿宋"/>
          <w:sz w:val="32"/>
          <w:szCs w:val="32"/>
        </w:rPr>
        <w:t>3、农林水支出（类）农业、普惠金融发展支出（款）行政运行、科技转化与推广服务、病虫害控制、农产品质量安全、执法监管、农业资源保护修复与利用、其他农业支出、其他普惠金融发展支出（项）。</w:t>
      </w:r>
    </w:p>
    <w:p>
      <w:pPr>
        <w:pStyle w:val="9"/>
        <w:ind w:firstLine="800" w:firstLineChars="250"/>
        <w:rPr>
          <w:rFonts w:ascii="仿宋" w:hAnsi="仿宋" w:eastAsia="仿宋"/>
          <w:sz w:val="32"/>
          <w:szCs w:val="32"/>
        </w:rPr>
      </w:pPr>
      <w:r>
        <w:rPr>
          <w:rFonts w:hint="eastAsia" w:ascii="仿宋" w:hAnsi="仿宋" w:eastAsia="仿宋"/>
          <w:sz w:val="32"/>
          <w:szCs w:val="32"/>
        </w:rPr>
        <w:t>年初预算为1617.98万元，支出决算为5841.48万元，完成年初预算的361.04%，决算数大于年初预算数的主要原因是：上年结转的畜禽粪污资源化利用项目资金集中在2019年拨付以及拨付时将一般公共服务支出列入了该支出内。</w:t>
      </w:r>
    </w:p>
    <w:p>
      <w:pPr>
        <w:pStyle w:val="9"/>
        <w:ind w:firstLine="800" w:firstLineChars="250"/>
        <w:rPr>
          <w:rFonts w:ascii="仿宋" w:hAnsi="仿宋" w:eastAsia="仿宋"/>
          <w:sz w:val="32"/>
          <w:szCs w:val="32"/>
        </w:rPr>
      </w:pPr>
      <w:r>
        <w:rPr>
          <w:rFonts w:hint="eastAsia" w:ascii="仿宋" w:hAnsi="仿宋" w:eastAsia="仿宋"/>
          <w:sz w:val="32"/>
          <w:szCs w:val="32"/>
        </w:rPr>
        <w:t>4、商业服务业等支出（类）商业流通事务（款）其他商业流通事务支出（项）。</w:t>
      </w:r>
    </w:p>
    <w:p>
      <w:pPr>
        <w:pStyle w:val="9"/>
        <w:ind w:firstLine="800" w:firstLineChars="250"/>
        <w:rPr>
          <w:rFonts w:ascii="仿宋" w:hAnsi="仿宋" w:eastAsia="仿宋"/>
          <w:sz w:val="32"/>
          <w:szCs w:val="32"/>
        </w:rPr>
      </w:pPr>
      <w:r>
        <w:rPr>
          <w:rFonts w:hint="eastAsia" w:ascii="仿宋" w:hAnsi="仿宋" w:eastAsia="仿宋"/>
          <w:sz w:val="32"/>
          <w:szCs w:val="32"/>
        </w:rPr>
        <w:t>年初预算为0万元，支出决算为49万元，完成年初预算的0%，决算数大于年初预算数的主要原因是：该支出主要内容为对各乡镇防疫经费的支出，以前年度列在农林水支出类中。</w:t>
      </w:r>
    </w:p>
    <w:p>
      <w:pPr>
        <w:pStyle w:val="9"/>
        <w:rPr>
          <w:rFonts w:hAnsi="黑体"/>
          <w:b/>
          <w:color w:val="000000" w:themeColor="text1"/>
          <w:sz w:val="32"/>
          <w:szCs w:val="32"/>
        </w:rPr>
      </w:pPr>
      <w:r>
        <w:rPr>
          <w:rFonts w:hint="eastAsia" w:hAnsi="黑体"/>
          <w:b/>
          <w:color w:val="000000" w:themeColor="text1"/>
          <w:sz w:val="32"/>
          <w:szCs w:val="32"/>
        </w:rPr>
        <w:t>六、一般公共预算财政拨款基本支出决算情况说明</w:t>
      </w:r>
    </w:p>
    <w:p>
      <w:pPr>
        <w:pStyle w:val="9"/>
        <w:ind w:firstLine="640" w:firstLineChars="200"/>
        <w:rPr>
          <w:rFonts w:ascii="仿宋" w:hAnsi="仿宋" w:eastAsia="仿宋"/>
          <w:sz w:val="32"/>
          <w:szCs w:val="32"/>
        </w:rPr>
      </w:pPr>
      <w:r>
        <w:rPr>
          <w:rFonts w:hint="eastAsia" w:ascii="仿宋" w:hAnsi="仿宋" w:eastAsia="仿宋"/>
          <w:sz w:val="32"/>
          <w:szCs w:val="32"/>
        </w:rPr>
        <w:t>2019年度财政拨款基本支出2051.58万元，其中：人员经费1699.06万元，占基本支出的82.82%,主要包括基本工资、津贴补贴、奖金、伙食补助费、绩效工资、机关事业单位基本养老保险缴费、职工基本医疗保险缴费、其他社会保障缴费、住房公积金、其他工资福利支出、生活补助、奖励金、个人农业生产补贴、其他对个人和家庭的补助；公用经费203.9万元，占基本支出的9.94%，主要包括办公费、印刷费、水费、电费、邮电费、差旅费、维修费、租赁费、会议费、培训费、公务接待费、专用材料费、劳务费、工会经费、福利费、公务用车运行维护费、其他交通费、其他商品和服务支出、办公设备购置。</w:t>
      </w:r>
    </w:p>
    <w:p>
      <w:pPr>
        <w:pStyle w:val="9"/>
        <w:rPr>
          <w:rFonts w:hAnsi="黑体"/>
          <w:b/>
          <w:color w:val="000000" w:themeColor="text1"/>
          <w:sz w:val="32"/>
          <w:szCs w:val="32"/>
        </w:rPr>
      </w:pPr>
      <w:r>
        <w:rPr>
          <w:rFonts w:hint="eastAsia" w:hAnsi="黑体"/>
          <w:b/>
          <w:color w:val="000000" w:themeColor="text1"/>
          <w:sz w:val="32"/>
          <w:szCs w:val="32"/>
        </w:rPr>
        <w:t>七、一般公共预算财政拨款三公经费支出决算情况说明</w:t>
      </w:r>
    </w:p>
    <w:p>
      <w:pPr>
        <w:pStyle w:val="9"/>
        <w:rPr>
          <w:rFonts w:ascii="楷体" w:hAnsi="楷体" w:eastAsia="楷体"/>
          <w:b/>
          <w:sz w:val="32"/>
          <w:szCs w:val="32"/>
        </w:rPr>
      </w:pPr>
      <w:r>
        <w:rPr>
          <w:rFonts w:hint="eastAsia" w:ascii="楷体" w:hAnsi="楷体" w:eastAsia="楷体"/>
          <w:b/>
          <w:sz w:val="32"/>
          <w:szCs w:val="32"/>
        </w:rPr>
        <w:t>（一）“三公”经费财政拨款支出决算总体情况说明</w:t>
      </w:r>
    </w:p>
    <w:p>
      <w:pPr>
        <w:pStyle w:val="9"/>
        <w:ind w:firstLine="800" w:firstLineChars="250"/>
        <w:rPr>
          <w:rFonts w:ascii="仿宋" w:hAnsi="仿宋" w:eastAsia="仿宋"/>
          <w:sz w:val="32"/>
          <w:szCs w:val="32"/>
        </w:rPr>
      </w:pPr>
      <w:r>
        <w:rPr>
          <w:rFonts w:hint="eastAsia" w:ascii="仿宋" w:hAnsi="仿宋" w:eastAsia="仿宋"/>
          <w:sz w:val="32"/>
          <w:szCs w:val="32"/>
        </w:rPr>
        <w:t>“三公”经费财政拨款支出预算为22万元，支出决算为14.32万元，完成预算的65.1%，其中：</w:t>
      </w:r>
    </w:p>
    <w:p>
      <w:pPr>
        <w:pStyle w:val="9"/>
        <w:ind w:firstLine="800" w:firstLineChars="250"/>
        <w:rPr>
          <w:rFonts w:ascii="仿宋" w:hAnsi="仿宋" w:eastAsia="仿宋"/>
          <w:sz w:val="32"/>
          <w:szCs w:val="32"/>
        </w:rPr>
      </w:pPr>
      <w:r>
        <w:rPr>
          <w:rFonts w:hint="eastAsia" w:ascii="仿宋" w:hAnsi="仿宋" w:eastAsia="仿宋"/>
          <w:sz w:val="32"/>
          <w:szCs w:val="32"/>
        </w:rPr>
        <w:t>因公出国（境）费支出预算为0万元，支出决算为0万元，完成预算的0%，本单位无因公出国（境）费支出费用。</w:t>
      </w:r>
    </w:p>
    <w:p>
      <w:pPr>
        <w:pStyle w:val="9"/>
        <w:ind w:firstLine="800" w:firstLineChars="250"/>
        <w:rPr>
          <w:rFonts w:ascii="仿宋" w:hAnsi="仿宋" w:eastAsia="仿宋"/>
          <w:sz w:val="32"/>
          <w:szCs w:val="32"/>
        </w:rPr>
      </w:pPr>
      <w:r>
        <w:rPr>
          <w:rFonts w:hint="eastAsia" w:ascii="仿宋" w:hAnsi="仿宋" w:eastAsia="仿宋"/>
          <w:sz w:val="32"/>
          <w:szCs w:val="32"/>
        </w:rPr>
        <w:t>公务接待费支出预算为2.6万元，支出决算为1.18万元，完成预算的45.38%，决算数小于年初预算数的主要原因是减少了来客数量，控制接待人数，实行厉行节约原则，与上年相比减少1.6万元，减少57.55%,减少的主要原因是减少了来客数量，控制接待人数，实行厉行节约原则。</w:t>
      </w:r>
    </w:p>
    <w:p>
      <w:pPr>
        <w:pStyle w:val="9"/>
        <w:ind w:firstLine="640" w:firstLineChars="200"/>
        <w:rPr>
          <w:rFonts w:ascii="仿宋" w:hAnsi="仿宋" w:eastAsia="仿宋"/>
          <w:sz w:val="32"/>
          <w:szCs w:val="32"/>
        </w:rPr>
      </w:pPr>
      <w:r>
        <w:rPr>
          <w:rFonts w:hint="eastAsia" w:ascii="仿宋" w:hAnsi="仿宋" w:eastAsia="仿宋"/>
          <w:sz w:val="32"/>
          <w:szCs w:val="32"/>
        </w:rPr>
        <w:t>公务用车购置费及运行维护费支出预算为14万元，支出决算为13.14万元，完成预算的93.86%，决算数小于年初预算数的主要原因是报废公车一台，减少了公务用车费用，与上年相比减少1.51万元，减少10.31%,减少的主要原因是报废公车一台，减少了公务用车费用。</w:t>
      </w:r>
    </w:p>
    <w:p>
      <w:pPr>
        <w:pStyle w:val="9"/>
        <w:rPr>
          <w:rFonts w:ascii="楷体" w:hAnsi="楷体" w:eastAsia="楷体"/>
          <w:b/>
          <w:sz w:val="32"/>
          <w:szCs w:val="32"/>
        </w:rPr>
      </w:pPr>
      <w:r>
        <w:rPr>
          <w:rFonts w:hint="eastAsia" w:ascii="楷体" w:hAnsi="楷体" w:eastAsia="楷体"/>
          <w:b/>
          <w:sz w:val="32"/>
          <w:szCs w:val="32"/>
        </w:rPr>
        <w:t>（二）“三公”经费财政拨款支出决算具体情况说明</w:t>
      </w:r>
    </w:p>
    <w:p>
      <w:pPr>
        <w:pStyle w:val="9"/>
        <w:ind w:firstLine="640" w:firstLineChars="200"/>
        <w:rPr>
          <w:rFonts w:ascii="仿宋" w:hAnsi="仿宋" w:eastAsia="仿宋"/>
          <w:sz w:val="32"/>
          <w:szCs w:val="32"/>
        </w:rPr>
      </w:pPr>
      <w:r>
        <w:rPr>
          <w:rFonts w:hint="eastAsia" w:ascii="仿宋" w:hAnsi="仿宋" w:eastAsia="仿宋"/>
          <w:sz w:val="32"/>
          <w:szCs w:val="32"/>
        </w:rPr>
        <w:t>2019年度“三公”经费财政拨款支出决算中，公务接待费支出决算1.18万元，占8.24%,因公出国（境）费支出决算0万元，占0%,公务用车运行维护费支出决算13.14万元，占91.76%。其中：</w:t>
      </w:r>
    </w:p>
    <w:p>
      <w:pPr>
        <w:pStyle w:val="9"/>
        <w:ind w:firstLine="640" w:firstLineChars="200"/>
        <w:rPr>
          <w:rFonts w:ascii="仿宋" w:hAnsi="仿宋" w:eastAsia="仿宋"/>
          <w:b/>
          <w:sz w:val="32"/>
          <w:szCs w:val="32"/>
        </w:rPr>
      </w:pPr>
      <w:r>
        <w:rPr>
          <w:rFonts w:hint="eastAsia" w:ascii="仿宋" w:hAnsi="仿宋" w:eastAsia="仿宋"/>
          <w:sz w:val="32"/>
          <w:szCs w:val="32"/>
        </w:rPr>
        <w:t>1、因公出国（境）费支出决算为0万元，全年安排因公出国（境）团组0个，累计0人次,</w:t>
      </w:r>
      <w:r>
        <w:rPr>
          <w:rFonts w:ascii="仿宋" w:hAnsi="仿宋" w:eastAsia="仿宋"/>
          <w:b/>
          <w:sz w:val="32"/>
          <w:szCs w:val="32"/>
        </w:rPr>
        <w:t xml:space="preserve"> </w:t>
      </w:r>
      <w:r>
        <w:rPr>
          <w:rFonts w:hint="eastAsia" w:ascii="仿宋" w:hAnsi="仿宋" w:eastAsia="仿宋"/>
          <w:sz w:val="32"/>
          <w:szCs w:val="32"/>
        </w:rPr>
        <w:t>本单位无因公出国（境）费支出费用。</w:t>
      </w:r>
    </w:p>
    <w:p>
      <w:pPr>
        <w:pStyle w:val="9"/>
        <w:ind w:firstLine="800" w:firstLineChars="250"/>
        <w:rPr>
          <w:rFonts w:ascii="仿宋" w:hAnsi="仿宋" w:eastAsia="仿宋"/>
          <w:sz w:val="32"/>
          <w:szCs w:val="32"/>
        </w:rPr>
      </w:pPr>
      <w:r>
        <w:rPr>
          <w:rFonts w:hint="eastAsia" w:ascii="仿宋" w:hAnsi="仿宋" w:eastAsia="仿宋"/>
          <w:sz w:val="32"/>
          <w:szCs w:val="32"/>
        </w:rPr>
        <w:t>2、公务接待费支出决算为1.18万元，全年共接待来访团组0个、来宾150人次，主要是防疫监督检查等发生的接待支出。</w:t>
      </w:r>
    </w:p>
    <w:p>
      <w:pPr>
        <w:ind w:firstLine="800" w:firstLineChars="250"/>
        <w:rPr>
          <w:rFonts w:ascii="仿宋" w:hAnsi="仿宋" w:eastAsia="仿宋" w:cs="黑体"/>
          <w:color w:val="000000"/>
          <w:kern w:val="0"/>
          <w:sz w:val="32"/>
          <w:szCs w:val="32"/>
        </w:rPr>
      </w:pPr>
      <w:r>
        <w:rPr>
          <w:rFonts w:hint="eastAsia" w:ascii="仿宋" w:hAnsi="仿宋" w:eastAsia="仿宋"/>
          <w:sz w:val="32"/>
          <w:szCs w:val="32"/>
        </w:rPr>
        <w:t>3、公务用车购置费及运行维护费支出决算为13.14万元，其中：公务用车购置费0万元，醴陵市畜牧水产事务中心更新公务用车0辆</w:t>
      </w:r>
      <w:r>
        <w:rPr>
          <w:rFonts w:hint="eastAsia" w:ascii="仿宋" w:hAnsi="仿宋" w:eastAsia="仿宋"/>
          <w:color w:val="000000" w:themeColor="text1"/>
          <w:sz w:val="32"/>
          <w:szCs w:val="32"/>
        </w:rPr>
        <w:t>。</w:t>
      </w:r>
      <w:r>
        <w:rPr>
          <w:rFonts w:hint="eastAsia" w:ascii="仿宋" w:hAnsi="仿宋" w:eastAsia="仿宋"/>
          <w:sz w:val="32"/>
          <w:szCs w:val="32"/>
        </w:rPr>
        <w:t>公务用车运行维护费13.14万元，主要是公车平台租车费支出，截止2019年12月31日，我单位开支财政拨款的公务用车保有量为2辆。</w:t>
      </w:r>
    </w:p>
    <w:p>
      <w:pPr>
        <w:pStyle w:val="9"/>
        <w:rPr>
          <w:rFonts w:hAnsi="黑体"/>
          <w:b/>
          <w:color w:val="000000" w:themeColor="text1"/>
          <w:sz w:val="32"/>
          <w:szCs w:val="32"/>
        </w:rPr>
      </w:pPr>
      <w:r>
        <w:rPr>
          <w:rFonts w:hint="eastAsia" w:hAnsi="黑体"/>
          <w:b/>
          <w:color w:val="000000" w:themeColor="text1"/>
          <w:sz w:val="32"/>
          <w:szCs w:val="32"/>
        </w:rPr>
        <w:t>八、政府性基金预算收入支出决算情况</w:t>
      </w:r>
    </w:p>
    <w:p>
      <w:pPr>
        <w:pStyle w:val="9"/>
        <w:ind w:firstLine="640" w:firstLineChars="200"/>
        <w:rPr>
          <w:rFonts w:ascii="仿宋" w:hAnsi="仿宋" w:eastAsia="仿宋"/>
          <w:sz w:val="32"/>
          <w:szCs w:val="32"/>
        </w:rPr>
      </w:pPr>
      <w:r>
        <w:rPr>
          <w:rFonts w:hint="eastAsia" w:ascii="仿宋" w:hAnsi="仿宋" w:eastAsia="仿宋"/>
          <w:sz w:val="32"/>
          <w:szCs w:val="32"/>
        </w:rPr>
        <w:t>本单位无政府性基金支出。</w:t>
      </w:r>
    </w:p>
    <w:p>
      <w:pPr>
        <w:pStyle w:val="9"/>
        <w:rPr>
          <w:rFonts w:hAnsi="黑体"/>
          <w:b/>
          <w:color w:val="000000" w:themeColor="text1"/>
          <w:sz w:val="32"/>
          <w:szCs w:val="32"/>
        </w:rPr>
      </w:pPr>
      <w:r>
        <w:rPr>
          <w:rFonts w:hint="eastAsia" w:hAnsi="黑体"/>
          <w:b/>
          <w:color w:val="000000" w:themeColor="text1"/>
          <w:sz w:val="32"/>
          <w:szCs w:val="32"/>
        </w:rPr>
        <w:t>九、关于2019年度预算绩效情况说明</w:t>
      </w:r>
    </w:p>
    <w:p>
      <w:pPr>
        <w:pStyle w:val="9"/>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本部门预算绩效管理开展情况、绩效目标和绩效评价报告等……（按照财政绩效部门要求已公开或其他有关部门要求需随同部门决算一同公开的绩效信息，请放在第五部分公开）</w:t>
      </w:r>
    </w:p>
    <w:p>
      <w:pPr>
        <w:ind w:firstLine="480" w:firstLineChars="150"/>
        <w:rPr>
          <w:rFonts w:ascii="楷体" w:hAnsi="楷体" w:eastAsia="楷体" w:cs="黑体"/>
          <w:color w:val="000000" w:themeColor="text1"/>
          <w:kern w:val="0"/>
          <w:sz w:val="32"/>
          <w:szCs w:val="32"/>
        </w:rPr>
      </w:pPr>
      <w:r>
        <w:rPr>
          <w:rFonts w:hint="eastAsia" w:ascii="楷体" w:hAnsi="楷体" w:eastAsia="楷体" w:cs="黑体"/>
          <w:color w:val="000000" w:themeColor="text1"/>
          <w:kern w:val="0"/>
          <w:sz w:val="32"/>
          <w:szCs w:val="32"/>
        </w:rPr>
        <w:t>（一）预算绩效管理工作开展情况</w:t>
      </w:r>
    </w:p>
    <w:p>
      <w:pPr>
        <w:pStyle w:val="9"/>
        <w:ind w:firstLine="800" w:firstLineChars="250"/>
        <w:rPr>
          <w:rFonts w:ascii="仿宋" w:hAnsi="仿宋" w:eastAsia="仿宋"/>
          <w:sz w:val="32"/>
          <w:szCs w:val="32"/>
        </w:rPr>
      </w:pPr>
      <w:r>
        <w:rPr>
          <w:rFonts w:hint="eastAsia" w:ascii="仿宋" w:hAnsi="仿宋" w:eastAsia="仿宋"/>
          <w:sz w:val="32"/>
          <w:szCs w:val="32"/>
        </w:rPr>
        <w:t>本部门预算绩效管理开展情况：保障全市动物防疫工作顺利开展，做好春秋两季集中免疫和常年补免的工作，确保全市不发生区域性重大动物疫情，出台相应以全市猪牛羊养殖存栏量、防疫行政村数、防疫员编制数各占三分之一为基数比例，测算安排20个乡镇动物防疫站工作经费；对于日常防疫工作中的专用材料、专用设施等大额支出采用呈报申请经领导批示后再行列支。</w:t>
      </w:r>
    </w:p>
    <w:p>
      <w:pPr>
        <w:ind w:firstLine="480" w:firstLineChars="150"/>
        <w:rPr>
          <w:rFonts w:ascii="楷体" w:hAnsi="楷体" w:eastAsia="楷体" w:cs="黑体"/>
          <w:color w:val="000000" w:themeColor="text1"/>
          <w:kern w:val="0"/>
          <w:sz w:val="32"/>
          <w:szCs w:val="32"/>
        </w:rPr>
      </w:pPr>
      <w:r>
        <w:rPr>
          <w:rFonts w:hint="eastAsia" w:ascii="楷体" w:hAnsi="楷体" w:eastAsia="楷体" w:cs="黑体"/>
          <w:color w:val="000000" w:themeColor="text1"/>
          <w:kern w:val="0"/>
          <w:sz w:val="32"/>
          <w:szCs w:val="32"/>
        </w:rPr>
        <w:t>（二）部门决算中项目绩效自评结果</w:t>
      </w:r>
    </w:p>
    <w:p>
      <w:pPr>
        <w:pStyle w:val="9"/>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1.整体绩效评价报告</w:t>
      </w:r>
    </w:p>
    <w:p>
      <w:pPr>
        <w:pStyle w:val="9"/>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详见第五部分 其他</w:t>
      </w:r>
    </w:p>
    <w:p>
      <w:pPr>
        <w:pStyle w:val="9"/>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2.项目绩效评价报告</w:t>
      </w:r>
    </w:p>
    <w:p>
      <w:pPr>
        <w:pStyle w:val="9"/>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详见第五部分 其他</w:t>
      </w:r>
    </w:p>
    <w:p>
      <w:pPr>
        <w:pStyle w:val="9"/>
        <w:rPr>
          <w:rFonts w:hAnsi="黑体"/>
          <w:b/>
          <w:color w:val="000000" w:themeColor="text1"/>
          <w:sz w:val="32"/>
          <w:szCs w:val="32"/>
        </w:rPr>
      </w:pPr>
      <w:r>
        <w:rPr>
          <w:rFonts w:hint="eastAsia" w:hAnsi="黑体"/>
          <w:b/>
          <w:color w:val="000000" w:themeColor="text1"/>
          <w:sz w:val="32"/>
          <w:szCs w:val="32"/>
        </w:rPr>
        <w:t>十、其他重要事项情况说明</w:t>
      </w:r>
    </w:p>
    <w:p>
      <w:pPr>
        <w:ind w:firstLine="482" w:firstLineChars="150"/>
        <w:rPr>
          <w:rFonts w:ascii="楷体" w:hAnsi="楷体" w:eastAsia="楷体" w:cs="黑体"/>
          <w:b/>
          <w:color w:val="000000"/>
          <w:kern w:val="0"/>
          <w:sz w:val="32"/>
          <w:szCs w:val="32"/>
        </w:rPr>
      </w:pPr>
      <w:r>
        <w:rPr>
          <w:rFonts w:hint="eastAsia" w:ascii="楷体" w:hAnsi="楷体" w:eastAsia="楷体" w:cs="黑体"/>
          <w:b/>
          <w:color w:val="000000"/>
          <w:kern w:val="0"/>
          <w:sz w:val="32"/>
          <w:szCs w:val="32"/>
        </w:rPr>
        <w:t>（一）机关运行经费支出情况</w:t>
      </w:r>
    </w:p>
    <w:p>
      <w:pPr>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本部门2019 年度机关运行经费支出203.9万元，比年初预算数减少123.23万元，降低37.67%，主要原因是：办公费、印刷费、其他商品和服务支出等机关经费响应政府号召，实行厉行节约政策。</w:t>
      </w:r>
    </w:p>
    <w:p>
      <w:pPr>
        <w:ind w:firstLine="643" w:firstLineChars="200"/>
        <w:rPr>
          <w:rFonts w:ascii="楷体" w:hAnsi="楷体" w:eastAsia="楷体" w:cs="黑体"/>
          <w:b/>
          <w:color w:val="000000"/>
          <w:kern w:val="0"/>
          <w:sz w:val="32"/>
          <w:szCs w:val="32"/>
        </w:rPr>
      </w:pPr>
      <w:r>
        <w:rPr>
          <w:rFonts w:hint="eastAsia" w:ascii="楷体" w:hAnsi="楷体" w:eastAsia="楷体" w:cs="黑体"/>
          <w:b/>
          <w:color w:val="000000"/>
          <w:kern w:val="0"/>
          <w:sz w:val="32"/>
          <w:szCs w:val="32"/>
        </w:rPr>
        <w:t>（二）一般性支出情况</w:t>
      </w:r>
    </w:p>
    <w:p>
      <w:pPr>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2019年本部门开支会议费0.6万元，其中用于召开省动防关于召开全省实施优质湘猪工程保障供应暨非洲猪瘟防疫防控电视电话会议，人数58人，内容为关于省动防关于召开全省实施优质湘猪工程保障供应暨非洲猪瘟防疫防控，场地租金0.2万元；用于株洲市打击私屠滥宰规范屠宰行为保障肉食品安全专项行动电视电话会议，人数30人，内容为关于株洲市打击私屠滥宰规范屠宰行为保障肉食品安全专项行动，场地租金0.2万元；用于全省非洲猪瘟防控暨打击私屠滥宰专项行动电视电话会议，人数50人，内容为关于全省非洲猪瘟防控暨打击私屠滥宰专项行动，场地租金0.2万元；开支培训费4.25万元，用于开展农技推广培训，人数30人，内容为农技推广活动；举办节庆、晚会、论坛、赛事活动，开支0万元。（注：三类会议、培训活动，节庆、晚会、论坛、赛事等活动，请分项列明活动计划及经费预算情况）</w:t>
      </w:r>
    </w:p>
    <w:p>
      <w:pPr>
        <w:ind w:firstLine="643" w:firstLineChars="200"/>
        <w:rPr>
          <w:rFonts w:ascii="楷体" w:hAnsi="楷体" w:eastAsia="楷体" w:cs="黑体"/>
          <w:b/>
          <w:color w:val="000000"/>
          <w:kern w:val="0"/>
          <w:sz w:val="32"/>
          <w:szCs w:val="32"/>
        </w:rPr>
      </w:pPr>
      <w:r>
        <w:rPr>
          <w:rFonts w:hint="eastAsia" w:ascii="楷体" w:hAnsi="楷体" w:eastAsia="楷体" w:cs="黑体"/>
          <w:b/>
          <w:color w:val="000000"/>
          <w:kern w:val="0"/>
          <w:sz w:val="32"/>
          <w:szCs w:val="32"/>
        </w:rPr>
        <w:t>（三）政府采购支出情况</w:t>
      </w:r>
    </w:p>
    <w:p>
      <w:pPr>
        <w:ind w:firstLine="640" w:firstLineChars="200"/>
        <w:rPr>
          <w:rFonts w:ascii="仿宋" w:hAnsi="仿宋" w:eastAsia="仿宋" w:cs="黑体"/>
          <w:i/>
          <w:color w:val="FF0000"/>
          <w:kern w:val="0"/>
          <w:sz w:val="32"/>
          <w:szCs w:val="32"/>
        </w:rPr>
      </w:pPr>
      <w:r>
        <w:rPr>
          <w:rFonts w:hint="eastAsia" w:ascii="仿宋" w:hAnsi="仿宋" w:eastAsia="仿宋" w:cs="黑体"/>
          <w:color w:val="000000"/>
          <w:kern w:val="0"/>
          <w:sz w:val="32"/>
          <w:szCs w:val="32"/>
        </w:rPr>
        <w:t>本部门2019年度政府采购支出总额47.32万元，其中：政府采购货物支出47.32万元、政府采购工程支出0万元、政府采购服务支出0万元。授予中小企业合同金额47.32万元，占政府采购支出总额的100%，其中：授予小微企业合同金额7.62万元，占政府采购支出总额的16.1%。</w:t>
      </w:r>
    </w:p>
    <w:p>
      <w:pPr>
        <w:ind w:firstLine="482" w:firstLineChars="150"/>
        <w:rPr>
          <w:rFonts w:ascii="楷体" w:hAnsi="楷体" w:eastAsia="楷体" w:cs="黑体"/>
          <w:b/>
          <w:color w:val="000000"/>
          <w:kern w:val="0"/>
          <w:sz w:val="32"/>
          <w:szCs w:val="32"/>
        </w:rPr>
      </w:pPr>
      <w:r>
        <w:rPr>
          <w:rFonts w:hint="eastAsia" w:ascii="楷体" w:hAnsi="楷体" w:eastAsia="楷体" w:cs="黑体"/>
          <w:b/>
          <w:color w:val="000000"/>
          <w:kern w:val="0"/>
          <w:sz w:val="32"/>
          <w:szCs w:val="32"/>
        </w:rPr>
        <w:t>（四）国有资产占用情况</w:t>
      </w:r>
    </w:p>
    <w:p>
      <w:pPr>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截至2019年12月31日，本单位共有车辆2辆，其中，领导干部用车0辆、机要通信用车0辆、应急保障用车1辆、执法执勤用车1辆、特种专业技术用车0辆、其他用车0辆；单位价值50万元以上通用设备0台（套）；单位价值100万元以上专用设备0台（套）。</w:t>
      </w:r>
    </w:p>
    <w:p>
      <w:pPr>
        <w:ind w:firstLine="480" w:firstLineChars="150"/>
        <w:rPr>
          <w:rFonts w:ascii="仿宋" w:hAnsi="仿宋" w:eastAsia="仿宋" w:cs="黑体"/>
          <w:b/>
          <w:color w:val="000000" w:themeColor="text1"/>
          <w:kern w:val="0"/>
          <w:sz w:val="32"/>
          <w:szCs w:val="32"/>
        </w:rPr>
      </w:pPr>
      <w:r>
        <w:rPr>
          <w:rFonts w:hint="eastAsia" w:ascii="仿宋" w:hAnsi="仿宋" w:eastAsia="仿宋" w:cs="黑体"/>
          <w:color w:val="000000" w:themeColor="text1"/>
          <w:kern w:val="0"/>
          <w:sz w:val="32"/>
          <w:szCs w:val="32"/>
        </w:rPr>
        <w:t>（五）其他</w:t>
      </w:r>
    </w:p>
    <w:p>
      <w:pPr>
        <w:pStyle w:val="9"/>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本单位没有独立网站，因此只在财政局部门决算公开专栏中公开。</w:t>
      </w:r>
    </w:p>
    <w:p>
      <w:pPr>
        <w:ind w:firstLine="640" w:firstLineChars="200"/>
        <w:rPr>
          <w:rFonts w:cs="黑体" w:asciiTheme="minorEastAsia" w:hAnsiTheme="minorEastAsia"/>
          <w:color w:val="000000" w:themeColor="text1"/>
          <w:kern w:val="0"/>
          <w:sz w:val="32"/>
          <w:szCs w:val="32"/>
        </w:rPr>
      </w:pPr>
    </w:p>
    <w:p>
      <w:pPr>
        <w:widowControl/>
        <w:jc w:val="left"/>
        <w:rPr>
          <w:rFonts w:cs="黑体" w:asciiTheme="minorEastAsia" w:hAnsiTheme="minorEastAsia"/>
          <w:color w:val="000000" w:themeColor="text1"/>
          <w:kern w:val="0"/>
          <w:sz w:val="32"/>
          <w:szCs w:val="32"/>
        </w:rPr>
      </w:pPr>
      <w:r>
        <w:rPr>
          <w:rFonts w:cs="黑体" w:asciiTheme="minorEastAsia" w:hAnsiTheme="minorEastAsia"/>
          <w:color w:val="000000" w:themeColor="text1"/>
          <w:kern w:val="0"/>
          <w:sz w:val="32"/>
          <w:szCs w:val="32"/>
        </w:rPr>
        <w:br w:type="page"/>
      </w:r>
    </w:p>
    <w:p>
      <w:pPr>
        <w:ind w:firstLine="640" w:firstLineChars="200"/>
        <w:rPr>
          <w:rFonts w:cs="黑体" w:asciiTheme="minorEastAsia" w:hAnsiTheme="minorEastAsia"/>
          <w:color w:val="000000" w:themeColor="text1"/>
          <w:kern w:val="0"/>
          <w:sz w:val="32"/>
          <w:szCs w:val="32"/>
        </w:rPr>
      </w:pPr>
    </w:p>
    <w:p>
      <w:pPr>
        <w:pStyle w:val="9"/>
        <w:jc w:val="center"/>
        <w:rPr>
          <w:color w:val="000000" w:themeColor="text1"/>
          <w:sz w:val="72"/>
          <w:szCs w:val="72"/>
        </w:rPr>
      </w:pPr>
    </w:p>
    <w:p>
      <w:pPr>
        <w:pStyle w:val="9"/>
        <w:jc w:val="center"/>
        <w:rPr>
          <w:color w:val="000000" w:themeColor="text1"/>
          <w:sz w:val="72"/>
          <w:szCs w:val="72"/>
        </w:rPr>
      </w:pPr>
    </w:p>
    <w:p>
      <w:pPr>
        <w:pStyle w:val="9"/>
        <w:jc w:val="center"/>
        <w:rPr>
          <w:color w:val="000000" w:themeColor="text1"/>
          <w:sz w:val="72"/>
          <w:szCs w:val="72"/>
        </w:rPr>
      </w:pPr>
    </w:p>
    <w:p>
      <w:pPr>
        <w:pStyle w:val="9"/>
        <w:jc w:val="center"/>
        <w:rPr>
          <w:color w:val="000000" w:themeColor="text1"/>
          <w:sz w:val="72"/>
          <w:szCs w:val="72"/>
        </w:rPr>
      </w:pPr>
    </w:p>
    <w:p>
      <w:pPr>
        <w:pStyle w:val="9"/>
        <w:jc w:val="center"/>
        <w:rPr>
          <w:color w:val="000000" w:themeColor="text1"/>
          <w:sz w:val="72"/>
          <w:szCs w:val="72"/>
        </w:rPr>
      </w:pPr>
    </w:p>
    <w:p>
      <w:pPr>
        <w:pStyle w:val="9"/>
        <w:jc w:val="center"/>
        <w:rPr>
          <w:color w:val="000000" w:themeColor="text1"/>
          <w:sz w:val="72"/>
          <w:szCs w:val="72"/>
        </w:rPr>
      </w:pPr>
    </w:p>
    <w:p>
      <w:pPr>
        <w:pStyle w:val="9"/>
        <w:jc w:val="center"/>
        <w:rPr>
          <w:color w:val="000000" w:themeColor="text1"/>
          <w:sz w:val="72"/>
          <w:szCs w:val="72"/>
        </w:rPr>
      </w:pPr>
      <w:r>
        <w:rPr>
          <w:rFonts w:hint="eastAsia"/>
          <w:color w:val="000000" w:themeColor="text1"/>
          <w:sz w:val="72"/>
          <w:szCs w:val="72"/>
        </w:rPr>
        <w:t>第四部分</w:t>
      </w:r>
    </w:p>
    <w:p>
      <w:pPr>
        <w:jc w:val="center"/>
        <w:rPr>
          <w:rFonts w:ascii="黑体" w:eastAsia="黑体" w:cs="黑体"/>
          <w:color w:val="000000" w:themeColor="text1"/>
          <w:kern w:val="0"/>
          <w:sz w:val="70"/>
          <w:szCs w:val="70"/>
        </w:rPr>
      </w:pPr>
    </w:p>
    <w:p>
      <w:pPr>
        <w:jc w:val="center"/>
        <w:rPr>
          <w:rFonts w:ascii="黑体" w:eastAsia="黑体" w:cs="黑体"/>
          <w:color w:val="000000" w:themeColor="text1"/>
          <w:kern w:val="0"/>
          <w:sz w:val="70"/>
          <w:szCs w:val="70"/>
        </w:rPr>
      </w:pPr>
      <w:r>
        <w:rPr>
          <w:rFonts w:hint="eastAsia" w:ascii="黑体" w:eastAsia="黑体" w:cs="黑体"/>
          <w:color w:val="000000" w:themeColor="text1"/>
          <w:kern w:val="0"/>
          <w:sz w:val="70"/>
          <w:szCs w:val="70"/>
        </w:rPr>
        <w:t>名词解释</w:t>
      </w:r>
    </w:p>
    <w:p>
      <w:pPr>
        <w:widowControl/>
        <w:jc w:val="left"/>
        <w:rPr>
          <w:rFonts w:ascii="黑体" w:eastAsia="黑体" w:cs="黑体"/>
          <w:color w:val="000000" w:themeColor="text1"/>
          <w:kern w:val="0"/>
          <w:sz w:val="70"/>
          <w:szCs w:val="70"/>
        </w:rPr>
      </w:pPr>
      <w:r>
        <w:rPr>
          <w:rFonts w:ascii="黑体" w:eastAsia="黑体" w:cs="黑体"/>
          <w:color w:val="000000" w:themeColor="text1"/>
          <w:kern w:val="0"/>
          <w:sz w:val="70"/>
          <w:szCs w:val="70"/>
        </w:rPr>
        <w:br w:type="page"/>
      </w:r>
    </w:p>
    <w:p>
      <w:pPr>
        <w:ind w:firstLine="640" w:firstLineChars="200"/>
        <w:jc w:val="left"/>
        <w:rPr>
          <w:rFonts w:cs="黑体" w:asciiTheme="minorEastAsia" w:hAnsiTheme="minorEastAsia"/>
          <w:color w:val="000000" w:themeColor="text1"/>
          <w:kern w:val="0"/>
          <w:sz w:val="32"/>
          <w:szCs w:val="32"/>
        </w:rPr>
      </w:pPr>
    </w:p>
    <w:p>
      <w:pPr>
        <w:ind w:firstLine="640" w:firstLineChars="200"/>
        <w:jc w:val="left"/>
        <w:rPr>
          <w:rFonts w:ascii="仿宋" w:hAnsi="仿宋" w:eastAsia="仿宋" w:cs="黑体"/>
          <w:color w:val="000000" w:themeColor="text1"/>
          <w:kern w:val="0"/>
          <w:sz w:val="32"/>
          <w:szCs w:val="32"/>
        </w:rPr>
      </w:pPr>
      <w:r>
        <w:rPr>
          <w:rFonts w:hint="eastAsia" w:ascii="仿宋" w:hAnsi="仿宋" w:eastAsia="仿宋" w:cs="黑体"/>
          <w:color w:val="000000" w:themeColor="text1"/>
          <w:kern w:val="0"/>
          <w:sz w:val="32"/>
          <w:szCs w:val="32"/>
        </w:rPr>
        <w:t>一、财政拨款收入：指单位从同级财政部门取得的财政预算资金。</w:t>
      </w:r>
    </w:p>
    <w:p>
      <w:pPr>
        <w:ind w:firstLine="640" w:firstLineChars="200"/>
        <w:jc w:val="left"/>
        <w:rPr>
          <w:rFonts w:ascii="仿宋" w:hAnsi="仿宋" w:eastAsia="仿宋" w:cs="黑体"/>
          <w:color w:val="000000" w:themeColor="text1"/>
          <w:kern w:val="0"/>
          <w:sz w:val="32"/>
          <w:szCs w:val="32"/>
        </w:rPr>
      </w:pPr>
      <w:r>
        <w:rPr>
          <w:rFonts w:hint="eastAsia" w:ascii="仿宋" w:hAnsi="仿宋" w:eastAsia="仿宋" w:cs="黑体"/>
          <w:color w:val="000000" w:themeColor="text1"/>
          <w:kern w:val="0"/>
          <w:sz w:val="32"/>
          <w:szCs w:val="32"/>
        </w:rPr>
        <w:t>二、事业收入：指事业单位开展专业业务活动及辅助活动取得的收入。</w:t>
      </w:r>
    </w:p>
    <w:p>
      <w:pPr>
        <w:ind w:firstLine="640" w:firstLineChars="200"/>
        <w:jc w:val="left"/>
        <w:rPr>
          <w:rFonts w:ascii="仿宋" w:hAnsi="仿宋" w:eastAsia="仿宋" w:cs="黑体"/>
          <w:color w:val="000000" w:themeColor="text1"/>
          <w:kern w:val="0"/>
          <w:sz w:val="32"/>
          <w:szCs w:val="32"/>
        </w:rPr>
      </w:pPr>
      <w:r>
        <w:rPr>
          <w:rFonts w:hint="eastAsia" w:ascii="仿宋" w:hAnsi="仿宋" w:eastAsia="仿宋" w:cs="黑体"/>
          <w:color w:val="000000" w:themeColor="text1"/>
          <w:kern w:val="0"/>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黑体"/>
          <w:color w:val="000000" w:themeColor="text1"/>
          <w:kern w:val="0"/>
          <w:sz w:val="32"/>
          <w:szCs w:val="32"/>
        </w:rPr>
      </w:pPr>
      <w:r>
        <w:rPr>
          <w:rFonts w:hint="eastAsia" w:ascii="仿宋" w:hAnsi="仿宋" w:eastAsia="仿宋" w:cs="黑体"/>
          <w:color w:val="000000" w:themeColor="text1"/>
          <w:kern w:val="0"/>
          <w:sz w:val="32"/>
          <w:szCs w:val="32"/>
        </w:rPr>
        <w:t>四、其他收入：指单位取得的除上述收入以外的各项收入。</w:t>
      </w:r>
    </w:p>
    <w:p>
      <w:pPr>
        <w:ind w:firstLine="640" w:firstLineChars="200"/>
        <w:jc w:val="left"/>
        <w:rPr>
          <w:rFonts w:ascii="仿宋" w:hAnsi="仿宋" w:eastAsia="仿宋" w:cs="黑体"/>
          <w:color w:val="000000" w:themeColor="text1"/>
          <w:kern w:val="0"/>
          <w:sz w:val="32"/>
          <w:szCs w:val="32"/>
        </w:rPr>
      </w:pPr>
      <w:r>
        <w:rPr>
          <w:rFonts w:hint="eastAsia" w:ascii="仿宋" w:hAnsi="仿宋" w:eastAsia="仿宋" w:cs="黑体"/>
          <w:color w:val="000000" w:themeColor="text1"/>
          <w:kern w:val="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jc w:val="left"/>
        <w:rPr>
          <w:rFonts w:ascii="仿宋" w:hAnsi="仿宋" w:eastAsia="仿宋" w:cs="黑体"/>
          <w:color w:val="000000" w:themeColor="text1"/>
          <w:kern w:val="0"/>
          <w:sz w:val="32"/>
          <w:szCs w:val="32"/>
        </w:rPr>
      </w:pPr>
      <w:r>
        <w:rPr>
          <w:rFonts w:hint="eastAsia" w:ascii="仿宋" w:hAnsi="仿宋" w:eastAsia="仿宋" w:cs="黑体"/>
          <w:color w:val="000000" w:themeColor="text1"/>
          <w:kern w:val="0"/>
          <w:sz w:val="32"/>
          <w:szCs w:val="32"/>
        </w:rPr>
        <w:t>六、年初结转和结余：指单位以前年度尚未完成、结转到本年按有关规定继续使用的资金。</w:t>
      </w:r>
    </w:p>
    <w:p>
      <w:pPr>
        <w:ind w:firstLine="640" w:firstLineChars="200"/>
        <w:jc w:val="left"/>
        <w:rPr>
          <w:rFonts w:ascii="仿宋" w:hAnsi="仿宋" w:eastAsia="仿宋" w:cs="黑体"/>
          <w:color w:val="000000" w:themeColor="text1"/>
          <w:kern w:val="0"/>
          <w:sz w:val="32"/>
          <w:szCs w:val="32"/>
        </w:rPr>
      </w:pPr>
      <w:r>
        <w:rPr>
          <w:rFonts w:hint="eastAsia" w:ascii="仿宋" w:hAnsi="仿宋" w:eastAsia="仿宋" w:cs="黑体"/>
          <w:color w:val="000000" w:themeColor="text1"/>
          <w:kern w:val="0"/>
          <w:sz w:val="32"/>
          <w:szCs w:val="32"/>
        </w:rPr>
        <w:t>七、“三公经费”支出：指通过财政拨款资金安排的因公出国（境）费、公务用车购置及运行费和公务接待费支出。</w:t>
      </w:r>
    </w:p>
    <w:p>
      <w:pPr>
        <w:widowControl/>
        <w:jc w:val="left"/>
        <w:rPr>
          <w:rFonts w:asciiTheme="minorEastAsia" w:hAnsiTheme="minorEastAsia"/>
          <w:i/>
          <w:color w:val="000000" w:themeColor="text1"/>
          <w:sz w:val="32"/>
          <w:szCs w:val="32"/>
        </w:rPr>
      </w:pPr>
      <w:r>
        <w:rPr>
          <w:rFonts w:asciiTheme="minorEastAsia" w:hAnsiTheme="minorEastAsia"/>
          <w:i/>
          <w:color w:val="000000" w:themeColor="text1"/>
          <w:sz w:val="32"/>
          <w:szCs w:val="32"/>
        </w:rPr>
        <w:br w:type="page"/>
      </w:r>
    </w:p>
    <w:p>
      <w:pPr>
        <w:pStyle w:val="9"/>
        <w:jc w:val="center"/>
        <w:rPr>
          <w:color w:val="000000" w:themeColor="text1"/>
          <w:sz w:val="72"/>
          <w:szCs w:val="72"/>
        </w:rPr>
      </w:pPr>
    </w:p>
    <w:p>
      <w:pPr>
        <w:pStyle w:val="9"/>
        <w:jc w:val="center"/>
        <w:rPr>
          <w:color w:val="000000" w:themeColor="text1"/>
          <w:sz w:val="72"/>
          <w:szCs w:val="72"/>
        </w:rPr>
      </w:pPr>
    </w:p>
    <w:p>
      <w:pPr>
        <w:pStyle w:val="9"/>
        <w:jc w:val="center"/>
        <w:rPr>
          <w:color w:val="000000" w:themeColor="text1"/>
          <w:sz w:val="72"/>
          <w:szCs w:val="72"/>
        </w:rPr>
      </w:pPr>
    </w:p>
    <w:p>
      <w:pPr>
        <w:pStyle w:val="9"/>
        <w:jc w:val="center"/>
        <w:rPr>
          <w:color w:val="000000" w:themeColor="text1"/>
          <w:sz w:val="72"/>
          <w:szCs w:val="72"/>
        </w:rPr>
      </w:pPr>
    </w:p>
    <w:p>
      <w:pPr>
        <w:pStyle w:val="9"/>
        <w:rPr>
          <w:color w:val="000000" w:themeColor="text1"/>
          <w:sz w:val="72"/>
          <w:szCs w:val="72"/>
        </w:rPr>
      </w:pPr>
    </w:p>
    <w:p>
      <w:pPr>
        <w:pStyle w:val="9"/>
        <w:jc w:val="center"/>
        <w:rPr>
          <w:color w:val="000000" w:themeColor="text1"/>
          <w:sz w:val="72"/>
          <w:szCs w:val="72"/>
        </w:rPr>
      </w:pPr>
      <w:r>
        <w:rPr>
          <w:rFonts w:hint="eastAsia"/>
          <w:color w:val="000000" w:themeColor="text1"/>
          <w:sz w:val="72"/>
          <w:szCs w:val="72"/>
        </w:rPr>
        <w:t>第五部分</w:t>
      </w:r>
    </w:p>
    <w:p>
      <w:pPr>
        <w:pStyle w:val="9"/>
        <w:jc w:val="center"/>
        <w:rPr>
          <w:color w:val="000000" w:themeColor="text1"/>
          <w:sz w:val="72"/>
          <w:szCs w:val="72"/>
        </w:rPr>
      </w:pPr>
    </w:p>
    <w:p>
      <w:pPr>
        <w:pStyle w:val="9"/>
        <w:jc w:val="center"/>
        <w:rPr>
          <w:color w:val="000000" w:themeColor="text1"/>
          <w:sz w:val="70"/>
          <w:szCs w:val="70"/>
        </w:rPr>
      </w:pPr>
      <w:r>
        <w:rPr>
          <w:rFonts w:hint="eastAsia"/>
          <w:color w:val="000000" w:themeColor="text1"/>
          <w:sz w:val="72"/>
          <w:szCs w:val="72"/>
        </w:rPr>
        <w:t>其他</w:t>
      </w:r>
      <w:r>
        <w:rPr>
          <w:color w:val="000000" w:themeColor="text1"/>
          <w:sz w:val="70"/>
          <w:szCs w:val="70"/>
        </w:rPr>
        <w:br w:type="page"/>
      </w:r>
    </w:p>
    <w:p>
      <w:pPr>
        <w:adjustRightInd w:val="0"/>
        <w:spacing w:line="600" w:lineRule="exact"/>
        <w:ind w:right="641"/>
        <w:rPr>
          <w:rFonts w:ascii="方正小标宋简体" w:eastAsia="方正小标宋简体"/>
          <w:sz w:val="44"/>
          <w:szCs w:val="44"/>
        </w:rPr>
      </w:pPr>
      <w:r>
        <w:rPr>
          <w:rFonts w:hint="eastAsia" w:ascii="黑体" w:eastAsia="黑体"/>
          <w:sz w:val="32"/>
          <w:szCs w:val="32"/>
        </w:rPr>
        <w:t xml:space="preserve">附件1：   </w:t>
      </w:r>
    </w:p>
    <w:p>
      <w:pPr>
        <w:adjustRightInd w:val="0"/>
        <w:spacing w:line="600" w:lineRule="exact"/>
        <w:ind w:right="641" w:firstLine="2640" w:firstLineChars="600"/>
        <w:rPr>
          <w:rFonts w:ascii="方正小标宋简体" w:eastAsia="方正小标宋简体"/>
          <w:sz w:val="44"/>
          <w:szCs w:val="44"/>
        </w:rPr>
      </w:pPr>
      <w:r>
        <w:rPr>
          <w:rFonts w:hint="eastAsia" w:ascii="方正小标宋简体" w:eastAsia="方正小标宋简体"/>
          <w:sz w:val="44"/>
          <w:szCs w:val="44"/>
        </w:rPr>
        <w:t xml:space="preserve">醴陵市畜牧水产事务中心 </w:t>
      </w:r>
    </w:p>
    <w:p>
      <w:pPr>
        <w:adjustRightInd w:val="0"/>
        <w:spacing w:line="600" w:lineRule="exact"/>
        <w:ind w:right="641" w:firstLine="1320" w:firstLineChars="300"/>
        <w:rPr>
          <w:rFonts w:ascii="方正小标宋简体" w:eastAsia="方正小标宋简体"/>
          <w:sz w:val="44"/>
          <w:szCs w:val="44"/>
        </w:rPr>
      </w:pPr>
      <w:r>
        <w:rPr>
          <w:rFonts w:hint="eastAsia" w:ascii="方正小标宋简体" w:eastAsia="方正小标宋简体"/>
          <w:sz w:val="44"/>
          <w:szCs w:val="44"/>
        </w:rPr>
        <w:t>2019年度部门整体支出绩效自评报告</w:t>
      </w:r>
    </w:p>
    <w:p>
      <w:pPr>
        <w:adjustRightInd w:val="0"/>
        <w:spacing w:line="600" w:lineRule="exact"/>
        <w:ind w:right="641" w:firstLine="720" w:firstLineChars="200"/>
        <w:rPr>
          <w:rFonts w:eastAsia="方正小标宋_GBK"/>
          <w:sz w:val="36"/>
          <w:szCs w:val="36"/>
        </w:rPr>
      </w:pPr>
    </w:p>
    <w:p>
      <w:pPr>
        <w:adjustRightInd w:val="0"/>
        <w:snapToGrid w:val="0"/>
        <w:spacing w:line="400" w:lineRule="exact"/>
        <w:ind w:firstLine="643" w:firstLineChars="200"/>
        <w:rPr>
          <w:rFonts w:ascii="黑体" w:hAnsi="黑体" w:eastAsia="黑体"/>
          <w:b/>
          <w:sz w:val="32"/>
          <w:szCs w:val="32"/>
        </w:rPr>
      </w:pPr>
      <w:r>
        <w:rPr>
          <w:rFonts w:hint="eastAsia" w:ascii="黑体" w:hAnsi="黑体" w:eastAsia="黑体"/>
          <w:b/>
          <w:sz w:val="32"/>
          <w:szCs w:val="32"/>
        </w:rPr>
        <w:t>一、部门概况</w:t>
      </w:r>
    </w:p>
    <w:p>
      <w:pPr>
        <w:spacing w:line="600" w:lineRule="exact"/>
        <w:ind w:firstLine="960" w:firstLineChars="300"/>
        <w:rPr>
          <w:rFonts w:ascii="楷体" w:hAnsi="楷体" w:eastAsia="楷体"/>
          <w:sz w:val="32"/>
          <w:szCs w:val="32"/>
        </w:rPr>
      </w:pPr>
      <w:r>
        <w:rPr>
          <w:rFonts w:hint="eastAsia" w:ascii="楷体" w:hAnsi="楷体" w:eastAsia="楷体"/>
          <w:sz w:val="32"/>
          <w:szCs w:val="32"/>
        </w:rPr>
        <w:t>1．主要职能。</w:t>
      </w:r>
    </w:p>
    <w:p>
      <w:pPr>
        <w:spacing w:line="600" w:lineRule="exact"/>
        <w:ind w:firstLine="640" w:firstLineChars="200"/>
        <w:rPr>
          <w:rStyle w:val="12"/>
          <w:rFonts w:ascii="仿宋" w:hAnsi="仿宋" w:eastAsia="仿宋"/>
          <w:sz w:val="32"/>
          <w:szCs w:val="32"/>
        </w:rPr>
      </w:pPr>
      <w:r>
        <w:rPr>
          <w:rStyle w:val="12"/>
          <w:rFonts w:hint="eastAsia" w:ascii="仿宋" w:hAnsi="仿宋" w:eastAsia="仿宋"/>
          <w:sz w:val="32"/>
          <w:szCs w:val="32"/>
        </w:rPr>
        <w:t>（一）预测并发布全市畜牧业、渔业、饲料工业和农垦产品供求情况等经济信息；指导畜牧、兽医、水产、饲料、农垦农场技术推广体系建设。</w:t>
      </w:r>
    </w:p>
    <w:p>
      <w:pPr>
        <w:spacing w:line="600" w:lineRule="exact"/>
        <w:ind w:firstLine="640" w:firstLineChars="200"/>
        <w:rPr>
          <w:rStyle w:val="12"/>
          <w:rFonts w:ascii="仿宋" w:hAnsi="仿宋" w:eastAsia="仿宋"/>
          <w:sz w:val="32"/>
          <w:szCs w:val="32"/>
        </w:rPr>
      </w:pPr>
      <w:r>
        <w:rPr>
          <w:rStyle w:val="12"/>
          <w:rFonts w:hint="eastAsia" w:ascii="仿宋" w:hAnsi="仿宋" w:eastAsia="仿宋"/>
          <w:sz w:val="32"/>
          <w:szCs w:val="32"/>
        </w:rPr>
        <w:t>（二）监督管理全市种畜禽、水产种苗、牧草种子、兽药、兽医医疗器械、饲料、饲料添加剂的质量检测和鉴定。</w:t>
      </w:r>
    </w:p>
    <w:p>
      <w:pPr>
        <w:spacing w:line="600" w:lineRule="exact"/>
        <w:ind w:firstLine="640" w:firstLineChars="200"/>
        <w:rPr>
          <w:rStyle w:val="12"/>
          <w:rFonts w:ascii="仿宋" w:hAnsi="仿宋" w:eastAsia="仿宋"/>
          <w:sz w:val="32"/>
          <w:szCs w:val="32"/>
        </w:rPr>
      </w:pPr>
      <w:r>
        <w:rPr>
          <w:rStyle w:val="12"/>
          <w:rFonts w:hint="eastAsia" w:ascii="仿宋" w:hAnsi="仿宋" w:eastAsia="仿宋"/>
          <w:sz w:val="32"/>
          <w:szCs w:val="32"/>
        </w:rPr>
        <w:t>（三）监督管理全市畜禽、水产品种资源、草地资源的保护和开发利用。</w:t>
      </w:r>
    </w:p>
    <w:p>
      <w:pPr>
        <w:spacing w:line="600" w:lineRule="exact"/>
        <w:ind w:firstLine="640" w:firstLineChars="200"/>
        <w:rPr>
          <w:rStyle w:val="12"/>
          <w:rFonts w:ascii="仿宋" w:hAnsi="仿宋" w:eastAsia="仿宋"/>
          <w:sz w:val="32"/>
          <w:szCs w:val="32"/>
        </w:rPr>
      </w:pPr>
      <w:r>
        <w:rPr>
          <w:rStyle w:val="12"/>
          <w:rFonts w:hint="eastAsia" w:ascii="仿宋" w:hAnsi="仿宋" w:eastAsia="仿宋"/>
          <w:sz w:val="32"/>
          <w:szCs w:val="32"/>
        </w:rPr>
        <w:t>（四）负责全市动物防疫、检疫的监督管理；负责组织实施动物疫病的控制与扑灭工作；负责兽医医政、药政和动物产品安全的监督管理；负责全市官方兽医、执业兽医、兽医实验室生物安全的管理。</w:t>
      </w:r>
    </w:p>
    <w:p>
      <w:pPr>
        <w:spacing w:line="600" w:lineRule="exact"/>
        <w:ind w:firstLine="640" w:firstLineChars="200"/>
        <w:rPr>
          <w:rStyle w:val="12"/>
          <w:rFonts w:ascii="仿宋" w:hAnsi="仿宋" w:eastAsia="仿宋"/>
          <w:sz w:val="32"/>
          <w:szCs w:val="32"/>
        </w:rPr>
      </w:pPr>
      <w:r>
        <w:rPr>
          <w:rStyle w:val="12"/>
          <w:rFonts w:hint="eastAsia" w:ascii="仿宋" w:hAnsi="仿宋" w:eastAsia="仿宋"/>
          <w:sz w:val="32"/>
          <w:szCs w:val="32"/>
        </w:rPr>
        <w:t>（五）负责全市畜牧、兽医、渔业、农垦农场专项资金的管理和重大项目的审核、申报。</w:t>
      </w:r>
    </w:p>
    <w:p>
      <w:pPr>
        <w:spacing w:line="600" w:lineRule="exact"/>
        <w:ind w:firstLine="640" w:firstLineChars="200"/>
        <w:rPr>
          <w:rStyle w:val="12"/>
          <w:rFonts w:ascii="仿宋" w:hAnsi="仿宋" w:eastAsia="仿宋"/>
          <w:sz w:val="32"/>
          <w:szCs w:val="32"/>
        </w:rPr>
      </w:pPr>
      <w:r>
        <w:rPr>
          <w:rStyle w:val="12"/>
          <w:rFonts w:hint="eastAsia" w:ascii="仿宋" w:hAnsi="仿宋" w:eastAsia="仿宋"/>
          <w:sz w:val="32"/>
          <w:szCs w:val="32"/>
        </w:rPr>
        <w:t>（六）负责全市生猪定点屠宰管理工作。</w:t>
      </w:r>
    </w:p>
    <w:p>
      <w:pPr>
        <w:snapToGrid w:val="0"/>
        <w:spacing w:line="520" w:lineRule="exact"/>
        <w:ind w:firstLine="640" w:firstLineChars="200"/>
        <w:rPr>
          <w:rStyle w:val="12"/>
          <w:rFonts w:ascii="仿宋" w:hAnsi="仿宋" w:eastAsia="仿宋"/>
          <w:sz w:val="32"/>
          <w:szCs w:val="32"/>
        </w:rPr>
      </w:pPr>
      <w:r>
        <w:rPr>
          <w:rStyle w:val="12"/>
          <w:rFonts w:hint="eastAsia" w:ascii="仿宋" w:hAnsi="仿宋" w:eastAsia="仿宋"/>
          <w:sz w:val="32"/>
          <w:szCs w:val="32"/>
        </w:rPr>
        <w:t>（七）承办醴陵市农业局交办的其他事项。</w:t>
      </w:r>
    </w:p>
    <w:p>
      <w:pPr>
        <w:snapToGrid w:val="0"/>
        <w:spacing w:line="520" w:lineRule="exact"/>
        <w:ind w:firstLine="640" w:firstLineChars="200"/>
        <w:rPr>
          <w:rFonts w:ascii="楷体" w:hAnsi="楷体" w:eastAsia="楷体"/>
          <w:sz w:val="32"/>
          <w:szCs w:val="32"/>
        </w:rPr>
      </w:pPr>
      <w:r>
        <w:rPr>
          <w:rFonts w:hint="eastAsia" w:ascii="楷体" w:hAnsi="楷体" w:eastAsia="楷体"/>
          <w:sz w:val="32"/>
          <w:szCs w:val="32"/>
        </w:rPr>
        <w:t>2．机构情况，包括当年变动情况及原因。</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醴陵市畜牧兽医水产局是市农业局下属的正科级行政机关，现有股室如下：办公室、人事教育股、财务股、畜牧股、</w:t>
      </w:r>
      <w:r>
        <w:rPr>
          <w:rFonts w:hint="eastAsia" w:ascii="仿宋" w:hAnsi="仿宋" w:eastAsia="仿宋"/>
          <w:color w:val="000000"/>
          <w:kern w:val="0"/>
          <w:sz w:val="32"/>
          <w:szCs w:val="32"/>
          <w:shd w:val="clear" w:color="auto" w:fill="FFFFFF"/>
        </w:rPr>
        <w:t>动物疫病预防控制中心、动物卫生监督所、兽药监督检验所、渔业股、渔政站、行政审批股（扶贫办）、医政股、生猪定点屠宰办、乡镇动物防疫站（20个）</w:t>
      </w:r>
      <w:r>
        <w:rPr>
          <w:rFonts w:hint="eastAsia" w:ascii="仿宋" w:hAnsi="仿宋" w:eastAsia="仿宋"/>
          <w:sz w:val="32"/>
          <w:szCs w:val="32"/>
        </w:rPr>
        <w:t>。</w:t>
      </w:r>
    </w:p>
    <w:p>
      <w:pPr>
        <w:snapToGrid w:val="0"/>
        <w:spacing w:line="520" w:lineRule="exact"/>
        <w:ind w:firstLine="640" w:firstLineChars="200"/>
        <w:rPr>
          <w:rFonts w:ascii="楷体" w:hAnsi="楷体" w:eastAsia="楷体"/>
          <w:sz w:val="32"/>
          <w:szCs w:val="32"/>
        </w:rPr>
      </w:pPr>
      <w:r>
        <w:rPr>
          <w:rFonts w:hint="eastAsia" w:ascii="楷体" w:hAnsi="楷体" w:eastAsia="楷体"/>
          <w:sz w:val="32"/>
          <w:szCs w:val="32"/>
        </w:rPr>
        <w:t>3．人员情况，包括当年变动情况及原因。</w:t>
      </w:r>
    </w:p>
    <w:p>
      <w:pPr>
        <w:snapToGrid w:val="0"/>
        <w:spacing w:line="520" w:lineRule="exact"/>
        <w:ind w:firstLine="640" w:firstLineChars="200"/>
        <w:rPr>
          <w:rFonts w:ascii="仿宋" w:hAnsi="仿宋" w:eastAsia="仿宋"/>
          <w:sz w:val="32"/>
          <w:szCs w:val="32"/>
        </w:rPr>
      </w:pPr>
      <w:r>
        <w:rPr>
          <w:rFonts w:hint="eastAsia" w:ascii="仿宋" w:hAnsi="仿宋" w:eastAsia="仿宋" w:cs="宋体"/>
          <w:kern w:val="0"/>
          <w:sz w:val="32"/>
          <w:szCs w:val="32"/>
        </w:rPr>
        <w:t>截止2019年12月31日止，</w:t>
      </w:r>
      <w:r>
        <w:rPr>
          <w:rFonts w:hint="eastAsia" w:ascii="仿宋" w:hAnsi="仿宋" w:eastAsia="仿宋"/>
          <w:sz w:val="32"/>
          <w:szCs w:val="32"/>
        </w:rPr>
        <w:t>编制人数223人（去年编制223人，增加编制0个），实有在职人员219人（</w:t>
      </w:r>
      <w:r>
        <w:rPr>
          <w:rFonts w:hint="eastAsia" w:ascii="仿宋" w:hAnsi="仿宋" w:eastAsia="仿宋" w:cs="宋体"/>
          <w:kern w:val="0"/>
          <w:sz w:val="32"/>
          <w:szCs w:val="32"/>
        </w:rPr>
        <w:t>其中参公人员10人，非参公人员209），</w:t>
      </w:r>
      <w:r>
        <w:rPr>
          <w:rFonts w:hint="eastAsia" w:ascii="仿宋" w:hAnsi="仿宋" w:eastAsia="仿宋"/>
          <w:sz w:val="32"/>
          <w:szCs w:val="32"/>
        </w:rPr>
        <w:t xml:space="preserve">退休人员31人。 </w:t>
      </w:r>
    </w:p>
    <w:p>
      <w:pPr>
        <w:numPr>
          <w:ilvl w:val="0"/>
          <w:numId w:val="1"/>
        </w:numPr>
        <w:adjustRightInd w:val="0"/>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部门整体支出规模、使用方向和主要内容、涉及范围等。</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上年末结转3194.81万元，本年共计收入3283.81万元，其中预算安排资金3147.85万元，上级补助收入0元，其他收入135.96万元。本年共计支出6010.46万元，其中基本支出2051.58万元（人员经费1699.06万元，日常公用经费352.52万元），项目支出3958.89万元。结余资金468.16万元，其中基本支出结余119.06万元，</w:t>
      </w:r>
      <w:r>
        <w:rPr>
          <w:rFonts w:hint="eastAsia" w:ascii="仿宋" w:hAnsi="仿宋" w:eastAsia="仿宋"/>
          <w:color w:val="000000"/>
          <w:sz w:val="32"/>
          <w:szCs w:val="32"/>
        </w:rPr>
        <w:t>项目支出结余349.10万元（其中：农业资源保护修复与利用206.12万元，其他农业支出142.98万元）。</w:t>
      </w:r>
    </w:p>
    <w:p>
      <w:pPr>
        <w:adjustRightInd w:val="0"/>
        <w:snapToGrid w:val="0"/>
        <w:spacing w:line="400" w:lineRule="exact"/>
        <w:ind w:firstLine="643" w:firstLineChars="200"/>
        <w:rPr>
          <w:rFonts w:ascii="黑体" w:hAnsi="黑体" w:eastAsia="黑体"/>
          <w:b/>
          <w:sz w:val="32"/>
          <w:szCs w:val="32"/>
        </w:rPr>
      </w:pPr>
      <w:r>
        <w:rPr>
          <w:rFonts w:hint="eastAsia" w:ascii="黑体" w:hAnsi="黑体" w:eastAsia="黑体"/>
          <w:b/>
          <w:sz w:val="32"/>
          <w:szCs w:val="32"/>
        </w:rPr>
        <w:t>二、部门整体支出管理及使用情况</w:t>
      </w:r>
    </w:p>
    <w:p>
      <w:pPr>
        <w:adjustRightInd w:val="0"/>
        <w:snapToGrid w:val="0"/>
        <w:spacing w:line="400" w:lineRule="exact"/>
        <w:ind w:firstLine="643" w:firstLineChars="200"/>
        <w:rPr>
          <w:rFonts w:ascii="楷体" w:hAnsi="楷体" w:eastAsia="楷体"/>
          <w:b/>
          <w:sz w:val="32"/>
          <w:szCs w:val="32"/>
        </w:rPr>
      </w:pPr>
      <w:r>
        <w:rPr>
          <w:rFonts w:hint="eastAsia" w:ascii="楷体" w:hAnsi="楷体" w:eastAsia="楷体"/>
          <w:b/>
          <w:sz w:val="32"/>
          <w:szCs w:val="32"/>
        </w:rPr>
        <w:t>（一）基本支出</w:t>
      </w:r>
    </w:p>
    <w:p>
      <w:pPr>
        <w:snapToGrid w:val="0"/>
        <w:ind w:firstLine="640" w:firstLineChars="200"/>
        <w:rPr>
          <w:rFonts w:ascii="仿宋" w:hAnsi="仿宋" w:eastAsia="仿宋"/>
          <w:sz w:val="32"/>
          <w:szCs w:val="32"/>
        </w:rPr>
      </w:pPr>
      <w:r>
        <w:rPr>
          <w:rFonts w:hint="eastAsia" w:ascii="仿宋" w:hAnsi="仿宋" w:eastAsia="仿宋"/>
          <w:sz w:val="32"/>
          <w:szCs w:val="32"/>
        </w:rPr>
        <w:t>基本支出2051.58万元，其中人员经费1699.06万元，日常公用经费352.52万元；项目支出3958.89万元。三公经费中2019年度因公出国（境）费用为0元，公务用车运行维护费13.14万元；公务接待费1.18万元。</w:t>
      </w:r>
    </w:p>
    <w:p>
      <w:pPr>
        <w:adjustRightInd w:val="0"/>
        <w:snapToGrid w:val="0"/>
        <w:spacing w:line="400" w:lineRule="exact"/>
        <w:ind w:firstLine="643" w:firstLineChars="200"/>
        <w:rPr>
          <w:rFonts w:ascii="楷体" w:hAnsi="楷体" w:eastAsia="楷体"/>
          <w:b/>
          <w:sz w:val="32"/>
          <w:szCs w:val="32"/>
        </w:rPr>
      </w:pPr>
      <w:r>
        <w:rPr>
          <w:rFonts w:hint="eastAsia" w:ascii="楷体" w:hAnsi="楷体" w:eastAsia="楷体"/>
          <w:b/>
          <w:sz w:val="32"/>
          <w:szCs w:val="32"/>
        </w:rPr>
        <w:t>（二）专项支出</w:t>
      </w:r>
    </w:p>
    <w:p>
      <w:pPr>
        <w:snapToGrid w:val="0"/>
        <w:spacing w:line="520" w:lineRule="exact"/>
        <w:ind w:firstLine="640" w:firstLineChars="200"/>
        <w:rPr>
          <w:rFonts w:ascii="仿宋" w:hAnsi="仿宋" w:eastAsia="仿宋"/>
          <w:color w:val="000000"/>
          <w:sz w:val="32"/>
          <w:szCs w:val="32"/>
        </w:rPr>
      </w:pPr>
      <w:r>
        <w:rPr>
          <w:rFonts w:hint="eastAsia" w:ascii="仿宋" w:hAnsi="仿宋" w:eastAsia="仿宋"/>
          <w:sz w:val="32"/>
          <w:szCs w:val="32"/>
        </w:rPr>
        <w:t>1、2019年项目支出3958.89万元，其中农林水支出3909.89万元，商业服务业等支出49万元。</w:t>
      </w:r>
      <w:r>
        <w:rPr>
          <w:rFonts w:hint="eastAsia" w:ascii="仿宋" w:hAnsi="仿宋" w:eastAsia="仿宋"/>
          <w:color w:val="000000"/>
          <w:sz w:val="32"/>
          <w:szCs w:val="32"/>
        </w:rPr>
        <w:t>项目支出结余349.10万元，其中农业资源保护修复与利用206.12万元，其他农业支出142.98万元。</w:t>
      </w:r>
    </w:p>
    <w:p>
      <w:pPr>
        <w:numPr>
          <w:ilvl w:val="0"/>
          <w:numId w:val="2"/>
        </w:numPr>
        <w:adjustRightInd w:val="0"/>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专项资金（主要指财政资金）实际使用情况分析。</w:t>
      </w:r>
    </w:p>
    <w:p>
      <w:pPr>
        <w:adjustRightInd w:val="0"/>
        <w:snapToGrid w:val="0"/>
        <w:spacing w:line="400" w:lineRule="exact"/>
        <w:rPr>
          <w:rFonts w:ascii="仿宋" w:hAnsi="仿宋" w:eastAsia="仿宋"/>
          <w:sz w:val="32"/>
          <w:szCs w:val="32"/>
        </w:rPr>
      </w:pPr>
      <w:r>
        <w:rPr>
          <w:rFonts w:hint="eastAsia" w:ascii="仿宋" w:hAnsi="仿宋" w:eastAsia="仿宋"/>
          <w:sz w:val="32"/>
          <w:szCs w:val="32"/>
        </w:rPr>
        <w:t xml:space="preserve">    2019年拨付我单位重点专项资金62万元，资金已全部使用，并达到年初预定的绩效目标。</w:t>
      </w:r>
    </w:p>
    <w:p>
      <w:pPr>
        <w:adjustRightInd w:val="0"/>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3、专项资金管理情况分析，主要包括管理制度、办法的制订及执行情况。</w:t>
      </w:r>
    </w:p>
    <w:p>
      <w:pPr>
        <w:widowControl/>
        <w:shd w:val="clear" w:color="auto" w:fill="FFFFFF"/>
        <w:autoSpaceDE w:val="0"/>
        <w:spacing w:line="580" w:lineRule="atLeast"/>
        <w:ind w:firstLine="640"/>
        <w:rPr>
          <w:rFonts w:ascii="仿宋" w:hAnsi="仿宋" w:eastAsia="仿宋" w:cs="宋体"/>
          <w:color w:val="333333"/>
          <w:kern w:val="0"/>
          <w:sz w:val="32"/>
          <w:szCs w:val="32"/>
        </w:rPr>
      </w:pPr>
      <w:r>
        <w:rPr>
          <w:rFonts w:hint="eastAsia" w:ascii="仿宋" w:hAnsi="仿宋" w:eastAsia="仿宋" w:cs="宋体"/>
          <w:color w:val="000000"/>
          <w:kern w:val="0"/>
          <w:sz w:val="32"/>
          <w:szCs w:val="32"/>
        </w:rPr>
        <w:t>严格执行国家有关政策和会计核算制度，建立健全本单位的会计核算制度，全面反映和核算项目资金的收支活动，专款专用。项目验收合格后及时拨付，任何部门及个人不得挤占、截留、挪用，或者擅自改变资金使用范围。</w:t>
      </w:r>
    </w:p>
    <w:p>
      <w:pPr>
        <w:adjustRightInd w:val="0"/>
        <w:snapToGrid w:val="0"/>
        <w:spacing w:line="400" w:lineRule="exact"/>
        <w:ind w:firstLine="643" w:firstLineChars="200"/>
        <w:rPr>
          <w:rFonts w:ascii="黑体" w:hAnsi="黑体" w:eastAsia="黑体"/>
          <w:b/>
          <w:sz w:val="32"/>
          <w:szCs w:val="32"/>
        </w:rPr>
      </w:pPr>
      <w:r>
        <w:rPr>
          <w:rFonts w:hint="eastAsia" w:ascii="黑体" w:hAnsi="黑体" w:eastAsia="黑体"/>
          <w:b/>
          <w:sz w:val="32"/>
          <w:szCs w:val="32"/>
        </w:rPr>
        <w:t>三、部门专项组织实施情况</w:t>
      </w:r>
    </w:p>
    <w:p>
      <w:pPr>
        <w:adjustRightInd w:val="0"/>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（一）专项组织情况分析，主要包括项目招投标、调整、竣工验收等情况。</w:t>
      </w:r>
    </w:p>
    <w:p>
      <w:pPr>
        <w:adjustRightInd w:val="0"/>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各业务股室根据分工，按照上级文件要求相关文件政策负责各自项目的申报、组织、监督实施及验收等工作。</w:t>
      </w:r>
    </w:p>
    <w:p>
      <w:pPr>
        <w:adjustRightInd w:val="0"/>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（二）专项管理情况分析，主要包括项目管理制度建设、日常检查监督管理等情况。</w:t>
      </w:r>
    </w:p>
    <w:p>
      <w:pPr>
        <w:widowControl/>
        <w:shd w:val="clear" w:color="auto" w:fill="FFFFFF"/>
        <w:autoSpaceDE w:val="0"/>
        <w:spacing w:line="580" w:lineRule="atLeast"/>
        <w:ind w:firstLine="640"/>
        <w:rPr>
          <w:rFonts w:ascii="仿宋" w:hAnsi="仿宋" w:eastAsia="仿宋"/>
          <w:b/>
          <w:bCs/>
          <w:sz w:val="32"/>
          <w:szCs w:val="32"/>
        </w:rPr>
      </w:pPr>
      <w:r>
        <w:rPr>
          <w:rFonts w:hint="eastAsia" w:ascii="仿宋" w:hAnsi="仿宋" w:eastAsia="仿宋" w:cs="仿宋_GB2312"/>
          <w:sz w:val="32"/>
          <w:szCs w:val="32"/>
        </w:rPr>
        <w:t>各业务股室根据分工，按照每个项目的具体文件要求制定实施方案，负责</w:t>
      </w:r>
      <w:r>
        <w:rPr>
          <w:rFonts w:hint="eastAsia" w:ascii="仿宋" w:hAnsi="仿宋" w:eastAsia="仿宋"/>
          <w:sz w:val="32"/>
          <w:szCs w:val="32"/>
        </w:rPr>
        <w:t>日常检查监督，</w:t>
      </w:r>
      <w:r>
        <w:rPr>
          <w:rFonts w:hint="eastAsia" w:ascii="仿宋" w:hAnsi="仿宋" w:eastAsia="仿宋" w:cs="仿宋_GB2312"/>
          <w:color w:val="000000"/>
          <w:kern w:val="0"/>
          <w:sz w:val="32"/>
          <w:szCs w:val="32"/>
        </w:rPr>
        <w:t>对项目所需的主要物资和设备仪器，按政府采购相关法律法规执行。</w:t>
      </w:r>
    </w:p>
    <w:p>
      <w:pPr>
        <w:adjustRightInd w:val="0"/>
        <w:snapToGrid w:val="0"/>
        <w:spacing w:line="400" w:lineRule="exact"/>
        <w:ind w:firstLine="643" w:firstLineChars="200"/>
        <w:rPr>
          <w:rFonts w:ascii="黑体" w:hAnsi="黑体" w:eastAsia="黑体"/>
          <w:b/>
          <w:bCs/>
          <w:sz w:val="32"/>
          <w:szCs w:val="32"/>
        </w:rPr>
      </w:pPr>
      <w:r>
        <w:rPr>
          <w:rFonts w:hint="eastAsia" w:ascii="黑体" w:hAnsi="黑体" w:eastAsia="黑体"/>
          <w:b/>
          <w:bCs/>
          <w:sz w:val="32"/>
          <w:szCs w:val="32"/>
        </w:rPr>
        <w:t>四、部门整体支出绩效情况</w:t>
      </w:r>
    </w:p>
    <w:p>
      <w:pPr>
        <w:snapToGrid w:val="0"/>
        <w:spacing w:line="520" w:lineRule="exact"/>
        <w:ind w:firstLine="640" w:firstLineChars="200"/>
        <w:rPr>
          <w:rFonts w:ascii="仿宋" w:hAnsi="仿宋" w:eastAsia="仿宋"/>
          <w:b/>
          <w:sz w:val="32"/>
          <w:szCs w:val="32"/>
        </w:rPr>
      </w:pPr>
      <w:r>
        <w:rPr>
          <w:rFonts w:hint="eastAsia" w:ascii="仿宋" w:hAnsi="仿宋" w:eastAsia="仿宋"/>
          <w:sz w:val="32"/>
          <w:szCs w:val="32"/>
        </w:rPr>
        <w:t>2019年上年末结转3194.81万元，本年共计收入3283.81万元，本年共计支出6010.46万元，2019年度因公出国（境）费用为0元，公务用车运行维护费13.14万元，去年决算数14.65万元，年初预算数为14万元；公务接待费1.18万元，去年决算数2.78万元，年初预算数为2.6万元，均未超过去年决算数及年初预算数。会议费支出0.6万元，年初预算5万元，去年决算支出3.64万元，未超过去年决算及年初预算数。培训费支出6.58万元，年初预算7万元，去年决算支出0.71万元，因增加了农技推广培训项目，所以比去年决算数增加，但未超出年初预算数。</w:t>
      </w:r>
    </w:p>
    <w:p>
      <w:pPr>
        <w:adjustRightInd w:val="0"/>
        <w:snapToGrid w:val="0"/>
        <w:spacing w:line="400" w:lineRule="exact"/>
        <w:ind w:firstLine="643" w:firstLineChars="200"/>
        <w:rPr>
          <w:rFonts w:ascii="黑体" w:hAnsi="黑体" w:eastAsia="黑体"/>
          <w:b/>
          <w:sz w:val="32"/>
          <w:szCs w:val="32"/>
        </w:rPr>
      </w:pPr>
      <w:r>
        <w:rPr>
          <w:rFonts w:hint="eastAsia" w:ascii="黑体" w:hAnsi="黑体" w:eastAsia="黑体"/>
          <w:b/>
          <w:sz w:val="32"/>
          <w:szCs w:val="32"/>
        </w:rPr>
        <w:t>五、存在的主要问题</w:t>
      </w:r>
    </w:p>
    <w:p>
      <w:pPr>
        <w:adjustRightInd w:val="0"/>
        <w:snapToGrid w:val="0"/>
        <w:spacing w:line="400" w:lineRule="exact"/>
        <w:ind w:firstLine="640" w:firstLineChars="200"/>
        <w:rPr>
          <w:rFonts w:ascii="仿宋" w:hAnsi="仿宋" w:eastAsia="仿宋"/>
          <w:bCs/>
          <w:sz w:val="32"/>
          <w:szCs w:val="32"/>
        </w:rPr>
      </w:pPr>
      <w:r>
        <w:rPr>
          <w:rFonts w:hint="eastAsia" w:ascii="仿宋" w:hAnsi="仿宋" w:eastAsia="仿宋"/>
          <w:bCs/>
          <w:sz w:val="32"/>
          <w:szCs w:val="32"/>
        </w:rPr>
        <w:t>财政资金特别是专项资金根据时间按比例拨付，但实际费用不会按时间比例发生，所以在实际支付时难度较大。</w:t>
      </w:r>
    </w:p>
    <w:p>
      <w:pPr>
        <w:adjustRightInd w:val="0"/>
        <w:snapToGrid w:val="0"/>
        <w:spacing w:line="400" w:lineRule="exact"/>
        <w:ind w:firstLine="643" w:firstLineChars="200"/>
        <w:rPr>
          <w:rFonts w:ascii="黑体" w:hAnsi="黑体" w:eastAsia="黑体"/>
          <w:b/>
          <w:sz w:val="32"/>
          <w:szCs w:val="32"/>
        </w:rPr>
      </w:pPr>
      <w:r>
        <w:rPr>
          <w:rFonts w:hint="eastAsia" w:ascii="黑体" w:hAnsi="黑体" w:eastAsia="黑体"/>
          <w:b/>
          <w:sz w:val="32"/>
          <w:szCs w:val="32"/>
        </w:rPr>
        <w:t>六、改进措施和有关建议</w:t>
      </w:r>
    </w:p>
    <w:p>
      <w:pPr>
        <w:adjustRightInd w:val="0"/>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建议资金拨付的时间提早。</w:t>
      </w:r>
    </w:p>
    <w:p>
      <w:pPr>
        <w:jc w:val="center"/>
        <w:rPr>
          <w:rFonts w:ascii="仿宋" w:hAnsi="仿宋" w:eastAsia="仿宋" w:cs="黑体"/>
          <w:color w:val="000000" w:themeColor="text1"/>
          <w:kern w:val="0"/>
          <w:sz w:val="70"/>
          <w:szCs w:val="70"/>
        </w:rPr>
      </w:pPr>
    </w:p>
    <w:p>
      <w:pPr>
        <w:ind w:firstLine="643" w:firstLineChars="200"/>
        <w:jc w:val="center"/>
        <w:rPr>
          <w:rFonts w:cs="黑体" w:asciiTheme="minorEastAsia" w:hAnsiTheme="minorEastAsia"/>
          <w:b/>
          <w:color w:val="000000" w:themeColor="text1"/>
          <w:kern w:val="0"/>
          <w:sz w:val="32"/>
          <w:szCs w:val="32"/>
        </w:rPr>
      </w:pPr>
      <w:r>
        <w:rPr>
          <w:rFonts w:hint="eastAsia" w:cs="黑体" w:asciiTheme="minorEastAsia" w:hAnsiTheme="minorEastAsia"/>
          <w:b/>
          <w:color w:val="000000" w:themeColor="text1"/>
          <w:kern w:val="0"/>
          <w:sz w:val="32"/>
          <w:szCs w:val="32"/>
        </w:rPr>
        <w:t xml:space="preserve">           </w:t>
      </w: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ind w:firstLine="643" w:firstLineChars="200"/>
        <w:jc w:val="center"/>
        <w:rPr>
          <w:rFonts w:cs="黑体" w:asciiTheme="minorEastAsia" w:hAnsiTheme="minorEastAsia"/>
          <w:b/>
          <w:color w:val="000000" w:themeColor="text1"/>
          <w:kern w:val="0"/>
          <w:sz w:val="32"/>
          <w:szCs w:val="32"/>
        </w:rPr>
      </w:pPr>
    </w:p>
    <w:p>
      <w:pPr>
        <w:spacing w:line="640" w:lineRule="exac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2：</w:t>
      </w:r>
    </w:p>
    <w:p>
      <w:pPr>
        <w:spacing w:line="64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2019年度防疫专项资金绩效自评报告</w:t>
      </w:r>
    </w:p>
    <w:p>
      <w:pPr>
        <w:spacing w:line="640" w:lineRule="exact"/>
        <w:jc w:val="center"/>
        <w:rPr>
          <w:rFonts w:ascii="仿宋" w:hAnsi="仿宋" w:eastAsia="仿宋"/>
          <w:sz w:val="32"/>
          <w:szCs w:val="32"/>
        </w:rPr>
      </w:pPr>
    </w:p>
    <w:p>
      <w:pPr>
        <w:spacing w:line="420" w:lineRule="exact"/>
        <w:ind w:firstLine="964" w:firstLineChars="300"/>
        <w:rPr>
          <w:rFonts w:ascii="黑体" w:hAnsi="黑体" w:eastAsia="黑体"/>
          <w:b/>
          <w:sz w:val="32"/>
          <w:szCs w:val="32"/>
        </w:rPr>
      </w:pPr>
      <w:r>
        <w:rPr>
          <w:rFonts w:hint="eastAsia" w:ascii="黑体" w:hAnsi="黑体" w:eastAsia="黑体"/>
          <w:b/>
          <w:sz w:val="32"/>
          <w:szCs w:val="32"/>
        </w:rPr>
        <w:t>一、项目概况</w:t>
      </w:r>
    </w:p>
    <w:p>
      <w:pPr>
        <w:spacing w:line="420" w:lineRule="exact"/>
        <w:ind w:firstLine="640" w:firstLineChars="200"/>
        <w:rPr>
          <w:rFonts w:ascii="楷体" w:hAnsi="楷体" w:eastAsia="楷体"/>
          <w:sz w:val="32"/>
          <w:szCs w:val="32"/>
        </w:rPr>
      </w:pPr>
      <w:r>
        <w:rPr>
          <w:rFonts w:hint="eastAsia" w:ascii="楷体" w:hAnsi="楷体" w:eastAsia="楷体"/>
          <w:sz w:val="32"/>
          <w:szCs w:val="32"/>
        </w:rPr>
        <w:t>1、项目单位基本情况。</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醴陵市畜牧水产事务中心是市农业局下属的正科级行政机关，现有股室如下：办公室、人事教育股、财务股、畜牧股、</w:t>
      </w:r>
      <w:r>
        <w:rPr>
          <w:rFonts w:hint="eastAsia" w:ascii="仿宋" w:hAnsi="仿宋" w:eastAsia="仿宋"/>
          <w:color w:val="000000"/>
          <w:kern w:val="0"/>
          <w:sz w:val="32"/>
          <w:szCs w:val="32"/>
          <w:shd w:val="clear" w:color="auto" w:fill="FFFFFF"/>
        </w:rPr>
        <w:t>动物疫病预防控制中心、动物卫生监督所、兽药监督检验所、渔业股、渔政站、行政审批股（扶贫办）、医政股、生猪定点屠宰办、乡镇动物防疫站（20个）</w:t>
      </w:r>
      <w:r>
        <w:rPr>
          <w:rFonts w:hint="eastAsia" w:ascii="仿宋" w:hAnsi="仿宋" w:eastAsia="仿宋"/>
          <w:sz w:val="32"/>
          <w:szCs w:val="32"/>
        </w:rPr>
        <w:t>。</w:t>
      </w:r>
      <w:r>
        <w:rPr>
          <w:rFonts w:hint="eastAsia" w:ascii="仿宋" w:hAnsi="仿宋" w:eastAsia="仿宋" w:cs="宋体"/>
          <w:kern w:val="0"/>
          <w:sz w:val="32"/>
          <w:szCs w:val="32"/>
        </w:rPr>
        <w:t>截止2019年12月31日止，</w:t>
      </w:r>
      <w:r>
        <w:rPr>
          <w:rFonts w:hint="eastAsia" w:ascii="仿宋" w:hAnsi="仿宋" w:eastAsia="仿宋"/>
          <w:sz w:val="32"/>
          <w:szCs w:val="32"/>
        </w:rPr>
        <w:t>编制人数223人（去年编制223人，增加编制0个），实有在职人员219人（</w:t>
      </w:r>
      <w:r>
        <w:rPr>
          <w:rFonts w:hint="eastAsia" w:ascii="仿宋" w:hAnsi="仿宋" w:eastAsia="仿宋" w:cs="宋体"/>
          <w:kern w:val="0"/>
          <w:sz w:val="32"/>
          <w:szCs w:val="32"/>
        </w:rPr>
        <w:t>其中参公人员10人，非参公人员209），</w:t>
      </w:r>
      <w:r>
        <w:rPr>
          <w:rFonts w:hint="eastAsia" w:ascii="仿宋" w:hAnsi="仿宋" w:eastAsia="仿宋"/>
          <w:sz w:val="32"/>
          <w:szCs w:val="32"/>
        </w:rPr>
        <w:t>退休人员31人。</w:t>
      </w:r>
    </w:p>
    <w:p>
      <w:pPr>
        <w:spacing w:line="420" w:lineRule="exact"/>
        <w:ind w:firstLine="640" w:firstLineChars="200"/>
        <w:rPr>
          <w:rFonts w:ascii="楷体" w:hAnsi="楷体" w:eastAsia="楷体"/>
          <w:sz w:val="32"/>
          <w:szCs w:val="32"/>
        </w:rPr>
      </w:pPr>
      <w:r>
        <w:rPr>
          <w:rFonts w:hint="eastAsia" w:ascii="楷体" w:hAnsi="楷体" w:eastAsia="楷体"/>
          <w:sz w:val="32"/>
          <w:szCs w:val="32"/>
        </w:rPr>
        <w:t>2、项目基本情况简介。</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包括项目基本性质、用途和主要内容、涉及范围等。</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根据湘牧渔联【2017】6号等文件精神要求，设立动物防疫支出专项。通过做好春秋两季集中免疫和常年补免的工作，确保全市不发生区域性重大动物疫情。</w:t>
      </w:r>
    </w:p>
    <w:p>
      <w:pPr>
        <w:spacing w:line="420" w:lineRule="exact"/>
        <w:ind w:firstLine="643" w:firstLineChars="200"/>
        <w:rPr>
          <w:rFonts w:ascii="黑体" w:hAnsi="黑体" w:eastAsia="黑体"/>
          <w:b/>
          <w:sz w:val="32"/>
          <w:szCs w:val="32"/>
        </w:rPr>
      </w:pPr>
      <w:r>
        <w:rPr>
          <w:rFonts w:hint="eastAsia" w:ascii="黑体" w:hAnsi="黑体" w:eastAsia="黑体"/>
          <w:b/>
          <w:sz w:val="32"/>
          <w:szCs w:val="32"/>
        </w:rPr>
        <w:t>二、项目资金使用及管理情况</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（一）项目资金（包括财政资金、自筹资金等）安排落实、总投入等情况分析。</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2019年财政拨入该项目资金50万元，上级拨付及自筹资金245.79万元。</w:t>
      </w:r>
    </w:p>
    <w:p>
      <w:pPr>
        <w:spacing w:line="420" w:lineRule="exact"/>
        <w:ind w:left="420" w:leftChars="200"/>
        <w:rPr>
          <w:rFonts w:ascii="仿宋" w:hAnsi="仿宋" w:eastAsia="仿宋"/>
          <w:sz w:val="32"/>
          <w:szCs w:val="32"/>
        </w:rPr>
      </w:pPr>
      <w:r>
        <w:rPr>
          <w:rFonts w:hint="eastAsia" w:ascii="仿宋" w:hAnsi="仿宋" w:eastAsia="仿宋"/>
          <w:sz w:val="32"/>
          <w:szCs w:val="32"/>
        </w:rPr>
        <w:t>（二）项目资金（主要是指财政资金）实际使用情况分析。</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2019年防疫支出专项共计支出295.79万元。主要用于日常防疫物品的采购，各乡镇动物防疫站开展防疫工作的日常开支及非洲猪瘟防控等支出。</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（三）项目资金管理情况分析，主要包括管理制度、办法的制订及执行情况。</w:t>
      </w:r>
    </w:p>
    <w:p>
      <w:pPr>
        <w:spacing w:line="420" w:lineRule="exact"/>
        <w:ind w:firstLine="640" w:firstLineChars="200"/>
        <w:rPr>
          <w:rFonts w:ascii="仿宋" w:hAnsi="仿宋" w:eastAsia="仿宋"/>
          <w:b/>
          <w:sz w:val="32"/>
          <w:szCs w:val="32"/>
        </w:rPr>
      </w:pPr>
      <w:r>
        <w:rPr>
          <w:rFonts w:hint="eastAsia" w:ascii="仿宋" w:hAnsi="仿宋" w:eastAsia="仿宋" w:cs="宋体"/>
          <w:color w:val="000000"/>
          <w:kern w:val="0"/>
          <w:sz w:val="32"/>
          <w:szCs w:val="32"/>
        </w:rPr>
        <w:t>严格执行国家有关政策和会计核算制度，建立专账全面反映和核算该项目资金的收支活动，专款专用。严格按照资金拨付程序拨付资金。</w:t>
      </w:r>
    </w:p>
    <w:p>
      <w:pPr>
        <w:spacing w:line="420" w:lineRule="exact"/>
        <w:ind w:firstLine="643" w:firstLineChars="200"/>
        <w:rPr>
          <w:rFonts w:ascii="黑体" w:hAnsi="黑体" w:eastAsia="黑体"/>
          <w:b/>
          <w:sz w:val="32"/>
          <w:szCs w:val="32"/>
        </w:rPr>
      </w:pPr>
      <w:r>
        <w:rPr>
          <w:rFonts w:hint="eastAsia" w:ascii="黑体" w:hAnsi="黑体" w:eastAsia="黑体"/>
          <w:b/>
          <w:sz w:val="32"/>
          <w:szCs w:val="32"/>
        </w:rPr>
        <w:t>三、项目组织实施情况</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（一）项目组织情况分析，主要包括项目招投标、调整、竣工验收等情况。</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为加强、规范防疫队伍的日常管理工作，出台了相应的防疫员考核办法，具体由疫控中心对防疫工作进行技术方面的指导。</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（二）项目管理情况分析，主要包括项目管理制度建设、日常检查监督管理等情况。</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为保障全市动物防疫工作顺利开展，做好春秋两季集中免疫和常年补免的工作，确保全市不发生区域性重大动物疫情，出台相应以全市猪牛羊养殖存栏量、防疫行政村数、防疫员编制数各占三分之一为基数比例，测算安排20个乡镇动物防疫站工作经费；对于日常防疫工作中的专用材料、专用设施等大额支出采用呈报申请经领导批示后再行列支。</w:t>
      </w:r>
    </w:p>
    <w:p>
      <w:pPr>
        <w:spacing w:line="420" w:lineRule="exact"/>
        <w:ind w:firstLine="643" w:firstLineChars="200"/>
        <w:rPr>
          <w:rFonts w:ascii="黑体" w:hAnsi="黑体" w:eastAsia="黑体"/>
          <w:b/>
          <w:sz w:val="32"/>
          <w:szCs w:val="32"/>
        </w:rPr>
      </w:pPr>
      <w:r>
        <w:rPr>
          <w:rFonts w:hint="eastAsia" w:ascii="黑体" w:hAnsi="黑体" w:eastAsia="黑体"/>
          <w:b/>
          <w:sz w:val="32"/>
          <w:szCs w:val="32"/>
        </w:rPr>
        <w:t>四、项目绩效情况</w:t>
      </w:r>
    </w:p>
    <w:p>
      <w:pPr>
        <w:spacing w:line="420" w:lineRule="exact"/>
        <w:ind w:firstLine="640" w:firstLineChars="200"/>
        <w:rPr>
          <w:rFonts w:ascii="仿宋" w:hAnsi="仿宋" w:eastAsia="仿宋"/>
          <w:b/>
          <w:bCs/>
          <w:sz w:val="32"/>
          <w:szCs w:val="32"/>
        </w:rPr>
      </w:pPr>
      <w:r>
        <w:rPr>
          <w:rFonts w:hint="eastAsia" w:ascii="仿宋" w:hAnsi="仿宋" w:eastAsia="仿宋"/>
          <w:sz w:val="32"/>
          <w:szCs w:val="32"/>
        </w:rPr>
        <w:t>春秋季口蹄疫、禽流感、小反刍兽疫免疫密度达到100%，免疫质量70%以上。</w:t>
      </w:r>
    </w:p>
    <w:p>
      <w:pPr>
        <w:spacing w:line="420" w:lineRule="exact"/>
        <w:ind w:firstLine="643" w:firstLineChars="200"/>
        <w:rPr>
          <w:rFonts w:ascii="黑体" w:hAnsi="黑体" w:eastAsia="黑体"/>
          <w:b/>
          <w:bCs/>
          <w:sz w:val="32"/>
          <w:szCs w:val="32"/>
        </w:rPr>
      </w:pPr>
      <w:r>
        <w:rPr>
          <w:rFonts w:hint="eastAsia" w:ascii="黑体" w:hAnsi="黑体" w:eastAsia="黑体"/>
          <w:b/>
          <w:bCs/>
          <w:sz w:val="32"/>
          <w:szCs w:val="32"/>
        </w:rPr>
        <w:t>五、其他需要说明的问题</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（一）后续工作计划。</w:t>
      </w:r>
    </w:p>
    <w:p>
      <w:pPr>
        <w:numPr>
          <w:ilvl w:val="0"/>
          <w:numId w:val="3"/>
        </w:numPr>
        <w:spacing w:line="420" w:lineRule="exact"/>
        <w:ind w:firstLine="640" w:firstLineChars="200"/>
        <w:rPr>
          <w:rFonts w:ascii="仿宋" w:hAnsi="仿宋" w:eastAsia="仿宋"/>
          <w:sz w:val="32"/>
          <w:szCs w:val="32"/>
        </w:rPr>
      </w:pPr>
      <w:r>
        <w:rPr>
          <w:rFonts w:hint="eastAsia" w:ascii="仿宋" w:hAnsi="仿宋" w:eastAsia="仿宋"/>
          <w:sz w:val="32"/>
          <w:szCs w:val="32"/>
        </w:rPr>
        <w:t>主要经验做法、存在的问题和建议。主要包括资金安排、使用过程中的经验、做法、存在的问题、改进措施和有关建议等。</w:t>
      </w:r>
    </w:p>
    <w:p>
      <w:pPr>
        <w:spacing w:line="420" w:lineRule="exact"/>
        <w:rPr>
          <w:rFonts w:ascii="仿宋" w:hAnsi="仿宋" w:eastAsia="仿宋"/>
          <w:sz w:val="32"/>
          <w:szCs w:val="32"/>
        </w:rPr>
      </w:pPr>
      <w:r>
        <w:rPr>
          <w:rFonts w:hint="eastAsia" w:ascii="仿宋" w:hAnsi="仿宋" w:eastAsia="仿宋"/>
          <w:sz w:val="32"/>
          <w:szCs w:val="32"/>
        </w:rPr>
        <w:t xml:space="preserve">    建议对资金的拨付时间提前。</w:t>
      </w:r>
    </w:p>
    <w:p>
      <w:pPr>
        <w:spacing w:line="420" w:lineRule="exact"/>
        <w:ind w:firstLine="640" w:firstLineChars="200"/>
        <w:rPr>
          <w:rFonts w:ascii="仿宋" w:hAnsi="仿宋" w:eastAsia="仿宋"/>
          <w:sz w:val="32"/>
          <w:szCs w:val="32"/>
        </w:rPr>
      </w:pPr>
    </w:p>
    <w:p>
      <w:pPr>
        <w:adjustRightInd w:val="0"/>
        <w:snapToGrid w:val="0"/>
        <w:spacing w:line="400" w:lineRule="exact"/>
        <w:rPr>
          <w:rFonts w:ascii="仿宋" w:hAnsi="仿宋" w:eastAsia="仿宋"/>
          <w:sz w:val="32"/>
          <w:szCs w:val="32"/>
        </w:rPr>
      </w:pPr>
    </w:p>
    <w:p>
      <w:pPr>
        <w:adjustRightInd w:val="0"/>
        <w:snapToGrid w:val="0"/>
        <w:spacing w:line="400" w:lineRule="exact"/>
        <w:ind w:firstLine="4800" w:firstLineChars="1500"/>
        <w:rPr>
          <w:rFonts w:ascii="仿宋" w:hAnsi="仿宋" w:eastAsia="仿宋"/>
          <w:sz w:val="32"/>
          <w:szCs w:val="32"/>
        </w:rPr>
      </w:pPr>
    </w:p>
    <w:p>
      <w:pPr>
        <w:spacing w:line="640" w:lineRule="exact"/>
        <w:rPr>
          <w:rFonts w:ascii="仿宋" w:hAnsi="仿宋" w:eastAsia="仿宋"/>
          <w:sz w:val="32"/>
          <w:szCs w:val="32"/>
        </w:rPr>
      </w:pPr>
    </w:p>
    <w:p>
      <w:pPr>
        <w:spacing w:line="640" w:lineRule="exact"/>
        <w:rPr>
          <w:rFonts w:ascii="仿宋" w:hAnsi="仿宋" w:eastAsia="仿宋"/>
          <w:sz w:val="32"/>
          <w:szCs w:val="32"/>
        </w:rPr>
      </w:pPr>
    </w:p>
    <w:p>
      <w:pPr>
        <w:spacing w:line="640" w:lineRule="exact"/>
        <w:rPr>
          <w:rFonts w:ascii="仿宋" w:hAnsi="仿宋" w:eastAsia="仿宋"/>
          <w:sz w:val="32"/>
          <w:szCs w:val="32"/>
        </w:rPr>
      </w:pPr>
    </w:p>
    <w:p>
      <w:pPr>
        <w:spacing w:line="640" w:lineRule="exact"/>
        <w:rPr>
          <w:rFonts w:ascii="仿宋" w:hAnsi="仿宋" w:eastAsia="仿宋"/>
          <w:sz w:val="32"/>
          <w:szCs w:val="32"/>
        </w:rPr>
      </w:pPr>
    </w:p>
    <w:p>
      <w:pPr>
        <w:spacing w:line="640" w:lineRule="exac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3：</w:t>
      </w:r>
    </w:p>
    <w:p>
      <w:pPr>
        <w:spacing w:line="64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2019年度农产品质量安全专项资金绩效自评报告</w:t>
      </w:r>
    </w:p>
    <w:p>
      <w:pPr>
        <w:spacing w:line="640" w:lineRule="exact"/>
        <w:jc w:val="center"/>
        <w:rPr>
          <w:rFonts w:ascii="仿宋" w:hAnsi="仿宋" w:eastAsia="仿宋"/>
          <w:sz w:val="32"/>
          <w:szCs w:val="32"/>
        </w:rPr>
      </w:pPr>
    </w:p>
    <w:p>
      <w:pPr>
        <w:spacing w:line="420" w:lineRule="exact"/>
        <w:ind w:firstLine="964" w:firstLineChars="300"/>
        <w:rPr>
          <w:rFonts w:ascii="黑体" w:hAnsi="黑体" w:eastAsia="黑体"/>
          <w:b/>
          <w:sz w:val="32"/>
          <w:szCs w:val="32"/>
        </w:rPr>
      </w:pPr>
      <w:r>
        <w:rPr>
          <w:rFonts w:hint="eastAsia" w:ascii="黑体" w:hAnsi="黑体" w:eastAsia="黑体"/>
          <w:b/>
          <w:sz w:val="32"/>
          <w:szCs w:val="32"/>
        </w:rPr>
        <w:t>一、项目概况</w:t>
      </w:r>
    </w:p>
    <w:p>
      <w:pPr>
        <w:spacing w:line="420" w:lineRule="exact"/>
        <w:ind w:firstLine="640" w:firstLineChars="200"/>
        <w:rPr>
          <w:rFonts w:ascii="楷体" w:hAnsi="楷体" w:eastAsia="楷体"/>
          <w:sz w:val="32"/>
          <w:szCs w:val="32"/>
        </w:rPr>
      </w:pPr>
      <w:r>
        <w:rPr>
          <w:rFonts w:hint="eastAsia" w:ascii="楷体" w:hAnsi="楷体" w:eastAsia="楷体"/>
          <w:sz w:val="32"/>
          <w:szCs w:val="32"/>
        </w:rPr>
        <w:t>1、项目单位基本情况。</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醴陵市畜牧水产事务中心是市农业局下属的正科级行政机关，现有股室如下：办公室、人事教育股、财务股、畜牧股、</w:t>
      </w:r>
      <w:r>
        <w:rPr>
          <w:rFonts w:hint="eastAsia" w:ascii="仿宋" w:hAnsi="仿宋" w:eastAsia="仿宋"/>
          <w:color w:val="000000"/>
          <w:kern w:val="0"/>
          <w:sz w:val="32"/>
          <w:szCs w:val="32"/>
          <w:shd w:val="clear" w:color="auto" w:fill="FFFFFF"/>
        </w:rPr>
        <w:t>动物疫病预防控制中心、动物卫生监督所、兽药监督检验所、渔业股、渔政站、行政审批股（扶贫办）、医政股、生猪定点屠宰办、乡镇动物防疫站（20个）</w:t>
      </w:r>
      <w:r>
        <w:rPr>
          <w:rFonts w:hint="eastAsia" w:ascii="仿宋" w:hAnsi="仿宋" w:eastAsia="仿宋"/>
          <w:sz w:val="32"/>
          <w:szCs w:val="32"/>
        </w:rPr>
        <w:t>。</w:t>
      </w:r>
      <w:r>
        <w:rPr>
          <w:rFonts w:hint="eastAsia" w:ascii="仿宋" w:hAnsi="仿宋" w:eastAsia="仿宋" w:cs="宋体"/>
          <w:kern w:val="0"/>
          <w:sz w:val="32"/>
          <w:szCs w:val="32"/>
        </w:rPr>
        <w:t>截止2019年12月31日止，</w:t>
      </w:r>
      <w:r>
        <w:rPr>
          <w:rFonts w:hint="eastAsia" w:ascii="仿宋" w:hAnsi="仿宋" w:eastAsia="仿宋"/>
          <w:sz w:val="32"/>
          <w:szCs w:val="32"/>
        </w:rPr>
        <w:t>编制人数223人（去年编制223人，增加编制0个），实有在职人员219人（</w:t>
      </w:r>
      <w:r>
        <w:rPr>
          <w:rFonts w:hint="eastAsia" w:ascii="仿宋" w:hAnsi="仿宋" w:eastAsia="仿宋" w:cs="宋体"/>
          <w:kern w:val="0"/>
          <w:sz w:val="32"/>
          <w:szCs w:val="32"/>
        </w:rPr>
        <w:t>其中参公人员10人，非参公人员209），</w:t>
      </w:r>
      <w:r>
        <w:rPr>
          <w:rFonts w:hint="eastAsia" w:ascii="仿宋" w:hAnsi="仿宋" w:eastAsia="仿宋"/>
          <w:sz w:val="32"/>
          <w:szCs w:val="32"/>
        </w:rPr>
        <w:t>退休人员31人。</w:t>
      </w:r>
    </w:p>
    <w:p>
      <w:pPr>
        <w:spacing w:line="420" w:lineRule="exact"/>
        <w:ind w:firstLine="640" w:firstLineChars="200"/>
        <w:rPr>
          <w:rFonts w:ascii="楷体" w:hAnsi="楷体" w:eastAsia="楷体"/>
          <w:sz w:val="32"/>
          <w:szCs w:val="32"/>
        </w:rPr>
      </w:pPr>
      <w:r>
        <w:rPr>
          <w:rFonts w:hint="eastAsia" w:ascii="楷体" w:hAnsi="楷体" w:eastAsia="楷体"/>
          <w:sz w:val="32"/>
          <w:szCs w:val="32"/>
        </w:rPr>
        <w:t>2、项目基本情况简介。</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包括项目基本性质、用途和主要内容、涉及范围等。</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根据湖南省人民政府办公厅关于进一步加强“瘦肉精”等违禁物品整治工作的通知(湘政办明电【2009】42号)等文件要求，特设立农产品质量安全检测专项，建立健全畜禽水产品质量安全监管体系，杜绝生产、销售和使用“瘦肉精”等违禁物品的违法行为，保证全市畜禽水产品质量安全。</w:t>
      </w:r>
    </w:p>
    <w:p>
      <w:pPr>
        <w:spacing w:line="420" w:lineRule="exact"/>
        <w:ind w:firstLine="643" w:firstLineChars="200"/>
        <w:rPr>
          <w:rFonts w:ascii="黑体" w:hAnsi="黑体" w:eastAsia="黑体"/>
          <w:b/>
          <w:sz w:val="32"/>
          <w:szCs w:val="32"/>
        </w:rPr>
      </w:pPr>
      <w:r>
        <w:rPr>
          <w:rFonts w:hint="eastAsia" w:ascii="黑体" w:hAnsi="黑体" w:eastAsia="黑体"/>
          <w:b/>
          <w:sz w:val="32"/>
          <w:szCs w:val="32"/>
        </w:rPr>
        <w:t>二、项目资金使用及管理情况</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（一）项目资金（包括财政资金、自筹资金等）安排落实、总投入等情况分析。</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2019年财政拨入该项目资金12万元，自筹资金12.21万元。</w:t>
      </w:r>
    </w:p>
    <w:p>
      <w:pPr>
        <w:spacing w:line="420" w:lineRule="exact"/>
        <w:ind w:left="420" w:leftChars="200"/>
        <w:rPr>
          <w:rFonts w:ascii="仿宋" w:hAnsi="仿宋" w:eastAsia="仿宋"/>
          <w:sz w:val="32"/>
          <w:szCs w:val="32"/>
        </w:rPr>
      </w:pPr>
      <w:r>
        <w:rPr>
          <w:rFonts w:hint="eastAsia" w:ascii="仿宋" w:hAnsi="仿宋" w:eastAsia="仿宋"/>
          <w:sz w:val="32"/>
          <w:szCs w:val="32"/>
        </w:rPr>
        <w:t>（二）项目资金（主要是指财政资金）实际使用情况分析。</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2019年农产品质量安全检测专项共计支出24.21万元,主要用于瘦肉精检测费、样品费、购买试剂、日常监管等费用的支出。</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（三）项目资金管理情况分析，主要包括管理制度、办法的制订及执行情况。</w:t>
      </w:r>
    </w:p>
    <w:p>
      <w:pPr>
        <w:spacing w:line="420" w:lineRule="exact"/>
        <w:ind w:firstLine="640" w:firstLineChars="200"/>
        <w:rPr>
          <w:rFonts w:ascii="仿宋" w:hAnsi="仿宋" w:eastAsia="仿宋"/>
          <w:b/>
          <w:sz w:val="32"/>
          <w:szCs w:val="32"/>
        </w:rPr>
      </w:pPr>
      <w:r>
        <w:rPr>
          <w:rFonts w:hint="eastAsia" w:ascii="仿宋" w:hAnsi="仿宋" w:eastAsia="仿宋" w:cs="宋体"/>
          <w:color w:val="000000"/>
          <w:kern w:val="0"/>
          <w:sz w:val="32"/>
          <w:szCs w:val="32"/>
        </w:rPr>
        <w:t>严格执行国家有关政策和会计核算制度，建立专账全面反映和核算该项目资金的收支活动，专款专用。严格按照资金审批程序拨付资金。</w:t>
      </w:r>
    </w:p>
    <w:p>
      <w:pPr>
        <w:spacing w:line="420" w:lineRule="exact"/>
        <w:ind w:firstLine="643" w:firstLineChars="200"/>
        <w:rPr>
          <w:rFonts w:ascii="黑体" w:hAnsi="黑体" w:eastAsia="黑体"/>
          <w:b/>
          <w:sz w:val="32"/>
          <w:szCs w:val="32"/>
        </w:rPr>
      </w:pPr>
      <w:r>
        <w:rPr>
          <w:rFonts w:hint="eastAsia" w:ascii="黑体" w:hAnsi="黑体" w:eastAsia="黑体"/>
          <w:b/>
          <w:sz w:val="32"/>
          <w:szCs w:val="32"/>
        </w:rPr>
        <w:t>三、项目组织实施情况</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（一）项目组织情况分析，主要包括项目招投标、调整、竣工验收等情况。</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对所有该方面的支出设立专账列支，对于日常监测工作中的专用材料等大额支出采用呈报申请经领导批示后再行列支。</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（二）项目管理情况分析，主要包括项目管理制度建设、日常检查监督管理等情况。</w:t>
      </w:r>
    </w:p>
    <w:p>
      <w:pPr>
        <w:spacing w:line="420" w:lineRule="exact"/>
        <w:ind w:firstLine="640" w:firstLineChars="200"/>
        <w:rPr>
          <w:rFonts w:ascii="仿宋" w:hAnsi="仿宋" w:eastAsia="仿宋"/>
          <w:b/>
          <w:sz w:val="32"/>
          <w:szCs w:val="32"/>
        </w:rPr>
      </w:pPr>
      <w:r>
        <w:rPr>
          <w:rFonts w:hint="eastAsia" w:ascii="仿宋" w:hAnsi="仿宋" w:eastAsia="仿宋"/>
          <w:sz w:val="32"/>
          <w:szCs w:val="32"/>
        </w:rPr>
        <w:t>通过电话报检、24小时服务群众，开展“瘦肉精”同步检测工作及日常抽样监测工作，确保了上市的畜禽水产品不含有“瘦肉精”、孔雀石绿等违禁物质，保障了农产品质量的安全性，避免农民养殖的畜禽水产品因含违禁物质而被无害化处理，从而达到减少农民损失的目的。</w:t>
      </w:r>
    </w:p>
    <w:p>
      <w:pPr>
        <w:spacing w:line="420" w:lineRule="exact"/>
        <w:ind w:firstLine="643" w:firstLineChars="200"/>
        <w:rPr>
          <w:rFonts w:ascii="黑体" w:hAnsi="黑体" w:eastAsia="黑体"/>
          <w:b/>
          <w:sz w:val="32"/>
          <w:szCs w:val="32"/>
        </w:rPr>
      </w:pPr>
      <w:r>
        <w:rPr>
          <w:rFonts w:hint="eastAsia" w:ascii="黑体" w:hAnsi="黑体" w:eastAsia="黑体"/>
          <w:b/>
          <w:sz w:val="32"/>
          <w:szCs w:val="32"/>
        </w:rPr>
        <w:t>四、项目绩效情况</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确保上市的畜禽水产品不含有“瘦肉精”、孔雀石绿等违禁物质</w:t>
      </w:r>
    </w:p>
    <w:p>
      <w:pPr>
        <w:spacing w:line="420" w:lineRule="exact"/>
        <w:ind w:firstLine="643" w:firstLineChars="200"/>
        <w:rPr>
          <w:rFonts w:ascii="黑体" w:hAnsi="黑体" w:eastAsia="黑体"/>
          <w:b/>
          <w:bCs/>
          <w:sz w:val="32"/>
          <w:szCs w:val="32"/>
        </w:rPr>
      </w:pPr>
      <w:r>
        <w:rPr>
          <w:rFonts w:hint="eastAsia" w:ascii="黑体" w:hAnsi="黑体" w:eastAsia="黑体"/>
          <w:b/>
          <w:bCs/>
          <w:sz w:val="32"/>
          <w:szCs w:val="32"/>
        </w:rPr>
        <w:t>五、其他需要说明的问题</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（一）后续工作计划。</w:t>
      </w:r>
    </w:p>
    <w:p>
      <w:pPr>
        <w:spacing w:line="420" w:lineRule="exact"/>
        <w:ind w:left="640"/>
        <w:rPr>
          <w:rFonts w:ascii="仿宋" w:hAnsi="仿宋" w:eastAsia="仿宋"/>
          <w:sz w:val="32"/>
          <w:szCs w:val="32"/>
        </w:rPr>
      </w:pPr>
      <w:r>
        <w:rPr>
          <w:rFonts w:hint="eastAsia" w:ascii="仿宋" w:hAnsi="仿宋" w:eastAsia="仿宋"/>
          <w:sz w:val="32"/>
          <w:szCs w:val="32"/>
        </w:rPr>
        <w:t>（二）主要经验做法、存在的问题和建议。主要包括资金安排、使用过程中的经验、做法、存在的问题、改进措施和有关建议等。</w:t>
      </w:r>
    </w:p>
    <w:p>
      <w:pPr>
        <w:spacing w:line="420" w:lineRule="exact"/>
        <w:rPr>
          <w:rFonts w:ascii="仿宋" w:hAnsi="仿宋" w:eastAsia="仿宋"/>
          <w:sz w:val="32"/>
          <w:szCs w:val="32"/>
        </w:rPr>
      </w:pPr>
      <w:r>
        <w:rPr>
          <w:rFonts w:hint="eastAsia" w:ascii="仿宋" w:hAnsi="仿宋" w:eastAsia="仿宋"/>
          <w:sz w:val="32"/>
          <w:szCs w:val="32"/>
        </w:rPr>
        <w:t xml:space="preserve">    建议对资金的拨付时间提前。</w:t>
      </w:r>
    </w:p>
    <w:p>
      <w:pPr>
        <w:spacing w:line="420" w:lineRule="exact"/>
        <w:ind w:firstLine="640" w:firstLineChars="200"/>
        <w:rPr>
          <w:rFonts w:ascii="仿宋" w:hAnsi="仿宋" w:eastAsia="仿宋"/>
          <w:sz w:val="32"/>
          <w:szCs w:val="32"/>
        </w:rPr>
      </w:pPr>
    </w:p>
    <w:p>
      <w:pPr>
        <w:adjustRightInd w:val="0"/>
        <w:snapToGrid w:val="0"/>
        <w:spacing w:line="400" w:lineRule="exact"/>
        <w:ind w:firstLine="4800" w:firstLineChars="1500"/>
        <w:rPr>
          <w:rFonts w:ascii="仿宋" w:hAnsi="仿宋" w:eastAsia="仿宋"/>
          <w:sz w:val="32"/>
          <w:szCs w:val="32"/>
        </w:rPr>
      </w:pPr>
    </w:p>
    <w:p>
      <w:pPr>
        <w:adjustRightInd w:val="0"/>
        <w:snapToGrid w:val="0"/>
        <w:spacing w:line="400" w:lineRule="exact"/>
        <w:ind w:firstLine="4800" w:firstLineChars="1500"/>
        <w:rPr>
          <w:rFonts w:ascii="仿宋" w:hAnsi="仿宋" w:eastAsia="仿宋"/>
          <w:sz w:val="32"/>
          <w:szCs w:val="32"/>
        </w:rPr>
      </w:pPr>
    </w:p>
    <w:p>
      <w:pPr>
        <w:adjustRightInd w:val="0"/>
        <w:snapToGrid w:val="0"/>
        <w:spacing w:line="400" w:lineRule="exact"/>
        <w:ind w:firstLine="4800" w:firstLineChars="1500"/>
        <w:rPr>
          <w:rFonts w:ascii="仿宋" w:hAnsi="仿宋" w:eastAsia="仿宋"/>
          <w:sz w:val="32"/>
          <w:szCs w:val="32"/>
        </w:rPr>
      </w:pPr>
    </w:p>
    <w:p>
      <w:pPr>
        <w:ind w:firstLine="643" w:firstLineChars="200"/>
        <w:jc w:val="center"/>
        <w:rPr>
          <w:rFonts w:ascii="仿宋" w:hAnsi="仿宋" w:eastAsia="仿宋" w:cs="黑体"/>
          <w:b/>
          <w:color w:val="000000" w:themeColor="text1"/>
          <w:kern w:val="0"/>
          <w:sz w:val="32"/>
          <w:szCs w:val="32"/>
        </w:rPr>
      </w:pP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AB392"/>
    <w:multiLevelType w:val="singleLevel"/>
    <w:tmpl w:val="A9DAB392"/>
    <w:lvl w:ilvl="0" w:tentative="0">
      <w:start w:val="2"/>
      <w:numFmt w:val="chineseCounting"/>
      <w:suff w:val="nothing"/>
      <w:lvlText w:val="（%1）"/>
      <w:lvlJc w:val="left"/>
      <w:rPr>
        <w:rFonts w:hint="eastAsia"/>
      </w:rPr>
    </w:lvl>
  </w:abstractNum>
  <w:abstractNum w:abstractNumId="1">
    <w:nsid w:val="D523EE2E"/>
    <w:multiLevelType w:val="singleLevel"/>
    <w:tmpl w:val="D523EE2E"/>
    <w:lvl w:ilvl="0" w:tentative="0">
      <w:start w:val="2"/>
      <w:numFmt w:val="chineseCounting"/>
      <w:suff w:val="nothing"/>
      <w:lvlText w:val="（%1）"/>
      <w:lvlJc w:val="left"/>
      <w:rPr>
        <w:rFonts w:hint="eastAsia"/>
      </w:rPr>
    </w:lvl>
  </w:abstractNum>
  <w:abstractNum w:abstractNumId="2">
    <w:nsid w:val="72D16EB2"/>
    <w:multiLevelType w:val="singleLevel"/>
    <w:tmpl w:val="72D16EB2"/>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73BD"/>
    <w:rsid w:val="000415B7"/>
    <w:rsid w:val="00041885"/>
    <w:rsid w:val="0006155F"/>
    <w:rsid w:val="000658A3"/>
    <w:rsid w:val="00074155"/>
    <w:rsid w:val="0008072D"/>
    <w:rsid w:val="000A3F69"/>
    <w:rsid w:val="00152C6D"/>
    <w:rsid w:val="00161DBA"/>
    <w:rsid w:val="00162D39"/>
    <w:rsid w:val="001A67DB"/>
    <w:rsid w:val="001D51E5"/>
    <w:rsid w:val="001F0C3B"/>
    <w:rsid w:val="00214427"/>
    <w:rsid w:val="00257CE3"/>
    <w:rsid w:val="002647E4"/>
    <w:rsid w:val="00265724"/>
    <w:rsid w:val="002711E3"/>
    <w:rsid w:val="0027426B"/>
    <w:rsid w:val="002A26AD"/>
    <w:rsid w:val="00327B6B"/>
    <w:rsid w:val="003479BD"/>
    <w:rsid w:val="003768D5"/>
    <w:rsid w:val="003E4E36"/>
    <w:rsid w:val="00413BDE"/>
    <w:rsid w:val="00416464"/>
    <w:rsid w:val="004506F9"/>
    <w:rsid w:val="004717A2"/>
    <w:rsid w:val="00491741"/>
    <w:rsid w:val="00500E5F"/>
    <w:rsid w:val="005122EF"/>
    <w:rsid w:val="00512F3F"/>
    <w:rsid w:val="00517C33"/>
    <w:rsid w:val="00523644"/>
    <w:rsid w:val="0054069E"/>
    <w:rsid w:val="005712AE"/>
    <w:rsid w:val="005767CC"/>
    <w:rsid w:val="00590D9F"/>
    <w:rsid w:val="00595D26"/>
    <w:rsid w:val="005A74E6"/>
    <w:rsid w:val="005C07B0"/>
    <w:rsid w:val="005D4D55"/>
    <w:rsid w:val="005D61C3"/>
    <w:rsid w:val="005E2CFB"/>
    <w:rsid w:val="0062378F"/>
    <w:rsid w:val="00651EEC"/>
    <w:rsid w:val="006A351B"/>
    <w:rsid w:val="006B0422"/>
    <w:rsid w:val="006B3571"/>
    <w:rsid w:val="006B750C"/>
    <w:rsid w:val="006C1B53"/>
    <w:rsid w:val="006C21A7"/>
    <w:rsid w:val="006D7730"/>
    <w:rsid w:val="006E5284"/>
    <w:rsid w:val="006F3EB5"/>
    <w:rsid w:val="00702E34"/>
    <w:rsid w:val="00704395"/>
    <w:rsid w:val="00720FF1"/>
    <w:rsid w:val="00770DC8"/>
    <w:rsid w:val="00796319"/>
    <w:rsid w:val="007F441D"/>
    <w:rsid w:val="00812ED5"/>
    <w:rsid w:val="00821336"/>
    <w:rsid w:val="008277D9"/>
    <w:rsid w:val="00827A13"/>
    <w:rsid w:val="008A3E8D"/>
    <w:rsid w:val="008A4DFB"/>
    <w:rsid w:val="008E4D62"/>
    <w:rsid w:val="00902843"/>
    <w:rsid w:val="009237C4"/>
    <w:rsid w:val="009409A4"/>
    <w:rsid w:val="00950252"/>
    <w:rsid w:val="00967F5D"/>
    <w:rsid w:val="00996269"/>
    <w:rsid w:val="009A0F95"/>
    <w:rsid w:val="009B3ADF"/>
    <w:rsid w:val="009C3B52"/>
    <w:rsid w:val="009E0FAD"/>
    <w:rsid w:val="00A42218"/>
    <w:rsid w:val="00A70249"/>
    <w:rsid w:val="00A7776E"/>
    <w:rsid w:val="00B022AE"/>
    <w:rsid w:val="00B23764"/>
    <w:rsid w:val="00B33BEA"/>
    <w:rsid w:val="00B57C9F"/>
    <w:rsid w:val="00B845B3"/>
    <w:rsid w:val="00B85D8B"/>
    <w:rsid w:val="00B9552D"/>
    <w:rsid w:val="00B958AB"/>
    <w:rsid w:val="00BE3674"/>
    <w:rsid w:val="00C3049A"/>
    <w:rsid w:val="00C31B1E"/>
    <w:rsid w:val="00C77645"/>
    <w:rsid w:val="00CA3E55"/>
    <w:rsid w:val="00CE04C3"/>
    <w:rsid w:val="00CE76A0"/>
    <w:rsid w:val="00D148C6"/>
    <w:rsid w:val="00D36499"/>
    <w:rsid w:val="00D514AC"/>
    <w:rsid w:val="00D944D3"/>
    <w:rsid w:val="00DD06FF"/>
    <w:rsid w:val="00DD5FE9"/>
    <w:rsid w:val="00E00C7A"/>
    <w:rsid w:val="00E01A3F"/>
    <w:rsid w:val="00E55B68"/>
    <w:rsid w:val="00E83157"/>
    <w:rsid w:val="00EF0590"/>
    <w:rsid w:val="00F74360"/>
    <w:rsid w:val="00FB462F"/>
    <w:rsid w:val="00FC3C00"/>
    <w:rsid w:val="00FC53B3"/>
    <w:rsid w:val="00FE16FA"/>
    <w:rsid w:val="00FE328A"/>
    <w:rsid w:val="4F311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uiPriority w:val="99"/>
    <w:rPr>
      <w:sz w:val="18"/>
      <w:szCs w:val="18"/>
    </w:rPr>
  </w:style>
  <w:style w:type="character" w:customStyle="1" w:styleId="12">
    <w:name w:val="15"/>
    <w:basedOn w:val="6"/>
    <w:qFormat/>
    <w:uiPriority w:val="0"/>
    <w:rPr>
      <w:rFonts w:hint="default" w:ascii="Times New Roman" w:hAnsi="Times New Roman" w:eastAsia="楷体_GB2312" w:cs="楷体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D26AC-1E54-428D-A418-00196D9274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2465</Words>
  <Characters>14054</Characters>
  <Lines>117</Lines>
  <Paragraphs>32</Paragraphs>
  <TotalTime>715</TotalTime>
  <ScaleCrop>false</ScaleCrop>
  <LinksUpToDate>false</LinksUpToDate>
  <CharactersWithSpaces>16487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珠婷</cp:lastModifiedBy>
  <cp:lastPrinted>2020-07-15T07:25:00Z</cp:lastPrinted>
  <dcterms:modified xsi:type="dcterms:W3CDTF">2020-08-31T01:56:41Z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