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textAlignment w:val="auto"/>
        <w:outlineLvl w:val="9"/>
        <w:rPr>
          <w:rFonts w:hint="default" w:ascii="Times New Roman" w:hAnsi="Times New Roman" w:eastAsia="楷体" w:cs="Times New Roman"/>
          <w:color w:val="000000" w:themeColor="text1"/>
          <w:spacing w:val="-23"/>
          <w:w w:val="8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spacing w:val="-23"/>
          <w:w w:val="8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ZZCR</w:t>
      </w:r>
      <w:r>
        <w:rPr>
          <w:rFonts w:hint="eastAsia" w:ascii="宋体" w:hAnsi="宋体" w:eastAsia="宋体" w:cs="宋体"/>
          <w:color w:val="000000" w:themeColor="text1"/>
          <w:spacing w:val="-23"/>
          <w:w w:val="8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－</w:t>
      </w:r>
      <w:r>
        <w:rPr>
          <w:rFonts w:hint="default" w:ascii="Times New Roman" w:hAnsi="Times New Roman" w:eastAsia="楷体" w:cs="Times New Roman"/>
          <w:color w:val="000000" w:themeColor="text1"/>
          <w:spacing w:val="-23"/>
          <w:w w:val="8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2020</w:t>
      </w:r>
      <w:r>
        <w:rPr>
          <w:rFonts w:hint="eastAsia" w:ascii="宋体" w:hAnsi="宋体" w:eastAsia="宋体" w:cs="宋体"/>
          <w:color w:val="000000" w:themeColor="text1"/>
          <w:spacing w:val="-23"/>
          <w:w w:val="8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－</w:t>
      </w:r>
      <w:r>
        <w:rPr>
          <w:rFonts w:hint="default" w:ascii="Times New Roman" w:hAnsi="Times New Roman" w:eastAsia="楷体" w:cs="Times New Roman"/>
          <w:color w:val="000000" w:themeColor="text1"/>
          <w:spacing w:val="-23"/>
          <w:w w:val="8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07001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textAlignment w:val="auto"/>
        <w:outlineLvl w:val="9"/>
        <w:rPr>
          <w:rFonts w:hint="default" w:ascii="Times New Roman" w:hAnsi="Times New Roman" w:eastAsia="方正小标宋简体" w:cs="Times New Roman"/>
          <w:color w:val="FF3300"/>
          <w:spacing w:val="-23"/>
          <w:w w:val="80"/>
          <w:sz w:val="96"/>
          <w:szCs w:val="96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9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488950</wp:posOffset>
                </wp:positionV>
                <wp:extent cx="4903470" cy="2064385"/>
                <wp:effectExtent l="0" t="0" r="11430" b="1206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18210" y="1020445"/>
                          <a:ext cx="4903470" cy="2064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000" w:lineRule="exact"/>
                              <w:jc w:val="distribute"/>
                              <w:textAlignment w:val="auto"/>
                              <w:outlineLvl w:val="9"/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3300"/>
                                <w:spacing w:val="0"/>
                                <w:w w:val="50"/>
                                <w:sz w:val="96"/>
                                <w:szCs w:val="9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3300"/>
                                <w:spacing w:val="0"/>
                                <w:w w:val="50"/>
                                <w:sz w:val="96"/>
                                <w:szCs w:val="96"/>
                                <w:lang w:val="en-US" w:eastAsia="zh-CN"/>
                              </w:rPr>
                              <w:t>株洲市民政局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000" w:lineRule="exact"/>
                              <w:jc w:val="distribute"/>
                              <w:textAlignment w:val="auto"/>
                              <w:outlineLvl w:val="9"/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3300"/>
                                <w:spacing w:val="0"/>
                                <w:w w:val="50"/>
                                <w:sz w:val="96"/>
                                <w:szCs w:val="9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3300"/>
                                <w:spacing w:val="0"/>
                                <w:w w:val="50"/>
                                <w:sz w:val="96"/>
                                <w:szCs w:val="96"/>
                                <w:lang w:val="en-US" w:eastAsia="zh-CN"/>
                              </w:rPr>
                              <w:t>株洲市财政局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000" w:lineRule="exact"/>
                              <w:jc w:val="distribute"/>
                              <w:textAlignment w:val="auto"/>
                              <w:outlineLvl w:val="9"/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3300"/>
                                <w:spacing w:val="0"/>
                                <w:w w:val="50"/>
                                <w:sz w:val="96"/>
                                <w:szCs w:val="9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3300"/>
                                <w:spacing w:val="0"/>
                                <w:w w:val="50"/>
                                <w:sz w:val="96"/>
                                <w:szCs w:val="96"/>
                                <w:lang w:val="en-US" w:eastAsia="zh-CN"/>
                              </w:rPr>
                              <w:t>株洲市发展和改革委员会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.6pt;margin-top:38.5pt;height:162.55pt;width:386.1pt;z-index:251661312;mso-width-relative:page;mso-height-relative:page;" fillcolor="#FFFFFF [3201]" filled="t" stroked="f" coordsize="21600,21600" o:gfxdata="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BoHtsPVAAAACQEAAA8AAAAAAAAAAQAgAAAAIgAAAGRy&#10;cy9kb3ducmV2LnhtbFBLAQIUABQAAAAIAIdO4kCmthraQQIAAE0EAAAOAAAAAAAAAAEAIAAAACQB&#10;AABkcnMvZTJvRG9jLnhtbFBLBQYAAAAABgAGAFkBAADX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000" w:lineRule="exact"/>
                        <w:jc w:val="distribute"/>
                        <w:textAlignment w:val="auto"/>
                        <w:outlineLvl w:val="9"/>
                        <w:rPr>
                          <w:rFonts w:hint="eastAsia" w:ascii="方正小标宋简体" w:hAnsi="方正小标宋简体" w:eastAsia="方正小标宋简体" w:cs="方正小标宋简体"/>
                          <w:color w:val="FF3300"/>
                          <w:spacing w:val="0"/>
                          <w:w w:val="50"/>
                          <w:sz w:val="96"/>
                          <w:szCs w:val="96"/>
                          <w:lang w:val="en-US" w:eastAsia="zh-CN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FF3300"/>
                          <w:spacing w:val="0"/>
                          <w:w w:val="50"/>
                          <w:sz w:val="96"/>
                          <w:szCs w:val="96"/>
                          <w:lang w:val="en-US" w:eastAsia="zh-CN"/>
                        </w:rPr>
                        <w:t>株洲市民政局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000" w:lineRule="exact"/>
                        <w:jc w:val="distribute"/>
                        <w:textAlignment w:val="auto"/>
                        <w:outlineLvl w:val="9"/>
                        <w:rPr>
                          <w:rFonts w:hint="eastAsia" w:ascii="方正小标宋简体" w:hAnsi="方正小标宋简体" w:eastAsia="方正小标宋简体" w:cs="方正小标宋简体"/>
                          <w:color w:val="FF3300"/>
                          <w:spacing w:val="0"/>
                          <w:w w:val="50"/>
                          <w:sz w:val="96"/>
                          <w:szCs w:val="96"/>
                          <w:lang w:val="en-US" w:eastAsia="zh-CN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FF3300"/>
                          <w:spacing w:val="0"/>
                          <w:w w:val="50"/>
                          <w:sz w:val="96"/>
                          <w:szCs w:val="96"/>
                          <w:lang w:val="en-US" w:eastAsia="zh-CN"/>
                        </w:rPr>
                        <w:t>株洲市财政局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000" w:lineRule="exact"/>
                        <w:jc w:val="distribute"/>
                        <w:textAlignment w:val="auto"/>
                        <w:outlineLvl w:val="9"/>
                        <w:rPr>
                          <w:rFonts w:hint="eastAsia" w:ascii="方正小标宋简体" w:hAnsi="方正小标宋简体" w:eastAsia="方正小标宋简体" w:cs="方正小标宋简体"/>
                          <w:color w:val="FF3300"/>
                          <w:spacing w:val="0"/>
                          <w:w w:val="50"/>
                          <w:sz w:val="96"/>
                          <w:szCs w:val="96"/>
                          <w:lang w:val="en-US" w:eastAsia="zh-CN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FF3300"/>
                          <w:spacing w:val="0"/>
                          <w:w w:val="50"/>
                          <w:sz w:val="96"/>
                          <w:szCs w:val="96"/>
                          <w:lang w:val="en-US" w:eastAsia="zh-CN"/>
                        </w:rPr>
                        <w:t>株洲市发展和改革委员会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textAlignment w:val="auto"/>
        <w:outlineLvl w:val="9"/>
        <w:rPr>
          <w:rFonts w:hint="default" w:ascii="Times New Roman" w:hAnsi="Times New Roman" w:eastAsia="方正小标宋简体" w:cs="Times New Roman"/>
          <w:color w:val="FF3300"/>
          <w:spacing w:val="-23"/>
          <w:w w:val="80"/>
          <w:sz w:val="96"/>
          <w:szCs w:val="96"/>
        </w:rPr>
      </w:pPr>
      <w:r>
        <w:rPr>
          <w:rFonts w:hint="default" w:ascii="Times New Roman" w:hAnsi="Times New Roman" w:cs="Times New Roman"/>
          <w:sz w:val="9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4881245</wp:posOffset>
                </wp:positionH>
                <wp:positionV relativeFrom="paragraph">
                  <wp:posOffset>548640</wp:posOffset>
                </wp:positionV>
                <wp:extent cx="1199515" cy="827405"/>
                <wp:effectExtent l="0" t="0" r="635" b="1079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775960" y="2990215"/>
                          <a:ext cx="1199515" cy="827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000" w:lineRule="exact"/>
                              <w:textAlignment w:val="auto"/>
                              <w:outlineLvl w:val="9"/>
                              <w:rPr>
                                <w:rFonts w:hint="default" w:ascii="Times New Roman" w:hAnsi="Times New Roman" w:eastAsia="方正小标宋简体" w:cs="Times New Roman"/>
                                <w:color w:val="FF3300"/>
                                <w:w w:val="75"/>
                                <w:sz w:val="96"/>
                                <w:szCs w:val="96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方正小标宋简体" w:cs="Times New Roman"/>
                                <w:color w:val="FF3300"/>
                                <w:w w:val="75"/>
                                <w:sz w:val="96"/>
                                <w:szCs w:val="96"/>
                                <w:lang w:val="en-US" w:eastAsia="zh-CN"/>
                              </w:rPr>
                              <w:t>文件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4.35pt;margin-top:43.2pt;height:65.15pt;width:94.45pt;z-index:251662336;mso-width-relative:page;mso-height-relative:page;" fillcolor="#FFFFFF [3201]" filled="t" stroked="f" coordsize="21600,21600" o:gfxdata="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4stkG1gAAAAoBAAAPAAAAAAAAAAEAIAAAACIAAABk&#10;cnMvZG93bnJldi54bWxQSwECFAAUAAAACACHTuJASPrtvkECAABNBAAADgAAAAAAAAABACAAAAAl&#10;AQAAZHJzL2Uyb0RvYy54bWxQSwUGAAAAAAYABgBZAQAA2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000" w:lineRule="exact"/>
                        <w:textAlignment w:val="auto"/>
                        <w:outlineLvl w:val="9"/>
                        <w:rPr>
                          <w:rFonts w:hint="default" w:ascii="Times New Roman" w:hAnsi="Times New Roman" w:eastAsia="方正小标宋简体" w:cs="Times New Roman"/>
                          <w:color w:val="FF3300"/>
                          <w:w w:val="75"/>
                          <w:sz w:val="96"/>
                          <w:szCs w:val="96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eastAsia="方正小标宋简体" w:cs="Times New Roman"/>
                          <w:color w:val="FF3300"/>
                          <w:w w:val="75"/>
                          <w:sz w:val="96"/>
                          <w:szCs w:val="96"/>
                          <w:lang w:val="en-US" w:eastAsia="zh-CN"/>
                        </w:rPr>
                        <w:t>文件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textAlignment w:val="auto"/>
        <w:outlineLvl w:val="9"/>
        <w:rPr>
          <w:rFonts w:hint="default" w:ascii="Times New Roman" w:hAnsi="Times New Roman" w:eastAsia="方正小标宋简体" w:cs="Times New Roman"/>
          <w:color w:val="FF3300"/>
          <w:spacing w:val="-23"/>
          <w:w w:val="80"/>
          <w:sz w:val="96"/>
          <w:szCs w:val="9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color w:val="FF3300"/>
          <w:w w:val="67"/>
          <w:sz w:val="96"/>
          <w:szCs w:val="96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-234315</wp:posOffset>
                </wp:positionH>
                <wp:positionV relativeFrom="paragraph">
                  <wp:posOffset>480060</wp:posOffset>
                </wp:positionV>
                <wp:extent cx="5934075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51180" y="6874510"/>
                          <a:ext cx="59340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8.45pt;margin-top:37.8pt;height:0pt;width:467.25pt;z-index:251660288;mso-width-relative:page;mso-height-relative:page;" filled="f" stroked="t" coordsize="21600,21600" o:gfxdata="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BPcDV1QAAAAkBAAAPAAAAAAAAAAEA&#10;IAAAACIAAABkcnMvZG93bnJldi54bWxQSwECFAAUAAAACACHTuJAoTC41dkBAABvAwAADgAAAAAA&#10;AAABACAAAAAkAQAAZHJzL2Uyb0RvYy54bWxQSwUGAAAAAAYABgBZAQAAbwUAAAAA&#10;">
                <v:fill on="f" focussize="0,0"/>
                <v:stroke weight="1.5pt" color="#FF0000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株民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发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〔20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〕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关于印发《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株洲市惠民礼葬实施办法（试行）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》的通知</w:t>
      </w:r>
    </w:p>
    <w:p>
      <w:pPr>
        <w:jc w:val="both"/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textAlignment w:val="auto"/>
        <w:outlineLvl w:val="9"/>
        <w:rPr>
          <w:rFonts w:hint="default" w:ascii="Times New Roman" w:hAnsi="Times New Roman" w:eastAsia="仿宋_GB2312" w:cs="Times New Roman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各区民政局、财政局、发展改革局：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现将《株洲市惠民礼葬实施办法（试行）》印发给你们，请结合实际抓好贯彻落实。</w:t>
      </w:r>
    </w:p>
    <w:p>
      <w:pPr>
        <w:snapToGrid w:val="0"/>
        <w:spacing w:line="580" w:lineRule="exact"/>
        <w:rPr>
          <w:rFonts w:hint="default" w:ascii="Times New Roman" w:hAnsi="Times New Roman" w:eastAsia="仿宋_GB2312" w:cs="Times New Roman"/>
          <w:szCs w:val="32"/>
          <w:lang w:val="en-US" w:eastAsia="zh-CN"/>
        </w:rPr>
      </w:pPr>
    </w:p>
    <w:p>
      <w:pPr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Cs w:val="32"/>
          <w:lang w:val="en-US" w:eastAsia="zh-CN"/>
        </w:rPr>
      </w:pPr>
    </w:p>
    <w:p>
      <w:pPr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株洲市民政局                株洲市财政局</w:t>
      </w:r>
    </w:p>
    <w:p>
      <w:pPr>
        <w:snapToGrid w:val="0"/>
        <w:spacing w:line="580" w:lineRule="exact"/>
        <w:rPr>
          <w:rFonts w:hint="default" w:ascii="Times New Roman" w:hAnsi="Times New Roman" w:eastAsia="仿宋_GB2312" w:cs="Times New Roman"/>
          <w:szCs w:val="32"/>
          <w:lang w:val="en-US" w:eastAsia="zh-CN"/>
        </w:rPr>
      </w:pPr>
    </w:p>
    <w:p>
      <w:pPr>
        <w:snapToGrid w:val="0"/>
        <w:spacing w:line="580" w:lineRule="exact"/>
        <w:ind w:firstLine="2240" w:firstLineChars="700"/>
        <w:rPr>
          <w:rFonts w:hint="default" w:ascii="Times New Roman" w:hAnsi="Times New Roman" w:eastAsia="仿宋_GB2312" w:cs="Times New Roman"/>
          <w:szCs w:val="32"/>
          <w:lang w:val="en-US" w:eastAsia="zh-CN"/>
        </w:rPr>
      </w:pPr>
    </w:p>
    <w:p>
      <w:pPr>
        <w:snapToGrid w:val="0"/>
        <w:spacing w:line="580" w:lineRule="exact"/>
        <w:ind w:firstLine="2240" w:firstLineChars="700"/>
        <w:rPr>
          <w:rFonts w:hint="default" w:ascii="Times New Roman" w:hAnsi="Times New Roman" w:eastAsia="仿宋_GB2312" w:cs="Times New Roman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株洲市发展</w:t>
      </w:r>
      <w:r>
        <w:rPr>
          <w:rFonts w:hint="eastAsia" w:ascii="Times New Roman" w:hAnsi="Times New Roman" w:cs="Times New Roman"/>
          <w:szCs w:val="32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改革委员会</w:t>
      </w:r>
    </w:p>
    <w:p>
      <w:pPr>
        <w:snapToGrid w:val="0"/>
        <w:spacing w:line="580" w:lineRule="exact"/>
        <w:ind w:firstLine="2880" w:firstLineChars="900"/>
        <w:rPr>
          <w:rFonts w:hint="default" w:ascii="Times New Roman" w:hAnsi="Times New Roman" w:eastAsia="仿宋_GB2312" w:cs="Times New Roman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 xml:space="preserve">2020年3月20日 </w:t>
      </w:r>
    </w:p>
    <w:p>
      <w:pPr>
        <w:snapToGrid w:val="0"/>
        <w:spacing w:line="580" w:lineRule="exact"/>
        <w:jc w:val="center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株洲市惠民礼葬实施办法（试行）</w:t>
      </w:r>
    </w:p>
    <w:p>
      <w:pPr>
        <w:snapToGrid w:val="0"/>
        <w:spacing w:line="580" w:lineRule="exact"/>
        <w:jc w:val="center"/>
        <w:rPr>
          <w:rFonts w:hint="default" w:ascii="Times New Roman" w:hAnsi="Times New Roman" w:eastAsia="方正小标宋简体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为进一步深化殡葬改革，凸显殡葬服务公益性，保障人民群众基本丧葬权益，革除丧葬陋俗，树立文明节俭办丧事的新风尚，推行节地生态安葬，保护生态环境，根据中办、国办印发的《关于党员干部带头推动殡葬改革的意见》（中办发〔2013〕23号）和民政部等九部门印发的《关于推进节地生态安葬的指导意见》（民发〔2016〕21号）等文件精神，制定本实施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szCs w:val="32"/>
        </w:rPr>
      </w:pPr>
      <w:r>
        <w:rPr>
          <w:rFonts w:hint="default" w:ascii="Times New Roman" w:hAnsi="Times New Roman" w:eastAsia="黑体" w:cs="Times New Roman"/>
          <w:szCs w:val="32"/>
        </w:rPr>
        <w:t>一、免除基本殡葬服务费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3" w:firstLineChars="200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Cs w:val="32"/>
        </w:rPr>
        <w:t>（一）免除对象及条件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Cs w:val="32"/>
        </w:rPr>
        <w:t>1、逝者具有株洲市城区（天元区、芦淞区、荷塘区、石峰区、云龙示范区）户籍</w:t>
      </w:r>
      <w:r>
        <w:rPr>
          <w:rFonts w:hint="default" w:ascii="Times New Roman" w:hAnsi="Times New Roman" w:eastAsia="仿宋_GB2312" w:cs="Times New Roman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2、逝者家属应当在逝者死亡的当天，向</w:t>
      </w:r>
      <w:r>
        <w:rPr>
          <w:rFonts w:hint="default" w:ascii="Times New Roman" w:hAnsi="Times New Roman" w:eastAsia="仿宋_GB2312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default" w:ascii="Times New Roman" w:hAnsi="Times New Roman" w:eastAsia="仿宋_GB2312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殡葬管理部门</w:t>
      </w:r>
      <w:r>
        <w:rPr>
          <w:rFonts w:hint="default" w:ascii="Times New Roman" w:hAnsi="Times New Roman" w:eastAsia="仿宋_GB2312" w:cs="Times New Roman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逝者户籍所在社区</w:t>
      </w:r>
      <w:r>
        <w:rPr>
          <w:rFonts w:hint="default" w:ascii="Times New Roman" w:hAnsi="Times New Roman" w:eastAsia="仿宋_GB2312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报备。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由</w:t>
      </w:r>
      <w:r>
        <w:rPr>
          <w:rFonts w:hint="default" w:ascii="Times New Roman" w:hAnsi="Times New Roman" w:eastAsia="仿宋_GB2312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default" w:ascii="Times New Roman" w:hAnsi="Times New Roman" w:eastAsia="仿宋_GB2312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殡葬管理部门</w:t>
      </w:r>
      <w:r>
        <w:rPr>
          <w:rFonts w:hint="default" w:ascii="Times New Roman" w:hAnsi="Times New Roman" w:eastAsia="仿宋_GB2312" w:cs="Times New Roman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指</w:t>
      </w:r>
      <w:r>
        <w:rPr>
          <w:rFonts w:hint="default" w:ascii="Times New Roman" w:hAnsi="Times New Roman" w:eastAsia="仿宋_GB2312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定遗体接运车辆将</w:t>
      </w:r>
      <w:r>
        <w:rPr>
          <w:rFonts w:hint="default" w:ascii="Times New Roman" w:hAnsi="Times New Roman" w:eastAsia="仿宋_GB2312" w:cs="Times New Roman"/>
          <w:szCs w:val="32"/>
        </w:rPr>
        <w:t>遗体运送到殡仪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馆</w:t>
      </w:r>
      <w:r>
        <w:rPr>
          <w:rFonts w:hint="default" w:ascii="Times New Roman" w:hAnsi="Times New Roman" w:eastAsia="仿宋_GB2312" w:cs="Times New Roman"/>
          <w:szCs w:val="32"/>
        </w:rPr>
        <w:t>进行冷存，或者直接进“文明悼念厅”举行遗体告别仪式后火化。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3、遗体冷存期间不举行治丧活动。提倡以家庭祭奠方式取代传统的治丧活动，允许逝者家属在家里设立逝者遗像，进行简单悼念活动。家庭祭奠时没有发生在小区、道路边等公共场所搭棚治丧、燃放烟花爆竹、从事封建迷信活动和其他违规操办丧事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4、遗体火化前，选择在“文明悼念厅”举行遗体告别仪式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Cs w:val="32"/>
        </w:rPr>
        <w:t>，告别仪式不超过2小时。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Cs w:val="32"/>
        </w:rPr>
        <w:t>5、逝者骨灰应当合法安葬（在合法公墓安葬或通过其他合法方式处理），没有发生骨灰装棺再葬、乱埋乱葬、修建大墓和硬化墓等殡葬违规行为</w:t>
      </w:r>
      <w:r>
        <w:rPr>
          <w:rFonts w:hint="default" w:ascii="Times New Roman" w:hAnsi="Times New Roman" w:eastAsia="仿宋_GB2312" w:cs="Times New Roman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Cs w:val="32"/>
        </w:rPr>
        <w:t>（二）免费标准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Cs w:val="32"/>
        </w:rPr>
        <w:t>符合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上述全部</w:t>
      </w:r>
      <w:r>
        <w:rPr>
          <w:rFonts w:hint="default" w:ascii="Times New Roman" w:hAnsi="Times New Roman" w:eastAsia="仿宋_GB2312" w:cs="Times New Roman"/>
          <w:szCs w:val="32"/>
        </w:rPr>
        <w:t>条件的，免除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普通殡仪车</w:t>
      </w:r>
      <w:r>
        <w:rPr>
          <w:rFonts w:hint="default" w:ascii="Times New Roman" w:hAnsi="Times New Roman" w:eastAsia="仿宋_GB2312" w:cs="Times New Roman"/>
          <w:szCs w:val="32"/>
        </w:rPr>
        <w:t>遗体接运费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190元</w:t>
      </w:r>
      <w:r>
        <w:rPr>
          <w:rFonts w:hint="default" w:ascii="Times New Roman" w:hAnsi="Times New Roman" w:eastAsia="仿宋_GB2312" w:cs="Times New Roman"/>
          <w:szCs w:val="32"/>
        </w:rPr>
        <w:t>、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普通冷藏（冻）柜遗体存放</w:t>
      </w:r>
      <w:r>
        <w:rPr>
          <w:rFonts w:hint="default" w:ascii="Times New Roman" w:hAnsi="Times New Roman" w:eastAsia="仿宋_GB2312" w:cs="Times New Roman"/>
          <w:szCs w:val="32"/>
        </w:rPr>
        <w:t>费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400元</w:t>
      </w:r>
      <w:r>
        <w:rPr>
          <w:rFonts w:hint="default" w:ascii="Times New Roman" w:hAnsi="Times New Roman" w:eastAsia="仿宋_GB2312" w:cs="Times New Roman"/>
          <w:szCs w:val="32"/>
        </w:rPr>
        <w:t>、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卫生</w:t>
      </w:r>
      <w:r>
        <w:rPr>
          <w:rFonts w:hint="default" w:ascii="Times New Roman" w:hAnsi="Times New Roman" w:eastAsia="仿宋_GB2312" w:cs="Times New Roman"/>
          <w:szCs w:val="32"/>
        </w:rPr>
        <w:t>纸棺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费230元</w:t>
      </w:r>
      <w:r>
        <w:rPr>
          <w:rFonts w:hint="default" w:ascii="Times New Roman" w:hAnsi="Times New Roman" w:eastAsia="仿宋_GB2312" w:cs="Times New Roman"/>
          <w:szCs w:val="32"/>
        </w:rPr>
        <w:t>、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平板式普通火化机遗体</w:t>
      </w:r>
      <w:r>
        <w:rPr>
          <w:rFonts w:hint="default" w:ascii="Times New Roman" w:hAnsi="Times New Roman" w:eastAsia="仿宋_GB2312" w:cs="Times New Roman"/>
          <w:szCs w:val="32"/>
        </w:rPr>
        <w:t>火化费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380元</w:t>
      </w:r>
      <w:r>
        <w:rPr>
          <w:rFonts w:hint="default" w:ascii="Times New Roman" w:hAnsi="Times New Roman" w:eastAsia="仿宋_GB2312" w:cs="Times New Roman"/>
          <w:szCs w:val="32"/>
        </w:rPr>
        <w:t>、骨灰盒费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200元</w:t>
      </w:r>
      <w:r>
        <w:rPr>
          <w:rFonts w:hint="default" w:ascii="Times New Roman" w:hAnsi="Times New Roman" w:eastAsia="仿宋_GB2312" w:cs="Times New Roman"/>
          <w:szCs w:val="32"/>
        </w:rPr>
        <w:t>、骨灰寄存费</w:t>
      </w:r>
      <w:r>
        <w:rPr>
          <w:rFonts w:hint="default" w:ascii="Times New Roman" w:hAnsi="Times New Roman" w:eastAsia="仿宋_GB2312" w:cs="Times New Roman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一年内</w:t>
      </w:r>
      <w:r>
        <w:rPr>
          <w:rFonts w:hint="default" w:ascii="Times New Roman" w:hAnsi="Times New Roman" w:eastAsia="仿宋_GB2312" w:cs="Times New Roman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72元、</w:t>
      </w:r>
      <w:r>
        <w:rPr>
          <w:rFonts w:hint="default" w:ascii="Times New Roman" w:hAnsi="Times New Roman" w:eastAsia="仿宋_GB2312" w:cs="Times New Roman"/>
          <w:szCs w:val="32"/>
        </w:rPr>
        <w:t>2小时内 “文明悼念厅”厅租费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及其他费用</w:t>
      </w:r>
      <w:r>
        <w:rPr>
          <w:rFonts w:hint="default" w:ascii="Times New Roman" w:hAnsi="Times New Roman" w:eastAsia="仿宋_GB2312" w:cs="Times New Roman"/>
          <w:szCs w:val="32"/>
        </w:rPr>
        <w:t>2860元</w:t>
      </w:r>
      <w:r>
        <w:rPr>
          <w:rFonts w:hint="default" w:ascii="Times New Roman" w:hAnsi="Times New Roman" w:eastAsia="仿宋_GB2312" w:cs="Times New Roman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Cs w:val="32"/>
        </w:rPr>
        <w:t>免除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总</w:t>
      </w:r>
      <w:r>
        <w:rPr>
          <w:rFonts w:hint="default" w:ascii="Times New Roman" w:hAnsi="Times New Roman" w:eastAsia="仿宋_GB2312" w:cs="Times New Roman"/>
          <w:szCs w:val="32"/>
        </w:rPr>
        <w:t>费用不超过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4332</w:t>
      </w:r>
      <w:r>
        <w:rPr>
          <w:rFonts w:hint="default" w:ascii="Times New Roman" w:hAnsi="Times New Roman" w:eastAsia="仿宋_GB2312" w:cs="Times New Roman"/>
          <w:szCs w:val="32"/>
        </w:rPr>
        <w:t>元</w:t>
      </w:r>
      <w:r>
        <w:rPr>
          <w:rFonts w:hint="default" w:ascii="Times New Roman" w:hAnsi="Times New Roman" w:eastAsia="仿宋_GB2312" w:cs="Times New Roman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Cs w:val="32"/>
        </w:rPr>
        <w:t>据实结算，节余不返，超标部分，由丧属自理。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已享受</w:t>
      </w:r>
      <w:r>
        <w:rPr>
          <w:rFonts w:hint="eastAsia" w:ascii="Times New Roman" w:hAnsi="Times New Roman" w:cs="Times New Roman"/>
          <w:szCs w:val="32"/>
          <w:lang w:val="en-US" w:eastAsia="zh-CN"/>
        </w:rPr>
        <w:t>相关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政策的城乡困难群众，不重复免除基本殡葬服务费。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Cs w:val="32"/>
        </w:rPr>
        <w:t>（三）办理程序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Cs w:val="32"/>
        </w:rPr>
        <w:t>1、</w:t>
      </w:r>
      <w:r>
        <w:rPr>
          <w:rFonts w:hint="default" w:ascii="Times New Roman" w:hAnsi="Times New Roman" w:eastAsia="仿宋_GB2312" w:cs="Times New Roman"/>
          <w:b/>
          <w:bCs/>
          <w:szCs w:val="32"/>
          <w:lang w:val="en-US" w:eastAsia="zh-CN"/>
        </w:rPr>
        <w:t>申办程序。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申请</w:t>
      </w:r>
      <w:r>
        <w:rPr>
          <w:rFonts w:hint="default" w:ascii="Times New Roman" w:hAnsi="Times New Roman" w:eastAsia="仿宋_GB2312" w:cs="Times New Roman"/>
          <w:szCs w:val="32"/>
        </w:rPr>
        <w:t>人持逝者身份证</w:t>
      </w:r>
      <w:r>
        <w:rPr>
          <w:rFonts w:hint="default" w:ascii="Times New Roman" w:hAnsi="Times New Roman" w:eastAsia="仿宋_GB2312" w:cs="Times New Roman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Cs w:val="32"/>
        </w:rPr>
        <w:t>遗体火化（或其他合法方式处理）证明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原件</w:t>
      </w:r>
      <w:r>
        <w:rPr>
          <w:rFonts w:hint="default" w:ascii="Times New Roman" w:hAnsi="Times New Roman" w:eastAsia="仿宋_GB2312" w:cs="Times New Roman"/>
          <w:szCs w:val="32"/>
        </w:rPr>
        <w:t>、丧事相关费用发票原件和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申请</w:t>
      </w:r>
      <w:r>
        <w:rPr>
          <w:rFonts w:hint="default" w:ascii="Times New Roman" w:hAnsi="Times New Roman" w:eastAsia="仿宋_GB2312" w:cs="Times New Roman"/>
          <w:szCs w:val="32"/>
        </w:rPr>
        <w:t>身份证原件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和复印件及银行储蓄卡，在逝者安葬当月或下月内到逝者户籍所在地社区（村）领取并填写《株洲市免除基本殡葬服务费申请表》，交社区（村）审核。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bCs/>
          <w:szCs w:val="32"/>
        </w:rPr>
        <w:t>、</w:t>
      </w:r>
      <w:r>
        <w:rPr>
          <w:rFonts w:hint="default" w:ascii="Times New Roman" w:hAnsi="Times New Roman" w:eastAsia="仿宋_GB2312" w:cs="Times New Roman"/>
          <w:b/>
          <w:bCs/>
          <w:szCs w:val="32"/>
          <w:lang w:val="en-US" w:eastAsia="zh-CN"/>
        </w:rPr>
        <w:t>审批程序。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社区（村）对是否存在</w:t>
      </w:r>
      <w:r>
        <w:rPr>
          <w:rFonts w:hint="default" w:ascii="Times New Roman" w:hAnsi="Times New Roman" w:eastAsia="仿宋_GB2312" w:cs="Times New Roman"/>
          <w:szCs w:val="32"/>
        </w:rPr>
        <w:t>在小区、道路边等公共场所搭棚治丧、燃放烟花爆竹、从事封建迷信活动和其他违规操办丧事情况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和消费金额进行审核并签署意见，经乡镇（街道）复核后，报区民政局审批</w:t>
      </w:r>
      <w:r>
        <w:rPr>
          <w:rFonts w:hint="default" w:ascii="Times New Roman" w:hAnsi="Times New Roman" w:eastAsia="仿宋_GB2312" w:cs="Times New Roman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Cs w:val="32"/>
        </w:rPr>
        <w:t>（四）经费保障</w:t>
      </w:r>
      <w:r>
        <w:rPr>
          <w:rFonts w:hint="default" w:ascii="Times New Roman" w:hAnsi="Times New Roman" w:eastAsia="楷体_GB2312" w:cs="Times New Roman"/>
          <w:b/>
          <w:bCs/>
          <w:szCs w:val="32"/>
          <w:lang w:val="en-US" w:eastAsia="zh-CN"/>
        </w:rPr>
        <w:t>及拨付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Cs w:val="32"/>
        </w:rPr>
        <w:t>城区免除基本丧葬服务经费纳入市财政预算。市殡葬管理部门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每季度根据区民政部门审批情况制定分配方案，</w:t>
      </w:r>
      <w:r>
        <w:rPr>
          <w:rFonts w:hint="default" w:ascii="Times New Roman" w:hAnsi="Times New Roman" w:eastAsia="仿宋_GB2312" w:cs="Times New Roman"/>
          <w:szCs w:val="32"/>
        </w:rPr>
        <w:t>经市民政局和市财政局审核后拨付到</w:t>
      </w:r>
      <w:r>
        <w:rPr>
          <w:rFonts w:hint="default" w:ascii="Times New Roman" w:hAnsi="Times New Roman" w:eastAsia="仿宋_GB2312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各区民政局</w:t>
      </w:r>
      <w:r>
        <w:rPr>
          <w:rFonts w:hint="default" w:ascii="Times New Roman" w:hAnsi="Times New Roman" w:eastAsia="仿宋_GB2312" w:cs="Times New Roman"/>
          <w:szCs w:val="32"/>
        </w:rPr>
        <w:t>。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区民政局采取打到个人银行账户发放方式发放。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szCs w:val="32"/>
        </w:rPr>
      </w:pPr>
      <w:r>
        <w:rPr>
          <w:rFonts w:hint="default" w:ascii="Times New Roman" w:hAnsi="Times New Roman" w:eastAsia="黑体" w:cs="Times New Roman"/>
          <w:szCs w:val="32"/>
        </w:rPr>
        <w:t>二、节地生态安葬奖补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3" w:firstLineChars="200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Cs w:val="32"/>
        </w:rPr>
        <w:t>（一）奖补对象及条件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1、逝者具有株洲市城区（天元区、芦淞区、荷塘区、石峰区、云龙示范区）户籍，死亡后按殡葬法律法规实施火化。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2、在合法的殡仪馆办理丧事，没有发生在生活小区、公共场所搭棚治丧、燃放烟花爆竹、进行封建迷信活动和其他违规操办丧事的情形；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3、遗体火化后，选择节地生态安葬方式。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少占地安葬方式</w:t>
      </w:r>
      <w:r>
        <w:rPr>
          <w:rFonts w:hint="default" w:ascii="Times New Roman" w:hAnsi="Times New Roman" w:eastAsia="仿宋_GB2312" w:cs="Times New Roman"/>
          <w:szCs w:val="32"/>
        </w:rPr>
        <w:t>包括</w:t>
      </w:r>
      <w:r>
        <w:rPr>
          <w:rFonts w:hint="default" w:ascii="Times New Roman" w:hAnsi="Times New Roman" w:eastAsia="仿宋_GB2312" w:cs="Times New Roman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Cs w:val="32"/>
        </w:rPr>
        <w:t>在中心城区合法公墓内实施壁葬、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格位葬、</w:t>
      </w:r>
      <w:r>
        <w:rPr>
          <w:rFonts w:hint="default" w:ascii="Times New Roman" w:hAnsi="Times New Roman" w:eastAsia="仿宋_GB2312" w:cs="Times New Roman"/>
          <w:szCs w:val="32"/>
        </w:rPr>
        <w:t>树葬、草坪葬、花坛葬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等每葬位少于0.8平方米的安葬方式。不占地安葬方式包括：在区以上民政部门监督下进行的骨灰撒散（撒湖、撒江、撒山等）或使用可降解骨灰容器在中心城区合法公墓内实施骨灰深埋、不留坟头、不立碑的安葬方式</w:t>
      </w:r>
      <w:r>
        <w:rPr>
          <w:rFonts w:hint="default" w:ascii="Times New Roman" w:hAnsi="Times New Roman" w:eastAsia="仿宋_GB2312" w:cs="Times New Roman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3" w:firstLineChars="200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Cs w:val="32"/>
        </w:rPr>
        <w:t>（二）奖补标准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少占地安葬方式每例奖补1000元。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不占地安葬方式每例奖补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Cs w:val="32"/>
        </w:rPr>
        <w:t>000元。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3" w:firstLineChars="200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Cs w:val="32"/>
        </w:rPr>
        <w:t>（三）办理程序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Cs w:val="32"/>
        </w:rPr>
        <w:t>1、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申办程序。申请</w:t>
      </w:r>
      <w:r>
        <w:rPr>
          <w:rFonts w:hint="default" w:ascii="Times New Roman" w:hAnsi="Times New Roman" w:eastAsia="仿宋_GB2312" w:cs="Times New Roman"/>
          <w:szCs w:val="32"/>
        </w:rPr>
        <w:t>人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持</w:t>
      </w:r>
      <w:r>
        <w:rPr>
          <w:rFonts w:hint="default" w:ascii="Times New Roman" w:hAnsi="Times New Roman" w:eastAsia="仿宋_GB2312" w:cs="Times New Roman"/>
          <w:szCs w:val="32"/>
        </w:rPr>
        <w:t>逝者死亡证明、遗体火化（或其他合法方式处理）证明、身份证、公墓证和申请人身份证原件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和复印件及银行储蓄卡</w:t>
      </w:r>
      <w:r>
        <w:rPr>
          <w:rFonts w:hint="default" w:ascii="Times New Roman" w:hAnsi="Times New Roman" w:eastAsia="仿宋_GB2312" w:cs="Times New Roman"/>
          <w:szCs w:val="32"/>
        </w:rPr>
        <w:t>，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在逝者安葬当月或下月内到</w:t>
      </w:r>
      <w:r>
        <w:rPr>
          <w:rFonts w:hint="default" w:ascii="Times New Roman" w:hAnsi="Times New Roman" w:eastAsia="仿宋_GB2312" w:cs="Times New Roman"/>
          <w:szCs w:val="32"/>
        </w:rPr>
        <w:t>逝者户籍所在地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社区（村）领取并填写</w:t>
      </w:r>
      <w:r>
        <w:rPr>
          <w:rFonts w:hint="default" w:ascii="Times New Roman" w:hAnsi="Times New Roman" w:eastAsia="仿宋_GB2312" w:cs="Times New Roman"/>
          <w:szCs w:val="32"/>
        </w:rPr>
        <w:t>《株洲市节地生态安葬奖补申请表》</w:t>
      </w:r>
      <w:r>
        <w:rPr>
          <w:rFonts w:hint="default" w:ascii="Times New Roman" w:hAnsi="Times New Roman" w:eastAsia="仿宋_GB2312" w:cs="Times New Roman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交社区（村）审核</w:t>
      </w:r>
      <w:r>
        <w:rPr>
          <w:rFonts w:hint="default" w:ascii="Times New Roman" w:hAnsi="Times New Roman" w:eastAsia="仿宋_GB2312" w:cs="Times New Roman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Cs w:val="32"/>
        </w:rPr>
        <w:t>、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审批程序。社区（村）对是否存在</w:t>
      </w:r>
      <w:r>
        <w:rPr>
          <w:rFonts w:hint="default" w:ascii="Times New Roman" w:hAnsi="Times New Roman" w:eastAsia="仿宋_GB2312" w:cs="Times New Roman"/>
          <w:szCs w:val="32"/>
        </w:rPr>
        <w:t>在小区、道路边等公共场所搭棚治丧、燃放烟花爆竹、从事封建迷信活动和其他违规操办丧事情况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和奖励金额进行审核并签署意见，经乡镇（街道）复核后，报区民政局审批</w:t>
      </w:r>
      <w:r>
        <w:rPr>
          <w:rFonts w:hint="default" w:ascii="Times New Roman" w:hAnsi="Times New Roman" w:eastAsia="仿宋_GB2312" w:cs="Times New Roman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3" w:firstLineChars="200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Cs w:val="32"/>
        </w:rPr>
        <w:t>（四）经费保障</w:t>
      </w:r>
      <w:r>
        <w:rPr>
          <w:rFonts w:hint="default" w:ascii="Times New Roman" w:hAnsi="Times New Roman" w:eastAsia="楷体_GB2312" w:cs="Times New Roman"/>
          <w:b/>
          <w:bCs/>
          <w:szCs w:val="32"/>
          <w:lang w:val="en-US" w:eastAsia="zh-CN"/>
        </w:rPr>
        <w:t>及拨付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Cs w:val="32"/>
        </w:rPr>
        <w:t>节地生态安葬奖补经费纳入市财政预算。市殡葬管理部门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每季度根据区民政部门审批情况制定分配方案，</w:t>
      </w:r>
      <w:r>
        <w:rPr>
          <w:rFonts w:hint="default" w:ascii="Times New Roman" w:hAnsi="Times New Roman" w:eastAsia="仿宋_GB2312" w:cs="Times New Roman"/>
          <w:szCs w:val="32"/>
        </w:rPr>
        <w:t>经市民政局和市财政局审核后拨付到</w:t>
      </w:r>
      <w:r>
        <w:rPr>
          <w:rFonts w:hint="default" w:ascii="Times New Roman" w:hAnsi="Times New Roman" w:eastAsia="仿宋_GB2312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各区民政局</w:t>
      </w:r>
      <w:r>
        <w:rPr>
          <w:rFonts w:hint="default" w:ascii="Times New Roman" w:hAnsi="Times New Roman" w:eastAsia="仿宋_GB2312" w:cs="Times New Roman"/>
          <w:szCs w:val="32"/>
        </w:rPr>
        <w:t>。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区民政局采取打到个人银行账户发放方式发放。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Cs w:val="32"/>
          <w:lang w:eastAsia="zh-CN"/>
        </w:rPr>
        <w:t>组织实施和监督管理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1、实行惠民礼葬政策，体现了党和政府的惠民之心、爱民之举，是实施阳光殡葬，深化殡葬改革，推进移风易俗的一项重要举措。各级、各有关部门要采取多种形式、广泛宣传，尽快使惠民礼葬政策深入人心。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2、各级民政、财政部门要认真核实惠民礼葬费用，严把审核关，发现虚报免除和奖补费用的，要责令其限期清退，并追究相关责任人的责任。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3、各级民政部门要督促各殡葬服务单位完善各项规章制度，强化对工作人员的教育培训，优化服务环境，提高服务水平，确保基本公益丧葬需求，减轻群众治丧负担。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4、各街道（乡镇）、社区（村）要认真对待，严格把关，以此为契机，加强居民文明治丧、节俭治丧的引导工作。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szCs w:val="32"/>
        </w:rPr>
      </w:pPr>
      <w:r>
        <w:rPr>
          <w:rFonts w:hint="default" w:ascii="Times New Roman" w:hAnsi="Times New Roman" w:eastAsia="黑体" w:cs="Times New Roman"/>
          <w:szCs w:val="32"/>
          <w:lang w:val="en-US" w:eastAsia="zh-CN"/>
        </w:rPr>
        <w:t>四、</w:t>
      </w:r>
      <w:r>
        <w:rPr>
          <w:rFonts w:hint="default" w:ascii="Times New Roman" w:hAnsi="Times New Roman" w:eastAsia="黑体" w:cs="Times New Roman"/>
          <w:szCs w:val="32"/>
        </w:rPr>
        <w:t>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本办法由市民政局、市财政局</w:t>
      </w:r>
      <w:r>
        <w:rPr>
          <w:rFonts w:hint="default" w:ascii="Times New Roman" w:hAnsi="Times New Roman" w:eastAsia="仿宋_GB2312" w:cs="Times New Roman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市发展</w:t>
      </w:r>
      <w:r>
        <w:rPr>
          <w:rFonts w:hint="eastAsia" w:eastAsia="仿宋_GB2312" w:cs="Times New Roman"/>
          <w:szCs w:val="32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改革委员会</w:t>
      </w:r>
      <w:r>
        <w:rPr>
          <w:rFonts w:hint="default" w:ascii="Times New Roman" w:hAnsi="Times New Roman" w:eastAsia="仿宋_GB2312" w:cs="Times New Roman"/>
          <w:szCs w:val="32"/>
        </w:rPr>
        <w:t>负责解释，自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2020年4月1</w:t>
      </w:r>
      <w:r>
        <w:rPr>
          <w:rFonts w:hint="default" w:ascii="Times New Roman" w:hAnsi="Times New Roman" w:eastAsia="仿宋_GB2312" w:cs="Times New Roman"/>
          <w:szCs w:val="32"/>
        </w:rPr>
        <w:t>日起施行。</w:t>
      </w:r>
    </w:p>
    <w:p>
      <w:pPr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Cs w:val="32"/>
        </w:rPr>
      </w:pPr>
    </w:p>
    <w:p>
      <w:pPr>
        <w:rPr>
          <w:rFonts w:hint="default" w:ascii="Times New Roman" w:hAnsi="Times New Roman" w:cs="Times New Roman"/>
          <w:vanish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417" w:bottom="1440" w:left="1417" w:header="851" w:footer="992" w:gutter="0"/>
      <w:pgNumType w:fmt="numberInDash"/>
      <w:cols w:space="0" w:num="1"/>
      <w:rtlGutter w:val="0"/>
      <w:docGrid w:type="lines" w:linePitch="45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default" w:ascii="Times New Roman" w:hAnsi="Times New Roman" w:eastAsia="仿宋_GB2312" w:cs="Times New Roman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default" w:ascii="Times New Roman" w:hAnsi="Times New Roman" w:eastAsia="仿宋_GB2312" w:cs="Times New Roman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C5DA9"/>
    <w:multiLevelType w:val="singleLevel"/>
    <w:tmpl w:val="0B7C5DA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attachedTemplate r:id="rId1"/>
  <w:documentProtection w:enforcement="0"/>
  <w:defaultTabStop w:val="420"/>
  <w:drawingGridVerticalSpacing w:val="22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232552"/>
    <w:rsid w:val="002D57A3"/>
    <w:rsid w:val="01132220"/>
    <w:rsid w:val="01232552"/>
    <w:rsid w:val="01A536A0"/>
    <w:rsid w:val="01C14568"/>
    <w:rsid w:val="02716E60"/>
    <w:rsid w:val="031C0C1A"/>
    <w:rsid w:val="04A9057C"/>
    <w:rsid w:val="082778BA"/>
    <w:rsid w:val="08364CFF"/>
    <w:rsid w:val="0BB64869"/>
    <w:rsid w:val="0E681180"/>
    <w:rsid w:val="0F2616E2"/>
    <w:rsid w:val="0FD0343B"/>
    <w:rsid w:val="101A0B03"/>
    <w:rsid w:val="10495EB6"/>
    <w:rsid w:val="10A428DE"/>
    <w:rsid w:val="15C00215"/>
    <w:rsid w:val="1BE93291"/>
    <w:rsid w:val="1C7840C1"/>
    <w:rsid w:val="1F982347"/>
    <w:rsid w:val="2123763E"/>
    <w:rsid w:val="212933B7"/>
    <w:rsid w:val="22CC2CF1"/>
    <w:rsid w:val="23BB6D4C"/>
    <w:rsid w:val="27595CE3"/>
    <w:rsid w:val="2C8E5D50"/>
    <w:rsid w:val="30937734"/>
    <w:rsid w:val="30D95D7E"/>
    <w:rsid w:val="31B76EE9"/>
    <w:rsid w:val="3261492D"/>
    <w:rsid w:val="33A37335"/>
    <w:rsid w:val="368611D9"/>
    <w:rsid w:val="36A81FDB"/>
    <w:rsid w:val="37E51899"/>
    <w:rsid w:val="383E7F33"/>
    <w:rsid w:val="3C6E2205"/>
    <w:rsid w:val="3C935011"/>
    <w:rsid w:val="3E861C20"/>
    <w:rsid w:val="40676EC5"/>
    <w:rsid w:val="40E30EFD"/>
    <w:rsid w:val="431C2468"/>
    <w:rsid w:val="45FF3A92"/>
    <w:rsid w:val="46AA1957"/>
    <w:rsid w:val="47363A85"/>
    <w:rsid w:val="48F3028D"/>
    <w:rsid w:val="49F03401"/>
    <w:rsid w:val="4A5D432A"/>
    <w:rsid w:val="4AC705BF"/>
    <w:rsid w:val="4CF46434"/>
    <w:rsid w:val="4EAF49D9"/>
    <w:rsid w:val="53ED5A74"/>
    <w:rsid w:val="555D229E"/>
    <w:rsid w:val="566F61ED"/>
    <w:rsid w:val="575C3D0F"/>
    <w:rsid w:val="57C24F8E"/>
    <w:rsid w:val="585F5594"/>
    <w:rsid w:val="5B75010E"/>
    <w:rsid w:val="5C5E6F77"/>
    <w:rsid w:val="5D4C73B0"/>
    <w:rsid w:val="5F9D658B"/>
    <w:rsid w:val="60C3601F"/>
    <w:rsid w:val="62880C6A"/>
    <w:rsid w:val="633E5C4E"/>
    <w:rsid w:val="687C3661"/>
    <w:rsid w:val="69AB7C6C"/>
    <w:rsid w:val="6A0B7D56"/>
    <w:rsid w:val="6A481EAA"/>
    <w:rsid w:val="6C89702F"/>
    <w:rsid w:val="6CE108AE"/>
    <w:rsid w:val="6D535020"/>
    <w:rsid w:val="6D774083"/>
    <w:rsid w:val="71290FB0"/>
    <w:rsid w:val="716F2060"/>
    <w:rsid w:val="722A1A3A"/>
    <w:rsid w:val="76416A98"/>
    <w:rsid w:val="788A053D"/>
    <w:rsid w:val="799A7898"/>
    <w:rsid w:val="7C7B2158"/>
    <w:rsid w:val="7CF86D5D"/>
    <w:rsid w:val="7D6824DE"/>
    <w:rsid w:val="7EDF1A04"/>
    <w:rsid w:val="7F57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jc w:val="both"/>
    </w:pPr>
    <w:rPr>
      <w:rFonts w:ascii="Times" w:hAnsi="Times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6" w:lineRule="atLeast"/>
      <w:outlineLvl w:val="1"/>
    </w:pPr>
    <w:rPr>
      <w:rFonts w:ascii="Arial" w:hAnsi="Arial" w:eastAsia="黑体"/>
      <w:b/>
      <w:bCs/>
      <w:szCs w:val="32"/>
    </w:rPr>
  </w:style>
  <w:style w:type="paragraph" w:styleId="6">
    <w:name w:val="heading 3"/>
    <w:basedOn w:val="1"/>
    <w:next w:val="1"/>
    <w:link w:val="13"/>
    <w:qFormat/>
    <w:uiPriority w:val="0"/>
    <w:pPr>
      <w:keepNext/>
      <w:keepLines/>
      <w:spacing w:before="260" w:after="260" w:line="416" w:lineRule="atLeast"/>
      <w:outlineLvl w:val="2"/>
    </w:pPr>
    <w:rPr>
      <w:b/>
      <w:bCs/>
      <w:szCs w:val="32"/>
    </w:rPr>
  </w:style>
  <w:style w:type="character" w:default="1" w:styleId="10">
    <w:name w:val="Default Paragraph Font"/>
    <w:link w:val="11"/>
    <w:semiHidden/>
    <w:qFormat/>
    <w:uiPriority w:val="0"/>
    <w:rPr>
      <w:sz w:val="21"/>
      <w:szCs w:val="24"/>
    </w:rPr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630"/>
    </w:pPr>
    <w:rPr>
      <w:rFonts w:eastAsia="仿宋_GB2312"/>
      <w:sz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">
    <w:name w:val="标题2"/>
    <w:basedOn w:val="5"/>
    <w:link w:val="10"/>
    <w:qFormat/>
    <w:uiPriority w:val="0"/>
    <w:pPr>
      <w:spacing w:before="200" w:after="0" w:line="480" w:lineRule="exact"/>
      <w:jc w:val="center"/>
      <w:textAlignment w:val="baseline"/>
    </w:pPr>
    <w:rPr>
      <w:sz w:val="21"/>
      <w:szCs w:val="24"/>
    </w:rPr>
  </w:style>
  <w:style w:type="character" w:customStyle="1" w:styleId="13">
    <w:name w:val=" Char Char3"/>
    <w:basedOn w:val="10"/>
    <w:link w:val="6"/>
    <w:qFormat/>
    <w:locked/>
    <w:uiPriority w:val="0"/>
    <w:rPr>
      <w:b/>
      <w:bCs/>
      <w:szCs w:val="32"/>
    </w:rPr>
  </w:style>
  <w:style w:type="character" w:customStyle="1" w:styleId="14">
    <w:name w:val="font31"/>
    <w:basedOn w:val="10"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  <w:style w:type="character" w:customStyle="1" w:styleId="15">
    <w:name w:val="font11"/>
    <w:basedOn w:val="10"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  <w:style w:type="character" w:customStyle="1" w:styleId="16">
    <w:name w:val="font5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z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2018-11-19T09:41:00Z</dcterms:created>
  <dc:creator>润琪</dc:creator>
  <cp:lastModifiedBy>mzj</cp:lastModifiedBy>
  <cp:lastPrinted>2020-03-30T06:58:41Z</cp:lastPrinted>
  <dcterms:modified xsi:type="dcterms:W3CDTF">2020-03-30T06:58:57Z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