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color w:val="000000" w:themeColor="text1"/>
          <w:sz w:val="56"/>
          <w:szCs w:val="56"/>
          <w14:textFill>
            <w14:solidFill>
              <w14:schemeClr w14:val="tx1"/>
            </w14:solidFill>
          </w14:textFill>
        </w:rPr>
      </w:pPr>
    </w:p>
    <w:p>
      <w:pPr>
        <w:pStyle w:val="10"/>
        <w:jc w:val="center"/>
        <w:rPr>
          <w:color w:val="000000" w:themeColor="text1"/>
          <w:sz w:val="84"/>
          <w:szCs w:val="84"/>
          <w14:textFill>
            <w14:solidFill>
              <w14:schemeClr w14:val="tx1"/>
            </w14:solidFill>
          </w14:textFill>
        </w:rPr>
      </w:pPr>
    </w:p>
    <w:p>
      <w:pPr>
        <w:pStyle w:val="10"/>
        <w:jc w:val="center"/>
        <w:rPr>
          <w:color w:val="000000" w:themeColor="text1"/>
          <w:sz w:val="84"/>
          <w:szCs w:val="84"/>
          <w14:textFill>
            <w14:solidFill>
              <w14:schemeClr w14:val="tx1"/>
            </w14:solidFill>
          </w14:textFill>
        </w:rPr>
      </w:pPr>
    </w:p>
    <w:p>
      <w:pPr>
        <w:pStyle w:val="10"/>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株洲市社会福利有奖募捐办公室</w:t>
      </w:r>
    </w:p>
    <w:p>
      <w:pPr>
        <w:pStyle w:val="10"/>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2019年度部门决算</w:t>
      </w:r>
    </w:p>
    <w:p>
      <w:pPr>
        <w:pStyle w:val="10"/>
        <w:spacing w:before="240"/>
        <w:jc w:val="center"/>
        <w:rPr>
          <w:color w:val="000000" w:themeColor="text1"/>
          <w:sz w:val="56"/>
          <w:szCs w:val="56"/>
          <w14:textFill>
            <w14:solidFill>
              <w14:schemeClr w14:val="tx1"/>
            </w14:solidFill>
          </w14:textFill>
        </w:rPr>
      </w:pPr>
    </w:p>
    <w:p>
      <w:pPr>
        <w:pStyle w:val="10"/>
        <w:jc w:val="center"/>
        <w:rPr>
          <w:color w:val="000000" w:themeColor="text1"/>
          <w:sz w:val="56"/>
          <w:szCs w:val="56"/>
          <w14:textFill>
            <w14:solidFill>
              <w14:schemeClr w14:val="tx1"/>
            </w14:solidFill>
          </w14:textFill>
        </w:rPr>
      </w:pPr>
    </w:p>
    <w:p>
      <w:pPr>
        <w:pStyle w:val="10"/>
        <w:jc w:val="center"/>
        <w:rPr>
          <w:color w:val="000000" w:themeColor="text1"/>
          <w:sz w:val="56"/>
          <w:szCs w:val="56"/>
          <w14:textFill>
            <w14:solidFill>
              <w14:schemeClr w14:val="tx1"/>
            </w14:solidFill>
          </w14:textFill>
        </w:rPr>
      </w:pPr>
    </w:p>
    <w:p>
      <w:pPr>
        <w:pStyle w:val="10"/>
        <w:jc w:val="center"/>
        <w:rPr>
          <w:color w:val="000000" w:themeColor="text1"/>
          <w:sz w:val="56"/>
          <w:szCs w:val="56"/>
          <w14:textFill>
            <w14:solidFill>
              <w14:schemeClr w14:val="tx1"/>
            </w14:solidFill>
          </w14:textFill>
        </w:rPr>
      </w:pPr>
    </w:p>
    <w:p>
      <w:pPr>
        <w:pStyle w:val="10"/>
        <w:jc w:val="center"/>
        <w:rPr>
          <w:color w:val="000000" w:themeColor="text1"/>
          <w:sz w:val="56"/>
          <w:szCs w:val="56"/>
          <w14:textFill>
            <w14:solidFill>
              <w14:schemeClr w14:val="tx1"/>
            </w14:solidFill>
          </w14:textFill>
        </w:rPr>
      </w:pPr>
    </w:p>
    <w:p>
      <w:pPr>
        <w:pStyle w:val="10"/>
        <w:jc w:val="center"/>
        <w:rPr>
          <w:color w:val="000000" w:themeColor="text1"/>
          <w:sz w:val="56"/>
          <w:szCs w:val="56"/>
          <w14:textFill>
            <w14:solidFill>
              <w14:schemeClr w14:val="tx1"/>
            </w14:solidFill>
          </w14:textFill>
        </w:rPr>
      </w:pPr>
    </w:p>
    <w:p>
      <w:pPr>
        <w:pStyle w:val="10"/>
        <w:jc w:val="center"/>
        <w:rPr>
          <w:color w:val="000000" w:themeColor="text1"/>
          <w:sz w:val="56"/>
          <w:szCs w:val="56"/>
          <w14:textFill>
            <w14:solidFill>
              <w14:schemeClr w14:val="tx1"/>
            </w14:solidFill>
          </w14:textFill>
        </w:rPr>
      </w:pPr>
    </w:p>
    <w:p>
      <w:pPr>
        <w:pStyle w:val="10"/>
        <w:jc w:val="center"/>
        <w:rPr>
          <w:color w:val="000000" w:themeColor="text1"/>
          <w:sz w:val="56"/>
          <w:szCs w:val="56"/>
          <w14:textFill>
            <w14:solidFill>
              <w14:schemeClr w14:val="tx1"/>
            </w14:solidFill>
          </w14:textFill>
        </w:rPr>
      </w:pPr>
    </w:p>
    <w:p>
      <w:pPr>
        <w:pStyle w:val="10"/>
        <w:spacing w:line="540" w:lineRule="exact"/>
        <w:rPr>
          <w:rFonts w:hAnsi="黑体"/>
          <w:color w:val="000000" w:themeColor="text1"/>
          <w:sz w:val="52"/>
          <w:szCs w:val="52"/>
          <w14:textFill>
            <w14:solidFill>
              <w14:schemeClr w14:val="tx1"/>
            </w14:solidFill>
          </w14:textFill>
        </w:rPr>
      </w:pPr>
    </w:p>
    <w:p>
      <w:pPr>
        <w:pStyle w:val="10"/>
        <w:spacing w:line="5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目录</w:t>
      </w:r>
    </w:p>
    <w:p>
      <w:pPr>
        <w:pStyle w:val="10"/>
        <w:spacing w:line="520" w:lineRule="exact"/>
        <w:rPr>
          <w:rFonts w:ascii="仿宋_GB2312" w:hAnsi="仿宋_GB2312" w:cs="仿宋_GB2312"/>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第一部分</w:t>
      </w:r>
      <w:r>
        <w:rPr>
          <w:rFonts w:hint="eastAsia"/>
          <w:b/>
          <w:color w:val="000000" w:themeColor="text1"/>
          <w:sz w:val="32"/>
          <w:szCs w:val="32"/>
          <w:lang w:eastAsia="zh-CN"/>
          <w14:textFill>
            <w14:solidFill>
              <w14:schemeClr w14:val="tx1"/>
            </w14:solidFill>
          </w14:textFill>
        </w:rPr>
        <w:t>株洲市社会福利有奖募捐办公室</w:t>
      </w:r>
      <w:r>
        <w:rPr>
          <w:rFonts w:hint="eastAsia"/>
          <w:b/>
          <w:color w:val="000000" w:themeColor="text1"/>
          <w:sz w:val="32"/>
          <w:szCs w:val="32"/>
          <w14:textFill>
            <w14:solidFill>
              <w14:schemeClr w14:val="tx1"/>
            </w14:solidFill>
          </w14:textFill>
        </w:rPr>
        <w:t>概况</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一、部门职责</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二、机构设置</w:t>
      </w:r>
    </w:p>
    <w:p>
      <w:pPr>
        <w:pStyle w:val="10"/>
        <w:spacing w:line="520" w:lineRule="exact"/>
        <w:rPr>
          <w:rFonts w:ascii="仿宋_GB2312" w:hAnsi="仿宋_GB2312" w:cs="仿宋_GB2312"/>
          <w:b/>
          <w:color w:val="000000" w:themeColor="text1"/>
          <w:sz w:val="32"/>
          <w:szCs w:val="32"/>
          <w14:textFill>
            <w14:solidFill>
              <w14:schemeClr w14:val="tx1"/>
            </w14:solidFill>
          </w14:textFill>
        </w:rPr>
      </w:pPr>
      <w:r>
        <w:rPr>
          <w:rFonts w:hint="eastAsia" w:hAnsi="仿宋_GB2312"/>
          <w:b/>
          <w:color w:val="000000" w:themeColor="text1"/>
          <w:sz w:val="32"/>
          <w:szCs w:val="32"/>
          <w14:textFill>
            <w14:solidFill>
              <w14:schemeClr w14:val="tx1"/>
            </w14:solidFill>
          </w14:textFill>
        </w:rPr>
        <w:t>第二部分</w:t>
      </w:r>
      <w:r>
        <w:rPr>
          <w:rFonts w:hAnsi="仿宋_GB2312"/>
          <w:b/>
          <w:color w:val="000000" w:themeColor="text1"/>
          <w:sz w:val="32"/>
          <w:szCs w:val="32"/>
          <w14:textFill>
            <w14:solidFill>
              <w14:schemeClr w14:val="tx1"/>
            </w14:solidFill>
          </w14:textFill>
        </w:rPr>
        <w:t>2019</w:t>
      </w:r>
      <w:r>
        <w:rPr>
          <w:rFonts w:hint="eastAsia" w:hAnsi="仿宋_GB2312"/>
          <w:b/>
          <w:color w:val="000000" w:themeColor="text1"/>
          <w:sz w:val="32"/>
          <w:szCs w:val="32"/>
          <w14:textFill>
            <w14:solidFill>
              <w14:schemeClr w14:val="tx1"/>
            </w14:solidFill>
          </w14:textFill>
        </w:rPr>
        <w:t>年度部门决算表</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一、收入支出决算总表</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二、收入决算表</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三、支出决算表</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四、财政拨款收入支出决算总表</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五、一般公共预算财政拨款支出决算表</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六、一般公共预算财政拨款基本支出决算表</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七、一般公共预算财政拨款“三公”经费支出决算表</w:t>
      </w:r>
    </w:p>
    <w:p>
      <w:pPr>
        <w:pStyle w:val="10"/>
        <w:spacing w:line="520" w:lineRule="exact"/>
        <w:ind w:firstLine="8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八、政府性基金预算财政拨款收入支出决算表</w:t>
      </w:r>
    </w:p>
    <w:p>
      <w:pPr>
        <w:pStyle w:val="10"/>
        <w:spacing w:line="520" w:lineRule="exact"/>
        <w:rPr>
          <w:rFonts w:ascii="仿宋_GB2312" w:hAnsi="仿宋_GB2312" w:cs="仿宋_GB2312"/>
          <w:b/>
          <w:color w:val="000000" w:themeColor="text1"/>
          <w:sz w:val="28"/>
          <w:szCs w:val="28"/>
          <w14:textFill>
            <w14:solidFill>
              <w14:schemeClr w14:val="tx1"/>
            </w14:solidFill>
          </w14:textFill>
        </w:rPr>
      </w:pPr>
      <w:r>
        <w:rPr>
          <w:rFonts w:hint="eastAsia" w:hAnsi="仿宋_GB2312"/>
          <w:b/>
          <w:color w:val="000000" w:themeColor="text1"/>
          <w:sz w:val="28"/>
          <w:szCs w:val="28"/>
          <w14:textFill>
            <w14:solidFill>
              <w14:schemeClr w14:val="tx1"/>
            </w14:solidFill>
          </w14:textFill>
        </w:rPr>
        <w:t>第三部分</w:t>
      </w:r>
      <w:r>
        <w:rPr>
          <w:rFonts w:hAnsi="仿宋_GB2312"/>
          <w:b/>
          <w:color w:val="000000" w:themeColor="text1"/>
          <w:sz w:val="28"/>
          <w:szCs w:val="28"/>
          <w14:textFill>
            <w14:solidFill>
              <w14:schemeClr w14:val="tx1"/>
            </w14:solidFill>
          </w14:textFill>
        </w:rPr>
        <w:t>2019</w:t>
      </w:r>
      <w:r>
        <w:rPr>
          <w:rFonts w:hint="eastAsia" w:hAnsi="仿宋_GB2312"/>
          <w:b/>
          <w:color w:val="000000" w:themeColor="text1"/>
          <w:sz w:val="28"/>
          <w:szCs w:val="28"/>
          <w14:textFill>
            <w14:solidFill>
              <w14:schemeClr w14:val="tx1"/>
            </w14:solidFill>
          </w14:textFill>
        </w:rPr>
        <w:t>年度部门决算情况说明</w:t>
      </w:r>
    </w:p>
    <w:p>
      <w:pPr>
        <w:pStyle w:val="10"/>
        <w:spacing w:line="520" w:lineRule="exact"/>
        <w:ind w:firstLine="800" w:firstLineChars="25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一、收入支出决算总体情况说明</w:t>
      </w:r>
    </w:p>
    <w:p>
      <w:pPr>
        <w:spacing w:line="520" w:lineRule="exact"/>
        <w:ind w:firstLine="800" w:firstLineChars="250"/>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二、收入决算情况说明</w:t>
      </w:r>
    </w:p>
    <w:p>
      <w:pPr>
        <w:autoSpaceDE w:val="0"/>
        <w:autoSpaceDN w:val="0"/>
        <w:adjustRightInd w:val="0"/>
        <w:spacing w:line="520" w:lineRule="exact"/>
        <w:ind w:firstLine="800" w:firstLineChars="25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三、支出决算情况说明</w:t>
      </w:r>
    </w:p>
    <w:p>
      <w:pPr>
        <w:autoSpaceDE w:val="0"/>
        <w:autoSpaceDN w:val="0"/>
        <w:adjustRightInd w:val="0"/>
        <w:spacing w:line="520" w:lineRule="exact"/>
        <w:ind w:firstLine="800" w:firstLineChars="25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四、财政拨款收入支出决算总体情况说明</w:t>
      </w:r>
    </w:p>
    <w:p>
      <w:pPr>
        <w:autoSpaceDE w:val="0"/>
        <w:autoSpaceDN w:val="0"/>
        <w:adjustRightInd w:val="0"/>
        <w:spacing w:line="520" w:lineRule="exact"/>
        <w:ind w:firstLine="800" w:firstLineChars="25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五、一般公共预算财政拨款支出决算情况说明</w:t>
      </w:r>
    </w:p>
    <w:p>
      <w:pPr>
        <w:autoSpaceDE w:val="0"/>
        <w:autoSpaceDN w:val="0"/>
        <w:adjustRightInd w:val="0"/>
        <w:spacing w:line="520" w:lineRule="exact"/>
        <w:ind w:firstLine="800" w:firstLineChars="25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六、一般公共预算财政拨款基本支出决算情况说明</w:t>
      </w:r>
    </w:p>
    <w:p>
      <w:pPr>
        <w:autoSpaceDE w:val="0"/>
        <w:autoSpaceDN w:val="0"/>
        <w:adjustRightInd w:val="0"/>
        <w:spacing w:line="520" w:lineRule="exact"/>
        <w:ind w:firstLine="800" w:firstLineChars="25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七、一般公共预算财政拨款三公经费支出决算情况说明</w:t>
      </w:r>
    </w:p>
    <w:p>
      <w:pPr>
        <w:autoSpaceDE w:val="0"/>
        <w:autoSpaceDN w:val="0"/>
        <w:adjustRightInd w:val="0"/>
        <w:spacing w:line="520" w:lineRule="exact"/>
        <w:ind w:firstLine="800" w:firstLineChars="25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八、政府性基金预算收入支出决算情况</w:t>
      </w:r>
    </w:p>
    <w:p>
      <w:pPr>
        <w:autoSpaceDE w:val="0"/>
        <w:autoSpaceDN w:val="0"/>
        <w:adjustRightInd w:val="0"/>
        <w:spacing w:line="520" w:lineRule="exact"/>
        <w:ind w:firstLine="800" w:firstLineChars="25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九、预算绩效情况说明</w:t>
      </w:r>
    </w:p>
    <w:p>
      <w:pPr>
        <w:autoSpaceDE w:val="0"/>
        <w:autoSpaceDN w:val="0"/>
        <w:adjustRightInd w:val="0"/>
        <w:spacing w:line="520" w:lineRule="exact"/>
        <w:ind w:firstLine="800" w:firstLineChars="25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十、其他重要事项情况说明</w:t>
      </w:r>
    </w:p>
    <w:p>
      <w:pPr>
        <w:autoSpaceDE w:val="0"/>
        <w:autoSpaceDN w:val="0"/>
        <w:adjustRightInd w:val="0"/>
        <w:spacing w:line="520" w:lineRule="exact"/>
        <w:jc w:val="left"/>
        <w:rPr>
          <w:rFonts w:ascii="黑体" w:hAnsi="黑体" w:eastAsia="黑体" w:cs="仿宋_GB2312"/>
          <w:b/>
          <w:color w:val="000000" w:themeColor="text1"/>
          <w:kern w:val="0"/>
          <w:sz w:val="28"/>
          <w:szCs w:val="28"/>
          <w14:textFill>
            <w14:solidFill>
              <w14:schemeClr w14:val="tx1"/>
            </w14:solidFill>
          </w14:textFill>
        </w:rPr>
      </w:pPr>
      <w:r>
        <w:rPr>
          <w:rFonts w:ascii="黑体" w:hAnsi="黑体" w:eastAsia="黑体" w:cs="黑体"/>
          <w:b/>
          <w:color w:val="000000" w:themeColor="text1"/>
          <w:kern w:val="0"/>
          <w:sz w:val="28"/>
          <w:szCs w:val="28"/>
          <w14:textFill>
            <w14:solidFill>
              <w14:schemeClr w14:val="tx1"/>
            </w14:solidFill>
          </w14:textFill>
        </w:rPr>
        <w:t>第四部分名词解释</w:t>
      </w:r>
    </w:p>
    <w:p>
      <w:pPr>
        <w:spacing w:line="520" w:lineRule="exact"/>
        <w:jc w:val="left"/>
        <w:rPr>
          <w:rFonts w:ascii="黑体" w:hAnsi="黑体" w:eastAsia="黑体" w:cs="仿宋_GB2312"/>
          <w:b/>
          <w:color w:val="000000" w:themeColor="text1"/>
          <w:kern w:val="0"/>
          <w:sz w:val="28"/>
          <w:szCs w:val="28"/>
          <w14:textFill>
            <w14:solidFill>
              <w14:schemeClr w14:val="tx1"/>
            </w14:solidFill>
          </w14:textFill>
        </w:rPr>
      </w:pPr>
      <w:r>
        <w:rPr>
          <w:rFonts w:ascii="黑体" w:hAnsi="黑体" w:eastAsia="黑体" w:cs="黑体"/>
          <w:b/>
          <w:color w:val="000000" w:themeColor="text1"/>
          <w:kern w:val="0"/>
          <w:sz w:val="28"/>
          <w:szCs w:val="28"/>
          <w14:textFill>
            <w14:solidFill>
              <w14:schemeClr w14:val="tx1"/>
            </w14:solidFill>
          </w14:textFill>
        </w:rPr>
        <w:t>第五部分</w:t>
      </w:r>
      <w:r>
        <w:rPr>
          <w:rFonts w:hint="eastAsia" w:ascii="黑体" w:hAnsi="黑体" w:eastAsia="黑体" w:cs="黑体"/>
          <w:b/>
          <w:color w:val="000000" w:themeColor="text1"/>
          <w:kern w:val="0"/>
          <w:sz w:val="28"/>
          <w:szCs w:val="28"/>
          <w14:textFill>
            <w14:solidFill>
              <w14:schemeClr w14:val="tx1"/>
            </w14:solidFill>
          </w14:textFill>
        </w:rPr>
        <w:t>其他</w:t>
      </w: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rPr>
          <w:color w:val="000000" w:themeColor="text1"/>
          <w:sz w:val="72"/>
          <w:szCs w:val="72"/>
          <w14:textFill>
            <w14:solidFill>
              <w14:schemeClr w14:val="tx1"/>
            </w14:solidFill>
          </w14:textFill>
        </w:rPr>
      </w:pPr>
    </w:p>
    <w:p>
      <w:pPr>
        <w:pStyle w:val="10"/>
        <w:jc w:val="center"/>
        <w:rPr>
          <w:rFonts w:hint="eastAsia"/>
          <w:color w:val="000000" w:themeColor="text1"/>
          <w:sz w:val="84"/>
          <w:szCs w:val="84"/>
          <w14:textFill>
            <w14:solidFill>
              <w14:schemeClr w14:val="tx1"/>
            </w14:solidFill>
          </w14:textFill>
        </w:rPr>
      </w:pPr>
    </w:p>
    <w:p>
      <w:pPr>
        <w:pStyle w:val="10"/>
        <w:jc w:val="center"/>
        <w:rPr>
          <w:rFonts w:hint="eastAsia"/>
          <w:color w:val="000000" w:themeColor="text1"/>
          <w:sz w:val="84"/>
          <w:szCs w:val="84"/>
          <w14:textFill>
            <w14:solidFill>
              <w14:schemeClr w14:val="tx1"/>
            </w14:solidFill>
          </w14:textFill>
        </w:rPr>
      </w:pPr>
    </w:p>
    <w:p>
      <w:pPr>
        <w:pStyle w:val="10"/>
        <w:jc w:val="center"/>
        <w:rPr>
          <w:rFonts w:hint="eastAsia"/>
          <w:color w:val="000000" w:themeColor="text1"/>
          <w:sz w:val="84"/>
          <w:szCs w:val="84"/>
          <w14:textFill>
            <w14:solidFill>
              <w14:schemeClr w14:val="tx1"/>
            </w14:solidFill>
          </w14:textFill>
        </w:rPr>
      </w:pPr>
    </w:p>
    <w:p>
      <w:pPr>
        <w:pStyle w:val="10"/>
        <w:jc w:val="center"/>
        <w:rPr>
          <w:rFonts w:hint="eastAsia"/>
          <w:color w:val="000000" w:themeColor="text1"/>
          <w:sz w:val="84"/>
          <w:szCs w:val="84"/>
          <w14:textFill>
            <w14:solidFill>
              <w14:schemeClr w14:val="tx1"/>
            </w14:solidFill>
          </w14:textFill>
        </w:rPr>
      </w:pPr>
    </w:p>
    <w:p>
      <w:pPr>
        <w:pStyle w:val="10"/>
        <w:jc w:val="center"/>
        <w:rPr>
          <w:rFonts w:hint="eastAsia"/>
          <w:color w:val="000000" w:themeColor="text1"/>
          <w:sz w:val="84"/>
          <w:szCs w:val="84"/>
          <w14:textFill>
            <w14:solidFill>
              <w14:schemeClr w14:val="tx1"/>
            </w14:solidFill>
          </w14:textFill>
        </w:rPr>
      </w:pPr>
    </w:p>
    <w:p>
      <w:pPr>
        <w:pStyle w:val="10"/>
        <w:jc w:val="center"/>
        <w:rPr>
          <w:rFonts w:hint="eastAsia"/>
          <w:color w:val="000000" w:themeColor="text1"/>
          <w:sz w:val="84"/>
          <w:szCs w:val="84"/>
          <w14:textFill>
            <w14:solidFill>
              <w14:schemeClr w14:val="tx1"/>
            </w14:solidFill>
          </w14:textFill>
        </w:rPr>
      </w:pPr>
    </w:p>
    <w:p>
      <w:pPr>
        <w:pStyle w:val="10"/>
        <w:jc w:val="center"/>
        <w:rPr>
          <w:rFonts w:hint="eastAsia"/>
          <w:color w:val="000000" w:themeColor="text1"/>
          <w:sz w:val="84"/>
          <w:szCs w:val="84"/>
          <w14:textFill>
            <w14:solidFill>
              <w14:schemeClr w14:val="tx1"/>
            </w14:solidFill>
          </w14:textFill>
        </w:rPr>
      </w:pPr>
    </w:p>
    <w:p>
      <w:pPr>
        <w:pStyle w:val="1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 xml:space="preserve">第一部分 </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株洲市社会福利有奖募捐办公室</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概况</w:t>
      </w:r>
    </w:p>
    <w:p>
      <w:pPr>
        <w:widowControl/>
        <w:spacing w:line="600" w:lineRule="exact"/>
        <w:ind w:firstLine="640" w:firstLineChars="200"/>
        <w:rPr>
          <w:rFonts w:ascii="黑体" w:hAnsi="黑体" w:eastAsia="黑体" w:cs="Times New Roman"/>
          <w:bCs/>
          <w:color w:val="000000" w:themeColor="text1"/>
          <w:kern w:val="0"/>
          <w:sz w:val="32"/>
          <w:szCs w:val="32"/>
          <w14:textFill>
            <w14:solidFill>
              <w14:schemeClr w14:val="tx1"/>
            </w14:solidFill>
          </w14:textFill>
        </w:rPr>
      </w:pPr>
      <w:r>
        <w:rPr>
          <w:rFonts w:hint="eastAsia" w:ascii="黑体" w:hAnsi="黑体" w:eastAsia="黑体" w:cs="Times New Roman"/>
          <w:bCs/>
          <w:color w:val="000000" w:themeColor="text1"/>
          <w:kern w:val="0"/>
          <w:sz w:val="32"/>
          <w:szCs w:val="32"/>
          <w14:textFill>
            <w14:solidFill>
              <w14:schemeClr w14:val="tx1"/>
            </w14:solidFill>
          </w14:textFill>
        </w:rPr>
        <w:t>一、部门职责</w:t>
      </w:r>
    </w:p>
    <w:p>
      <w:pPr>
        <w:pStyle w:val="13"/>
        <w:ind w:firstLine="64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负责全市福利彩票管理工作。</w:t>
      </w:r>
    </w:p>
    <w:p>
      <w:pPr>
        <w:pStyle w:val="13"/>
        <w:ind w:firstLine="64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负责组织管理全市福利彩票的形象建设、彩票代销、营销宣传、业务培训、人才队伍建设等工作。</w:t>
      </w:r>
    </w:p>
    <w:p>
      <w:pPr>
        <w:pStyle w:val="13"/>
        <w:ind w:firstLine="640"/>
        <w:rPr>
          <w:rFonts w:hint="eastAsia" w:ascii="仿宋" w:hAnsi="仿宋" w:eastAsia="仿宋" w:cs="仿宋"/>
          <w:bCs/>
          <w:color w:val="auto"/>
          <w:sz w:val="32"/>
          <w:szCs w:val="32"/>
        </w:rPr>
      </w:pPr>
      <w:r>
        <w:rPr>
          <w:rFonts w:hint="eastAsia" w:ascii="仿宋" w:hAnsi="仿宋" w:eastAsia="仿宋" w:cs="仿宋"/>
          <w:color w:val="auto"/>
          <w:sz w:val="32"/>
          <w:szCs w:val="32"/>
          <w:shd w:val="clear" w:color="auto" w:fill="FFFFFF"/>
        </w:rPr>
        <w:t>3</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负责全市福利彩票销售资金的归集并及时上缴省福彩中心和市财政局。</w:t>
      </w:r>
    </w:p>
    <w:p>
      <w:pPr>
        <w:widowControl/>
        <w:spacing w:line="600" w:lineRule="exact"/>
        <w:ind w:firstLine="640" w:firstLineChars="200"/>
        <w:rPr>
          <w:rFonts w:ascii="黑体" w:hAnsi="黑体" w:eastAsia="黑体" w:cs="Times New Roman"/>
          <w:bCs/>
          <w:color w:val="000000" w:themeColor="text1"/>
          <w:kern w:val="0"/>
          <w:sz w:val="32"/>
          <w:szCs w:val="32"/>
          <w14:textFill>
            <w14:solidFill>
              <w14:schemeClr w14:val="tx1"/>
            </w14:solidFill>
          </w14:textFill>
        </w:rPr>
      </w:pPr>
      <w:r>
        <w:rPr>
          <w:rFonts w:hint="eastAsia" w:ascii="黑体" w:hAnsi="黑体" w:eastAsia="黑体" w:cs="Times New Roman"/>
          <w:bCs/>
          <w:color w:val="000000" w:themeColor="text1"/>
          <w:kern w:val="0"/>
          <w:sz w:val="32"/>
          <w:szCs w:val="32"/>
          <w14:textFill>
            <w14:solidFill>
              <w14:schemeClr w14:val="tx1"/>
            </w14:solidFill>
          </w14:textFill>
        </w:rPr>
        <w:t>二、机构设置及决算单位构成</w:t>
      </w:r>
    </w:p>
    <w:p>
      <w:pPr>
        <w:pStyle w:val="11"/>
        <w:ind w:firstLine="640"/>
        <w:rPr>
          <w:rFonts w:hAnsi="仿宋" w:eastAsia="仿宋"/>
          <w:color w:val="auto"/>
          <w:sz w:val="32"/>
          <w:szCs w:val="32"/>
        </w:rPr>
      </w:pPr>
      <w:r>
        <w:rPr>
          <w:rFonts w:hint="eastAsia" w:ascii="楷体" w:hAnsi="楷体" w:eastAsia="楷体" w:cs="楷体"/>
          <w:bCs/>
          <w:color w:val="000000" w:themeColor="text1"/>
          <w:kern w:val="0"/>
          <w:sz w:val="32"/>
          <w:szCs w:val="32"/>
          <w14:textFill>
            <w14:solidFill>
              <w14:schemeClr w14:val="tx1"/>
            </w14:solidFill>
          </w14:textFill>
        </w:rPr>
        <w:t>（一）内设机构设置。</w:t>
      </w:r>
      <w:r>
        <w:rPr>
          <w:rFonts w:hint="eastAsia" w:ascii="仿宋_GB2312" w:hAnsi="Times New Roman" w:eastAsia="仿宋_GB2312" w:cs="Times New Roman"/>
          <w:bCs/>
          <w:color w:val="000000" w:themeColor="text1"/>
          <w:kern w:val="0"/>
          <w:sz w:val="32"/>
          <w:szCs w:val="32"/>
          <w:lang w:eastAsia="zh-CN"/>
          <w14:textFill>
            <w14:solidFill>
              <w14:schemeClr w14:val="tx1"/>
            </w14:solidFill>
          </w14:textFill>
        </w:rPr>
        <w:t>株洲市社会福利有奖募捐办公室</w:t>
      </w:r>
      <w:r>
        <w:rPr>
          <w:rFonts w:hint="eastAsia" w:ascii="仿宋_GB2312" w:hAnsi="Times New Roman" w:eastAsia="仿宋_GB2312" w:cs="Times New Roman"/>
          <w:bCs/>
          <w:color w:val="000000" w:themeColor="text1"/>
          <w:kern w:val="0"/>
          <w:sz w:val="32"/>
          <w:szCs w:val="32"/>
          <w14:textFill>
            <w14:solidFill>
              <w14:schemeClr w14:val="tx1"/>
            </w14:solidFill>
          </w14:textFill>
        </w:rPr>
        <w:t>内设机构包括：</w:t>
      </w:r>
      <w:r>
        <w:rPr>
          <w:rFonts w:hint="eastAsia"/>
          <w:bCs/>
          <w:color w:val="auto"/>
          <w:kern w:val="0"/>
          <w:sz w:val="32"/>
          <w:szCs w:val="32"/>
        </w:rPr>
        <w:t>下设</w:t>
      </w:r>
      <w:r>
        <w:rPr>
          <w:rFonts w:hAnsi="仿宋" w:eastAsia="仿宋"/>
          <w:color w:val="auto"/>
          <w:sz w:val="32"/>
          <w:szCs w:val="32"/>
        </w:rPr>
        <w:t>办公室、财务部、综合管理部、培训宣传部、</w:t>
      </w:r>
      <w:r>
        <w:rPr>
          <w:rFonts w:hint="eastAsia" w:hAnsi="仿宋" w:eastAsia="仿宋"/>
          <w:color w:val="auto"/>
          <w:sz w:val="32"/>
          <w:szCs w:val="32"/>
        </w:rPr>
        <w:t>实业发展部、网点开发部六个</w:t>
      </w:r>
      <w:r>
        <w:rPr>
          <w:rFonts w:hAnsi="仿宋" w:eastAsia="仿宋"/>
          <w:color w:val="auto"/>
          <w:sz w:val="32"/>
          <w:szCs w:val="32"/>
        </w:rPr>
        <w:t>职能部</w:t>
      </w:r>
      <w:r>
        <w:rPr>
          <w:rFonts w:hint="eastAsia" w:hAnsi="仿宋" w:eastAsia="仿宋"/>
          <w:color w:val="auto"/>
          <w:sz w:val="32"/>
          <w:szCs w:val="32"/>
        </w:rPr>
        <w:t>门</w:t>
      </w:r>
      <w:r>
        <w:rPr>
          <w:rFonts w:hAnsi="仿宋" w:eastAsia="仿宋"/>
          <w:color w:val="auto"/>
          <w:sz w:val="32"/>
          <w:szCs w:val="32"/>
        </w:rPr>
        <w:t>。现有投注站点</w:t>
      </w:r>
      <w:r>
        <w:rPr>
          <w:rFonts w:eastAsia="仿宋"/>
          <w:color w:val="auto"/>
          <w:sz w:val="32"/>
          <w:szCs w:val="32"/>
        </w:rPr>
        <w:t>490</w:t>
      </w:r>
      <w:r>
        <w:rPr>
          <w:rFonts w:hAnsi="仿宋" w:eastAsia="仿宋"/>
          <w:color w:val="auto"/>
          <w:sz w:val="32"/>
          <w:szCs w:val="32"/>
        </w:rPr>
        <w:t>个，中福在线销售厅</w:t>
      </w:r>
      <w:r>
        <w:rPr>
          <w:rFonts w:hint="eastAsia" w:eastAsia="仿宋"/>
          <w:color w:val="auto"/>
          <w:sz w:val="32"/>
          <w:szCs w:val="32"/>
          <w:lang w:val="en-US" w:eastAsia="zh-CN"/>
        </w:rPr>
        <w:t>7</w:t>
      </w:r>
      <w:r>
        <w:rPr>
          <w:rFonts w:hAnsi="仿宋" w:eastAsia="仿宋"/>
          <w:color w:val="auto"/>
          <w:sz w:val="32"/>
          <w:szCs w:val="32"/>
        </w:rPr>
        <w:t>个（其中市中心</w:t>
      </w:r>
      <w:r>
        <w:rPr>
          <w:rFonts w:hint="eastAsia" w:eastAsia="仿宋"/>
          <w:color w:val="auto"/>
          <w:sz w:val="32"/>
          <w:szCs w:val="32"/>
          <w:lang w:val="en-US" w:eastAsia="zh-CN"/>
        </w:rPr>
        <w:t>3</w:t>
      </w:r>
      <w:r>
        <w:rPr>
          <w:rFonts w:hAnsi="仿宋" w:eastAsia="仿宋"/>
          <w:color w:val="auto"/>
          <w:sz w:val="32"/>
          <w:szCs w:val="32"/>
        </w:rPr>
        <w:t>个、株洲县</w:t>
      </w:r>
      <w:r>
        <w:rPr>
          <w:rFonts w:eastAsia="仿宋"/>
          <w:color w:val="auto"/>
          <w:sz w:val="32"/>
          <w:szCs w:val="32"/>
        </w:rPr>
        <w:t>1</w:t>
      </w:r>
      <w:r>
        <w:rPr>
          <w:rFonts w:hAnsi="仿宋" w:eastAsia="仿宋"/>
          <w:color w:val="auto"/>
          <w:sz w:val="32"/>
          <w:szCs w:val="32"/>
        </w:rPr>
        <w:t>个、醴陵市</w:t>
      </w:r>
      <w:r>
        <w:rPr>
          <w:rFonts w:hint="eastAsia" w:eastAsia="仿宋"/>
          <w:color w:val="auto"/>
          <w:sz w:val="32"/>
          <w:szCs w:val="32"/>
          <w:lang w:val="en-US" w:eastAsia="zh-CN"/>
        </w:rPr>
        <w:t>1</w:t>
      </w:r>
      <w:r>
        <w:rPr>
          <w:rFonts w:hAnsi="仿宋" w:eastAsia="仿宋"/>
          <w:color w:val="auto"/>
          <w:sz w:val="32"/>
          <w:szCs w:val="32"/>
        </w:rPr>
        <w:t>个、攸县</w:t>
      </w:r>
      <w:r>
        <w:rPr>
          <w:rFonts w:eastAsia="仿宋"/>
          <w:color w:val="auto"/>
          <w:sz w:val="32"/>
          <w:szCs w:val="32"/>
        </w:rPr>
        <w:t>1</w:t>
      </w:r>
      <w:r>
        <w:rPr>
          <w:rFonts w:hAnsi="仿宋" w:eastAsia="仿宋"/>
          <w:color w:val="auto"/>
          <w:sz w:val="32"/>
          <w:szCs w:val="32"/>
        </w:rPr>
        <w:t>个、茶陵</w:t>
      </w:r>
      <w:r>
        <w:rPr>
          <w:rFonts w:eastAsia="仿宋"/>
          <w:color w:val="auto"/>
          <w:sz w:val="32"/>
          <w:szCs w:val="32"/>
        </w:rPr>
        <w:t>1</w:t>
      </w:r>
      <w:r>
        <w:rPr>
          <w:rFonts w:hAnsi="仿宋" w:eastAsia="仿宋"/>
          <w:color w:val="auto"/>
          <w:sz w:val="32"/>
          <w:szCs w:val="32"/>
        </w:rPr>
        <w:t>个）。</w:t>
      </w:r>
    </w:p>
    <w:p>
      <w:pPr>
        <w:widowControl/>
        <w:spacing w:line="6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纳入财政部 201</w:t>
      </w:r>
      <w:r>
        <w:rPr>
          <w:rFonts w:hint="eastAsia" w:ascii="仿宋" w:hAnsi="仿宋" w:eastAsia="仿宋" w:cs="仿宋"/>
          <w:color w:val="000000" w:themeColor="text1"/>
          <w:kern w:val="0"/>
          <w:sz w:val="32"/>
          <w:szCs w:val="32"/>
          <w:lang w:val="en-US" w:eastAsia="zh-CN"/>
          <w14:textFill>
            <w14:solidFill>
              <w14:schemeClr w14:val="tx1"/>
            </w14:solidFill>
          </w14:textFill>
        </w:rPr>
        <w:t>9</w:t>
      </w:r>
      <w:r>
        <w:rPr>
          <w:rFonts w:hint="eastAsia" w:ascii="仿宋" w:hAnsi="仿宋" w:eastAsia="仿宋" w:cs="仿宋"/>
          <w:color w:val="000000" w:themeColor="text1"/>
          <w:kern w:val="0"/>
          <w:sz w:val="32"/>
          <w:szCs w:val="32"/>
          <w14:textFill>
            <w14:solidFill>
              <w14:schemeClr w14:val="tx1"/>
            </w14:solidFill>
          </w14:textFill>
        </w:rPr>
        <w:t xml:space="preserve"> 年度部门决算编制范围的二级预算单位包括：</w:t>
      </w:r>
    </w:p>
    <w:p>
      <w:pPr>
        <w:widowControl/>
        <w:spacing w:line="600" w:lineRule="exact"/>
        <w:ind w:firstLine="640" w:firstLineChars="200"/>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eastAsia="zh-CN"/>
          <w14:textFill>
            <w14:solidFill>
              <w14:schemeClr w14:val="tx1"/>
            </w14:solidFill>
          </w14:textFill>
        </w:rPr>
        <w:t>株洲市社会福利有奖募捐办公室</w:t>
      </w:r>
      <w:r>
        <w:rPr>
          <w:rFonts w:hint="eastAsia" w:ascii="仿宋" w:hAnsi="仿宋" w:eastAsia="仿宋" w:cs="仿宋"/>
          <w:b w:val="0"/>
          <w:bCs w:val="0"/>
          <w:color w:val="000000" w:themeColor="text1"/>
          <w:kern w:val="0"/>
          <w:sz w:val="32"/>
          <w:szCs w:val="32"/>
          <w14:textFill>
            <w14:solidFill>
              <w14:schemeClr w14:val="tx1"/>
            </w14:solidFill>
          </w14:textFill>
        </w:rPr>
        <w:t>本级</w:t>
      </w:r>
    </w:p>
    <w:p>
      <w:pPr>
        <w:pStyle w:val="11"/>
        <w:ind w:firstLine="640"/>
        <w:rPr>
          <w:rFonts w:hint="eastAsia" w:ascii="仿宋" w:hAnsi="仿宋" w:eastAsia="仿宋" w:cs="仿宋"/>
          <w:bCs/>
          <w:color w:val="auto"/>
          <w:kern w:val="0"/>
          <w:sz w:val="32"/>
          <w:szCs w:val="32"/>
        </w:rPr>
      </w:pPr>
      <w:r>
        <w:rPr>
          <w:rFonts w:hint="eastAsia" w:ascii="楷体" w:hAnsi="楷体" w:eastAsia="楷体" w:cs="楷体"/>
          <w:bCs/>
          <w:color w:val="000000" w:themeColor="text1"/>
          <w:kern w:val="0"/>
          <w:sz w:val="32"/>
          <w:szCs w:val="32"/>
          <w14:textFill>
            <w14:solidFill>
              <w14:schemeClr w14:val="tx1"/>
            </w14:solidFill>
          </w14:textFill>
        </w:rPr>
        <w:t>（二）决算单位构成。</w:t>
      </w:r>
      <w:r>
        <w:rPr>
          <w:rFonts w:hint="eastAsia" w:ascii="仿宋" w:hAnsi="仿宋" w:eastAsia="仿宋" w:cs="仿宋"/>
          <w:bCs/>
          <w:color w:val="000000" w:themeColor="text1"/>
          <w:kern w:val="0"/>
          <w:sz w:val="32"/>
          <w:szCs w:val="32"/>
          <w:lang w:eastAsia="zh-CN"/>
          <w14:textFill>
            <w14:solidFill>
              <w14:schemeClr w14:val="tx1"/>
            </w14:solidFill>
          </w14:textFill>
        </w:rPr>
        <w:t>株洲市社会福利有奖募捐办公室</w:t>
      </w:r>
      <w:r>
        <w:rPr>
          <w:rFonts w:hint="eastAsia" w:ascii="仿宋" w:hAnsi="仿宋" w:eastAsia="仿宋" w:cs="仿宋"/>
          <w:bCs/>
          <w:color w:val="000000" w:themeColor="text1"/>
          <w:kern w:val="0"/>
          <w:sz w:val="32"/>
          <w:szCs w:val="32"/>
          <w14:textFill>
            <w14:solidFill>
              <w14:schemeClr w14:val="tx1"/>
            </w14:solidFill>
          </w14:textFill>
        </w:rPr>
        <w:t>201</w:t>
      </w:r>
      <w:r>
        <w:rPr>
          <w:rFonts w:hint="eastAsia" w:ascii="仿宋" w:hAnsi="仿宋" w:eastAsia="仿宋" w:cs="仿宋"/>
          <w:bCs/>
          <w:color w:val="000000" w:themeColor="text1"/>
          <w:kern w:val="0"/>
          <w:sz w:val="32"/>
          <w:szCs w:val="32"/>
          <w:lang w:val="en-US" w:eastAsia="zh-CN"/>
          <w14:textFill>
            <w14:solidFill>
              <w14:schemeClr w14:val="tx1"/>
            </w14:solidFill>
          </w14:textFill>
        </w:rPr>
        <w:t>9</w:t>
      </w:r>
      <w:r>
        <w:rPr>
          <w:rFonts w:hint="eastAsia" w:ascii="仿宋" w:hAnsi="仿宋" w:eastAsia="仿宋" w:cs="仿宋"/>
          <w:bCs/>
          <w:color w:val="000000" w:themeColor="text1"/>
          <w:kern w:val="0"/>
          <w:sz w:val="32"/>
          <w:szCs w:val="32"/>
          <w14:textFill>
            <w14:solidFill>
              <w14:schemeClr w14:val="tx1"/>
            </w14:solidFill>
          </w14:textFill>
        </w:rPr>
        <w:t>年部门决算汇总公开单位构成包括</w:t>
      </w:r>
      <w:r>
        <w:rPr>
          <w:rFonts w:hint="eastAsia" w:ascii="仿宋" w:hAnsi="仿宋" w:eastAsia="仿宋" w:cs="仿宋"/>
          <w:b/>
          <w:bCs/>
          <w:color w:val="000000" w:themeColor="text1"/>
          <w:kern w:val="0"/>
          <w:sz w:val="32"/>
          <w:szCs w:val="32"/>
          <w14:textFill>
            <w14:solidFill>
              <w14:schemeClr w14:val="tx1"/>
            </w14:solidFill>
          </w14:textFill>
        </w:rPr>
        <w:t>：</w:t>
      </w:r>
      <w:r>
        <w:rPr>
          <w:rFonts w:hint="eastAsia" w:ascii="仿宋" w:hAnsi="仿宋" w:eastAsia="仿宋" w:cs="仿宋"/>
          <w:bCs/>
          <w:color w:val="auto"/>
          <w:kern w:val="0"/>
          <w:sz w:val="32"/>
          <w:szCs w:val="32"/>
        </w:rPr>
        <w:t>株洲市社会福利有奖募捐办公室本级。</w:t>
      </w:r>
    </w:p>
    <w:p>
      <w:pPr>
        <w:widowControl/>
        <w:spacing w:line="600" w:lineRule="exact"/>
        <w:rPr>
          <w:rFonts w:hint="eastAsia" w:ascii="仿宋" w:hAnsi="仿宋" w:eastAsia="仿宋" w:cs="仿宋"/>
          <w:color w:val="000000" w:themeColor="text1"/>
          <w:kern w:val="0"/>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p>
    <w:p>
      <w:pPr>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w:t>
      </w:r>
    </w:p>
    <w:p>
      <w:pPr>
        <w:jc w:val="center"/>
        <w:rPr>
          <w:rFonts w:hint="eastAsia" w:ascii="黑体" w:hAnsi="黑体" w:eastAsia="黑体"/>
          <w:color w:val="000000" w:themeColor="text1"/>
          <w:sz w:val="32"/>
          <w:szCs w:val="32"/>
          <w:lang w:val="en-US" w:eastAsia="zh-CN"/>
          <w14:textFill>
            <w14:solidFill>
              <w14:schemeClr w14:val="tx1"/>
            </w14:solidFill>
          </w14:textFill>
        </w:rPr>
      </w:pPr>
    </w:p>
    <w:p>
      <w:pPr>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第二部分部门决算表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一、收入支出决算总表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二、收入决算表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三、支出决算表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四、财政拨款收入支出决算总表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五、一般公共预算财政拨款支出决算表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六、一般公共预算财政拨款基本支出决算表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七、一般公共预算财政拨款</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三公</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经费支出决算表</w:t>
      </w:r>
    </w:p>
    <w:p>
      <w:pPr>
        <w:jc w:val="left"/>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八、政府性基金预算财政拨款收入支出决算表</w:t>
      </w:r>
    </w:p>
    <w:p>
      <w:pPr>
        <w:jc w:val="left"/>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sectPr>
          <w:pgSz w:w="11906" w:h="16838"/>
          <w:pgMar w:top="1440" w:right="1080" w:bottom="1440" w:left="1080" w:header="851" w:footer="992" w:gutter="0"/>
          <w:cols w:space="425" w:num="1"/>
          <w:docGrid w:type="lines" w:linePitch="312" w:charSpace="0"/>
        </w:sectPr>
      </w:pPr>
      <w:r>
        <w:rPr>
          <w:rFonts w:hint="eastAsia" w:ascii="Times New Roman" w:hAnsi="Times New Roman" w:eastAsia="仿宋_GB2312" w:cs="Times New Roman"/>
          <w:color w:val="000000" w:themeColor="text1"/>
          <w:kern w:val="0"/>
          <w:sz w:val="32"/>
          <w:szCs w:val="32"/>
          <w14:textFill>
            <w14:solidFill>
              <w14:schemeClr w14:val="tx1"/>
            </w14:solidFill>
          </w14:textFill>
        </w:rPr>
        <w:t>详见</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附件</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w:t>
      </w:r>
      <w:bookmarkStart w:id="1" w:name="_GoBack"/>
      <w:bookmarkEnd w:id="1"/>
    </w:p>
    <w:p>
      <w:pPr>
        <w:pStyle w:val="10"/>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第三部分2019年度部门决算情况说明</w:t>
      </w:r>
    </w:p>
    <w:p>
      <w:pPr>
        <w:pStyle w:val="10"/>
        <w:jc w:val="both"/>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一、收入支出决算总体情况说明</w:t>
      </w:r>
    </w:p>
    <w:p>
      <w:pPr>
        <w:pStyle w:val="10"/>
        <w:ind w:firstLine="640" w:firstLineChars="200"/>
        <w:rPr>
          <w:rFonts w:hint="eastAsia" w:ascii="仿宋_GB2312" w:eastAsia="仿宋_GB2312" w:hAnsiTheme="minorEastAsia"/>
          <w:color w:val="auto"/>
          <w:sz w:val="32"/>
          <w:szCs w:val="32"/>
          <w:lang w:val="en-US" w:eastAsia="zh-CN"/>
        </w:rPr>
      </w:pPr>
      <w:r>
        <w:rPr>
          <w:rFonts w:hint="eastAsia" w:ascii="仿宋_GB2312" w:eastAsia="仿宋_GB2312" w:hAnsiTheme="minorEastAsia"/>
          <w:color w:val="auto"/>
          <w:sz w:val="32"/>
          <w:szCs w:val="32"/>
        </w:rPr>
        <w:t>2019 年度收、支总计</w:t>
      </w:r>
      <w:r>
        <w:rPr>
          <w:rFonts w:hint="eastAsia" w:ascii="仿宋_GB2312" w:eastAsia="仿宋_GB2312" w:hAnsiTheme="minorEastAsia"/>
          <w:color w:val="auto"/>
          <w:sz w:val="32"/>
          <w:szCs w:val="32"/>
          <w:lang w:val="en-US" w:eastAsia="zh-CN"/>
        </w:rPr>
        <w:t>1030.85</w:t>
      </w:r>
      <w:r>
        <w:rPr>
          <w:rFonts w:hint="eastAsia" w:ascii="仿宋_GB2312" w:eastAsia="仿宋_GB2312" w:hAnsiTheme="minorEastAsia"/>
          <w:color w:val="auto"/>
          <w:sz w:val="32"/>
          <w:szCs w:val="32"/>
        </w:rPr>
        <w:t>万元。与2018年相比，减少</w:t>
      </w:r>
      <w:r>
        <w:rPr>
          <w:rFonts w:hint="eastAsia" w:ascii="仿宋_GB2312" w:eastAsia="仿宋_GB2312" w:hAnsiTheme="minorEastAsia"/>
          <w:color w:val="auto"/>
          <w:sz w:val="32"/>
          <w:szCs w:val="32"/>
          <w:lang w:val="en-US" w:eastAsia="zh-CN"/>
        </w:rPr>
        <w:t>1197.2</w:t>
      </w:r>
      <w:r>
        <w:rPr>
          <w:rFonts w:hint="eastAsia" w:ascii="仿宋_GB2312" w:eastAsia="仿宋_GB2312" w:hAnsiTheme="minorEastAsia"/>
          <w:color w:val="auto"/>
          <w:sz w:val="32"/>
          <w:szCs w:val="32"/>
        </w:rPr>
        <w:t>万元，减少</w:t>
      </w:r>
      <w:r>
        <w:rPr>
          <w:rFonts w:hint="eastAsia" w:ascii="仿宋_GB2312" w:eastAsia="仿宋_GB2312" w:hAnsiTheme="minorEastAsia"/>
          <w:color w:val="auto"/>
          <w:sz w:val="32"/>
          <w:szCs w:val="32"/>
          <w:lang w:val="en-US" w:eastAsia="zh-CN"/>
        </w:rPr>
        <w:t>53.73</w:t>
      </w:r>
      <w:r>
        <w:rPr>
          <w:rFonts w:hint="eastAsia" w:ascii="仿宋_GB2312" w:eastAsia="仿宋_GB2312" w:hAnsiTheme="minorEastAsia"/>
          <w:color w:val="auto"/>
          <w:sz w:val="32"/>
          <w:szCs w:val="32"/>
        </w:rPr>
        <w:t>%，主要是因为</w:t>
      </w:r>
      <w:r>
        <w:rPr>
          <w:rFonts w:hint="eastAsia" w:ascii="仿宋_GB2312" w:eastAsia="仿宋_GB2312" w:hAnsiTheme="minorEastAsia"/>
          <w:color w:val="auto"/>
          <w:sz w:val="32"/>
          <w:szCs w:val="32"/>
          <w:lang w:eastAsia="zh-CN"/>
        </w:rPr>
        <w:t>根据</w:t>
      </w:r>
      <w:r>
        <w:rPr>
          <w:rFonts w:hint="eastAsia" w:ascii="仿宋_GB2312" w:eastAsia="仿宋_GB2312" w:hAnsiTheme="minorEastAsia"/>
          <w:color w:val="auto"/>
          <w:sz w:val="32"/>
          <w:szCs w:val="32"/>
          <w:lang w:val="en-US" w:eastAsia="zh-CN"/>
        </w:rPr>
        <w:t>2019年中彩游戏玩法改版及彩票政策调整收入锐减，支出也相应减少。</w:t>
      </w:r>
    </w:p>
    <w:p>
      <w:pPr>
        <w:pStyle w:val="1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二、收入决算情况说明</w:t>
      </w:r>
    </w:p>
    <w:p>
      <w:pPr>
        <w:pStyle w:val="10"/>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本年收入合计</w:t>
      </w:r>
      <w:r>
        <w:rPr>
          <w:rFonts w:hint="eastAsia" w:ascii="仿宋_GB2312" w:eastAsia="仿宋_GB2312" w:hAnsiTheme="minorEastAsia"/>
          <w:color w:val="000000" w:themeColor="text1"/>
          <w:sz w:val="32"/>
          <w:szCs w:val="32"/>
          <w:lang w:val="en-US" w:eastAsia="zh-CN"/>
          <w14:textFill>
            <w14:solidFill>
              <w14:schemeClr w14:val="tx1"/>
            </w14:solidFill>
          </w14:textFill>
        </w:rPr>
        <w:t>1030.85</w:t>
      </w:r>
      <w:r>
        <w:rPr>
          <w:rFonts w:hint="eastAsia" w:ascii="仿宋_GB2312" w:eastAsia="仿宋_GB2312" w:hAnsiTheme="minorEastAsia"/>
          <w:color w:val="000000" w:themeColor="text1"/>
          <w:sz w:val="32"/>
          <w:szCs w:val="32"/>
          <w14:textFill>
            <w14:solidFill>
              <w14:schemeClr w14:val="tx1"/>
            </w14:solidFill>
          </w14:textFill>
        </w:rPr>
        <w:t>万元，其中：财政拨款收入</w:t>
      </w:r>
      <w:r>
        <w:rPr>
          <w:rFonts w:hint="eastAsia" w:ascii="仿宋_GB2312" w:eastAsia="仿宋_GB2312" w:hAnsiTheme="minorEastAsia"/>
          <w:color w:val="000000" w:themeColor="text1"/>
          <w:sz w:val="32"/>
          <w:szCs w:val="32"/>
          <w:lang w:val="en-US" w:eastAsia="zh-CN"/>
          <w14:textFill>
            <w14:solidFill>
              <w14:schemeClr w14:val="tx1"/>
            </w14:solidFill>
          </w14:textFill>
        </w:rPr>
        <w:t>1030.85</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100</w:t>
      </w:r>
      <w:r>
        <w:rPr>
          <w:rFonts w:hint="eastAsia" w:ascii="仿宋_GB2312" w:eastAsia="仿宋_GB2312" w:hAnsiTheme="minorEastAsia"/>
          <w:color w:val="000000" w:themeColor="text1"/>
          <w:sz w:val="32"/>
          <w:szCs w:val="32"/>
          <w14:textFill>
            <w14:solidFill>
              <w14:schemeClr w14:val="tx1"/>
            </w14:solidFill>
          </w14:textFill>
        </w:rPr>
        <w:t>%；上级补助收入</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0.0</w:t>
      </w:r>
      <w:r>
        <w:rPr>
          <w:rFonts w:hint="eastAsia" w:ascii="仿宋_GB2312" w:eastAsia="仿宋_GB2312" w:hAnsiTheme="minorEastAsia"/>
          <w:color w:val="000000" w:themeColor="text1"/>
          <w:sz w:val="32"/>
          <w:szCs w:val="32"/>
          <w14:textFill>
            <w14:solidFill>
              <w14:schemeClr w14:val="tx1"/>
            </w14:solidFill>
          </w14:textFill>
        </w:rPr>
        <w:t>%；事业收入</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0.0</w:t>
      </w:r>
      <w:r>
        <w:rPr>
          <w:rFonts w:hint="eastAsia" w:ascii="仿宋_GB2312" w:eastAsia="仿宋_GB2312" w:hAnsiTheme="minorEastAsia"/>
          <w:color w:val="000000" w:themeColor="text1"/>
          <w:sz w:val="32"/>
          <w:szCs w:val="32"/>
          <w14:textFill>
            <w14:solidFill>
              <w14:schemeClr w14:val="tx1"/>
            </w14:solidFill>
          </w14:textFill>
        </w:rPr>
        <w:t>%；经营收入</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0.0</w:t>
      </w:r>
      <w:r>
        <w:rPr>
          <w:rFonts w:hint="eastAsia" w:ascii="仿宋_GB2312" w:eastAsia="仿宋_GB2312" w:hAnsiTheme="minorEastAsia"/>
          <w:color w:val="000000" w:themeColor="text1"/>
          <w:sz w:val="32"/>
          <w:szCs w:val="32"/>
          <w14:textFill>
            <w14:solidFill>
              <w14:schemeClr w14:val="tx1"/>
            </w14:solidFill>
          </w14:textFill>
        </w:rPr>
        <w:t>%；附属单位上缴收入</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0.0</w:t>
      </w:r>
      <w:r>
        <w:rPr>
          <w:rFonts w:hint="eastAsia" w:ascii="仿宋_GB2312" w:eastAsia="仿宋_GB2312" w:hAnsiTheme="minorEastAsia"/>
          <w:color w:val="000000" w:themeColor="text1"/>
          <w:sz w:val="32"/>
          <w:szCs w:val="32"/>
          <w14:textFill>
            <w14:solidFill>
              <w14:schemeClr w14:val="tx1"/>
            </w14:solidFill>
          </w14:textFill>
        </w:rPr>
        <w:t>%；其他收入</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0.0</w:t>
      </w:r>
      <w:r>
        <w:rPr>
          <w:rFonts w:hint="eastAsia" w:ascii="仿宋_GB2312" w:eastAsia="仿宋_GB2312" w:hAnsiTheme="minorEastAsia"/>
          <w:color w:val="000000" w:themeColor="text1"/>
          <w:sz w:val="32"/>
          <w:szCs w:val="32"/>
          <w14:textFill>
            <w14:solidFill>
              <w14:schemeClr w14:val="tx1"/>
            </w14:solidFill>
          </w14:textFill>
        </w:rPr>
        <w:t>%。</w:t>
      </w:r>
    </w:p>
    <w:p>
      <w:pPr>
        <w:pStyle w:val="1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三、支出决算情况说明</w:t>
      </w:r>
    </w:p>
    <w:p>
      <w:pPr>
        <w:pStyle w:val="10"/>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本年支出合计</w:t>
      </w:r>
      <w:r>
        <w:rPr>
          <w:rFonts w:hint="eastAsia" w:ascii="仿宋_GB2312" w:eastAsia="仿宋_GB2312" w:hAnsiTheme="minorEastAsia"/>
          <w:color w:val="000000" w:themeColor="text1"/>
          <w:sz w:val="32"/>
          <w:szCs w:val="32"/>
          <w:lang w:val="en-US" w:eastAsia="zh-CN"/>
          <w14:textFill>
            <w14:solidFill>
              <w14:schemeClr w14:val="tx1"/>
            </w14:solidFill>
          </w14:textFill>
        </w:rPr>
        <w:t>1030.85</w:t>
      </w:r>
      <w:r>
        <w:rPr>
          <w:rFonts w:hint="eastAsia" w:ascii="仿宋_GB2312" w:eastAsia="仿宋_GB2312" w:hAnsiTheme="minorEastAsia"/>
          <w:color w:val="000000" w:themeColor="text1"/>
          <w:sz w:val="32"/>
          <w:szCs w:val="32"/>
          <w14:textFill>
            <w14:solidFill>
              <w14:schemeClr w14:val="tx1"/>
            </w14:solidFill>
          </w14:textFill>
        </w:rPr>
        <w:t>万元，其中：基本支出</w:t>
      </w:r>
      <w:r>
        <w:rPr>
          <w:rFonts w:hint="eastAsia" w:ascii="仿宋_GB2312" w:eastAsia="仿宋_GB2312" w:hAnsiTheme="minorEastAsia"/>
          <w:color w:val="000000" w:themeColor="text1"/>
          <w:sz w:val="32"/>
          <w:szCs w:val="32"/>
          <w:lang w:val="en-US" w:eastAsia="zh-CN"/>
          <w14:textFill>
            <w14:solidFill>
              <w14:schemeClr w14:val="tx1"/>
            </w14:solidFill>
          </w14:textFill>
        </w:rPr>
        <w:t>411.98</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40.0</w:t>
      </w:r>
      <w:r>
        <w:rPr>
          <w:rFonts w:hint="eastAsia" w:ascii="仿宋_GB2312" w:eastAsia="仿宋_GB2312" w:hAnsiTheme="minorEastAsia"/>
          <w:color w:val="000000" w:themeColor="text1"/>
          <w:sz w:val="32"/>
          <w:szCs w:val="32"/>
          <w14:textFill>
            <w14:solidFill>
              <w14:schemeClr w14:val="tx1"/>
            </w14:solidFill>
          </w14:textFill>
        </w:rPr>
        <w:t>%；项目支出</w:t>
      </w:r>
      <w:r>
        <w:rPr>
          <w:rFonts w:hint="eastAsia" w:ascii="仿宋_GB2312" w:eastAsia="仿宋_GB2312" w:hAnsiTheme="minorEastAsia"/>
          <w:color w:val="000000" w:themeColor="text1"/>
          <w:sz w:val="32"/>
          <w:szCs w:val="32"/>
          <w:lang w:val="en-US" w:eastAsia="zh-CN"/>
          <w14:textFill>
            <w14:solidFill>
              <w14:schemeClr w14:val="tx1"/>
            </w14:solidFill>
          </w14:textFill>
        </w:rPr>
        <w:t>618.87</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60.0</w:t>
      </w:r>
      <w:r>
        <w:rPr>
          <w:rFonts w:hint="eastAsia" w:ascii="仿宋_GB2312" w:eastAsia="仿宋_GB2312" w:hAnsiTheme="minorEastAsia"/>
          <w:color w:val="000000" w:themeColor="text1"/>
          <w:sz w:val="32"/>
          <w:szCs w:val="32"/>
          <w14:textFill>
            <w14:solidFill>
              <w14:schemeClr w14:val="tx1"/>
            </w14:solidFill>
          </w14:textFill>
        </w:rPr>
        <w:t>%；上缴上级支出</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0.0</w:t>
      </w:r>
      <w:r>
        <w:rPr>
          <w:rFonts w:hint="eastAsia" w:ascii="仿宋_GB2312" w:eastAsia="仿宋_GB2312" w:hAnsiTheme="minorEastAsia"/>
          <w:color w:val="000000" w:themeColor="text1"/>
          <w:sz w:val="32"/>
          <w:szCs w:val="32"/>
          <w14:textFill>
            <w14:solidFill>
              <w14:schemeClr w14:val="tx1"/>
            </w14:solidFill>
          </w14:textFill>
        </w:rPr>
        <w:t>%；经营支出</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0.0</w:t>
      </w:r>
      <w:r>
        <w:rPr>
          <w:rFonts w:hint="eastAsia" w:ascii="仿宋_GB2312" w:eastAsia="仿宋_GB2312" w:hAnsiTheme="minorEastAsia"/>
          <w:color w:val="000000" w:themeColor="text1"/>
          <w:sz w:val="32"/>
          <w:szCs w:val="32"/>
          <w14:textFill>
            <w14:solidFill>
              <w14:schemeClr w14:val="tx1"/>
            </w14:solidFill>
          </w14:textFill>
        </w:rPr>
        <w:t>%；对附属单位补助支出</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万元，占</w:t>
      </w:r>
      <w:r>
        <w:rPr>
          <w:rFonts w:hint="eastAsia" w:ascii="仿宋_GB2312" w:eastAsia="仿宋_GB2312" w:hAnsiTheme="minorEastAsia"/>
          <w:color w:val="000000" w:themeColor="text1"/>
          <w:sz w:val="32"/>
          <w:szCs w:val="32"/>
          <w:lang w:val="en-US" w:eastAsia="zh-CN"/>
          <w14:textFill>
            <w14:solidFill>
              <w14:schemeClr w14:val="tx1"/>
            </w14:solidFill>
          </w14:textFill>
        </w:rPr>
        <w:t>0.0</w:t>
      </w:r>
      <w:r>
        <w:rPr>
          <w:rFonts w:hint="eastAsia" w:ascii="仿宋_GB2312" w:eastAsia="仿宋_GB2312" w:hAnsiTheme="minorEastAsia"/>
          <w:color w:val="000000" w:themeColor="text1"/>
          <w:sz w:val="32"/>
          <w:szCs w:val="32"/>
          <w14:textFill>
            <w14:solidFill>
              <w14:schemeClr w14:val="tx1"/>
            </w14:solidFill>
          </w14:textFill>
        </w:rPr>
        <w:t>%。</w:t>
      </w:r>
    </w:p>
    <w:p>
      <w:pPr>
        <w:pStyle w:val="1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四、财政拨款收入支出决算总体情况说明</w:t>
      </w:r>
    </w:p>
    <w:p>
      <w:pPr>
        <w:pStyle w:val="10"/>
        <w:ind w:firstLine="640" w:firstLineChars="200"/>
        <w:rPr>
          <w:rFonts w:hint="eastAsia" w:ascii="仿宋_GB2312" w:eastAsia="仿宋_GB2312" w:hAnsiTheme="minorEastAsia"/>
          <w:color w:val="auto"/>
          <w:sz w:val="32"/>
          <w:szCs w:val="32"/>
          <w:lang w:val="en-US" w:eastAsia="zh-CN"/>
        </w:rPr>
      </w:pPr>
      <w:r>
        <w:rPr>
          <w:rFonts w:hint="eastAsia" w:asciiTheme="minorEastAsia" w:hAnsiTheme="minorEastAsia" w:eastAsiaTheme="minorEastAsia"/>
          <w:color w:val="000000" w:themeColor="text1"/>
          <w:sz w:val="32"/>
          <w:szCs w:val="32"/>
          <w14:textFill>
            <w14:solidFill>
              <w14:schemeClr w14:val="tx1"/>
            </w14:solidFill>
          </w14:textFill>
        </w:rPr>
        <w:t xml:space="preserve">  </w:t>
      </w:r>
      <w:r>
        <w:rPr>
          <w:rFonts w:hint="eastAsia" w:asciiTheme="minorEastAsia" w:hAnsiTheme="minorEastAsia" w:eastAsiaTheme="minorEastAsia"/>
          <w:color w:val="auto"/>
          <w:sz w:val="32"/>
          <w:szCs w:val="32"/>
        </w:rPr>
        <w:t xml:space="preserve"> </w:t>
      </w:r>
      <w:r>
        <w:rPr>
          <w:rFonts w:hint="eastAsia" w:ascii="仿宋_GB2312" w:eastAsia="仿宋_GB2312" w:hAnsiTheme="minorEastAsia"/>
          <w:color w:val="auto"/>
          <w:sz w:val="32"/>
          <w:szCs w:val="32"/>
        </w:rPr>
        <w:t xml:space="preserve"> 2019年度财政拨款收、支总计</w:t>
      </w:r>
      <w:r>
        <w:rPr>
          <w:rFonts w:hint="eastAsia" w:ascii="仿宋_GB2312" w:eastAsia="仿宋_GB2312" w:hAnsiTheme="minorEastAsia"/>
          <w:color w:val="auto"/>
          <w:sz w:val="32"/>
          <w:szCs w:val="32"/>
          <w:lang w:val="en-US" w:eastAsia="zh-CN"/>
        </w:rPr>
        <w:t>1030.85</w:t>
      </w:r>
      <w:r>
        <w:rPr>
          <w:rFonts w:hint="eastAsia" w:ascii="仿宋_GB2312" w:eastAsia="仿宋_GB2312" w:hAnsiTheme="minorEastAsia"/>
          <w:color w:val="auto"/>
          <w:sz w:val="32"/>
          <w:szCs w:val="32"/>
        </w:rPr>
        <w:t>万元，与2018年相比，减少</w:t>
      </w:r>
      <w:r>
        <w:rPr>
          <w:rFonts w:hint="eastAsia" w:ascii="仿宋_GB2312" w:eastAsia="仿宋_GB2312" w:hAnsiTheme="minorEastAsia"/>
          <w:color w:val="auto"/>
          <w:sz w:val="32"/>
          <w:szCs w:val="32"/>
          <w:lang w:val="en-US" w:eastAsia="zh-CN"/>
        </w:rPr>
        <w:t>1197.2</w:t>
      </w:r>
      <w:r>
        <w:rPr>
          <w:rFonts w:hint="eastAsia" w:ascii="仿宋_GB2312" w:eastAsia="仿宋_GB2312" w:hAnsiTheme="minorEastAsia"/>
          <w:color w:val="auto"/>
          <w:sz w:val="32"/>
          <w:szCs w:val="32"/>
        </w:rPr>
        <w:t>万元，减少</w:t>
      </w:r>
      <w:r>
        <w:rPr>
          <w:rFonts w:hint="eastAsia" w:ascii="仿宋_GB2312" w:eastAsia="仿宋_GB2312" w:hAnsiTheme="minorEastAsia"/>
          <w:color w:val="auto"/>
          <w:sz w:val="32"/>
          <w:szCs w:val="32"/>
          <w:lang w:val="en-US" w:eastAsia="zh-CN"/>
        </w:rPr>
        <w:t>53.73</w:t>
      </w:r>
      <w:r>
        <w:rPr>
          <w:rFonts w:hint="eastAsia" w:ascii="仿宋_GB2312" w:eastAsia="仿宋_GB2312" w:hAnsiTheme="minorEastAsia"/>
          <w:color w:val="auto"/>
          <w:sz w:val="32"/>
          <w:szCs w:val="32"/>
        </w:rPr>
        <w:t>%，主要是因为</w:t>
      </w:r>
      <w:r>
        <w:rPr>
          <w:rFonts w:hint="eastAsia" w:ascii="仿宋_GB2312" w:eastAsia="仿宋_GB2312" w:hAnsiTheme="minorEastAsia"/>
          <w:color w:val="auto"/>
          <w:sz w:val="32"/>
          <w:szCs w:val="32"/>
          <w:lang w:eastAsia="zh-CN"/>
        </w:rPr>
        <w:t>根据</w:t>
      </w:r>
      <w:r>
        <w:rPr>
          <w:rFonts w:hint="eastAsia" w:ascii="仿宋_GB2312" w:eastAsia="仿宋_GB2312" w:hAnsiTheme="minorEastAsia"/>
          <w:color w:val="auto"/>
          <w:sz w:val="32"/>
          <w:szCs w:val="32"/>
          <w:lang w:val="en-US" w:eastAsia="zh-CN"/>
        </w:rPr>
        <w:t>2019年中彩游戏玩法改版及彩票政策调整收入锐减，支出也相应减少。</w:t>
      </w:r>
    </w:p>
    <w:p>
      <w:pPr>
        <w:pStyle w:val="10"/>
        <w:ind w:firstLine="640" w:firstLineChars="200"/>
        <w:rPr>
          <w:rFonts w:hint="eastAsia" w:ascii="仿宋_GB2312" w:eastAsia="仿宋_GB2312" w:hAnsiTheme="minorEastAsia"/>
          <w:color w:val="auto"/>
          <w:sz w:val="32"/>
          <w:szCs w:val="32"/>
          <w:lang w:val="en-US" w:eastAsia="zh-CN"/>
        </w:rPr>
      </w:pPr>
    </w:p>
    <w:p>
      <w:pPr>
        <w:pStyle w:val="1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五、一般公共预算财政拨款支出决算情况说明</w:t>
      </w:r>
    </w:p>
    <w:p>
      <w:pPr>
        <w:pStyle w:val="10"/>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（一）财政拨款支出决算总体情况</w:t>
      </w:r>
    </w:p>
    <w:p>
      <w:pPr>
        <w:widowControl/>
        <w:ind w:firstLine="627" w:firstLineChars="196"/>
        <w:jc w:val="left"/>
        <w:rPr>
          <w:rFonts w:hint="eastAsia" w:ascii="楷体" w:hAnsi="楷体" w:eastAsia="楷体"/>
          <w:color w:val="000000" w:themeColor="text1"/>
          <w:sz w:val="32"/>
          <w:szCs w:val="32"/>
          <w14:textFill>
            <w14:solidFill>
              <w14:schemeClr w14:val="tx1"/>
            </w14:solidFill>
          </w14:textFill>
        </w:rPr>
      </w:pPr>
      <w:r>
        <w:rPr>
          <w:rFonts w:hint="eastAsia" w:ascii="仿宋" w:hAnsi="仿宋" w:eastAsia="仿宋" w:cs="仿宋"/>
          <w:color w:val="auto"/>
          <w:kern w:val="0"/>
          <w:sz w:val="32"/>
          <w:szCs w:val="32"/>
        </w:rPr>
        <w:t>我单位省财政核定为政府性基金预算单位，所以在年初批复为政府性基金预算收入，在20</w:t>
      </w:r>
      <w:r>
        <w:rPr>
          <w:rFonts w:hint="eastAsia" w:ascii="仿宋" w:hAnsi="仿宋" w:eastAsia="仿宋" w:cs="仿宋"/>
          <w:color w:val="auto"/>
          <w:kern w:val="0"/>
          <w:sz w:val="32"/>
          <w:szCs w:val="32"/>
          <w:lang w:val="en-US" w:eastAsia="zh-CN"/>
        </w:rPr>
        <w:t>20</w:t>
      </w:r>
      <w:r>
        <w:rPr>
          <w:rFonts w:hint="eastAsia" w:ascii="仿宋" w:hAnsi="仿宋" w:eastAsia="仿宋" w:cs="仿宋"/>
          <w:color w:val="auto"/>
          <w:kern w:val="0"/>
          <w:sz w:val="32"/>
          <w:szCs w:val="32"/>
        </w:rPr>
        <w:t>年1月做决算的时候，我们上缴财政收入在市财政级别只能为一般公共预算，所以其中有</w:t>
      </w:r>
      <w:r>
        <w:rPr>
          <w:rFonts w:hint="eastAsia" w:ascii="仿宋" w:hAnsi="仿宋" w:eastAsia="仿宋" w:cs="仿宋"/>
          <w:color w:val="auto"/>
          <w:kern w:val="0"/>
          <w:sz w:val="32"/>
          <w:szCs w:val="32"/>
          <w:lang w:val="en-US" w:eastAsia="zh-CN"/>
        </w:rPr>
        <w:t>841.54</w:t>
      </w:r>
      <w:r>
        <w:rPr>
          <w:rFonts w:hint="eastAsia" w:ascii="仿宋" w:hAnsi="仿宋" w:eastAsia="仿宋" w:cs="仿宋"/>
          <w:color w:val="auto"/>
          <w:kern w:val="0"/>
          <w:sz w:val="32"/>
          <w:szCs w:val="32"/>
        </w:rPr>
        <w:t>万元做为一般公共预算，</w:t>
      </w:r>
      <w:r>
        <w:rPr>
          <w:rFonts w:hint="eastAsia" w:ascii="仿宋" w:hAnsi="仿宋" w:eastAsia="仿宋" w:cs="仿宋"/>
          <w:color w:val="auto"/>
          <w:kern w:val="0"/>
          <w:sz w:val="32"/>
          <w:szCs w:val="32"/>
          <w:lang w:val="en-US" w:eastAsia="zh-CN"/>
        </w:rPr>
        <w:t>189.31</w:t>
      </w:r>
      <w:r>
        <w:rPr>
          <w:rFonts w:hint="eastAsia" w:ascii="仿宋" w:hAnsi="仿宋" w:eastAsia="仿宋" w:cs="仿宋"/>
          <w:color w:val="auto"/>
          <w:kern w:val="0"/>
          <w:sz w:val="32"/>
          <w:szCs w:val="32"/>
        </w:rPr>
        <w:t>万元为政府性基金预算。</w:t>
      </w:r>
    </w:p>
    <w:p>
      <w:pPr>
        <w:pStyle w:val="10"/>
        <w:ind w:firstLine="640" w:firstLineChars="200"/>
        <w:rPr>
          <w:rFonts w:hint="eastAsia" w:ascii="仿宋_GB2312" w:eastAsia="仿宋_GB2312" w:hAnsi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2019年度财政拨款支出</w:t>
      </w:r>
      <w:r>
        <w:rPr>
          <w:rFonts w:hint="eastAsia" w:ascii="仿宋_GB2312" w:eastAsia="仿宋_GB2312" w:hAnsiTheme="minorEastAsia"/>
          <w:color w:val="000000" w:themeColor="text1"/>
          <w:sz w:val="32"/>
          <w:szCs w:val="32"/>
          <w:lang w:val="en-US" w:eastAsia="zh-CN"/>
          <w14:textFill>
            <w14:solidFill>
              <w14:schemeClr w14:val="tx1"/>
            </w14:solidFill>
          </w14:textFill>
        </w:rPr>
        <w:t>841.54</w:t>
      </w:r>
      <w:r>
        <w:rPr>
          <w:rFonts w:hint="eastAsia" w:ascii="仿宋_GB2312" w:eastAsia="仿宋_GB2312" w:hAnsiTheme="minorEastAsia"/>
          <w:color w:val="000000" w:themeColor="text1"/>
          <w:sz w:val="32"/>
          <w:szCs w:val="32"/>
          <w14:textFill>
            <w14:solidFill>
              <w14:schemeClr w14:val="tx1"/>
            </w14:solidFill>
          </w14:textFill>
        </w:rPr>
        <w:t>万元，占本年支出合计的</w:t>
      </w:r>
      <w:r>
        <w:rPr>
          <w:rFonts w:hint="eastAsia" w:ascii="仿宋_GB2312" w:eastAsia="仿宋_GB2312" w:hAnsiTheme="minorEastAsia"/>
          <w:color w:val="000000" w:themeColor="text1"/>
          <w:sz w:val="32"/>
          <w:szCs w:val="32"/>
          <w:lang w:val="en-US" w:eastAsia="zh-CN"/>
          <w14:textFill>
            <w14:solidFill>
              <w14:schemeClr w14:val="tx1"/>
            </w14:solidFill>
          </w14:textFill>
        </w:rPr>
        <w:t>100.0</w:t>
      </w:r>
      <w:r>
        <w:rPr>
          <w:rFonts w:hint="eastAsia" w:ascii="仿宋_GB2312" w:eastAsia="仿宋_GB2312" w:hAnsiTheme="minorEastAsia"/>
          <w:color w:val="000000" w:themeColor="text1"/>
          <w:sz w:val="32"/>
          <w:szCs w:val="32"/>
          <w14:textFill>
            <w14:solidFill>
              <w14:schemeClr w14:val="tx1"/>
            </w14:solidFill>
          </w14:textFill>
        </w:rPr>
        <w:t>%，与2018年相比，财政拨款支出减少</w:t>
      </w:r>
      <w:r>
        <w:rPr>
          <w:rFonts w:hint="eastAsia" w:ascii="仿宋_GB2312" w:eastAsia="仿宋_GB2312" w:hAnsiTheme="minorEastAsia"/>
          <w:color w:val="000000" w:themeColor="text1"/>
          <w:sz w:val="32"/>
          <w:szCs w:val="32"/>
          <w:lang w:val="en-US" w:eastAsia="zh-CN"/>
          <w14:textFill>
            <w14:solidFill>
              <w14:schemeClr w14:val="tx1"/>
            </w14:solidFill>
          </w14:textFill>
        </w:rPr>
        <w:t>281.13</w:t>
      </w:r>
      <w:r>
        <w:rPr>
          <w:rFonts w:hint="eastAsia" w:ascii="仿宋_GB2312" w:eastAsia="仿宋_GB2312" w:hAnsiTheme="minorEastAsia"/>
          <w:color w:val="000000" w:themeColor="text1"/>
          <w:sz w:val="32"/>
          <w:szCs w:val="32"/>
          <w14:textFill>
            <w14:solidFill>
              <w14:schemeClr w14:val="tx1"/>
            </w14:solidFill>
          </w14:textFill>
        </w:rPr>
        <w:t>万元，减少</w:t>
      </w:r>
      <w:r>
        <w:rPr>
          <w:rFonts w:hint="eastAsia" w:ascii="仿宋_GB2312" w:eastAsia="仿宋_GB2312" w:hAnsiTheme="minorEastAsia"/>
          <w:color w:val="000000" w:themeColor="text1"/>
          <w:sz w:val="32"/>
          <w:szCs w:val="32"/>
          <w:lang w:val="en-US" w:eastAsia="zh-CN"/>
          <w14:textFill>
            <w14:solidFill>
              <w14:schemeClr w14:val="tx1"/>
            </w14:solidFill>
          </w14:textFill>
        </w:rPr>
        <w:t>25.0</w:t>
      </w:r>
      <w:r>
        <w:rPr>
          <w:rFonts w:hint="eastAsia" w:ascii="仿宋_GB2312" w:eastAsia="仿宋_GB2312" w:hAnsiTheme="minorEastAsia"/>
          <w:color w:val="000000" w:themeColor="text1"/>
          <w:sz w:val="32"/>
          <w:szCs w:val="32"/>
          <w14:textFill>
            <w14:solidFill>
              <w14:schemeClr w14:val="tx1"/>
            </w14:solidFill>
          </w14:textFill>
        </w:rPr>
        <w:t>%，</w:t>
      </w:r>
      <w:r>
        <w:rPr>
          <w:rFonts w:hint="eastAsia" w:ascii="仿宋_GB2312" w:eastAsia="仿宋_GB2312" w:hAnsiTheme="minorEastAsia"/>
          <w:color w:val="auto"/>
          <w:sz w:val="32"/>
          <w:szCs w:val="32"/>
        </w:rPr>
        <w:t>主要是因为</w:t>
      </w:r>
      <w:r>
        <w:rPr>
          <w:rFonts w:hint="eastAsia" w:ascii="仿宋_GB2312" w:eastAsia="仿宋_GB2312" w:hAnsiTheme="minorEastAsia"/>
          <w:color w:val="auto"/>
          <w:sz w:val="32"/>
          <w:szCs w:val="32"/>
          <w:lang w:eastAsia="zh-CN"/>
        </w:rPr>
        <w:t>根据</w:t>
      </w:r>
      <w:r>
        <w:rPr>
          <w:rFonts w:hint="eastAsia" w:ascii="仿宋_GB2312" w:eastAsia="仿宋_GB2312" w:hAnsiTheme="minorEastAsia"/>
          <w:color w:val="auto"/>
          <w:sz w:val="32"/>
          <w:szCs w:val="32"/>
          <w:lang w:val="en-US" w:eastAsia="zh-CN"/>
        </w:rPr>
        <w:t>2019年中彩游戏玩法改版及彩票政策调整收入锐减，支出也相应减少。</w:t>
      </w:r>
    </w:p>
    <w:p>
      <w:pPr>
        <w:pStyle w:val="10"/>
        <w:ind w:firstLine="480" w:firstLineChars="15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（二）财政拨款支出决算结构情况</w:t>
      </w:r>
    </w:p>
    <w:p>
      <w:pPr>
        <w:pStyle w:val="10"/>
        <w:ind w:firstLine="640" w:firstLineChars="200"/>
        <w:rPr>
          <w:rFonts w:hint="eastAsia" w:ascii="仿宋_GB2312" w:eastAsia="仿宋_GB2312" w:hAnsiTheme="minorEastAsia"/>
          <w:color w:val="auto"/>
          <w:sz w:val="32"/>
          <w:szCs w:val="32"/>
          <w:lang w:eastAsia="zh-CN"/>
        </w:rPr>
      </w:pPr>
      <w:r>
        <w:rPr>
          <w:rFonts w:hint="eastAsia" w:ascii="仿宋_GB2312" w:eastAsia="仿宋_GB2312" w:hAnsiTheme="minorEastAsia"/>
          <w:color w:val="auto"/>
          <w:sz w:val="32"/>
          <w:szCs w:val="32"/>
        </w:rPr>
        <w:t>2019年度财政拨款支出</w:t>
      </w:r>
      <w:r>
        <w:rPr>
          <w:rFonts w:hint="eastAsia" w:ascii="仿宋_GB2312" w:eastAsia="仿宋_GB2312" w:hAnsiTheme="minorEastAsia"/>
          <w:color w:val="auto"/>
          <w:sz w:val="32"/>
          <w:szCs w:val="32"/>
          <w:lang w:val="en-US" w:eastAsia="zh-CN"/>
        </w:rPr>
        <w:t>841.54</w:t>
      </w:r>
      <w:r>
        <w:rPr>
          <w:rFonts w:hint="eastAsia" w:ascii="仿宋_GB2312" w:eastAsia="仿宋_GB2312" w:hAnsiTheme="minorEastAsia"/>
          <w:color w:val="auto"/>
          <w:sz w:val="32"/>
          <w:szCs w:val="32"/>
        </w:rPr>
        <w:t>万元，主要用于以下方面：</w:t>
      </w:r>
      <w:r>
        <w:rPr>
          <w:rFonts w:hint="eastAsia" w:ascii="仿宋_GB2312" w:eastAsia="仿宋_GB2312" w:hAnsiTheme="minorEastAsia"/>
          <w:color w:val="auto"/>
          <w:sz w:val="32"/>
          <w:szCs w:val="32"/>
          <w:lang w:eastAsia="zh-CN"/>
        </w:rPr>
        <w:t>社会保障和就业</w:t>
      </w:r>
      <w:r>
        <w:rPr>
          <w:rFonts w:hint="eastAsia" w:ascii="仿宋_GB2312" w:eastAsia="仿宋_GB2312" w:hAnsiTheme="minorEastAsia"/>
          <w:color w:val="auto"/>
          <w:sz w:val="32"/>
          <w:szCs w:val="32"/>
        </w:rPr>
        <w:t>支出</w:t>
      </w:r>
      <w:r>
        <w:rPr>
          <w:rFonts w:hint="eastAsia" w:ascii="仿宋_GB2312" w:eastAsia="仿宋_GB2312" w:hAnsiTheme="minorEastAsia"/>
          <w:color w:val="auto"/>
          <w:sz w:val="32"/>
          <w:szCs w:val="32"/>
          <w:lang w:val="en-US" w:eastAsia="zh-CN"/>
        </w:rPr>
        <w:t>841.54</w:t>
      </w:r>
      <w:r>
        <w:rPr>
          <w:rFonts w:hint="eastAsia" w:ascii="仿宋_GB2312" w:eastAsia="仿宋_GB2312" w:hAnsiTheme="minorEastAsia"/>
          <w:color w:val="auto"/>
          <w:sz w:val="32"/>
          <w:szCs w:val="32"/>
        </w:rPr>
        <w:t>万元，占</w:t>
      </w:r>
      <w:r>
        <w:rPr>
          <w:rFonts w:hint="eastAsia" w:ascii="仿宋_GB2312" w:eastAsia="仿宋_GB2312" w:hAnsiTheme="minorEastAsia"/>
          <w:color w:val="auto"/>
          <w:sz w:val="32"/>
          <w:szCs w:val="32"/>
          <w:lang w:val="en-US" w:eastAsia="zh-CN"/>
        </w:rPr>
        <w:t>100.0</w:t>
      </w:r>
      <w:r>
        <w:rPr>
          <w:rFonts w:hint="eastAsia" w:ascii="仿宋_GB2312" w:eastAsia="仿宋_GB2312" w:hAnsiTheme="minorEastAsia"/>
          <w:color w:val="auto"/>
          <w:sz w:val="32"/>
          <w:szCs w:val="32"/>
        </w:rPr>
        <w:t>%</w:t>
      </w:r>
      <w:r>
        <w:rPr>
          <w:rFonts w:hint="eastAsia" w:ascii="仿宋_GB2312" w:eastAsia="仿宋_GB2312" w:hAnsiTheme="minorEastAsia"/>
          <w:color w:val="auto"/>
          <w:sz w:val="32"/>
          <w:szCs w:val="32"/>
          <w:lang w:eastAsia="zh-CN"/>
        </w:rPr>
        <w:t>。</w:t>
      </w:r>
    </w:p>
    <w:p>
      <w:pPr>
        <w:pStyle w:val="10"/>
        <w:numPr>
          <w:ilvl w:val="0"/>
          <w:numId w:val="1"/>
        </w:numPr>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财政拨款支出决算具体情况</w:t>
      </w:r>
    </w:p>
    <w:p>
      <w:pPr>
        <w:pStyle w:val="10"/>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2019年度财政拨款支出年初预算数为</w:t>
      </w:r>
      <w:r>
        <w:rPr>
          <w:rFonts w:hint="eastAsia" w:ascii="仿宋_GB2312" w:eastAsia="仿宋_GB2312" w:hAnsiTheme="minorEastAsia"/>
          <w:color w:val="auto"/>
          <w:sz w:val="32"/>
          <w:szCs w:val="32"/>
          <w:lang w:val="en-US" w:eastAsia="zh-CN"/>
        </w:rPr>
        <w:t>841.54</w:t>
      </w:r>
      <w:r>
        <w:rPr>
          <w:rFonts w:hint="eastAsia" w:ascii="仿宋_GB2312" w:eastAsia="仿宋_GB2312" w:hAnsiTheme="minorEastAsia"/>
          <w:color w:val="auto"/>
          <w:sz w:val="32"/>
          <w:szCs w:val="32"/>
        </w:rPr>
        <w:t>万元，支出决算数为</w:t>
      </w:r>
      <w:r>
        <w:rPr>
          <w:rFonts w:hint="eastAsia" w:ascii="仿宋_GB2312" w:eastAsia="仿宋_GB2312" w:hAnsiTheme="minorEastAsia"/>
          <w:color w:val="auto"/>
          <w:sz w:val="32"/>
          <w:szCs w:val="32"/>
          <w:lang w:val="en-US" w:eastAsia="zh-CN"/>
        </w:rPr>
        <w:t>841.54</w:t>
      </w:r>
      <w:r>
        <w:rPr>
          <w:rFonts w:hint="eastAsia" w:ascii="仿宋_GB2312" w:eastAsia="仿宋_GB2312" w:hAnsiTheme="minorEastAsia"/>
          <w:color w:val="auto"/>
          <w:sz w:val="32"/>
          <w:szCs w:val="32"/>
        </w:rPr>
        <w:t>万元，完成年初预算的</w:t>
      </w:r>
      <w:r>
        <w:rPr>
          <w:rFonts w:hint="eastAsia" w:ascii="仿宋_GB2312" w:eastAsia="仿宋_GB2312" w:hAnsiTheme="minorEastAsia"/>
          <w:color w:val="auto"/>
          <w:sz w:val="32"/>
          <w:szCs w:val="32"/>
          <w:lang w:val="en-US" w:eastAsia="zh-CN"/>
        </w:rPr>
        <w:t>100.0</w:t>
      </w:r>
      <w:r>
        <w:rPr>
          <w:rFonts w:hint="eastAsia" w:ascii="仿宋_GB2312" w:eastAsia="仿宋_GB2312" w:hAnsiTheme="minorEastAsia"/>
          <w:color w:val="auto"/>
          <w:sz w:val="32"/>
          <w:szCs w:val="32"/>
        </w:rPr>
        <w:t>%，其中：</w:t>
      </w:r>
    </w:p>
    <w:p>
      <w:pPr>
        <w:pStyle w:val="10"/>
        <w:ind w:firstLine="640" w:firstLineChars="200"/>
        <w:rPr>
          <w:rFonts w:ascii="仿宋_GB2312" w:eastAsia="仿宋_GB2312" w:hAnsiTheme="minorEastAsia"/>
          <w:color w:val="auto"/>
          <w:sz w:val="32"/>
          <w:szCs w:val="32"/>
        </w:rPr>
      </w:pPr>
      <w:r>
        <w:rPr>
          <w:rFonts w:hint="eastAsia" w:ascii="仿宋_GB2312" w:eastAsia="仿宋_GB2312" w:hAnsiTheme="minorEastAsia"/>
          <w:b/>
          <w:bCs/>
          <w:color w:val="auto"/>
          <w:sz w:val="32"/>
          <w:szCs w:val="32"/>
        </w:rPr>
        <w:t>1.</w:t>
      </w:r>
      <w:r>
        <w:rPr>
          <w:rFonts w:hint="eastAsia" w:ascii="仿宋_GB2312" w:eastAsia="仿宋_GB2312" w:hAnsiTheme="minorEastAsia"/>
          <w:b/>
          <w:bCs/>
          <w:color w:val="auto"/>
          <w:sz w:val="32"/>
          <w:szCs w:val="32"/>
          <w:lang w:eastAsia="zh-CN"/>
        </w:rPr>
        <w:t>社会保障和就业支出</w:t>
      </w:r>
      <w:r>
        <w:rPr>
          <w:rFonts w:hint="eastAsia" w:ascii="仿宋_GB2312" w:eastAsia="仿宋_GB2312" w:hAnsiTheme="minorEastAsia"/>
          <w:b/>
          <w:bCs/>
          <w:color w:val="auto"/>
          <w:sz w:val="32"/>
          <w:szCs w:val="32"/>
        </w:rPr>
        <w:t>（类）</w:t>
      </w:r>
      <w:r>
        <w:rPr>
          <w:rFonts w:hint="eastAsia" w:ascii="仿宋_GB2312" w:eastAsia="仿宋_GB2312" w:hAnsiTheme="minorEastAsia"/>
          <w:b/>
          <w:bCs/>
          <w:color w:val="auto"/>
          <w:sz w:val="32"/>
          <w:szCs w:val="32"/>
          <w:lang w:eastAsia="zh-CN"/>
        </w:rPr>
        <w:t>社会福利</w:t>
      </w:r>
      <w:r>
        <w:rPr>
          <w:rFonts w:hint="eastAsia" w:ascii="仿宋_GB2312" w:eastAsia="仿宋_GB2312" w:hAnsiTheme="minorEastAsia"/>
          <w:b/>
          <w:bCs/>
          <w:color w:val="auto"/>
          <w:sz w:val="32"/>
          <w:szCs w:val="32"/>
        </w:rPr>
        <w:t>（款）</w:t>
      </w:r>
      <w:r>
        <w:rPr>
          <w:rFonts w:hint="eastAsia" w:ascii="仿宋_GB2312" w:eastAsia="仿宋_GB2312" w:hAnsiTheme="minorEastAsia"/>
          <w:b/>
          <w:bCs/>
          <w:color w:val="auto"/>
          <w:sz w:val="32"/>
          <w:szCs w:val="32"/>
          <w:lang w:eastAsia="zh-CN"/>
        </w:rPr>
        <w:t>社会福利事业单位</w:t>
      </w:r>
      <w:r>
        <w:rPr>
          <w:rFonts w:hint="eastAsia" w:ascii="仿宋_GB2312" w:eastAsia="仿宋_GB2312" w:hAnsiTheme="minorEastAsia"/>
          <w:b/>
          <w:bCs/>
          <w:color w:val="auto"/>
          <w:sz w:val="32"/>
          <w:szCs w:val="32"/>
        </w:rPr>
        <w:t>（项）。</w:t>
      </w:r>
    </w:p>
    <w:p>
      <w:pPr>
        <w:pStyle w:val="10"/>
        <w:ind w:firstLine="640" w:firstLineChars="200"/>
        <w:rPr>
          <w:rFonts w:hint="eastAsia" w:ascii="仿宋_GB2312" w:eastAsia="仿宋_GB2312" w:hAnsiTheme="minorEastAsia"/>
          <w:color w:val="auto"/>
          <w:sz w:val="32"/>
          <w:szCs w:val="32"/>
          <w:lang w:eastAsia="zh-CN"/>
        </w:rPr>
      </w:pPr>
      <w:r>
        <w:rPr>
          <w:rFonts w:hint="eastAsia" w:ascii="仿宋_GB2312" w:eastAsia="仿宋_GB2312" w:hAnsiTheme="minorEastAsia"/>
          <w:color w:val="auto"/>
          <w:sz w:val="32"/>
          <w:szCs w:val="32"/>
        </w:rPr>
        <w:t>年初预算为</w:t>
      </w:r>
      <w:r>
        <w:rPr>
          <w:rFonts w:hint="eastAsia" w:ascii="仿宋_GB2312" w:eastAsia="仿宋_GB2312" w:hAnsiTheme="minorEastAsia"/>
          <w:color w:val="auto"/>
          <w:sz w:val="32"/>
          <w:szCs w:val="32"/>
          <w:lang w:val="en-US" w:eastAsia="zh-CN"/>
        </w:rPr>
        <w:t>841.30</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841.30</w:t>
      </w:r>
      <w:r>
        <w:rPr>
          <w:rFonts w:hint="eastAsia" w:ascii="仿宋_GB2312" w:eastAsia="仿宋_GB2312" w:hAnsiTheme="minorEastAsia"/>
          <w:color w:val="auto"/>
          <w:sz w:val="32"/>
          <w:szCs w:val="32"/>
        </w:rPr>
        <w:t>万元，完成年初预算的</w:t>
      </w:r>
      <w:r>
        <w:rPr>
          <w:rFonts w:hint="eastAsia" w:ascii="仿宋_GB2312" w:eastAsia="仿宋_GB2312" w:hAnsiTheme="minorEastAsia"/>
          <w:color w:val="auto"/>
          <w:sz w:val="32"/>
          <w:szCs w:val="32"/>
          <w:lang w:val="en-US" w:eastAsia="zh-CN"/>
        </w:rPr>
        <w:t>100.0</w:t>
      </w:r>
      <w:r>
        <w:rPr>
          <w:rFonts w:hint="eastAsia" w:ascii="仿宋_GB2312" w:eastAsia="仿宋_GB2312" w:hAnsiTheme="minorEastAsia"/>
          <w:color w:val="auto"/>
          <w:sz w:val="32"/>
          <w:szCs w:val="32"/>
        </w:rPr>
        <w:t>%，决算数</w:t>
      </w:r>
      <w:r>
        <w:rPr>
          <w:rFonts w:hint="eastAsia" w:ascii="仿宋_GB2312" w:eastAsia="仿宋_GB2312" w:hAnsiTheme="minorEastAsia"/>
          <w:color w:val="auto"/>
          <w:sz w:val="32"/>
          <w:szCs w:val="32"/>
          <w:lang w:eastAsia="zh-CN"/>
        </w:rPr>
        <w:t>与</w:t>
      </w:r>
      <w:r>
        <w:rPr>
          <w:rFonts w:hint="eastAsia" w:ascii="仿宋_GB2312" w:eastAsia="仿宋_GB2312" w:hAnsiTheme="minorEastAsia"/>
          <w:color w:val="auto"/>
          <w:sz w:val="32"/>
          <w:szCs w:val="32"/>
        </w:rPr>
        <w:t>年初预算数</w:t>
      </w:r>
      <w:r>
        <w:rPr>
          <w:rFonts w:hint="eastAsia" w:ascii="仿宋_GB2312" w:eastAsia="仿宋_GB2312" w:hAnsiTheme="minorEastAsia"/>
          <w:color w:val="auto"/>
          <w:sz w:val="32"/>
          <w:szCs w:val="32"/>
          <w:lang w:eastAsia="zh-CN"/>
        </w:rPr>
        <w:t>一致。</w:t>
      </w:r>
    </w:p>
    <w:p>
      <w:pPr>
        <w:pStyle w:val="10"/>
        <w:ind w:firstLine="640" w:firstLineChars="200"/>
        <w:rPr>
          <w:rFonts w:ascii="仿宋_GB2312" w:eastAsia="仿宋_GB2312" w:hAnsiTheme="minorEastAsia"/>
          <w:b/>
          <w:bCs/>
          <w:color w:val="auto"/>
          <w:sz w:val="32"/>
          <w:szCs w:val="32"/>
        </w:rPr>
      </w:pPr>
      <w:r>
        <w:rPr>
          <w:rFonts w:hint="eastAsia" w:ascii="仿宋_GB2312" w:eastAsia="仿宋_GB2312" w:hAnsiTheme="minorEastAsia"/>
          <w:b/>
          <w:bCs/>
          <w:color w:val="auto"/>
          <w:sz w:val="32"/>
          <w:szCs w:val="32"/>
        </w:rPr>
        <w:t>2.</w:t>
      </w:r>
      <w:r>
        <w:rPr>
          <w:rFonts w:hint="eastAsia" w:ascii="仿宋_GB2312" w:eastAsia="仿宋_GB2312" w:hAnsiTheme="minorEastAsia"/>
          <w:b/>
          <w:bCs/>
          <w:color w:val="auto"/>
          <w:sz w:val="32"/>
          <w:szCs w:val="32"/>
          <w:lang w:eastAsia="zh-CN"/>
        </w:rPr>
        <w:t>社会保障和就业支出</w:t>
      </w:r>
      <w:r>
        <w:rPr>
          <w:rFonts w:hint="eastAsia" w:ascii="仿宋_GB2312" w:eastAsia="仿宋_GB2312" w:hAnsiTheme="minorEastAsia"/>
          <w:b/>
          <w:bCs/>
          <w:color w:val="auto"/>
          <w:sz w:val="32"/>
          <w:szCs w:val="32"/>
        </w:rPr>
        <w:t>（类）</w:t>
      </w:r>
      <w:r>
        <w:rPr>
          <w:rFonts w:hint="eastAsia" w:ascii="仿宋_GB2312" w:eastAsia="仿宋_GB2312" w:hAnsiTheme="minorEastAsia"/>
          <w:b/>
          <w:bCs/>
          <w:color w:val="auto"/>
          <w:sz w:val="32"/>
          <w:szCs w:val="32"/>
          <w:lang w:eastAsia="zh-CN"/>
        </w:rPr>
        <w:t>社会福利</w:t>
      </w:r>
      <w:r>
        <w:rPr>
          <w:rFonts w:hint="eastAsia" w:ascii="仿宋_GB2312" w:eastAsia="仿宋_GB2312" w:hAnsiTheme="minorEastAsia"/>
          <w:b/>
          <w:bCs/>
          <w:color w:val="auto"/>
          <w:sz w:val="32"/>
          <w:szCs w:val="32"/>
        </w:rPr>
        <w:t>（款）</w:t>
      </w:r>
      <w:r>
        <w:rPr>
          <w:rFonts w:hint="eastAsia" w:ascii="仿宋_GB2312" w:eastAsia="仿宋_GB2312" w:hAnsiTheme="minorEastAsia"/>
          <w:b/>
          <w:bCs/>
          <w:color w:val="auto"/>
          <w:sz w:val="32"/>
          <w:szCs w:val="32"/>
          <w:lang w:eastAsia="zh-CN"/>
        </w:rPr>
        <w:t>其他社会福利支出</w:t>
      </w:r>
      <w:r>
        <w:rPr>
          <w:rFonts w:hint="eastAsia" w:ascii="仿宋_GB2312" w:eastAsia="仿宋_GB2312" w:hAnsiTheme="minorEastAsia"/>
          <w:b/>
          <w:bCs/>
          <w:color w:val="auto"/>
          <w:sz w:val="32"/>
          <w:szCs w:val="32"/>
        </w:rPr>
        <w:t>（项）。</w:t>
      </w:r>
    </w:p>
    <w:p>
      <w:pPr>
        <w:pStyle w:val="10"/>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年初预算为</w:t>
      </w:r>
      <w:r>
        <w:rPr>
          <w:rFonts w:hint="eastAsia" w:ascii="仿宋_GB2312" w:eastAsia="仿宋_GB2312" w:hAnsiTheme="minorEastAsia"/>
          <w:color w:val="auto"/>
          <w:sz w:val="32"/>
          <w:szCs w:val="32"/>
          <w:lang w:val="en-US" w:eastAsia="zh-CN"/>
        </w:rPr>
        <w:t>0.24</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0.24</w:t>
      </w:r>
      <w:r>
        <w:rPr>
          <w:rFonts w:hint="eastAsia" w:ascii="仿宋_GB2312" w:eastAsia="仿宋_GB2312" w:hAnsiTheme="minorEastAsia"/>
          <w:color w:val="auto"/>
          <w:sz w:val="32"/>
          <w:szCs w:val="32"/>
        </w:rPr>
        <w:t>万元，完成年初预算的</w:t>
      </w:r>
      <w:r>
        <w:rPr>
          <w:rFonts w:hint="eastAsia" w:ascii="仿宋_GB2312" w:eastAsia="仿宋_GB2312" w:hAnsiTheme="minorEastAsia"/>
          <w:color w:val="auto"/>
          <w:sz w:val="32"/>
          <w:szCs w:val="32"/>
          <w:lang w:val="en-US" w:eastAsia="zh-CN"/>
        </w:rPr>
        <w:t>100.0</w:t>
      </w:r>
      <w:r>
        <w:rPr>
          <w:rFonts w:hint="eastAsia" w:ascii="仿宋_GB2312" w:eastAsia="仿宋_GB2312" w:hAnsiTheme="minorEastAsia"/>
          <w:color w:val="auto"/>
          <w:sz w:val="32"/>
          <w:szCs w:val="32"/>
        </w:rPr>
        <w:t>%，决算数</w:t>
      </w:r>
      <w:r>
        <w:rPr>
          <w:rFonts w:hint="eastAsia" w:ascii="仿宋_GB2312" w:eastAsia="仿宋_GB2312" w:hAnsiTheme="minorEastAsia"/>
          <w:color w:val="auto"/>
          <w:sz w:val="32"/>
          <w:szCs w:val="32"/>
          <w:lang w:eastAsia="zh-CN"/>
        </w:rPr>
        <w:t>与</w:t>
      </w:r>
      <w:r>
        <w:rPr>
          <w:rFonts w:hint="eastAsia" w:ascii="仿宋_GB2312" w:eastAsia="仿宋_GB2312" w:hAnsiTheme="minorEastAsia"/>
          <w:color w:val="auto"/>
          <w:sz w:val="32"/>
          <w:szCs w:val="32"/>
        </w:rPr>
        <w:t>年初预算数</w:t>
      </w:r>
      <w:r>
        <w:rPr>
          <w:rFonts w:hint="eastAsia" w:ascii="仿宋_GB2312" w:eastAsia="仿宋_GB2312" w:hAnsiTheme="minorEastAsia"/>
          <w:color w:val="auto"/>
          <w:sz w:val="32"/>
          <w:szCs w:val="32"/>
          <w:lang w:eastAsia="zh-CN"/>
        </w:rPr>
        <w:t>一致。</w:t>
      </w:r>
    </w:p>
    <w:p>
      <w:pPr>
        <w:pStyle w:val="10"/>
        <w:rPr>
          <w:rFonts w:hAnsi="黑体"/>
          <w:b w:val="0"/>
          <w:bCs/>
          <w:color w:val="000000" w:themeColor="text1"/>
          <w:sz w:val="32"/>
          <w:szCs w:val="32"/>
          <w14:textFill>
            <w14:solidFill>
              <w14:schemeClr w14:val="tx1"/>
            </w14:solidFill>
          </w14:textFill>
        </w:rPr>
      </w:pPr>
      <w:r>
        <w:rPr>
          <w:rFonts w:hint="eastAsia" w:hAnsi="黑体"/>
          <w:b w:val="0"/>
          <w:bCs/>
          <w:color w:val="auto"/>
          <w:sz w:val="32"/>
          <w:szCs w:val="32"/>
        </w:rPr>
        <w:t>六、一般公共预算财政拨款基本支出决算情</w:t>
      </w:r>
      <w:r>
        <w:rPr>
          <w:rFonts w:hint="eastAsia" w:hAnsi="黑体"/>
          <w:b w:val="0"/>
          <w:bCs/>
          <w:color w:val="000000" w:themeColor="text1"/>
          <w:sz w:val="32"/>
          <w:szCs w:val="32"/>
          <w14:textFill>
            <w14:solidFill>
              <w14:schemeClr w14:val="tx1"/>
            </w14:solidFill>
          </w14:textFill>
        </w:rPr>
        <w:t>况说明</w:t>
      </w:r>
    </w:p>
    <w:p>
      <w:pPr>
        <w:pStyle w:val="10"/>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2019年度财政拨款基本支出</w:t>
      </w:r>
      <w:r>
        <w:rPr>
          <w:rFonts w:hint="eastAsia" w:ascii="仿宋_GB2312" w:eastAsia="仿宋_GB2312" w:hAnsiTheme="minorEastAsia"/>
          <w:color w:val="000000" w:themeColor="text1"/>
          <w:sz w:val="32"/>
          <w:szCs w:val="32"/>
          <w:lang w:val="en-US" w:eastAsia="zh-CN"/>
          <w14:textFill>
            <w14:solidFill>
              <w14:schemeClr w14:val="tx1"/>
            </w14:solidFill>
          </w14:textFill>
        </w:rPr>
        <w:t>411.98</w:t>
      </w:r>
      <w:r>
        <w:rPr>
          <w:rFonts w:hint="eastAsia" w:ascii="仿宋_GB2312" w:eastAsia="仿宋_GB2312" w:hAnsiTheme="minorEastAsia"/>
          <w:color w:val="000000" w:themeColor="text1"/>
          <w:sz w:val="32"/>
          <w:szCs w:val="32"/>
          <w14:textFill>
            <w14:solidFill>
              <w14:schemeClr w14:val="tx1"/>
            </w14:solidFill>
          </w14:textFill>
        </w:rPr>
        <w:t>万元，其中：人员经费</w:t>
      </w:r>
      <w:r>
        <w:rPr>
          <w:rFonts w:hint="eastAsia" w:ascii="仿宋_GB2312" w:eastAsia="仿宋_GB2312" w:hAnsiTheme="minorEastAsia"/>
          <w:color w:val="000000" w:themeColor="text1"/>
          <w:sz w:val="32"/>
          <w:szCs w:val="32"/>
          <w:lang w:val="en-US" w:eastAsia="zh-CN"/>
          <w14:textFill>
            <w14:solidFill>
              <w14:schemeClr w14:val="tx1"/>
            </w14:solidFill>
          </w14:textFill>
        </w:rPr>
        <w:t>338.03</w:t>
      </w:r>
      <w:r>
        <w:rPr>
          <w:rFonts w:hint="eastAsia" w:ascii="仿宋_GB2312" w:eastAsia="仿宋_GB2312" w:hAnsiTheme="minorEastAsia"/>
          <w:color w:val="000000" w:themeColor="text1"/>
          <w:sz w:val="32"/>
          <w:szCs w:val="32"/>
          <w14:textFill>
            <w14:solidFill>
              <w14:schemeClr w14:val="tx1"/>
            </w14:solidFill>
          </w14:textFill>
        </w:rPr>
        <w:t>万元，占基本支出的</w:t>
      </w:r>
      <w:r>
        <w:rPr>
          <w:rFonts w:hint="eastAsia" w:ascii="仿宋_GB2312" w:eastAsia="仿宋_GB2312" w:hAnsiTheme="minorEastAsia"/>
          <w:color w:val="000000" w:themeColor="text1"/>
          <w:sz w:val="32"/>
          <w:szCs w:val="32"/>
          <w:lang w:val="en-US" w:eastAsia="zh-CN"/>
          <w14:textFill>
            <w14:solidFill>
              <w14:schemeClr w14:val="tx1"/>
            </w14:solidFill>
          </w14:textFill>
        </w:rPr>
        <w:t>82.0</w:t>
      </w:r>
      <w:r>
        <w:rPr>
          <w:rFonts w:hint="eastAsia" w:ascii="仿宋_GB2312" w:eastAsia="仿宋_GB2312" w:hAnsiTheme="minorEastAsia"/>
          <w:color w:val="000000" w:themeColor="text1"/>
          <w:sz w:val="32"/>
          <w:szCs w:val="32"/>
          <w14:textFill>
            <w14:solidFill>
              <w14:schemeClr w14:val="tx1"/>
            </w14:solidFill>
          </w14:textFill>
        </w:rPr>
        <w:t>%,主要包括基本工资、津贴补贴、奖金、伙食补助费</w:t>
      </w:r>
      <w:r>
        <w:rPr>
          <w:rFonts w:hint="eastAsia" w:ascii="仿宋_GB2312" w:eastAsia="仿宋_GB2312" w:hAnsiTheme="minorEastAsia"/>
          <w:color w:val="000000" w:themeColor="text1"/>
          <w:sz w:val="32"/>
          <w:szCs w:val="32"/>
          <w:lang w:eastAsia="zh-CN"/>
          <w14:textFill>
            <w14:solidFill>
              <w14:schemeClr w14:val="tx1"/>
            </w14:solidFill>
          </w14:textFill>
        </w:rPr>
        <w:t>、五险一金、离休费、抚恤金、生活补助、奖励金</w:t>
      </w:r>
      <w:r>
        <w:rPr>
          <w:rFonts w:hint="eastAsia" w:ascii="仿宋_GB2312" w:eastAsia="仿宋_GB2312" w:hAnsiTheme="minorEastAsia"/>
          <w:color w:val="000000" w:themeColor="text1"/>
          <w:sz w:val="32"/>
          <w:szCs w:val="32"/>
          <w14:textFill>
            <w14:solidFill>
              <w14:schemeClr w14:val="tx1"/>
            </w14:solidFill>
          </w14:textFill>
        </w:rPr>
        <w:t>；公用经费</w:t>
      </w:r>
      <w:r>
        <w:rPr>
          <w:rFonts w:hint="eastAsia" w:ascii="仿宋_GB2312" w:eastAsia="仿宋_GB2312" w:hAnsiTheme="minorEastAsia"/>
          <w:color w:val="000000" w:themeColor="text1"/>
          <w:sz w:val="32"/>
          <w:szCs w:val="32"/>
          <w:lang w:val="en-US" w:eastAsia="zh-CN"/>
          <w14:textFill>
            <w14:solidFill>
              <w14:schemeClr w14:val="tx1"/>
            </w14:solidFill>
          </w14:textFill>
        </w:rPr>
        <w:t>73.95</w:t>
      </w:r>
      <w:r>
        <w:rPr>
          <w:rFonts w:hint="eastAsia" w:ascii="仿宋_GB2312" w:eastAsia="仿宋_GB2312" w:hAnsiTheme="minorEastAsia"/>
          <w:color w:val="000000" w:themeColor="text1"/>
          <w:sz w:val="32"/>
          <w:szCs w:val="32"/>
          <w14:textFill>
            <w14:solidFill>
              <w14:schemeClr w14:val="tx1"/>
            </w14:solidFill>
          </w14:textFill>
        </w:rPr>
        <w:t>万元，占基本支出的</w:t>
      </w:r>
      <w:r>
        <w:rPr>
          <w:rFonts w:hint="eastAsia" w:ascii="仿宋_GB2312" w:eastAsia="仿宋_GB2312" w:hAnsiTheme="minorEastAsia"/>
          <w:color w:val="000000" w:themeColor="text1"/>
          <w:sz w:val="32"/>
          <w:szCs w:val="32"/>
          <w:lang w:val="en-US" w:eastAsia="zh-CN"/>
          <w14:textFill>
            <w14:solidFill>
              <w14:schemeClr w14:val="tx1"/>
            </w14:solidFill>
          </w14:textFill>
        </w:rPr>
        <w:t>18.0</w:t>
      </w:r>
      <w:r>
        <w:rPr>
          <w:rFonts w:hint="eastAsia" w:ascii="仿宋_GB2312" w:eastAsia="仿宋_GB2312" w:hAnsiTheme="minorEastAsia"/>
          <w:color w:val="000000" w:themeColor="text1"/>
          <w:sz w:val="32"/>
          <w:szCs w:val="32"/>
          <w14:textFill>
            <w14:solidFill>
              <w14:schemeClr w14:val="tx1"/>
            </w14:solidFill>
          </w14:textFill>
        </w:rPr>
        <w:t>%，主要包括办公费、</w:t>
      </w:r>
      <w:r>
        <w:rPr>
          <w:rFonts w:hint="eastAsia" w:ascii="仿宋_GB2312" w:eastAsia="仿宋_GB2312" w:hAnsiTheme="minorEastAsia"/>
          <w:color w:val="000000" w:themeColor="text1"/>
          <w:sz w:val="32"/>
          <w:szCs w:val="32"/>
          <w:lang w:eastAsia="zh-CN"/>
          <w14:textFill>
            <w14:solidFill>
              <w14:schemeClr w14:val="tx1"/>
            </w14:solidFill>
          </w14:textFill>
        </w:rPr>
        <w:t>电费</w:t>
      </w:r>
      <w:r>
        <w:rPr>
          <w:rFonts w:hint="eastAsia" w:ascii="仿宋_GB2312" w:eastAsia="仿宋_GB2312" w:hAnsiTheme="minorEastAsia"/>
          <w:color w:val="000000" w:themeColor="text1"/>
          <w:sz w:val="32"/>
          <w:szCs w:val="32"/>
          <w14:textFill>
            <w14:solidFill>
              <w14:schemeClr w14:val="tx1"/>
            </w14:solidFill>
          </w14:textFill>
        </w:rPr>
        <w:t>、咨询费、手续费</w:t>
      </w:r>
      <w:r>
        <w:rPr>
          <w:rFonts w:hint="eastAsia" w:ascii="仿宋_GB2312" w:eastAsia="仿宋_GB2312" w:hAnsiTheme="minorEastAsia"/>
          <w:color w:val="000000" w:themeColor="text1"/>
          <w:sz w:val="32"/>
          <w:szCs w:val="32"/>
          <w:lang w:eastAsia="zh-CN"/>
          <w14:textFill>
            <w14:solidFill>
              <w14:schemeClr w14:val="tx1"/>
            </w14:solidFill>
          </w14:textFill>
        </w:rPr>
        <w:t>、水费、邮电费、差旅费、维修（护）费、会议费、培训费、公务接待费、劳务费、委托业务费、工会、公务用车运行维护费</w:t>
      </w:r>
      <w:r>
        <w:rPr>
          <w:rFonts w:hint="eastAsia" w:ascii="仿宋_GB2312" w:eastAsia="仿宋_GB2312" w:hAnsiTheme="minorEastAsia"/>
          <w:color w:val="000000" w:themeColor="text1"/>
          <w:sz w:val="32"/>
          <w:szCs w:val="32"/>
          <w14:textFill>
            <w14:solidFill>
              <w14:schemeClr w14:val="tx1"/>
            </w14:solidFill>
          </w14:textFill>
        </w:rPr>
        <w:t>。</w:t>
      </w:r>
    </w:p>
    <w:p>
      <w:pPr>
        <w:pStyle w:val="1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七、一般公共预算财政拨款三公经费支出决算情况说明</w:t>
      </w:r>
    </w:p>
    <w:p>
      <w:pPr>
        <w:pStyle w:val="1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（一）“三公”经费财政拨款支出决算总体情况说明</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“三公”经费财政拨款支出预算为</w:t>
      </w:r>
      <w:r>
        <w:rPr>
          <w:rFonts w:hint="eastAsia" w:ascii="仿宋" w:hAnsi="仿宋" w:eastAsia="仿宋" w:cs="仿宋"/>
          <w:color w:val="000000" w:themeColor="text1"/>
          <w:sz w:val="32"/>
          <w:szCs w:val="32"/>
          <w:lang w:val="en-US" w:eastAsia="zh-CN"/>
          <w14:textFill>
            <w14:solidFill>
              <w14:schemeClr w14:val="tx1"/>
            </w14:solidFill>
          </w14:textFill>
        </w:rPr>
        <w:t>2.53</w:t>
      </w:r>
      <w:r>
        <w:rPr>
          <w:rFonts w:hint="eastAsia" w:ascii="仿宋" w:hAnsi="仿宋" w:eastAsia="仿宋" w:cs="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2.53</w:t>
      </w:r>
      <w:r>
        <w:rPr>
          <w:rFonts w:hint="eastAsia" w:ascii="仿宋" w:hAnsi="仿宋" w:eastAsia="仿宋" w:cs="仿宋"/>
          <w:color w:val="000000" w:themeColor="text1"/>
          <w:sz w:val="32"/>
          <w:szCs w:val="32"/>
          <w14:textFill>
            <w14:solidFill>
              <w14:schemeClr w14:val="tx1"/>
            </w14:solidFill>
          </w14:textFill>
        </w:rPr>
        <w:t>万元，完成预算的</w:t>
      </w:r>
      <w:r>
        <w:rPr>
          <w:rFonts w:hint="eastAsia" w:ascii="仿宋" w:hAnsi="仿宋" w:eastAsia="仿宋" w:cs="仿宋"/>
          <w:color w:val="000000" w:themeColor="text1"/>
          <w:sz w:val="32"/>
          <w:szCs w:val="32"/>
          <w:lang w:val="en-US" w:eastAsia="zh-CN"/>
          <w14:textFill>
            <w14:solidFill>
              <w14:schemeClr w14:val="tx1"/>
            </w14:solidFill>
          </w14:textFill>
        </w:rPr>
        <w:t>100.0</w:t>
      </w:r>
      <w:r>
        <w:rPr>
          <w:rFonts w:hint="eastAsia" w:ascii="仿宋" w:hAnsi="仿宋" w:eastAsia="仿宋" w:cs="仿宋"/>
          <w:color w:val="000000" w:themeColor="text1"/>
          <w:sz w:val="32"/>
          <w:szCs w:val="32"/>
          <w14:textFill>
            <w14:solidFill>
              <w14:schemeClr w14:val="tx1"/>
            </w14:solidFill>
          </w14:textFill>
        </w:rPr>
        <w:t>%，其中：</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因公出国（境）费支出预算为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万元，完成预算的</w:t>
      </w:r>
      <w:r>
        <w:rPr>
          <w:rFonts w:hint="eastAsia" w:ascii="仿宋" w:hAnsi="仿宋" w:eastAsia="仿宋" w:cs="仿宋"/>
          <w:color w:val="000000" w:themeColor="text1"/>
          <w:sz w:val="32"/>
          <w:szCs w:val="32"/>
          <w:lang w:val="en-US" w:eastAsia="zh-CN"/>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%，决算数</w:t>
      </w:r>
      <w:r>
        <w:rPr>
          <w:rFonts w:hint="eastAsia" w:ascii="仿宋" w:hAnsi="仿宋" w:eastAsia="仿宋" w:cs="仿宋"/>
          <w:color w:val="000000" w:themeColor="text1"/>
          <w:sz w:val="32"/>
          <w:szCs w:val="32"/>
          <w:lang w:eastAsia="zh-CN"/>
          <w14:textFill>
            <w14:solidFill>
              <w14:schemeClr w14:val="tx1"/>
            </w14:solidFill>
          </w14:textFill>
        </w:rPr>
        <w:t>等于</w:t>
      </w:r>
      <w:r>
        <w:rPr>
          <w:rFonts w:hint="eastAsia" w:ascii="仿宋" w:hAnsi="仿宋" w:eastAsia="仿宋" w:cs="仿宋"/>
          <w:color w:val="000000" w:themeColor="text1"/>
          <w:sz w:val="32"/>
          <w:szCs w:val="32"/>
          <w14:textFill>
            <w14:solidFill>
              <w14:schemeClr w14:val="tx1"/>
            </w14:solidFill>
          </w14:textFill>
        </w:rPr>
        <w:t>年初预算数的主要原因是</w:t>
      </w:r>
      <w:r>
        <w:rPr>
          <w:rFonts w:hint="eastAsia" w:ascii="仿宋" w:hAnsi="仿宋" w:eastAsia="仿宋" w:cs="仿宋"/>
          <w:color w:val="000000" w:themeColor="text1"/>
          <w:sz w:val="32"/>
          <w:szCs w:val="32"/>
          <w:lang w:eastAsia="zh-CN"/>
          <w14:textFill>
            <w14:solidFill>
              <w14:schemeClr w14:val="tx1"/>
            </w14:solidFill>
          </w14:textFill>
        </w:rPr>
        <w:t>我单位无因公出国（境）公务活动，故未年初未安排该项预算。</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公务接待费支出预算为</w:t>
      </w:r>
      <w:r>
        <w:rPr>
          <w:rFonts w:hint="eastAsia" w:ascii="仿宋" w:hAnsi="仿宋" w:eastAsia="仿宋" w:cs="仿宋"/>
          <w:color w:val="000000" w:themeColor="text1"/>
          <w:sz w:val="32"/>
          <w:szCs w:val="32"/>
          <w:lang w:val="en-US" w:eastAsia="zh-CN"/>
          <w14:textFill>
            <w14:solidFill>
              <w14:schemeClr w14:val="tx1"/>
            </w14:solidFill>
          </w14:textFill>
        </w:rPr>
        <w:t>0.4</w:t>
      </w:r>
      <w:r>
        <w:rPr>
          <w:rFonts w:hint="eastAsia" w:ascii="仿宋" w:hAnsi="仿宋" w:eastAsia="仿宋" w:cs="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0.4</w:t>
      </w:r>
      <w:r>
        <w:rPr>
          <w:rFonts w:hint="eastAsia" w:ascii="仿宋" w:hAnsi="仿宋" w:eastAsia="仿宋" w:cs="仿宋"/>
          <w:color w:val="000000" w:themeColor="text1"/>
          <w:sz w:val="32"/>
          <w:szCs w:val="32"/>
          <w14:textFill>
            <w14:solidFill>
              <w14:schemeClr w14:val="tx1"/>
            </w14:solidFill>
          </w14:textFill>
        </w:rPr>
        <w:t>万元，完成预算的</w:t>
      </w:r>
      <w:r>
        <w:rPr>
          <w:rFonts w:hint="eastAsia" w:ascii="仿宋" w:hAnsi="仿宋" w:eastAsia="仿宋" w:cs="仿宋"/>
          <w:color w:val="000000" w:themeColor="text1"/>
          <w:sz w:val="32"/>
          <w:szCs w:val="32"/>
          <w:lang w:val="en-US" w:eastAsia="zh-CN"/>
          <w14:textFill>
            <w14:solidFill>
              <w14:schemeClr w14:val="tx1"/>
            </w14:solidFill>
          </w14:textFill>
        </w:rPr>
        <w:t>100.0</w:t>
      </w:r>
      <w:r>
        <w:rPr>
          <w:rFonts w:hint="eastAsia" w:ascii="仿宋" w:hAnsi="仿宋" w:eastAsia="仿宋" w:cs="仿宋"/>
          <w:color w:val="000000" w:themeColor="text1"/>
          <w:sz w:val="32"/>
          <w:szCs w:val="32"/>
          <w14:textFill>
            <w14:solidFill>
              <w14:schemeClr w14:val="tx1"/>
            </w14:solidFill>
          </w14:textFill>
        </w:rPr>
        <w:t>%，决算数</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于年初预算数的主要原因是</w:t>
      </w:r>
      <w:r>
        <w:rPr>
          <w:rFonts w:hint="eastAsia" w:ascii="仿宋" w:hAnsi="仿宋" w:eastAsia="仿宋" w:cs="仿宋"/>
          <w:color w:val="000000" w:themeColor="text1"/>
          <w:sz w:val="32"/>
          <w:szCs w:val="32"/>
          <w:lang w:eastAsia="zh-CN"/>
          <w14:textFill>
            <w14:solidFill>
              <w14:schemeClr w14:val="tx1"/>
            </w14:solidFill>
          </w14:textFill>
        </w:rPr>
        <w:t>厉行节约，减少接待支出</w:t>
      </w:r>
      <w:r>
        <w:rPr>
          <w:rFonts w:hint="eastAsia" w:ascii="仿宋" w:hAnsi="仿宋" w:eastAsia="仿宋" w:cs="仿宋"/>
          <w:color w:val="000000" w:themeColor="text1"/>
          <w:sz w:val="32"/>
          <w:szCs w:val="32"/>
          <w14:textFill>
            <w14:solidFill>
              <w14:schemeClr w14:val="tx1"/>
            </w14:solidFill>
          </w14:textFill>
        </w:rPr>
        <w:t>，与上年相比增加</w:t>
      </w:r>
      <w:r>
        <w:rPr>
          <w:rFonts w:hint="eastAsia" w:ascii="仿宋" w:hAnsi="仿宋" w:eastAsia="仿宋" w:cs="仿宋"/>
          <w:color w:val="000000" w:themeColor="text1"/>
          <w:sz w:val="32"/>
          <w:szCs w:val="32"/>
          <w:lang w:val="en-US" w:eastAsia="zh-CN"/>
          <w14:textFill>
            <w14:solidFill>
              <w14:schemeClr w14:val="tx1"/>
            </w14:solidFill>
          </w14:textFill>
        </w:rPr>
        <w:t>0.14</w:t>
      </w:r>
      <w:r>
        <w:rPr>
          <w:rFonts w:hint="eastAsia" w:ascii="仿宋" w:hAnsi="仿宋" w:eastAsia="仿宋" w:cs="仿宋"/>
          <w:color w:val="000000" w:themeColor="text1"/>
          <w:sz w:val="32"/>
          <w:szCs w:val="32"/>
          <w14:textFill>
            <w14:solidFill>
              <w14:schemeClr w14:val="tx1"/>
            </w14:solidFill>
          </w14:textFill>
        </w:rPr>
        <w:t>万元，增长</w:t>
      </w:r>
      <w:r>
        <w:rPr>
          <w:rFonts w:hint="eastAsia" w:ascii="仿宋" w:hAnsi="仿宋" w:eastAsia="仿宋" w:cs="仿宋"/>
          <w:color w:val="000000" w:themeColor="text1"/>
          <w:sz w:val="32"/>
          <w:szCs w:val="32"/>
          <w:lang w:val="en-US" w:eastAsia="zh-CN"/>
          <w14:textFill>
            <w14:solidFill>
              <w14:schemeClr w14:val="tx1"/>
            </w14:solidFill>
          </w14:textFill>
        </w:rPr>
        <w:t>55.9</w:t>
      </w:r>
      <w:r>
        <w:rPr>
          <w:rFonts w:hint="eastAsia" w:ascii="仿宋" w:hAnsi="仿宋" w:eastAsia="仿宋" w:cs="仿宋"/>
          <w:color w:val="000000" w:themeColor="text1"/>
          <w:sz w:val="32"/>
          <w:szCs w:val="32"/>
          <w14:textFill>
            <w14:solidFill>
              <w14:schemeClr w14:val="tx1"/>
            </w14:solidFill>
          </w14:textFill>
        </w:rPr>
        <w:t>%,增长的主要原因是</w:t>
      </w:r>
      <w:r>
        <w:rPr>
          <w:rFonts w:hint="eastAsia" w:ascii="仿宋" w:hAnsi="仿宋" w:eastAsia="仿宋" w:cs="仿宋"/>
          <w:color w:val="000000" w:themeColor="text1"/>
          <w:sz w:val="32"/>
          <w:szCs w:val="32"/>
          <w:lang w:eastAsia="zh-CN"/>
          <w14:textFill>
            <w14:solidFill>
              <w14:schemeClr w14:val="tx1"/>
            </w14:solidFill>
          </w14:textFill>
        </w:rPr>
        <w:t>工作需要</w:t>
      </w:r>
      <w:r>
        <w:rPr>
          <w:rFonts w:hint="eastAsia" w:ascii="仿宋" w:hAnsi="仿宋" w:eastAsia="仿宋" w:cs="仿宋"/>
          <w:color w:val="000000" w:themeColor="text1"/>
          <w:sz w:val="32"/>
          <w:szCs w:val="32"/>
          <w14:textFill>
            <w14:solidFill>
              <w14:schemeClr w14:val="tx1"/>
            </w14:solidFill>
          </w14:textFill>
        </w:rPr>
        <w:t>。</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公务用车购置费及运行维护费支出预算为</w:t>
      </w:r>
      <w:r>
        <w:rPr>
          <w:rFonts w:hint="eastAsia" w:ascii="仿宋" w:hAnsi="仿宋" w:eastAsia="仿宋" w:cs="仿宋"/>
          <w:color w:val="000000" w:themeColor="text1"/>
          <w:sz w:val="32"/>
          <w:szCs w:val="32"/>
          <w:lang w:val="en-US" w:eastAsia="zh-CN"/>
          <w14:textFill>
            <w14:solidFill>
              <w14:schemeClr w14:val="tx1"/>
            </w14:solidFill>
          </w14:textFill>
        </w:rPr>
        <w:t>2.13</w:t>
      </w:r>
      <w:r>
        <w:rPr>
          <w:rFonts w:hint="eastAsia" w:ascii="仿宋" w:hAnsi="仿宋" w:eastAsia="仿宋" w:cs="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2.13</w:t>
      </w:r>
      <w:r>
        <w:rPr>
          <w:rFonts w:hint="eastAsia" w:ascii="仿宋" w:hAnsi="仿宋" w:eastAsia="仿宋" w:cs="仿宋"/>
          <w:color w:val="000000" w:themeColor="text1"/>
          <w:sz w:val="32"/>
          <w:szCs w:val="32"/>
          <w14:textFill>
            <w14:solidFill>
              <w14:schemeClr w14:val="tx1"/>
            </w14:solidFill>
          </w14:textFill>
        </w:rPr>
        <w:t>万元，完成预算的</w:t>
      </w:r>
      <w:r>
        <w:rPr>
          <w:rFonts w:hint="eastAsia" w:ascii="仿宋" w:hAnsi="仿宋" w:eastAsia="仿宋" w:cs="仿宋"/>
          <w:color w:val="000000" w:themeColor="text1"/>
          <w:sz w:val="32"/>
          <w:szCs w:val="32"/>
          <w:lang w:val="en-US" w:eastAsia="zh-CN"/>
          <w14:textFill>
            <w14:solidFill>
              <w14:schemeClr w14:val="tx1"/>
            </w14:solidFill>
          </w14:textFill>
        </w:rPr>
        <w:t>100.0</w:t>
      </w:r>
      <w:r>
        <w:rPr>
          <w:rFonts w:hint="eastAsia" w:ascii="仿宋" w:hAnsi="仿宋" w:eastAsia="仿宋" w:cs="仿宋"/>
          <w:color w:val="000000" w:themeColor="text1"/>
          <w:sz w:val="32"/>
          <w:szCs w:val="32"/>
          <w14:textFill>
            <w14:solidFill>
              <w14:schemeClr w14:val="tx1"/>
            </w14:solidFill>
          </w14:textFill>
        </w:rPr>
        <w:t>%，决算数</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于年初预算数的主要原因是</w:t>
      </w:r>
      <w:r>
        <w:rPr>
          <w:rFonts w:hint="eastAsia" w:ascii="仿宋" w:hAnsi="仿宋" w:eastAsia="仿宋" w:cs="仿宋"/>
          <w:color w:val="000000" w:themeColor="text1"/>
          <w:sz w:val="32"/>
          <w:szCs w:val="32"/>
          <w:lang w:eastAsia="zh-CN"/>
          <w14:textFill>
            <w14:solidFill>
              <w14:schemeClr w14:val="tx1"/>
            </w14:solidFill>
          </w14:textFill>
        </w:rPr>
        <w:t>报废了</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辆公务用车</w:t>
      </w:r>
      <w:r>
        <w:rPr>
          <w:rFonts w:hint="eastAsia" w:ascii="仿宋" w:hAnsi="仿宋" w:eastAsia="仿宋" w:cs="仿宋"/>
          <w:color w:val="000000" w:themeColor="text1"/>
          <w:sz w:val="32"/>
          <w:szCs w:val="32"/>
          <w14:textFill>
            <w14:solidFill>
              <w14:schemeClr w14:val="tx1"/>
            </w14:solidFill>
          </w14:textFill>
        </w:rPr>
        <w:t>，与上年相比减少</w:t>
      </w:r>
      <w:r>
        <w:rPr>
          <w:rFonts w:hint="eastAsia" w:ascii="仿宋" w:hAnsi="仿宋" w:eastAsia="仿宋" w:cs="仿宋"/>
          <w:color w:val="000000" w:themeColor="text1"/>
          <w:sz w:val="32"/>
          <w:szCs w:val="32"/>
          <w:lang w:val="en-US" w:eastAsia="zh-CN"/>
          <w14:textFill>
            <w14:solidFill>
              <w14:schemeClr w14:val="tx1"/>
            </w14:solidFill>
          </w14:textFill>
        </w:rPr>
        <w:t>5.66</w:t>
      </w:r>
      <w:r>
        <w:rPr>
          <w:rFonts w:hint="eastAsia" w:ascii="仿宋" w:hAnsi="仿宋" w:eastAsia="仿宋" w:cs="仿宋"/>
          <w:color w:val="000000" w:themeColor="text1"/>
          <w:sz w:val="32"/>
          <w:szCs w:val="32"/>
          <w14:textFill>
            <w14:solidFill>
              <w14:schemeClr w14:val="tx1"/>
            </w14:solidFill>
          </w14:textFill>
        </w:rPr>
        <w:t>万元，减少</w:t>
      </w:r>
      <w:r>
        <w:rPr>
          <w:rFonts w:hint="eastAsia" w:ascii="仿宋" w:hAnsi="仿宋" w:eastAsia="仿宋" w:cs="仿宋"/>
          <w:color w:val="000000" w:themeColor="text1"/>
          <w:sz w:val="32"/>
          <w:szCs w:val="32"/>
          <w:lang w:val="en-US" w:eastAsia="zh-CN"/>
          <w14:textFill>
            <w14:solidFill>
              <w14:schemeClr w14:val="tx1"/>
            </w14:solidFill>
          </w14:textFill>
        </w:rPr>
        <w:t>72.7</w:t>
      </w:r>
      <w:r>
        <w:rPr>
          <w:rFonts w:hint="eastAsia" w:ascii="仿宋" w:hAnsi="仿宋" w:eastAsia="仿宋" w:cs="仿宋"/>
          <w:color w:val="000000" w:themeColor="text1"/>
          <w:sz w:val="32"/>
          <w:szCs w:val="32"/>
          <w14:textFill>
            <w14:solidFill>
              <w14:schemeClr w14:val="tx1"/>
            </w14:solidFill>
          </w14:textFill>
        </w:rPr>
        <w:t>%,减少的主要原因是</w:t>
      </w:r>
      <w:r>
        <w:rPr>
          <w:rFonts w:hint="eastAsia" w:ascii="仿宋" w:hAnsi="仿宋" w:eastAsia="仿宋" w:cs="仿宋"/>
          <w:color w:val="000000" w:themeColor="text1"/>
          <w:sz w:val="32"/>
          <w:szCs w:val="32"/>
          <w:lang w:eastAsia="zh-CN"/>
          <w14:textFill>
            <w14:solidFill>
              <w14:schemeClr w14:val="tx1"/>
            </w14:solidFill>
          </w14:textFill>
        </w:rPr>
        <w:t>报废了</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辆公务用车</w:t>
      </w:r>
      <w:r>
        <w:rPr>
          <w:rFonts w:hint="eastAsia" w:ascii="仿宋" w:hAnsi="仿宋" w:eastAsia="仿宋" w:cs="仿宋"/>
          <w:color w:val="000000" w:themeColor="text1"/>
          <w:sz w:val="32"/>
          <w:szCs w:val="32"/>
          <w14:textFill>
            <w14:solidFill>
              <w14:schemeClr w14:val="tx1"/>
            </w14:solidFill>
          </w14:textFill>
        </w:rPr>
        <w:t>。</w:t>
      </w:r>
    </w:p>
    <w:p>
      <w:pPr>
        <w:pStyle w:val="1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（二）“三公”经费财政拨款支出决算具体情况说明</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2019年度“三公”经费财政拨款支出决算中，公务接待费支出决算</w:t>
      </w:r>
      <w:r>
        <w:rPr>
          <w:rFonts w:hint="eastAsia" w:ascii="仿宋" w:hAnsi="仿宋" w:eastAsia="仿宋" w:cs="仿宋"/>
          <w:color w:val="000000" w:themeColor="text1"/>
          <w:sz w:val="32"/>
          <w:szCs w:val="32"/>
          <w:lang w:val="en-US" w:eastAsia="zh-CN"/>
          <w14:textFill>
            <w14:solidFill>
              <w14:schemeClr w14:val="tx1"/>
            </w14:solidFill>
          </w14:textFill>
        </w:rPr>
        <w:t>0.4</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15.8</w:t>
      </w:r>
      <w:r>
        <w:rPr>
          <w:rFonts w:hint="eastAsia" w:ascii="仿宋" w:hAnsi="仿宋" w:eastAsia="仿宋" w:cs="仿宋"/>
          <w:color w:val="000000" w:themeColor="text1"/>
          <w:sz w:val="32"/>
          <w:szCs w:val="32"/>
          <w14:textFill>
            <w14:solidFill>
              <w14:schemeClr w14:val="tx1"/>
            </w14:solidFill>
          </w14:textFill>
        </w:rPr>
        <w:t>%,因公出国（境）费支出决算</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%,公务用车购置费及运行维护费支出决算</w:t>
      </w:r>
      <w:r>
        <w:rPr>
          <w:rFonts w:hint="eastAsia" w:ascii="仿宋" w:hAnsi="仿宋" w:eastAsia="仿宋" w:cs="仿宋"/>
          <w:color w:val="000000" w:themeColor="text1"/>
          <w:sz w:val="32"/>
          <w:szCs w:val="32"/>
          <w:lang w:val="en-US" w:eastAsia="zh-CN"/>
          <w14:textFill>
            <w14:solidFill>
              <w14:schemeClr w14:val="tx1"/>
            </w14:solidFill>
          </w14:textFill>
        </w:rPr>
        <w:t>2.13</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84.2</w:t>
      </w:r>
      <w:r>
        <w:rPr>
          <w:rFonts w:hint="eastAsia" w:ascii="仿宋" w:hAnsi="仿宋" w:eastAsia="仿宋" w:cs="仿宋"/>
          <w:color w:val="000000" w:themeColor="text1"/>
          <w:sz w:val="32"/>
          <w:szCs w:val="32"/>
          <w14:textFill>
            <w14:solidFill>
              <w14:schemeClr w14:val="tx1"/>
            </w14:solidFill>
          </w14:textFill>
        </w:rPr>
        <w:t>%。其中：</w:t>
      </w:r>
    </w:p>
    <w:p>
      <w:pPr>
        <w:pStyle w:val="10"/>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1、因公出国（境）费支出决算为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万元，全年安排因公出国（境）团组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个，累计</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人次,</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开支内容</w:t>
      </w:r>
      <w:r>
        <w:rPr>
          <w:rFonts w:hint="eastAsia" w:ascii="仿宋" w:hAnsi="仿宋" w:eastAsia="仿宋" w:cs="仿宋"/>
          <w:color w:val="000000" w:themeColor="text1"/>
          <w:sz w:val="32"/>
          <w:szCs w:val="32"/>
          <w:lang w:eastAsia="zh-CN"/>
          <w14:textFill>
            <w14:solidFill>
              <w14:schemeClr w14:val="tx1"/>
            </w14:solidFill>
          </w14:textFill>
        </w:rPr>
        <w:t>。</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2、公务接待费支出决算为</w:t>
      </w:r>
      <w:r>
        <w:rPr>
          <w:rFonts w:hint="eastAsia" w:ascii="仿宋" w:hAnsi="仿宋" w:eastAsia="仿宋" w:cs="仿宋"/>
          <w:color w:val="000000" w:themeColor="text1"/>
          <w:sz w:val="32"/>
          <w:szCs w:val="32"/>
          <w:lang w:val="en-US" w:eastAsia="zh-CN"/>
          <w14:textFill>
            <w14:solidFill>
              <w14:schemeClr w14:val="tx1"/>
            </w14:solidFill>
          </w14:textFill>
        </w:rPr>
        <w:t>0.4</w:t>
      </w:r>
      <w:r>
        <w:rPr>
          <w:rFonts w:hint="eastAsia" w:ascii="仿宋" w:hAnsi="仿宋" w:eastAsia="仿宋" w:cs="仿宋"/>
          <w:color w:val="000000" w:themeColor="text1"/>
          <w:sz w:val="32"/>
          <w:szCs w:val="32"/>
          <w14:textFill>
            <w14:solidFill>
              <w14:schemeClr w14:val="tx1"/>
            </w14:solidFill>
          </w14:textFill>
        </w:rPr>
        <w:t>万元，全年共接待来访团组</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个、来宾</w:t>
      </w:r>
      <w:r>
        <w:rPr>
          <w:rFonts w:hint="eastAsia" w:ascii="仿宋" w:hAnsi="仿宋" w:eastAsia="仿宋" w:cs="仿宋"/>
          <w:color w:val="000000" w:themeColor="text1"/>
          <w:sz w:val="32"/>
          <w:szCs w:val="32"/>
          <w:lang w:val="en-US" w:eastAsia="zh-CN"/>
          <w14:textFill>
            <w14:solidFill>
              <w14:schemeClr w14:val="tx1"/>
            </w14:solidFill>
          </w14:textFill>
        </w:rPr>
        <w:t>29</w:t>
      </w:r>
      <w:r>
        <w:rPr>
          <w:rFonts w:hint="eastAsia" w:ascii="仿宋" w:hAnsi="仿宋" w:eastAsia="仿宋" w:cs="仿宋"/>
          <w:color w:val="000000" w:themeColor="text1"/>
          <w:sz w:val="32"/>
          <w:szCs w:val="32"/>
          <w14:textFill>
            <w14:solidFill>
              <w14:schemeClr w14:val="tx1"/>
            </w14:solidFill>
          </w14:textFill>
        </w:rPr>
        <w:t>人次，主要是</w:t>
      </w:r>
      <w:r>
        <w:rPr>
          <w:rFonts w:hint="eastAsia" w:ascii="仿宋" w:hAnsi="仿宋" w:eastAsia="仿宋" w:cs="仿宋"/>
          <w:color w:val="000000" w:themeColor="text1"/>
          <w:sz w:val="32"/>
          <w:szCs w:val="32"/>
          <w:lang w:eastAsia="zh-CN"/>
          <w14:textFill>
            <w14:solidFill>
              <w14:schemeClr w14:val="tx1"/>
            </w14:solidFill>
          </w14:textFill>
        </w:rPr>
        <w:t>其他省市福彩中心及省中心福彩来我办学习交流、考察</w:t>
      </w:r>
      <w:r>
        <w:rPr>
          <w:rFonts w:hint="eastAsia" w:ascii="仿宋" w:hAnsi="仿宋" w:eastAsia="仿宋" w:cs="仿宋"/>
          <w:color w:val="000000" w:themeColor="text1"/>
          <w:sz w:val="32"/>
          <w:szCs w:val="32"/>
          <w14:textFill>
            <w14:solidFill>
              <w14:schemeClr w14:val="tx1"/>
            </w14:solidFill>
          </w14:textFill>
        </w:rPr>
        <w:t>发生的</w:t>
      </w:r>
      <w:r>
        <w:rPr>
          <w:rFonts w:hint="eastAsia" w:ascii="仿宋" w:hAnsi="仿宋" w:eastAsia="仿宋" w:cs="仿宋"/>
          <w:color w:val="000000" w:themeColor="text1"/>
          <w:sz w:val="32"/>
          <w:szCs w:val="32"/>
          <w:lang w:eastAsia="zh-CN"/>
          <w14:textFill>
            <w14:solidFill>
              <w14:schemeClr w14:val="tx1"/>
            </w14:solidFill>
          </w14:textFill>
        </w:rPr>
        <w:t>公务</w:t>
      </w:r>
      <w:r>
        <w:rPr>
          <w:rFonts w:hint="eastAsia" w:ascii="仿宋" w:hAnsi="仿宋" w:eastAsia="仿宋" w:cs="仿宋"/>
          <w:color w:val="000000" w:themeColor="text1"/>
          <w:sz w:val="32"/>
          <w:szCs w:val="32"/>
          <w14:textFill>
            <w14:solidFill>
              <w14:schemeClr w14:val="tx1"/>
            </w14:solidFill>
          </w14:textFill>
        </w:rPr>
        <w:t>接待</w:t>
      </w:r>
      <w:r>
        <w:rPr>
          <w:rFonts w:hint="eastAsia" w:ascii="仿宋" w:hAnsi="仿宋" w:eastAsia="仿宋" w:cs="仿宋"/>
          <w:color w:val="000000" w:themeColor="text1"/>
          <w:sz w:val="32"/>
          <w:szCs w:val="32"/>
          <w:lang w:eastAsia="zh-CN"/>
          <w14:textFill>
            <w14:solidFill>
              <w14:schemeClr w14:val="tx1"/>
            </w14:solidFill>
          </w14:textFill>
        </w:rPr>
        <w:t>费用</w:t>
      </w:r>
      <w:r>
        <w:rPr>
          <w:rFonts w:hint="eastAsia" w:ascii="仿宋" w:hAnsi="仿宋" w:eastAsia="仿宋" w:cs="仿宋"/>
          <w:color w:val="000000" w:themeColor="text1"/>
          <w:sz w:val="32"/>
          <w:szCs w:val="32"/>
          <w14:textFill>
            <w14:solidFill>
              <w14:schemeClr w14:val="tx1"/>
            </w14:solidFill>
          </w14:textFill>
        </w:rPr>
        <w:t>支出。</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3、公务用车购置费及运行维护费支出决算为</w:t>
      </w:r>
      <w:r>
        <w:rPr>
          <w:rFonts w:hint="eastAsia" w:ascii="仿宋" w:hAnsi="仿宋" w:eastAsia="仿宋" w:cs="仿宋"/>
          <w:color w:val="000000" w:themeColor="text1"/>
          <w:sz w:val="32"/>
          <w:szCs w:val="32"/>
          <w:lang w:val="en-US" w:eastAsia="zh-CN"/>
          <w14:textFill>
            <w14:solidFill>
              <w14:schemeClr w14:val="tx1"/>
            </w14:solidFill>
          </w14:textFill>
        </w:rPr>
        <w:t>2.13</w:t>
      </w:r>
      <w:r>
        <w:rPr>
          <w:rFonts w:hint="eastAsia" w:ascii="仿宋" w:hAnsi="仿宋" w:eastAsia="仿宋" w:cs="仿宋"/>
          <w:color w:val="000000" w:themeColor="text1"/>
          <w:sz w:val="32"/>
          <w:szCs w:val="32"/>
          <w14:textFill>
            <w14:solidFill>
              <w14:schemeClr w14:val="tx1"/>
            </w14:solidFill>
          </w14:textFill>
        </w:rPr>
        <w:t>万元，其中：公务用车购置费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单位本级</w:t>
      </w:r>
      <w:r>
        <w:rPr>
          <w:rFonts w:hint="eastAsia" w:ascii="仿宋" w:hAnsi="仿宋" w:eastAsia="仿宋" w:cs="仿宋"/>
          <w:color w:val="000000" w:themeColor="text1"/>
          <w:sz w:val="32"/>
          <w:szCs w:val="32"/>
          <w14:textFill>
            <w14:solidFill>
              <w14:schemeClr w14:val="tx1"/>
            </w14:solidFill>
          </w14:textFill>
        </w:rPr>
        <w:t>更新公务用车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辆。公务用车运行维护费</w:t>
      </w:r>
      <w:r>
        <w:rPr>
          <w:rFonts w:hint="eastAsia" w:ascii="仿宋" w:hAnsi="仿宋" w:eastAsia="仿宋" w:cs="仿宋"/>
          <w:color w:val="000000" w:themeColor="text1"/>
          <w:sz w:val="32"/>
          <w:szCs w:val="32"/>
          <w:lang w:val="en-US" w:eastAsia="zh-CN"/>
          <w14:textFill>
            <w14:solidFill>
              <w14:schemeClr w14:val="tx1"/>
            </w14:solidFill>
          </w14:textFill>
        </w:rPr>
        <w:t>2.13</w:t>
      </w:r>
      <w:r>
        <w:rPr>
          <w:rFonts w:hint="eastAsia" w:ascii="仿宋" w:hAnsi="仿宋" w:eastAsia="仿宋" w:cs="仿宋"/>
          <w:color w:val="000000" w:themeColor="text1"/>
          <w:sz w:val="32"/>
          <w:szCs w:val="32"/>
          <w14:textFill>
            <w14:solidFill>
              <w14:schemeClr w14:val="tx1"/>
            </w14:solidFill>
          </w14:textFill>
        </w:rPr>
        <w:t>万元，主要是</w:t>
      </w:r>
      <w:r>
        <w:rPr>
          <w:rFonts w:hint="eastAsia" w:ascii="仿宋" w:hAnsi="仿宋" w:eastAsia="仿宋" w:cs="仿宋"/>
          <w:color w:val="000000" w:themeColor="text1"/>
          <w:sz w:val="32"/>
          <w:szCs w:val="32"/>
          <w:lang w:val="en-US" w:eastAsia="zh-CN"/>
          <w14:textFill>
            <w14:solidFill>
              <w14:schemeClr w14:val="tx1"/>
            </w14:solidFill>
          </w14:textFill>
        </w:rPr>
        <w:t>2辆公务用车的费用</w:t>
      </w:r>
      <w:r>
        <w:rPr>
          <w:rFonts w:hint="eastAsia" w:ascii="仿宋" w:hAnsi="仿宋" w:eastAsia="仿宋" w:cs="仿宋"/>
          <w:color w:val="000000" w:themeColor="text1"/>
          <w:sz w:val="32"/>
          <w:szCs w:val="32"/>
          <w14:textFill>
            <w14:solidFill>
              <w14:schemeClr w14:val="tx1"/>
            </w14:solidFill>
          </w14:textFill>
        </w:rPr>
        <w:t>支出，截止2019年12月31日，我单位开支财政拨款的公务用车保有量为</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辆。</w:t>
      </w:r>
    </w:p>
    <w:p>
      <w:pPr>
        <w:pStyle w:val="1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八、政府性基金预算收入支出决算情况</w:t>
      </w:r>
    </w:p>
    <w:p>
      <w:pPr>
        <w:pStyle w:val="10"/>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2019年度政府性基金预算财政拨款收入</w:t>
      </w:r>
      <w:r>
        <w:rPr>
          <w:rFonts w:hint="eastAsia" w:ascii="仿宋_GB2312" w:eastAsia="仿宋_GB2312" w:hAnsiTheme="minorEastAsia"/>
          <w:color w:val="000000" w:themeColor="text1"/>
          <w:sz w:val="32"/>
          <w:szCs w:val="32"/>
          <w:lang w:val="en-US" w:eastAsia="zh-CN"/>
          <w14:textFill>
            <w14:solidFill>
              <w14:schemeClr w14:val="tx1"/>
            </w14:solidFill>
          </w14:textFill>
        </w:rPr>
        <w:t>189.31</w:t>
      </w:r>
      <w:r>
        <w:rPr>
          <w:rFonts w:hint="eastAsia" w:ascii="仿宋_GB2312" w:eastAsia="仿宋_GB2312" w:hAnsiTheme="minorEastAsia"/>
          <w:color w:val="000000" w:themeColor="text1"/>
          <w:sz w:val="32"/>
          <w:szCs w:val="32"/>
          <w14:textFill>
            <w14:solidFill>
              <w14:schemeClr w14:val="tx1"/>
            </w14:solidFill>
          </w14:textFill>
        </w:rPr>
        <w:t>万元；年初结转和结余</w:t>
      </w:r>
      <w:r>
        <w:rPr>
          <w:rFonts w:hint="eastAsia" w:ascii="仿宋_GB2312" w:eastAsia="仿宋_GB2312" w:hAnsiTheme="minorEastAsia"/>
          <w:color w:val="000000" w:themeColor="text1"/>
          <w:sz w:val="32"/>
          <w:szCs w:val="32"/>
          <w:lang w:val="en-US" w:eastAsia="zh-CN"/>
          <w14:textFill>
            <w14:solidFill>
              <w14:schemeClr w14:val="tx1"/>
            </w14:solidFill>
          </w14:textFill>
        </w:rPr>
        <w:t>501.36</w:t>
      </w:r>
      <w:r>
        <w:rPr>
          <w:rFonts w:hint="eastAsia" w:ascii="仿宋_GB2312" w:eastAsia="仿宋_GB2312" w:hAnsiTheme="minorEastAsia"/>
          <w:color w:val="000000" w:themeColor="text1"/>
          <w:sz w:val="32"/>
          <w:szCs w:val="32"/>
          <w14:textFill>
            <w14:solidFill>
              <w14:schemeClr w14:val="tx1"/>
            </w14:solidFill>
          </w14:textFill>
        </w:rPr>
        <w:t>万元；支出</w:t>
      </w:r>
      <w:r>
        <w:rPr>
          <w:rFonts w:hint="eastAsia" w:ascii="仿宋_GB2312" w:eastAsia="仿宋_GB2312" w:hAnsiTheme="minorEastAsia"/>
          <w:color w:val="000000" w:themeColor="text1"/>
          <w:sz w:val="32"/>
          <w:szCs w:val="32"/>
          <w:lang w:val="en-US" w:eastAsia="zh-CN"/>
          <w14:textFill>
            <w14:solidFill>
              <w14:schemeClr w14:val="tx1"/>
            </w14:solidFill>
          </w14:textFill>
        </w:rPr>
        <w:t>189.31</w:t>
      </w:r>
      <w:r>
        <w:rPr>
          <w:rFonts w:hint="eastAsia" w:ascii="仿宋_GB2312" w:eastAsia="仿宋_GB2312" w:hAnsiTheme="minorEastAsia"/>
          <w:color w:val="000000" w:themeColor="text1"/>
          <w:sz w:val="32"/>
          <w:szCs w:val="32"/>
          <w14:textFill>
            <w14:solidFill>
              <w14:schemeClr w14:val="tx1"/>
            </w14:solidFill>
          </w14:textFill>
        </w:rPr>
        <w:t>万元，其中基本支出</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万元，项目支出</w:t>
      </w:r>
      <w:r>
        <w:rPr>
          <w:rFonts w:hint="eastAsia" w:ascii="仿宋_GB2312" w:eastAsia="仿宋_GB2312" w:hAnsiTheme="minorEastAsia"/>
          <w:color w:val="000000" w:themeColor="text1"/>
          <w:sz w:val="32"/>
          <w:szCs w:val="32"/>
          <w:lang w:val="en-US" w:eastAsia="zh-CN"/>
          <w14:textFill>
            <w14:solidFill>
              <w14:schemeClr w14:val="tx1"/>
            </w14:solidFill>
          </w14:textFill>
        </w:rPr>
        <w:t>189.31</w:t>
      </w:r>
      <w:r>
        <w:rPr>
          <w:rFonts w:hint="eastAsia" w:ascii="仿宋_GB2312" w:eastAsia="仿宋_GB2312" w:hAnsiTheme="minorEastAsia"/>
          <w:color w:val="000000" w:themeColor="text1"/>
          <w:sz w:val="32"/>
          <w:szCs w:val="32"/>
          <w14:textFill>
            <w14:solidFill>
              <w14:schemeClr w14:val="tx1"/>
            </w14:solidFill>
          </w14:textFill>
        </w:rPr>
        <w:t>万元；年末结转和结余</w:t>
      </w:r>
      <w:r>
        <w:rPr>
          <w:rFonts w:hint="eastAsia" w:ascii="仿宋_GB2312" w:eastAsia="仿宋_GB2312" w:hAnsiTheme="minorEastAsia"/>
          <w:color w:val="000000" w:themeColor="text1"/>
          <w:sz w:val="32"/>
          <w:szCs w:val="32"/>
          <w:lang w:val="en-US" w:eastAsia="zh-CN"/>
          <w14:textFill>
            <w14:solidFill>
              <w14:schemeClr w14:val="tx1"/>
            </w14:solidFill>
          </w14:textFill>
        </w:rPr>
        <w:t>501.36</w:t>
      </w:r>
      <w:r>
        <w:rPr>
          <w:rFonts w:hint="eastAsia" w:ascii="仿宋_GB2312" w:eastAsia="仿宋_GB2312" w:hAnsiTheme="minorEastAsia"/>
          <w:color w:val="000000" w:themeColor="text1"/>
          <w:sz w:val="32"/>
          <w:szCs w:val="32"/>
          <w14:textFill>
            <w14:solidFill>
              <w14:schemeClr w14:val="tx1"/>
            </w14:solidFill>
          </w14:textFill>
        </w:rPr>
        <w:t>万元。</w:t>
      </w:r>
    </w:p>
    <w:p>
      <w:pPr>
        <w:pStyle w:val="1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九、关于2019年度预算绩效情况说明</w:t>
      </w:r>
    </w:p>
    <w:p>
      <w:pPr>
        <w:ind w:firstLine="480" w:firstLineChars="150"/>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（一）预算绩效管理工作开展情况</w:t>
      </w:r>
    </w:p>
    <w:p>
      <w:pPr>
        <w:pStyle w:val="1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根据预算绩效管理要求，</w:t>
      </w:r>
      <w:r>
        <w:rPr>
          <w:rFonts w:hint="eastAsia" w:ascii="仿宋" w:hAnsi="仿宋" w:eastAsia="仿宋" w:cs="仿宋"/>
          <w:color w:val="auto"/>
          <w:sz w:val="32"/>
          <w:szCs w:val="32"/>
          <w:lang w:eastAsia="zh-CN"/>
        </w:rPr>
        <w:t>本单位无项目支出，故只</w:t>
      </w:r>
      <w:r>
        <w:rPr>
          <w:rFonts w:hint="eastAsia" w:ascii="仿宋" w:hAnsi="仿宋" w:eastAsia="仿宋" w:cs="仿宋"/>
          <w:color w:val="auto"/>
          <w:sz w:val="32"/>
          <w:szCs w:val="32"/>
        </w:rPr>
        <w:t>组织对 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年度</w:t>
      </w:r>
      <w:r>
        <w:rPr>
          <w:rFonts w:hint="eastAsia" w:ascii="仿宋" w:hAnsi="仿宋" w:eastAsia="仿宋" w:cs="仿宋"/>
          <w:color w:val="auto"/>
          <w:sz w:val="32"/>
          <w:szCs w:val="32"/>
          <w:lang w:eastAsia="zh-CN"/>
        </w:rPr>
        <w:t>整体支出</w:t>
      </w:r>
      <w:r>
        <w:rPr>
          <w:rFonts w:hint="eastAsia" w:ascii="仿宋" w:hAnsi="仿宋" w:eastAsia="仿宋" w:cs="仿宋"/>
          <w:color w:val="auto"/>
          <w:sz w:val="32"/>
          <w:szCs w:val="32"/>
        </w:rPr>
        <w:t>开展了绩效自评，共涉及资金</w:t>
      </w:r>
      <w:r>
        <w:rPr>
          <w:rFonts w:hint="eastAsia" w:ascii="仿宋" w:hAnsi="仿宋" w:eastAsia="仿宋" w:cs="仿宋"/>
          <w:color w:val="auto"/>
          <w:sz w:val="32"/>
          <w:szCs w:val="32"/>
          <w:lang w:val="en-US" w:eastAsia="zh-CN"/>
        </w:rPr>
        <w:t>1030.85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本单位整体支出</w:t>
      </w:r>
      <w:r>
        <w:rPr>
          <w:rFonts w:hint="eastAsia" w:ascii="仿宋" w:hAnsi="仿宋" w:eastAsia="仿宋" w:cs="仿宋"/>
          <w:color w:val="auto"/>
          <w:sz w:val="32"/>
          <w:szCs w:val="32"/>
        </w:rPr>
        <w:t>完整、规范，预算执行及时、有效，绩效目标得到较好实现，绩效管理水平不断提高，绩效指标体系建设逐渐丰富和完善。</w:t>
      </w:r>
    </w:p>
    <w:p>
      <w:pPr>
        <w:ind w:firstLine="480" w:firstLineChars="150"/>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（二）部门决算中项目绩效自评结果</w:t>
      </w:r>
    </w:p>
    <w:p>
      <w:pPr>
        <w:pStyle w:val="10"/>
        <w:ind w:firstLine="640"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1.整体绩效评价报告</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详见第五部分 其他</w:t>
      </w:r>
    </w:p>
    <w:p>
      <w:pPr>
        <w:pStyle w:val="10"/>
        <w:ind w:firstLine="640"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2.项目绩效评价报告</w:t>
      </w:r>
    </w:p>
    <w:p>
      <w:pPr>
        <w:pStyle w:val="10"/>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无</w:t>
      </w:r>
    </w:p>
    <w:p>
      <w:pPr>
        <w:pStyle w:val="1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十、其他重要事项情况说明</w:t>
      </w:r>
    </w:p>
    <w:p>
      <w:pPr>
        <w:ind w:firstLine="480" w:firstLineChars="150"/>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（一）机关运行经费支出情况</w:t>
      </w:r>
    </w:p>
    <w:p>
      <w:pPr>
        <w:pStyle w:val="10"/>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本部门2019 年度机关运行经费支出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万元（与部门决算中行政单位和参照公务员法管理事业单位一般公共预算财政拨款基本支出中公用经费之和保持衔接），比年初预算数增加（减少）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万元，增长（降低）</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2"/>
          <w:szCs w:val="32"/>
          <w:lang w:eastAsia="zh-CN"/>
          <w14:textFill>
            <w14:solidFill>
              <w14:schemeClr w14:val="tx1"/>
            </w14:solidFill>
          </w14:textFill>
        </w:rPr>
        <w:t>无</w:t>
      </w:r>
    </w:p>
    <w:p>
      <w:pPr>
        <w:ind w:firstLine="480" w:firstLineChars="150"/>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（二）一般性支出情况</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2019年本部门开支会议费</w:t>
      </w:r>
      <w:r>
        <w:rPr>
          <w:rFonts w:hint="eastAsia" w:ascii="仿宋" w:hAnsi="仿宋" w:eastAsia="仿宋" w:cs="仿宋"/>
          <w:color w:val="000000" w:themeColor="text1"/>
          <w:sz w:val="32"/>
          <w:szCs w:val="32"/>
          <w:lang w:val="en-US" w:eastAsia="zh-CN"/>
          <w14:textFill>
            <w14:solidFill>
              <w14:schemeClr w14:val="tx1"/>
            </w14:solidFill>
          </w14:textFill>
        </w:rPr>
        <w:t>0.79</w:t>
      </w:r>
      <w:r>
        <w:rPr>
          <w:rFonts w:hint="eastAsia" w:ascii="仿宋" w:hAnsi="仿宋" w:eastAsia="仿宋" w:cs="仿宋"/>
          <w:color w:val="000000" w:themeColor="text1"/>
          <w:sz w:val="32"/>
          <w:szCs w:val="32"/>
          <w14:textFill>
            <w14:solidFill>
              <w14:schemeClr w14:val="tx1"/>
            </w14:solidFill>
          </w14:textFill>
        </w:rPr>
        <w:t>万元，用于召开</w:t>
      </w:r>
      <w:r>
        <w:rPr>
          <w:rFonts w:hint="eastAsia" w:ascii="仿宋" w:hAnsi="仿宋" w:eastAsia="仿宋" w:cs="仿宋"/>
          <w:color w:val="000000" w:themeColor="text1"/>
          <w:sz w:val="32"/>
          <w:szCs w:val="32"/>
          <w:lang w:eastAsia="zh-CN"/>
          <w14:textFill>
            <w14:solidFill>
              <w14:schemeClr w14:val="tx1"/>
            </w14:solidFill>
          </w14:textFill>
        </w:rPr>
        <w:t>中福在线专题</w:t>
      </w:r>
      <w:r>
        <w:rPr>
          <w:rFonts w:hint="eastAsia" w:ascii="仿宋" w:hAnsi="仿宋" w:eastAsia="仿宋" w:cs="仿宋"/>
          <w:color w:val="000000" w:themeColor="text1"/>
          <w:sz w:val="32"/>
          <w:szCs w:val="32"/>
          <w14:textFill>
            <w14:solidFill>
              <w14:schemeClr w14:val="tx1"/>
            </w14:solidFill>
          </w14:textFill>
        </w:rPr>
        <w:t>会议，人数</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人，内容为</w:t>
      </w:r>
      <w:r>
        <w:rPr>
          <w:rFonts w:hint="eastAsia" w:ascii="仿宋" w:hAnsi="仿宋" w:eastAsia="仿宋" w:cs="仿宋"/>
          <w:color w:val="000000" w:themeColor="text1"/>
          <w:sz w:val="32"/>
          <w:szCs w:val="32"/>
          <w:lang w:eastAsia="zh-CN"/>
          <w14:textFill>
            <w14:solidFill>
              <w14:schemeClr w14:val="tx1"/>
            </w14:solidFill>
          </w14:textFill>
        </w:rPr>
        <w:t>传达</w:t>
      </w:r>
      <w:r>
        <w:rPr>
          <w:rFonts w:hint="eastAsia" w:ascii="仿宋" w:hAnsi="仿宋" w:eastAsia="仿宋" w:cs="仿宋"/>
          <w:color w:val="000000" w:themeColor="text1"/>
          <w:sz w:val="32"/>
          <w:szCs w:val="32"/>
          <w:lang w:val="en-US" w:eastAsia="zh-CN"/>
          <w14:textFill>
            <w14:solidFill>
              <w14:schemeClr w14:val="tx1"/>
            </w14:solidFill>
          </w14:textFill>
        </w:rPr>
        <w:t>2019年全省福彩中福在线年中市场形势，计划经费预算0.11万元，实际经费0.04万元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用于”湖南大家乐“第三季会议，人数</w:t>
      </w:r>
      <w:r>
        <w:rPr>
          <w:rFonts w:hint="eastAsia" w:ascii="仿宋" w:hAnsi="仿宋" w:eastAsia="仿宋" w:cs="仿宋"/>
          <w:color w:val="000000" w:themeColor="text1"/>
          <w:sz w:val="32"/>
          <w:szCs w:val="32"/>
          <w:lang w:val="en-US" w:eastAsia="zh-CN"/>
          <w14:textFill>
            <w14:solidFill>
              <w14:schemeClr w14:val="tx1"/>
            </w14:solidFill>
          </w14:textFill>
        </w:rPr>
        <w:t>50人，内容为”湖南福彩大家乐“第三季期奖活动，计划经费预算0.8万元，实际经费0.75万元；</w:t>
      </w:r>
      <w:r>
        <w:rPr>
          <w:rFonts w:hint="eastAsia" w:ascii="仿宋" w:hAnsi="仿宋" w:eastAsia="仿宋" w:cs="仿宋"/>
          <w:color w:val="000000" w:themeColor="text1"/>
          <w:sz w:val="32"/>
          <w:szCs w:val="32"/>
          <w14:textFill>
            <w14:solidFill>
              <w14:schemeClr w14:val="tx1"/>
            </w14:solidFill>
          </w14:textFill>
        </w:rPr>
        <w:t>开支培训费</w:t>
      </w:r>
      <w:r>
        <w:rPr>
          <w:rFonts w:hint="eastAsia" w:ascii="仿宋" w:hAnsi="仿宋" w:eastAsia="仿宋" w:cs="仿宋"/>
          <w:color w:val="000000" w:themeColor="text1"/>
          <w:sz w:val="32"/>
          <w:szCs w:val="32"/>
          <w:lang w:val="en-US" w:eastAsia="zh-CN"/>
          <w14:textFill>
            <w14:solidFill>
              <w14:schemeClr w14:val="tx1"/>
            </w14:solidFill>
          </w14:textFill>
        </w:rPr>
        <w:t>6.33</w:t>
      </w:r>
      <w:r>
        <w:rPr>
          <w:rFonts w:hint="eastAsia" w:ascii="仿宋" w:hAnsi="仿宋" w:eastAsia="仿宋" w:cs="仿宋"/>
          <w:color w:val="000000" w:themeColor="text1"/>
          <w:sz w:val="32"/>
          <w:szCs w:val="32"/>
          <w14:textFill>
            <w14:solidFill>
              <w14:schemeClr w14:val="tx1"/>
            </w14:solidFill>
          </w14:textFill>
        </w:rPr>
        <w:t>万元，用于开展</w:t>
      </w:r>
      <w:r>
        <w:rPr>
          <w:rFonts w:hint="eastAsia" w:ascii="仿宋" w:hAnsi="仿宋" w:eastAsia="仿宋" w:cs="仿宋"/>
          <w:color w:val="000000" w:themeColor="text1"/>
          <w:sz w:val="32"/>
          <w:szCs w:val="32"/>
          <w:lang w:eastAsia="zh-CN"/>
          <w14:textFill>
            <w14:solidFill>
              <w14:schemeClr w14:val="tx1"/>
            </w14:solidFill>
          </w14:textFill>
        </w:rPr>
        <w:t>“一线通”</w:t>
      </w:r>
      <w:r>
        <w:rPr>
          <w:rFonts w:hint="eastAsia" w:ascii="仿宋" w:hAnsi="仿宋" w:eastAsia="仿宋" w:cs="仿宋"/>
          <w:color w:val="000000" w:themeColor="text1"/>
          <w:sz w:val="32"/>
          <w:szCs w:val="32"/>
          <w14:textFill>
            <w14:solidFill>
              <w14:schemeClr w14:val="tx1"/>
            </w14:solidFill>
          </w14:textFill>
        </w:rPr>
        <w:t>培训，人数</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人，内容为</w:t>
      </w:r>
      <w:r>
        <w:rPr>
          <w:rFonts w:hint="eastAsia" w:ascii="仿宋" w:hAnsi="仿宋" w:eastAsia="仿宋" w:cs="仿宋"/>
          <w:color w:val="000000" w:themeColor="text1"/>
          <w:sz w:val="32"/>
          <w:szCs w:val="32"/>
          <w:lang w:eastAsia="zh-CN"/>
          <w14:textFill>
            <w14:solidFill>
              <w14:schemeClr w14:val="tx1"/>
            </w14:solidFill>
          </w14:textFill>
        </w:rPr>
        <w:t>对”一线通“设备安装培训，计划经费预算</w:t>
      </w:r>
      <w:r>
        <w:rPr>
          <w:rFonts w:hint="eastAsia" w:ascii="仿宋" w:hAnsi="仿宋" w:eastAsia="仿宋" w:cs="仿宋"/>
          <w:color w:val="000000" w:themeColor="text1"/>
          <w:sz w:val="32"/>
          <w:szCs w:val="32"/>
          <w:lang w:val="en-US" w:eastAsia="zh-CN"/>
          <w14:textFill>
            <w14:solidFill>
              <w14:schemeClr w14:val="tx1"/>
            </w14:solidFill>
          </w14:textFill>
        </w:rPr>
        <w:t>0.31万元，实际经费0.25万元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用于”福泽潇湘</w:t>
      </w:r>
      <w:r>
        <w:rPr>
          <w:rFonts w:hint="eastAsia" w:ascii="仿宋" w:hAnsi="仿宋" w:eastAsia="仿宋" w:cs="仿宋"/>
          <w:color w:val="000000" w:themeColor="text1"/>
          <w:sz w:val="32"/>
          <w:szCs w:val="32"/>
          <w:lang w:val="en-US" w:eastAsia="zh-CN"/>
          <w14:textFill>
            <w14:solidFill>
              <w14:schemeClr w14:val="tx1"/>
            </w14:solidFill>
          </w14:textFill>
        </w:rPr>
        <w:t xml:space="preserve"> 湖南福彩大家乐“营销活动业务培训，人数80人，内容为对”湖南福彩大家乐“营销活动的业务培训，计划经费预算1.52万元，实际经费0.67万元;用于福彩系统工作人员综合素质培训，人数62人，内容为福彩系统工作人员综合素质培训，计划经费预算2.49万元，实际经费2.47万元；用于2019年福彩投注站签约培训，人数300人，内容为投注站签约培训，计经费4.8万元，实际经费0.79万元；用于福彩系统工作人员TTT培训，人数50人，内容为对福彩系统工作人员TTT培训，计划经费预算2.34万元，实际经费2.13万元。</w:t>
      </w:r>
    </w:p>
    <w:p>
      <w:pPr>
        <w:ind w:firstLine="480" w:firstLineChars="150"/>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（三）政府采购支出情况</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本部门2019年度政府采购支出总额</w:t>
      </w:r>
      <w:r>
        <w:rPr>
          <w:rFonts w:hint="eastAsia" w:ascii="仿宋" w:hAnsi="仿宋" w:eastAsia="仿宋" w:cs="仿宋"/>
          <w:color w:val="000000" w:themeColor="text1"/>
          <w:sz w:val="32"/>
          <w:szCs w:val="32"/>
          <w:lang w:val="en-US" w:eastAsia="zh-CN"/>
          <w14:textFill>
            <w14:solidFill>
              <w14:schemeClr w14:val="tx1"/>
            </w14:solidFill>
          </w14:textFill>
        </w:rPr>
        <w:t>1.77</w:t>
      </w:r>
      <w:r>
        <w:rPr>
          <w:rFonts w:hint="eastAsia" w:ascii="仿宋" w:hAnsi="仿宋" w:eastAsia="仿宋" w:cs="仿宋"/>
          <w:color w:val="000000" w:themeColor="text1"/>
          <w:sz w:val="32"/>
          <w:szCs w:val="32"/>
          <w14:textFill>
            <w14:solidFill>
              <w14:schemeClr w14:val="tx1"/>
            </w14:solidFill>
          </w14:textFill>
        </w:rPr>
        <w:t>万元，其中：政府采购货物支出</w:t>
      </w:r>
      <w:r>
        <w:rPr>
          <w:rFonts w:hint="eastAsia" w:ascii="仿宋" w:hAnsi="仿宋" w:eastAsia="仿宋" w:cs="仿宋"/>
          <w:color w:val="000000" w:themeColor="text1"/>
          <w:sz w:val="32"/>
          <w:szCs w:val="32"/>
          <w:lang w:val="en-US" w:eastAsia="zh-CN"/>
          <w14:textFill>
            <w14:solidFill>
              <w14:schemeClr w14:val="tx1"/>
            </w14:solidFill>
          </w14:textFill>
        </w:rPr>
        <w:t>1.77</w:t>
      </w:r>
      <w:r>
        <w:rPr>
          <w:rFonts w:hint="eastAsia" w:ascii="仿宋" w:hAnsi="仿宋" w:eastAsia="仿宋" w:cs="仿宋"/>
          <w:color w:val="000000" w:themeColor="text1"/>
          <w:sz w:val="32"/>
          <w:szCs w:val="32"/>
          <w14:textFill>
            <w14:solidFill>
              <w14:schemeClr w14:val="tx1"/>
            </w14:solidFill>
          </w14:textFill>
        </w:rPr>
        <w:t>万元、政府采购工程支出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万元、政府采购服务支出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万元。授予中小企业合同金额</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万元，占政府采购支出总额的</w:t>
      </w:r>
      <w:r>
        <w:rPr>
          <w:rFonts w:hint="eastAsia" w:ascii="仿宋" w:hAnsi="仿宋" w:eastAsia="仿宋" w:cs="仿宋"/>
          <w:color w:val="000000" w:themeColor="text1"/>
          <w:sz w:val="32"/>
          <w:szCs w:val="32"/>
          <w:lang w:val="en-US" w:eastAsia="zh-CN"/>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%，其中：授予小微企业合同金额</w:t>
      </w:r>
      <w:r>
        <w:rPr>
          <w:rFonts w:hint="eastAsia" w:ascii="仿宋" w:hAnsi="仿宋" w:eastAsia="仿宋" w:cs="仿宋"/>
          <w:color w:val="000000" w:themeColor="text1"/>
          <w:sz w:val="32"/>
          <w:szCs w:val="32"/>
          <w:lang w:val="en-US" w:eastAsia="zh-CN"/>
          <w14:textFill>
            <w14:solidFill>
              <w14:schemeClr w14:val="tx1"/>
            </w14:solidFill>
          </w14:textFill>
        </w:rPr>
        <w:t>1.77</w:t>
      </w:r>
      <w:r>
        <w:rPr>
          <w:rFonts w:hint="eastAsia" w:ascii="仿宋" w:hAnsi="仿宋" w:eastAsia="仿宋" w:cs="仿宋"/>
          <w:color w:val="000000" w:themeColor="text1"/>
          <w:sz w:val="32"/>
          <w:szCs w:val="32"/>
          <w14:textFill>
            <w14:solidFill>
              <w14:schemeClr w14:val="tx1"/>
            </w14:solidFill>
          </w14:textFill>
        </w:rPr>
        <w:t>万元，占政府采购支出总额的</w:t>
      </w:r>
      <w:r>
        <w:rPr>
          <w:rFonts w:hint="eastAsia" w:ascii="仿宋" w:hAnsi="仿宋" w:eastAsia="仿宋" w:cs="仿宋"/>
          <w:color w:val="000000" w:themeColor="text1"/>
          <w:sz w:val="32"/>
          <w:szCs w:val="32"/>
          <w:lang w:val="en-US" w:eastAsia="zh-CN"/>
          <w14:textFill>
            <w14:solidFill>
              <w14:schemeClr w14:val="tx1"/>
            </w14:solidFill>
          </w14:textFill>
        </w:rPr>
        <w:t>100.0</w:t>
      </w:r>
      <w:r>
        <w:rPr>
          <w:rFonts w:hint="eastAsia" w:ascii="仿宋" w:hAnsi="仿宋" w:eastAsia="仿宋" w:cs="仿宋"/>
          <w:color w:val="000000" w:themeColor="text1"/>
          <w:sz w:val="32"/>
          <w:szCs w:val="32"/>
          <w14:textFill>
            <w14:solidFill>
              <w14:schemeClr w14:val="tx1"/>
            </w14:solidFill>
          </w14:textFill>
        </w:rPr>
        <w:t>%。</w:t>
      </w:r>
    </w:p>
    <w:p>
      <w:pPr>
        <w:ind w:firstLine="480" w:firstLineChars="150"/>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（四）国有资产占用情况</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截至2019年12月31日，本单位共有车辆</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辆，其中，领导干部用车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辆、机要通信用车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辆、应急保障用车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辆、执法执勤用车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辆、特种专业技术用车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辆、其他用车</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辆，其他用车主要是</w:t>
      </w:r>
      <w:r>
        <w:rPr>
          <w:rFonts w:hint="eastAsia" w:ascii="仿宋" w:hAnsi="仿宋" w:eastAsia="仿宋" w:cs="仿宋"/>
          <w:color w:val="auto"/>
          <w:kern w:val="0"/>
          <w:sz w:val="32"/>
          <w:szCs w:val="32"/>
        </w:rPr>
        <w:t>我单位要经常去县福彩中心送宣传资料以及去全市</w:t>
      </w:r>
      <w:r>
        <w:rPr>
          <w:rFonts w:hint="eastAsia" w:ascii="仿宋" w:hAnsi="仿宋" w:eastAsia="仿宋" w:cs="仿宋"/>
          <w:color w:val="auto"/>
          <w:kern w:val="0"/>
          <w:sz w:val="32"/>
          <w:szCs w:val="32"/>
          <w:lang w:val="en-US" w:eastAsia="zh-CN"/>
        </w:rPr>
        <w:t>490</w:t>
      </w:r>
      <w:r>
        <w:rPr>
          <w:rFonts w:hint="eastAsia" w:ascii="仿宋" w:hAnsi="仿宋" w:eastAsia="仿宋" w:cs="仿宋"/>
          <w:color w:val="auto"/>
          <w:kern w:val="0"/>
          <w:sz w:val="32"/>
          <w:szCs w:val="32"/>
        </w:rPr>
        <w:t>多个站点巡查</w:t>
      </w:r>
      <w:r>
        <w:rPr>
          <w:rFonts w:hint="eastAsia" w:ascii="仿宋" w:hAnsi="仿宋" w:eastAsia="仿宋" w:cs="仿宋"/>
          <w:color w:val="000000" w:themeColor="text1"/>
          <w:sz w:val="32"/>
          <w:szCs w:val="32"/>
          <w14:textFill>
            <w14:solidFill>
              <w14:schemeClr w14:val="tx1"/>
            </w14:solidFill>
          </w14:textFill>
        </w:rPr>
        <w:t>；单位价值50万元以上通用设备</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台（套）；单位价值100万元以上专用设备</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台（套）。</w:t>
      </w:r>
    </w:p>
    <w:p>
      <w:pPr>
        <w:ind w:firstLine="480" w:firstLineChars="150"/>
        <w:rPr>
          <w:rFonts w:hint="eastAsia"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（五）其他</w:t>
      </w:r>
    </w:p>
    <w:p>
      <w:pPr>
        <w:pStyle w:val="1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本单位没有独立网站，因此只在财政局部门决算公开专栏中公开。</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br w:type="page"/>
      </w:r>
    </w:p>
    <w:p>
      <w:pPr>
        <w:pStyle w:val="10"/>
        <w:jc w:val="both"/>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第四部分</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名词解释</w:t>
      </w:r>
    </w:p>
    <w:p>
      <w:pPr>
        <w:widowControl/>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一、 财政拨款收入</w:t>
      </w:r>
      <w:r>
        <w:rPr>
          <w:rFonts w:hint="eastAsia" w:ascii="仿宋_GB2312" w:eastAsia="仿宋_GB2312" w:cs="黑体" w:hAnsiTheme="minorEastAsia"/>
          <w:color w:val="000000" w:themeColor="text1"/>
          <w:kern w:val="0"/>
          <w:sz w:val="32"/>
          <w:szCs w:val="32"/>
          <w14:textFill>
            <w14:solidFill>
              <w14:schemeClr w14:val="tx1"/>
            </w14:solidFill>
          </w14:textFill>
        </w:rPr>
        <w:t>：指单位从同级财政部门取得的财政预算资金。</w:t>
      </w:r>
    </w:p>
    <w:p>
      <w:pPr>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二、事业收入：</w:t>
      </w:r>
      <w:r>
        <w:rPr>
          <w:rFonts w:hint="eastAsia" w:ascii="仿宋_GB2312" w:eastAsia="仿宋_GB2312" w:cs="黑体" w:hAnsiTheme="minorEastAsia"/>
          <w:color w:val="000000" w:themeColor="text1"/>
          <w:kern w:val="0"/>
          <w:sz w:val="32"/>
          <w:szCs w:val="32"/>
          <w14:textFill>
            <w14:solidFill>
              <w14:schemeClr w14:val="tx1"/>
            </w14:solidFill>
          </w14:textFill>
        </w:rPr>
        <w:t>指事业单位开展专业业务活动及辅助活动取得的收入。</w:t>
      </w:r>
    </w:p>
    <w:p>
      <w:pPr>
        <w:ind w:firstLine="640" w:firstLineChars="200"/>
        <w:jc w:val="left"/>
        <w:rPr>
          <w:rFonts w:hint="eastAsia" w:ascii="仿宋_GB2312" w:eastAsia="仿宋_GB2312" w:cs="黑体" w:hAnsiTheme="minorEastAsia"/>
          <w:b w:val="0"/>
          <w:bCs w:val="0"/>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三、经营收入</w:t>
      </w:r>
      <w:r>
        <w:rPr>
          <w:rFonts w:hint="eastAsia" w:ascii="仿宋_GB2312" w:eastAsia="仿宋_GB2312" w:cs="黑体" w:hAnsiTheme="minorEastAsia"/>
          <w:color w:val="000000" w:themeColor="text1"/>
          <w:kern w:val="0"/>
          <w:sz w:val="32"/>
          <w:szCs w:val="32"/>
          <w14:textFill>
            <w14:solidFill>
              <w14:schemeClr w14:val="tx1"/>
            </w14:solidFill>
          </w14:textFill>
        </w:rPr>
        <w:t>：指事业单位在专业业务活动及其辅助活动之外开展非独立核算经营活动取得的收入。</w:t>
      </w:r>
    </w:p>
    <w:p>
      <w:pPr>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四、其他收入</w:t>
      </w:r>
      <w:r>
        <w:rPr>
          <w:rFonts w:hint="eastAsia" w:ascii="仿宋_GB2312" w:eastAsia="仿宋_GB2312" w:cs="黑体" w:hAnsiTheme="minorEastAsia"/>
          <w:color w:val="000000" w:themeColor="text1"/>
          <w:kern w:val="0"/>
          <w:sz w:val="32"/>
          <w:szCs w:val="32"/>
          <w14:textFill>
            <w14:solidFill>
              <w14:schemeClr w14:val="tx1"/>
            </w14:solidFill>
          </w14:textFill>
        </w:rPr>
        <w:t>：指单位取得的除上述收入以外的各项收入。</w:t>
      </w:r>
    </w:p>
    <w:p>
      <w:pPr>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五、用事业基金弥补收支差额</w:t>
      </w:r>
      <w:r>
        <w:rPr>
          <w:rFonts w:hint="eastAsia" w:ascii="仿宋_GB2312" w:eastAsia="仿宋_GB2312" w:cs="黑体" w:hAnsiTheme="minorEastAsia"/>
          <w:color w:val="000000" w:themeColor="text1"/>
          <w:kern w:val="0"/>
          <w:sz w:val="32"/>
          <w:szCs w:val="32"/>
          <w14:textFill>
            <w14:solidFill>
              <w14:schemeClr w14:val="tx1"/>
            </w14:solidFill>
          </w14:textFill>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六、年初结转和结余</w:t>
      </w:r>
      <w:r>
        <w:rPr>
          <w:rFonts w:hint="eastAsia" w:ascii="仿宋_GB2312" w:eastAsia="仿宋_GB2312" w:cs="黑体" w:hAnsiTheme="minorEastAsia"/>
          <w:color w:val="000000" w:themeColor="text1"/>
          <w:kern w:val="0"/>
          <w:sz w:val="32"/>
          <w:szCs w:val="32"/>
          <w14:textFill>
            <w14:solidFill>
              <w14:schemeClr w14:val="tx1"/>
            </w14:solidFill>
          </w14:textFill>
        </w:rPr>
        <w:t>：指单位以前年度尚未完成、结转到本年按有关规定继续使用的资金。</w:t>
      </w:r>
    </w:p>
    <w:p>
      <w:pPr>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七、“三公经费”支出：</w:t>
      </w:r>
      <w:r>
        <w:rPr>
          <w:rFonts w:hint="eastAsia" w:ascii="仿宋_GB2312" w:eastAsia="仿宋_GB2312" w:cs="黑体" w:hAnsiTheme="minorEastAsia"/>
          <w:color w:val="000000" w:themeColor="text1"/>
          <w:kern w:val="0"/>
          <w:sz w:val="32"/>
          <w:szCs w:val="32"/>
          <w14:textFill>
            <w14:solidFill>
              <w14:schemeClr w14:val="tx1"/>
            </w14:solidFill>
          </w14:textFill>
        </w:rPr>
        <w:t>指通过财政拨款资金安排的因公出国（境）费、公务用车购置及运行费和公务接待费支出。</w:t>
      </w:r>
    </w:p>
    <w:p>
      <w:pPr>
        <w:widowControl/>
        <w:jc w:val="left"/>
        <w:rPr>
          <w:rFonts w:asciiTheme="minorEastAsia" w:hAnsiTheme="minorEastAsia"/>
          <w:i/>
          <w:color w:val="000000" w:themeColor="text1"/>
          <w:sz w:val="32"/>
          <w:szCs w:val="32"/>
          <w14:textFill>
            <w14:solidFill>
              <w14:schemeClr w14:val="tx1"/>
            </w14:solidFill>
          </w14:textFill>
        </w:rPr>
      </w:pPr>
      <w:r>
        <w:rPr>
          <w:rFonts w:asciiTheme="minorEastAsia" w:hAnsiTheme="minorEastAsia"/>
          <w:i/>
          <w:color w:val="000000" w:themeColor="text1"/>
          <w:sz w:val="32"/>
          <w:szCs w:val="32"/>
          <w14:textFill>
            <w14:solidFill>
              <w14:schemeClr w14:val="tx1"/>
            </w14:solidFill>
          </w14:textFill>
        </w:rPr>
        <w:br w:type="page"/>
      </w:r>
    </w:p>
    <w:p>
      <w:pPr>
        <w:pStyle w:val="10"/>
        <w:numPr>
          <w:ilvl w:val="0"/>
          <w:numId w:val="2"/>
        </w:numPr>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其他</w:t>
      </w:r>
    </w:p>
    <w:p>
      <w:pPr>
        <w:pStyle w:val="10"/>
        <w:numPr>
          <w:ilvl w:val="0"/>
          <w:numId w:val="0"/>
        </w:numPr>
        <w:jc w:val="both"/>
        <w:rPr>
          <w:rFonts w:cs="黑体" w:asciiTheme="minorEastAsia" w:hAnsiTheme="minorEastAsia"/>
          <w:b/>
          <w:color w:val="000000" w:themeColor="text1"/>
          <w:kern w:val="0"/>
          <w:sz w:val="32"/>
          <w:szCs w:val="32"/>
          <w14:textFill>
            <w14:solidFill>
              <w14:schemeClr w14:val="tx1"/>
            </w14:solidFill>
          </w14:textFill>
        </w:rPr>
      </w:pPr>
      <w:r>
        <w:rPr>
          <w:rFonts w:hint="eastAsia" w:cs="黑体" w:asciiTheme="minorEastAsia" w:hAnsiTheme="minorEastAsia"/>
          <w:b/>
          <w:color w:val="000000" w:themeColor="text1"/>
          <w:kern w:val="0"/>
          <w:sz w:val="32"/>
          <w:szCs w:val="32"/>
          <w14:textFill>
            <w14:solidFill>
              <w14:schemeClr w14:val="tx1"/>
            </w14:solidFill>
          </w14:textFill>
        </w:rPr>
        <w:t>2019年度部门整体支出绩效评价报告</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规范财政预算支出，切实提高财政资金使用效益，根据株洲市财政局《关于做好2020年度预算绩效管理工作的通知》（株财函〔2020〕18号），株洲市社会福利有奖募捐办公室（以下简称市募捐办或我办）对2019年度部门整体支出实施了绩效自评，现将自评情况报告如下。</w:t>
      </w:r>
    </w:p>
    <w:p>
      <w:pPr>
        <w:adjustRightInd w:val="0"/>
        <w:snapToGrid w:val="0"/>
        <w:spacing w:line="560" w:lineRule="exact"/>
        <w:ind w:firstLine="640" w:firstLineChars="200"/>
        <w:rPr>
          <w:rFonts w:hint="eastAsia" w:ascii="仿宋" w:hAnsi="仿宋" w:eastAsia="仿宋" w:cs="仿宋"/>
          <w:sz w:val="32"/>
          <w:szCs w:val="32"/>
        </w:rPr>
      </w:pPr>
      <w:bookmarkStart w:id="0" w:name="_Toc12697963"/>
      <w:r>
        <w:rPr>
          <w:rFonts w:hint="eastAsia" w:ascii="仿宋" w:hAnsi="仿宋" w:eastAsia="仿宋" w:cs="仿宋"/>
          <w:sz w:val="32"/>
          <w:szCs w:val="32"/>
        </w:rPr>
        <w:t>一、</w:t>
      </w:r>
      <w:bookmarkEnd w:id="0"/>
      <w:r>
        <w:rPr>
          <w:rFonts w:hint="eastAsia" w:ascii="仿宋" w:hAnsi="仿宋" w:eastAsia="仿宋" w:cs="仿宋"/>
          <w:sz w:val="32"/>
          <w:szCs w:val="32"/>
        </w:rPr>
        <w:t>预算单位基本情况</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1、单位性质和业务范围</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市募捐办是株洲市民政局所属正科级单位，为财政自收自支、独立核算的市一级政府性基金预算单位。负责全市福利彩票销售网点的布点和管理工作；负责组织管理全市福利彩票的形象建设、彩票代销、营销宣传、业务培训、人才队伍建设等工作；负责全市福利彩票销售资金的归集并及时上缴省福彩中心和市财政局。</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2、机构设置和人员编制</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市募捐办实行中心主任责任制管理，下设办公室、财务部、综合管理部、培训宣传部、网点管理部、实业发展部等六个职能部门，下辖株洲县福彩机构、醴陵市福彩机构、攸县福彩机构、茶陵县福彩机构、炎陵县福彩机构等五个投注中心站，现有投注站点448个，中福在线销售厅7个（其中市中心3个、株洲县1个、醴陵市1个、攸县1个、茶陵1个），共有编制员工26人，聘用员工44人（含县级管理员7人）。</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3、2019年度总体目标</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按照省福彩中心和市民政局要求，2019年力争完成福彩销售任务5.01亿元，实现彩票发行费收入1919.50万元。</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二、预算支出及绩效情况</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（一）预决算及信息公开情况</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1、2019年部门决算收入情况：2019年我办总收入1030.85万元，其中：财政拨款收入1030.85万元。2019年年初预算安排1919.50万元，年中预算调减888.65万元，年初预算完成率53.7%。</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2、2019年部门决算支出情况：2019年我办总支出1030.85万元，其中：基本支出411.98万元，项目支出618.87万元。</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3、2019年部门决算年终结转结余： 2019年初结转结余669.33万元，年末累计结转结余669.33万元。</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4、预决算公开：株洲市财政局于2019年1月30日批复了我办2019年度预算，我办于 2019年2月10日在财政局预决算公开统一平台上公开了预算，并在我办</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"http://www.zzsflcp.com/tzgg/3464.html" </w:instrText>
      </w:r>
      <w:r>
        <w:rPr>
          <w:rFonts w:hint="eastAsia" w:ascii="仿宋" w:hAnsi="仿宋" w:eastAsia="仿宋" w:cs="仿宋"/>
          <w:sz w:val="32"/>
          <w:szCs w:val="32"/>
        </w:rPr>
        <w:fldChar w:fldCharType="separate"/>
      </w:r>
      <w:r>
        <w:rPr>
          <w:rFonts w:hint="eastAsia" w:ascii="仿宋" w:hAnsi="仿宋" w:eastAsia="仿宋" w:cs="仿宋"/>
          <w:sz w:val="32"/>
          <w:szCs w:val="32"/>
        </w:rPr>
        <w:t>http://www.zzsflcp.com/tzgg/3464.html</w:t>
      </w:r>
      <w:r>
        <w:rPr>
          <w:rFonts w:hint="eastAsia" w:ascii="仿宋" w:hAnsi="仿宋" w:eastAsia="仿宋" w:cs="仿宋"/>
          <w:sz w:val="32"/>
          <w:szCs w:val="32"/>
        </w:rPr>
        <w:fldChar w:fldCharType="end"/>
      </w:r>
      <w:r>
        <w:rPr>
          <w:rFonts w:hint="eastAsia" w:ascii="仿宋" w:hAnsi="仿宋" w:eastAsia="仿宋" w:cs="仿宋"/>
          <w:sz w:val="32"/>
          <w:szCs w:val="32"/>
        </w:rPr>
        <w:t>网址上同时公开。2019年决算尚未正式批复，故暂未进行公开。</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3、货币资金管理：按我办制定的现金、银行账户和票据管理制度进行。</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4、固定资产管理：按我办制定的固定资产管理制度进行。我办根据2018年底全面固定资产清查工作结果，建立了完整合规台帐，并将资产数据及时过入新帐套，确保合理有效使用固定资产。</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5、“三公”经费控制：2019年，我办“三公”经费支出2.54万元，其中公务用车运行维护费2.13万元，公务接待费0.41万元。“三公经费”控制在“三公经费”预算的22.</w:t>
      </w:r>
      <w:r>
        <w:rPr>
          <w:rFonts w:hint="eastAsia" w:ascii="仿宋" w:hAnsi="仿宋" w:eastAsia="仿宋" w:cs="仿宋"/>
          <w:sz w:val="32"/>
          <w:szCs w:val="32"/>
          <w:lang w:val="en-US" w:eastAsia="zh-CN"/>
        </w:rPr>
        <w:t>5</w:t>
      </w:r>
      <w:r>
        <w:rPr>
          <w:rFonts w:hint="eastAsia" w:ascii="仿宋" w:hAnsi="仿宋" w:eastAsia="仿宋" w:cs="仿宋"/>
          <w:sz w:val="32"/>
          <w:szCs w:val="32"/>
        </w:rPr>
        <w:t>%，较2018年实际支出8.06万元下降了68.</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内部控制制度建设：2019年我办大力推进内控管理体系落地工作，根据2018年《内部控制规范手册》，在各内控关键环节确保相应人员无缝对接，定期组织相关人员进行内控学习总结，具体业务实施过程中严格按文件要求办理，切实有效保障了各项工作的有序开展。</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人员管理：为提高实操人员业务能力，组织各部门业务骨干积极参加全省省级培训师专题培训班、全省县级市场管理员培训班、全省第七期TTT培训师培训、全省福利彩票业务骨干研讨培训等，同时就上级培训内容组织市级培训，进一步提升了员工的管理水平和业务素质；</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不断加强福彩销售队伍的规范化建设，为广大彩民提供专业、优质的服务，我办针对新增站点的业主，组织了多次多票种岗前培训，旨在为有意向加入福彩的创业者提供一个发展方向，避免出现一些创业者因为没有经验而盲目寻找店铺，最终因市场过于饱和致使建店失败现象发生。</w:t>
      </w:r>
    </w:p>
    <w:p>
      <w:pPr>
        <w:adjustRightInd w:val="0"/>
        <w:snapToGrid w:val="0"/>
        <w:spacing w:line="560" w:lineRule="exact"/>
        <w:ind w:firstLine="640" w:firstLineChars="200"/>
        <w:rPr>
          <w:rStyle w:val="7"/>
          <w:rFonts w:hint="eastAsia" w:ascii="仿宋" w:hAnsi="仿宋" w:eastAsia="仿宋" w:cs="仿宋"/>
          <w:sz w:val="32"/>
          <w:szCs w:val="32"/>
        </w:rPr>
      </w:pPr>
      <w:r>
        <w:rPr>
          <w:rFonts w:hint="eastAsia" w:ascii="仿宋" w:hAnsi="仿宋" w:eastAsia="仿宋" w:cs="仿宋"/>
          <w:sz w:val="32"/>
          <w:szCs w:val="32"/>
        </w:rPr>
        <w:t xml:space="preserve">8、依据《政府采购法》、《株洲市2019年政府集中采购目录及政府采购限额标准》的规定，2019年度完成政府采购9项，成交金额1.77万元。 </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（二）资金使用及绩效情况</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我办在部门整体支出中，严格按照年初预算安排，及时申报年中调整项目，严格遵守资金管理制度，强化监督，专款专用，理顺资金支付渠道，确保各项资金及时到位，无截留、挪用等现象。</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1、绩效自评目的</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社会福利彩票销售网点布点和管理、形象建设、彩票代销、营销宣传、业务培训、人才队伍建设及全市福利彩票销售资金的归集并及时上缴为工作重点，严格落实《预算法》及市绩效管理工作的有关规定，进一步规范财政资金的管理，大力促进社会公益事业良性发展。</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2、绩效自评工作过程</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办根据文件要求，及时成立了绩效自评工作小组，选取合适的绩效评价方式，拟定了本单位绩效评价方案，根据资金使用情况，对照方案，详细自查，对评价过程中发现的问题及时修正，综合评议后形成绩效自评报告上报。</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3、主要绩效自评结果</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2019年，我办聚焦工作中心，服务工作重点，具体绩效指标评价如下：</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（1）加强基础建设，进一步夯实销售渠道。</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投注站建设方面，一是将今年的增机布点任务进行有效的分配，并与区域管理员的工作绩效进行挂钩；二是中心对站点的装修进行补助，凡是在2019年1月1日-12月31日新增的福彩专营店和兼营店分别给予6000元/站点和3000元/站点的标准进行专项补助；三是提升投注站的形象，让投注站业主养成良好的卫生习惯，构建舒适的购彩环境，营造良好的购彩氛围，改变站点“脏乱差”的局面，进一步提升了福彩投注站的形象。</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标准店建设方面，根据省中心福彩标准店建设文件要求，市中心制定了建设方案，并根据方案逐步推进该项目进程。一是在省中心下拨资金基础上，市中心配套2000元/站点，以提高站点建设标准；二是下发了《2019年福彩标准店规范化建设申报名单的通知》，在全市范围内符合标准店建设条件的站点自行申报，由市中心对申报站点实地核实，确定最终标准店建设名单；三是市中心根据建设项目邀请三家有资质有经验的建筑公司进行现场竞标，确定了该项目的建设单位，签订建设合同；四是对全市40家标准店建设站点进行实地测量，于8月底完成市区20家标准店的建设。将站点标准店建设资金下拨到各县（市）区，由县（市）区福彩中心根据确定的标准店建设名单与当地财政对接，按要求开展标准店建设；五是市中心组织验收，于11月底全面完成标准店建设。</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（2）加强营销力度，进一步挖掘市场潜力。</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办积极配合省福彩中心的各项活动，针对省福彩第三季“福彩大家乐”营销奖，配套开展本土营销活动，营造销售氛围；根据即开票销售状况及省中心的工作安排，以中福彩中心的“乙亥猪”、“中国龙”和我省本土票“梦圆桃花源”等新票上市为契机，相应配套本土营销，三款新票共销售414.3万元，快速提高了投注站的销量，市城区订票率排全省第三名；积极开展小卖场活动，促进即开票销售，在人流量集中的繁华地段，县城集市周边开阔场地开展小卖场8场次，比如炎陵针对黄桃销售季，在避暑景点开展了小卖场，效果喜人；在攸县文化广场开展了为期12天的即开型福利彩票户外销售活动，活动期间共计销售即开票1817.5万元，取得了很好的市场销售业绩，获得了省福彩中心的表彰；中福在线开展开展“红运当头金秋送福”等营销活动和“公益视频票·端午献真情”、“同在一片天，爱在你我间”等公益活动都取得了较好的经济效益。</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（3）加强宣传，进一步弘扬福彩形象。</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中奖宣传方面，大奖对市场有轰动效应，并能提高福彩品牌形象，我办抓住今年中双色球一等奖两次的机遇，及时有效地开展对大奖新闻的宣传报道。今年5月攸县彩民中出双色球一等奖一注奖金511万元；9月我市又喜中一注双色球一等奖，奖金1000万元，我办立即租用龙狮队和腰鼓队造势宣传，并在全市每个站点悬挂宣传横幅，电视和报纸广泛大篇幅宣传，充分利用中奖机会加大宣传，通过现场颁奖、站点内海报宣传、微信公众号、福彩官网扩大影响，积极营造中奖氛围，对彩民起到了很大的激励作用。</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公益宣传方面，无论是媒体，还是户外宣传，公益都是宣传的主要内容。我办特别注重发挥新媒体的作用，不但和电视台、广播电台、报社建立长期合作关系，还利用网络新媒体、福彩官网及微信公众号及时发布福彩信息。积极开展公益活动，如慰问孤寡老人、贫困学生、贫困业主等活动，注重唱响公益慈善“主旋律”，弘扬福利彩票“扶老、助残、救孤、济困”的宗旨，让更多人了解公益彩票，5月赴茶陵走访慰问贫困户，为一对一帮扶贫困对象送去了米和油等慰问物资；6月开展了《公益视频票•端午献真情》为主题的公益慰问活动，让福彩公益进社区，对社区特贫特困家庭进行帮扶慰问及送上慰问金；醴陵市开展了端午前夕慰问福利中心敬老院老人公益慰问活动；茶县福彩中心、县志愿者联合会共同举办“公益视频票 端午献真情”第七届“同在一片天，爱在你我间”联谊慰问活动，大力营造了良好的福彩公益形象，扩大了福彩公益的影响力。</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（4）投注站点日常管理及安全巡检工作，以站点卫生、规范化运营及管理员的工作为日常管理内容，进行随机抽查，抽查率60</w:t>
      </w:r>
      <w:r>
        <w:rPr>
          <w:rFonts w:hint="eastAsia" w:ascii="仿宋" w:hAnsi="仿宋" w:eastAsia="仿宋" w:cs="仿宋"/>
          <w:sz w:val="32"/>
          <w:szCs w:val="32"/>
          <w:lang w:val="en-US" w:eastAsia="zh-CN"/>
        </w:rPr>
        <w:t>.0</w:t>
      </w:r>
      <w:r>
        <w:rPr>
          <w:rFonts w:hint="eastAsia" w:ascii="仿宋" w:hAnsi="仿宋" w:eastAsia="仿宋" w:cs="仿宋"/>
          <w:sz w:val="32"/>
          <w:szCs w:val="32"/>
        </w:rPr>
        <w:t>%；坚持“安全运行、健康发展”的工作方针，确保消防安全、人身安全、资金安全、财产安全，重点防范涉及社会稳定的安全事件发生，每月对所有站点巡查一次，并总结一次，月安全巡检率100</w:t>
      </w:r>
      <w:r>
        <w:rPr>
          <w:rFonts w:hint="eastAsia" w:ascii="仿宋" w:hAnsi="仿宋" w:eastAsia="仿宋" w:cs="仿宋"/>
          <w:sz w:val="32"/>
          <w:szCs w:val="32"/>
          <w:lang w:val="en-US" w:eastAsia="zh-CN"/>
        </w:rPr>
        <w:t>.0</w:t>
      </w:r>
      <w:r>
        <w:rPr>
          <w:rFonts w:hint="eastAsia" w:ascii="仿宋" w:hAnsi="仿宋" w:eastAsia="仿宋" w:cs="仿宋"/>
          <w:sz w:val="32"/>
          <w:szCs w:val="32"/>
        </w:rPr>
        <w:t>%，对扰乱彩票销售市场的私彩进行严厉打击，净化了彩票销售市场，确保了福彩事业健康发展。</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福利彩票销售方面，全年销售福利彩票39623万元，较2018年同比增长-15.3%，全省总量排名第八，增幅排名第三。其中电脑票销售24216万元，同比增长-16.5%，全省总量排名第六，增幅排名第六；即开票销售3993万元万元，同比增长45.9%，全省总量排名第四，增幅排名第一；视频票销售11414万元，同比增长-24</w:t>
      </w:r>
      <w:r>
        <w:rPr>
          <w:rFonts w:hint="eastAsia" w:ascii="仿宋" w:hAnsi="仿宋" w:eastAsia="仿宋" w:cs="仿宋"/>
          <w:sz w:val="32"/>
          <w:szCs w:val="32"/>
          <w:lang w:val="en-US" w:eastAsia="zh-CN"/>
        </w:rPr>
        <w:t>.0</w:t>
      </w:r>
      <w:r>
        <w:rPr>
          <w:rFonts w:hint="eastAsia" w:ascii="仿宋" w:hAnsi="仿宋" w:eastAsia="仿宋" w:cs="仿宋"/>
          <w:sz w:val="32"/>
          <w:szCs w:val="32"/>
        </w:rPr>
        <w:t>%，全省排名第十一，增幅排名第十。</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三、资金管理及绩效存在的主要问题及下一步改进措施</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（一）资金管理及绩效的存在的主要问题</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福彩销售政策的调整对销售业绩的提高有较大影响。为取得物质和精神效益的双赢，确保福彩公益事业的健康发展，对快开游戏、中福在线等福彩产品销售限额的政策调整是理所应当的，但客观上制约了福彩收入的大幅提高。</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2、通过多年福彩销售网点的发展，市场容量到了一定的瓶颈，渠道建设遭遇一定的困境。</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3、因政府行政事业单位改革的需要，原军人接待站21人带编划入我办，人员经费偏紧，各岗位业务调整配合尚需时日，这在一定程度上影响了绩效的提升。</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（二）下一步改进措施</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1、我办将坚定贯彻落实省、市福彩工作会议精神，统筹协调发展三大票种，充分发挥主观能动性，将各项管理及服务工作做到极致，一边稳定存量市场发展，一边挖掘市场潜力，培育新的增长点，</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2、遵循政府行政事业单位改革政策，实行人员“只出不进”、编制“出一减一”的定编政策，采取竞聘上岗的方式，做好各类人员岗位优化配置，建立起与福彩市场发展相适应的人员动态管理机制。</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四、其他要说明的问题</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针对上述存在的问题及福彩公益事业发展的客观要求和实际情况，恳请上级部门及财政对下期预算收入目标作相应调整，并适当提高业务经费预算安排额度，以满足整体支出绩效管理工作的需要，提升绩效努力空间。</w:t>
      </w:r>
    </w:p>
    <w:p>
      <w:pPr>
        <w:rPr>
          <w:rStyle w:val="7"/>
          <w:rFonts w:ascii="宋体" w:hAnsi="宋体" w:cs="宋体"/>
          <w:color w:val="525252"/>
          <w:sz w:val="24"/>
        </w:rPr>
      </w:pPr>
    </w:p>
    <w:p>
      <w:pPr>
        <w:ind w:firstLine="640" w:firstLineChars="200"/>
        <w:jc w:val="both"/>
        <w:rPr>
          <w:rFonts w:hint="eastAsia" w:cs="黑体" w:asciiTheme="minorEastAsia" w:hAnsiTheme="minorEastAsia"/>
          <w:b/>
          <w:color w:val="000000" w:themeColor="text1"/>
          <w:kern w:val="0"/>
          <w:sz w:val="32"/>
          <w:szCs w:val="32"/>
          <w:lang w:val="en-US" w:eastAsia="zh-CN"/>
          <w14:textFill>
            <w14:solidFill>
              <w14:schemeClr w14:val="tx1"/>
            </w14:solidFill>
          </w14:textFill>
        </w:rPr>
      </w:pPr>
      <w:r>
        <w:rPr>
          <w:rFonts w:hint="eastAsia" w:cs="黑体" w:asciiTheme="minorEastAsia" w:hAnsiTheme="minorEastAsia"/>
          <w:b/>
          <w:color w:val="000000" w:themeColor="text1"/>
          <w:kern w:val="0"/>
          <w:sz w:val="32"/>
          <w:szCs w:val="32"/>
          <w14:textFill>
            <w14:solidFill>
              <w14:schemeClr w14:val="tx1"/>
            </w14:solidFill>
          </w14:textFill>
        </w:rPr>
        <w:t>2019年度项目绩效评价报告</w:t>
      </w:r>
      <w:r>
        <w:rPr>
          <w:rFonts w:hint="eastAsia" w:cs="黑体" w:asciiTheme="minorEastAsia" w:hAnsiTheme="minorEastAsia"/>
          <w:b/>
          <w:color w:val="000000" w:themeColor="text1"/>
          <w:kern w:val="0"/>
          <w:sz w:val="32"/>
          <w:szCs w:val="32"/>
          <w:lang w:val="en-US" w:eastAsia="zh-CN"/>
          <w14:textFill>
            <w14:solidFill>
              <w14:schemeClr w14:val="tx1"/>
            </w14:solidFill>
          </w14:textFill>
        </w:rPr>
        <w:t xml:space="preserve">  </w:t>
      </w:r>
    </w:p>
    <w:p>
      <w:pPr>
        <w:ind w:firstLine="640" w:firstLineChars="200"/>
        <w:jc w:val="both"/>
        <w:rPr>
          <w:rFonts w:hint="eastAsia" w:cs="黑体" w:asciiTheme="minorEastAsia" w:hAnsiTheme="minorEastAsia" w:eastAsiaTheme="minorEastAsia"/>
          <w:b/>
          <w:color w:val="000000" w:themeColor="text1"/>
          <w:kern w:val="0"/>
          <w:sz w:val="32"/>
          <w:szCs w:val="32"/>
          <w:lang w:val="en-US" w:eastAsia="zh-CN"/>
          <w14:textFill>
            <w14:solidFill>
              <w14:schemeClr w14:val="tx1"/>
            </w14:solidFill>
          </w14:textFill>
        </w:rPr>
      </w:pPr>
      <w:r>
        <w:rPr>
          <w:rFonts w:hint="eastAsia" w:cs="黑体" w:asciiTheme="minorEastAsia" w:hAnsiTheme="minorEastAsia"/>
          <w:b/>
          <w:color w:val="000000" w:themeColor="text1"/>
          <w:kern w:val="0"/>
          <w:sz w:val="32"/>
          <w:szCs w:val="32"/>
          <w:lang w:val="en-US" w:eastAsia="zh-CN"/>
          <w14:textFill>
            <w14:solidFill>
              <w14:schemeClr w14:val="tx1"/>
            </w14:solidFill>
          </w14:textFill>
        </w:rPr>
        <w:t>无</w:t>
      </w:r>
    </w:p>
    <w:sectPr>
      <w:pgSz w:w="11906" w:h="16838"/>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741B0E"/>
    <w:multiLevelType w:val="singleLevel"/>
    <w:tmpl w:val="B4741B0E"/>
    <w:lvl w:ilvl="0" w:tentative="0">
      <w:start w:val="3"/>
      <w:numFmt w:val="chineseCounting"/>
      <w:suff w:val="nothing"/>
      <w:lvlText w:val="（%1）"/>
      <w:lvlJc w:val="left"/>
      <w:rPr>
        <w:rFonts w:hint="eastAsia"/>
      </w:rPr>
    </w:lvl>
  </w:abstractNum>
  <w:abstractNum w:abstractNumId="1">
    <w:nsid w:val="2FFAB54F"/>
    <w:multiLevelType w:val="singleLevel"/>
    <w:tmpl w:val="2FFAB54F"/>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885"/>
    <w:rsid w:val="0006155F"/>
    <w:rsid w:val="000658A3"/>
    <w:rsid w:val="00074155"/>
    <w:rsid w:val="000A3F69"/>
    <w:rsid w:val="00152C6D"/>
    <w:rsid w:val="00161DBA"/>
    <w:rsid w:val="00162D39"/>
    <w:rsid w:val="001A67DB"/>
    <w:rsid w:val="001D51E5"/>
    <w:rsid w:val="001F0C3B"/>
    <w:rsid w:val="00214427"/>
    <w:rsid w:val="00257CE3"/>
    <w:rsid w:val="002647E4"/>
    <w:rsid w:val="00265724"/>
    <w:rsid w:val="0027426B"/>
    <w:rsid w:val="002A26AD"/>
    <w:rsid w:val="00327B6B"/>
    <w:rsid w:val="003479BD"/>
    <w:rsid w:val="003768D5"/>
    <w:rsid w:val="00416464"/>
    <w:rsid w:val="004506F9"/>
    <w:rsid w:val="004717A2"/>
    <w:rsid w:val="00491741"/>
    <w:rsid w:val="00500E5F"/>
    <w:rsid w:val="005122EF"/>
    <w:rsid w:val="00512F3F"/>
    <w:rsid w:val="00517C33"/>
    <w:rsid w:val="00523644"/>
    <w:rsid w:val="0054069E"/>
    <w:rsid w:val="005767CC"/>
    <w:rsid w:val="00590D9F"/>
    <w:rsid w:val="00595D26"/>
    <w:rsid w:val="005A74E6"/>
    <w:rsid w:val="005D4D55"/>
    <w:rsid w:val="005E2CFB"/>
    <w:rsid w:val="0062378F"/>
    <w:rsid w:val="00651EEC"/>
    <w:rsid w:val="006A351B"/>
    <w:rsid w:val="006B0422"/>
    <w:rsid w:val="006B750C"/>
    <w:rsid w:val="006C1B53"/>
    <w:rsid w:val="006C21A7"/>
    <w:rsid w:val="006D7730"/>
    <w:rsid w:val="006E5284"/>
    <w:rsid w:val="006F3EB5"/>
    <w:rsid w:val="00702E34"/>
    <w:rsid w:val="00704395"/>
    <w:rsid w:val="00720FF1"/>
    <w:rsid w:val="00796319"/>
    <w:rsid w:val="007F441D"/>
    <w:rsid w:val="00812ED5"/>
    <w:rsid w:val="00821336"/>
    <w:rsid w:val="008277D9"/>
    <w:rsid w:val="00827A13"/>
    <w:rsid w:val="008A3E8D"/>
    <w:rsid w:val="009237C4"/>
    <w:rsid w:val="00950252"/>
    <w:rsid w:val="00967F5D"/>
    <w:rsid w:val="00996269"/>
    <w:rsid w:val="009A0F95"/>
    <w:rsid w:val="009B3ADF"/>
    <w:rsid w:val="009C3B52"/>
    <w:rsid w:val="009E0FAD"/>
    <w:rsid w:val="00A42218"/>
    <w:rsid w:val="00A70249"/>
    <w:rsid w:val="00A7776E"/>
    <w:rsid w:val="00B022AE"/>
    <w:rsid w:val="00B33BEA"/>
    <w:rsid w:val="00B57C9F"/>
    <w:rsid w:val="00B845B3"/>
    <w:rsid w:val="00B85D8B"/>
    <w:rsid w:val="00B9552D"/>
    <w:rsid w:val="00BE3674"/>
    <w:rsid w:val="00C3049A"/>
    <w:rsid w:val="00C31B1E"/>
    <w:rsid w:val="00C77645"/>
    <w:rsid w:val="00CE04C3"/>
    <w:rsid w:val="00CE76A0"/>
    <w:rsid w:val="00D148C6"/>
    <w:rsid w:val="00D20594"/>
    <w:rsid w:val="00DD06FF"/>
    <w:rsid w:val="00DD5FE9"/>
    <w:rsid w:val="00E00C7A"/>
    <w:rsid w:val="00E55B68"/>
    <w:rsid w:val="00EF0590"/>
    <w:rsid w:val="00F74360"/>
    <w:rsid w:val="00FB462F"/>
    <w:rsid w:val="00FC3C00"/>
    <w:rsid w:val="00FC53B3"/>
    <w:rsid w:val="00FE16FA"/>
    <w:rsid w:val="00FE328A"/>
    <w:rsid w:val="02D3438E"/>
    <w:rsid w:val="04B174C7"/>
    <w:rsid w:val="063C7317"/>
    <w:rsid w:val="07635080"/>
    <w:rsid w:val="0CB33ADE"/>
    <w:rsid w:val="11E26F61"/>
    <w:rsid w:val="15703EE4"/>
    <w:rsid w:val="16725DD6"/>
    <w:rsid w:val="172D3AB9"/>
    <w:rsid w:val="17476B07"/>
    <w:rsid w:val="185637C3"/>
    <w:rsid w:val="1901777A"/>
    <w:rsid w:val="1B200226"/>
    <w:rsid w:val="1B2C2472"/>
    <w:rsid w:val="202A3AF3"/>
    <w:rsid w:val="24444C20"/>
    <w:rsid w:val="250C2E20"/>
    <w:rsid w:val="251A46E1"/>
    <w:rsid w:val="27335030"/>
    <w:rsid w:val="27963F58"/>
    <w:rsid w:val="28DA02F2"/>
    <w:rsid w:val="2A2D5570"/>
    <w:rsid w:val="2CAA2C01"/>
    <w:rsid w:val="33452D24"/>
    <w:rsid w:val="35416A72"/>
    <w:rsid w:val="36BC7021"/>
    <w:rsid w:val="37C3436E"/>
    <w:rsid w:val="38B07214"/>
    <w:rsid w:val="39124EB0"/>
    <w:rsid w:val="3D7E124A"/>
    <w:rsid w:val="40106F23"/>
    <w:rsid w:val="43705FD8"/>
    <w:rsid w:val="43BF485B"/>
    <w:rsid w:val="49EB299D"/>
    <w:rsid w:val="4BC37991"/>
    <w:rsid w:val="50166E65"/>
    <w:rsid w:val="50946705"/>
    <w:rsid w:val="51B709B8"/>
    <w:rsid w:val="51F33049"/>
    <w:rsid w:val="5909243F"/>
    <w:rsid w:val="5DA50B84"/>
    <w:rsid w:val="5E473FF2"/>
    <w:rsid w:val="5E582B0F"/>
    <w:rsid w:val="5E5917AD"/>
    <w:rsid w:val="5FF57A39"/>
    <w:rsid w:val="615943B9"/>
    <w:rsid w:val="63BE208B"/>
    <w:rsid w:val="660C15A2"/>
    <w:rsid w:val="67C11EF4"/>
    <w:rsid w:val="67EC74A8"/>
    <w:rsid w:val="6A5E0C32"/>
    <w:rsid w:val="6A9A7A9D"/>
    <w:rsid w:val="6AE40152"/>
    <w:rsid w:val="6C814F59"/>
    <w:rsid w:val="6CCD5E16"/>
    <w:rsid w:val="783948F1"/>
    <w:rsid w:val="78FB43C8"/>
    <w:rsid w:val="79194DEC"/>
    <w:rsid w:val="7F2D26DF"/>
    <w:rsid w:val="7FF1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 w:type="paragraph" w:customStyle="1" w:styleId="13">
    <w:name w:val="p15"/>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E0314-E7B0-447A-96A1-FE2B2D8A56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750</Words>
  <Characters>4280</Characters>
  <Lines>35</Lines>
  <Paragraphs>10</Paragraphs>
  <TotalTime>36</TotalTime>
  <ScaleCrop>false</ScaleCrop>
  <LinksUpToDate>false</LinksUpToDate>
  <CharactersWithSpaces>5020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2020-08-26T03:13:00Z</cp:lastPrinted>
  <dcterms:modified xsi:type="dcterms:W3CDTF">2020-08-26T04:35:16Z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