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9D3" w:rsidRDefault="00C61358" w:rsidP="00E079D3">
      <w:pPr>
        <w:widowControl w:val="0"/>
        <w:autoSpaceDE w:val="0"/>
        <w:autoSpaceDN w:val="0"/>
        <w:snapToGrid/>
        <w:spacing w:after="0" w:line="600" w:lineRule="exact"/>
        <w:jc w:val="center"/>
        <w:rPr>
          <w:rFonts w:ascii="黑体" w:eastAsia="黑体" w:hAnsi="黑体" w:cs="Times New Roman"/>
          <w:sz w:val="44"/>
          <w:szCs w:val="44"/>
          <w:lang w:val="zh-CN"/>
        </w:rPr>
      </w:pPr>
      <w:r w:rsidRPr="00C61358">
        <w:rPr>
          <w:rFonts w:ascii="黑体" w:eastAsia="黑体" w:hAnsi="黑体" w:cs="Times New Roman" w:hint="eastAsia"/>
          <w:sz w:val="44"/>
          <w:szCs w:val="44"/>
          <w:lang w:val="zh-CN"/>
        </w:rPr>
        <w:t>大京风景名胜区管理中心</w:t>
      </w:r>
      <w:r w:rsidRPr="00C61358">
        <w:rPr>
          <w:rStyle w:val="boldtrue"/>
          <w:rFonts w:ascii="黑体" w:eastAsia="黑体" w:hAnsi="黑体" w:cs="Times New Roman"/>
          <w:bCs/>
          <w:sz w:val="44"/>
          <w:szCs w:val="44"/>
        </w:rPr>
        <w:t>3A</w:t>
      </w:r>
      <w:r w:rsidRPr="00C61358">
        <w:rPr>
          <w:rStyle w:val="boldtrue"/>
          <w:rFonts w:ascii="黑体" w:eastAsia="黑体" w:hAnsi="黑体" w:hint="eastAsia"/>
          <w:bCs/>
          <w:sz w:val="44"/>
          <w:szCs w:val="44"/>
        </w:rPr>
        <w:t>级旅游景区复核和省级风景名胜区检查专项资金</w:t>
      </w:r>
      <w:r w:rsidR="006B5397" w:rsidRPr="00C61358">
        <w:rPr>
          <w:rFonts w:ascii="黑体" w:eastAsia="黑体" w:hAnsi="黑体" w:cs="Times New Roman"/>
          <w:sz w:val="44"/>
          <w:szCs w:val="44"/>
          <w:lang w:val="zh-CN"/>
        </w:rPr>
        <w:t>管理</w:t>
      </w:r>
    </w:p>
    <w:p w:rsidR="006B5397" w:rsidRPr="00E079D3" w:rsidRDefault="006B5397" w:rsidP="00E079D3">
      <w:pPr>
        <w:widowControl w:val="0"/>
        <w:autoSpaceDE w:val="0"/>
        <w:autoSpaceDN w:val="0"/>
        <w:snapToGrid/>
        <w:spacing w:after="0" w:line="600" w:lineRule="exact"/>
        <w:jc w:val="center"/>
        <w:rPr>
          <w:rFonts w:ascii="黑体" w:eastAsia="黑体" w:hAnsi="黑体"/>
          <w:bCs/>
          <w:sz w:val="44"/>
          <w:szCs w:val="44"/>
        </w:rPr>
      </w:pPr>
      <w:r w:rsidRPr="00C61358">
        <w:rPr>
          <w:rFonts w:ascii="黑体" w:eastAsia="黑体" w:hAnsi="黑体" w:cs="Times New Roman"/>
          <w:sz w:val="44"/>
          <w:szCs w:val="44"/>
          <w:lang w:val="zh-CN"/>
        </w:rPr>
        <w:t>办</w:t>
      </w:r>
      <w:r w:rsidR="00E079D3">
        <w:rPr>
          <w:rFonts w:ascii="黑体" w:eastAsia="黑体" w:hAnsi="黑体" w:cs="Times New Roman" w:hint="eastAsia"/>
          <w:sz w:val="44"/>
          <w:szCs w:val="44"/>
          <w:lang w:val="zh-CN"/>
        </w:rPr>
        <w:t xml:space="preserve">  </w:t>
      </w:r>
      <w:r w:rsidRPr="00C61358">
        <w:rPr>
          <w:rFonts w:ascii="黑体" w:eastAsia="黑体" w:hAnsi="黑体" w:cs="Times New Roman"/>
          <w:sz w:val="44"/>
          <w:szCs w:val="44"/>
          <w:lang w:val="zh-CN"/>
        </w:rPr>
        <w:t>法</w:t>
      </w:r>
    </w:p>
    <w:p w:rsidR="001E5EFE" w:rsidRPr="00E079D3" w:rsidRDefault="006B539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第一条为规范和加强</w:t>
      </w:r>
      <w:r w:rsidR="001E5EFE" w:rsidRPr="00E079D3">
        <w:rPr>
          <w:rFonts w:ascii="仿宋" w:eastAsia="仿宋" w:hAnsi="仿宋" w:cs="Times New Roman"/>
          <w:sz w:val="32"/>
          <w:szCs w:val="32"/>
          <w:lang w:val="zh-CN"/>
        </w:rPr>
        <w:t>3A</w:t>
      </w:r>
      <w:r w:rsidR="001E5EFE" w:rsidRPr="00E079D3">
        <w:rPr>
          <w:rFonts w:ascii="仿宋" w:eastAsia="仿宋" w:hAnsi="仿宋" w:cs="Times New Roman" w:hint="eastAsia"/>
          <w:sz w:val="32"/>
          <w:szCs w:val="32"/>
          <w:lang w:val="zh-CN"/>
        </w:rPr>
        <w:t>级旅游景区复核和省级风景名胜区检查专项资金</w:t>
      </w:r>
      <w:r w:rsidRPr="00E079D3">
        <w:rPr>
          <w:rFonts w:ascii="仿宋" w:eastAsia="仿宋" w:hAnsi="仿宋" w:cs="Times New Roman"/>
          <w:sz w:val="32"/>
          <w:szCs w:val="32"/>
          <w:lang w:val="zh-CN"/>
        </w:rPr>
        <w:t>的管理，提高经费的使用效率，根据</w:t>
      </w:r>
      <w:r w:rsidR="001E5EFE" w:rsidRPr="00E079D3">
        <w:rPr>
          <w:rFonts w:ascii="仿宋" w:eastAsia="仿宋" w:hAnsi="仿宋" w:cs="Times New Roman"/>
          <w:sz w:val="32"/>
          <w:szCs w:val="32"/>
          <w:lang w:val="zh-CN"/>
        </w:rPr>
        <w:t>相关规定，结合</w:t>
      </w:r>
      <w:r w:rsidRPr="00E079D3">
        <w:rPr>
          <w:rFonts w:ascii="仿宋" w:eastAsia="仿宋" w:hAnsi="仿宋" w:cs="Times New Roman"/>
          <w:sz w:val="32"/>
          <w:szCs w:val="32"/>
          <w:lang w:val="zh-CN"/>
        </w:rPr>
        <w:t>实际，制定本规定。</w:t>
      </w:r>
    </w:p>
    <w:p w:rsidR="003E4A07" w:rsidRPr="00E079D3" w:rsidRDefault="006B539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w:t>
      </w:r>
      <w:r w:rsidR="00E079D3" w:rsidRPr="00E079D3">
        <w:rPr>
          <w:rFonts w:ascii="仿宋" w:eastAsia="仿宋" w:hAnsi="仿宋" w:cs="Times New Roman" w:hint="eastAsia"/>
          <w:sz w:val="32"/>
          <w:szCs w:val="32"/>
          <w:lang w:val="zh-CN"/>
        </w:rPr>
        <w:t>二</w:t>
      </w:r>
      <w:r w:rsidRPr="00E079D3">
        <w:rPr>
          <w:rFonts w:ascii="仿宋" w:eastAsia="仿宋" w:hAnsi="仿宋" w:cs="Times New Roman"/>
          <w:sz w:val="32"/>
          <w:szCs w:val="32"/>
          <w:lang w:val="zh-CN"/>
        </w:rPr>
        <w:t>条</w:t>
      </w:r>
      <w:r w:rsidR="003E4A07" w:rsidRPr="00E079D3">
        <w:rPr>
          <w:rFonts w:ascii="仿宋" w:eastAsia="仿宋" w:hAnsi="仿宋" w:cs="Times New Roman" w:hint="eastAsia"/>
          <w:sz w:val="32"/>
          <w:szCs w:val="32"/>
          <w:lang w:val="zh-CN"/>
        </w:rPr>
        <w:t>专项资金的管理与使用坚持</w:t>
      </w:r>
      <w:r w:rsidR="003E4A07" w:rsidRPr="00E079D3">
        <w:rPr>
          <w:rFonts w:ascii="仿宋" w:eastAsia="仿宋" w:hAnsi="仿宋" w:cs="Times New Roman"/>
          <w:sz w:val="32"/>
          <w:szCs w:val="32"/>
          <w:lang w:val="zh-CN"/>
        </w:rPr>
        <w:t>统筹规划、合理分配、专款专用、追踪问责的原则。</w:t>
      </w:r>
      <w:r w:rsidR="00E079D3" w:rsidRPr="00E079D3">
        <w:rPr>
          <w:rFonts w:ascii="仿宋" w:eastAsia="仿宋" w:hAnsi="仿宋" w:cs="Times New Roman"/>
          <w:sz w:val="32"/>
          <w:szCs w:val="32"/>
          <w:lang w:val="zh-CN"/>
        </w:rPr>
        <w:t>资金划拨由</w:t>
      </w:r>
      <w:r w:rsidR="00E079D3" w:rsidRPr="00E079D3">
        <w:rPr>
          <w:rFonts w:ascii="仿宋" w:eastAsia="仿宋" w:hAnsi="仿宋" w:cs="Times New Roman" w:hint="eastAsia"/>
          <w:sz w:val="32"/>
          <w:szCs w:val="32"/>
          <w:lang w:val="zh-CN"/>
        </w:rPr>
        <w:t>区财政</w:t>
      </w:r>
      <w:r w:rsidR="00E079D3" w:rsidRPr="00E079D3">
        <w:rPr>
          <w:rFonts w:ascii="仿宋" w:eastAsia="仿宋" w:hAnsi="仿宋" w:cs="Times New Roman"/>
          <w:sz w:val="32"/>
          <w:szCs w:val="32"/>
          <w:lang w:val="zh-CN"/>
        </w:rPr>
        <w:t>局下拨到承担</w:t>
      </w:r>
      <w:r w:rsidR="00E079D3" w:rsidRPr="00E079D3">
        <w:rPr>
          <w:rFonts w:ascii="仿宋" w:eastAsia="仿宋" w:hAnsi="仿宋" w:cs="Times New Roman" w:hint="eastAsia"/>
          <w:sz w:val="32"/>
          <w:szCs w:val="32"/>
          <w:lang w:val="zh-CN"/>
        </w:rPr>
        <w:t>景区复核</w:t>
      </w:r>
      <w:r w:rsidR="00E079D3" w:rsidRPr="00E079D3">
        <w:rPr>
          <w:rFonts w:ascii="仿宋" w:eastAsia="仿宋" w:hAnsi="仿宋" w:cs="Times New Roman"/>
          <w:sz w:val="32"/>
          <w:szCs w:val="32"/>
          <w:lang w:val="zh-CN"/>
        </w:rPr>
        <w:t>任务的基层机构。</w:t>
      </w:r>
    </w:p>
    <w:p w:rsidR="003E4A07" w:rsidRPr="00E079D3" w:rsidRDefault="006B539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w:t>
      </w:r>
      <w:r w:rsidR="00E079D3" w:rsidRPr="00E079D3">
        <w:rPr>
          <w:rFonts w:ascii="仿宋" w:eastAsia="仿宋" w:hAnsi="仿宋" w:cs="Times New Roman" w:hint="eastAsia"/>
          <w:sz w:val="32"/>
          <w:szCs w:val="32"/>
          <w:lang w:val="zh-CN"/>
        </w:rPr>
        <w:t>三</w:t>
      </w:r>
      <w:r w:rsidRPr="00E079D3">
        <w:rPr>
          <w:rFonts w:ascii="仿宋" w:eastAsia="仿宋" w:hAnsi="仿宋" w:cs="Times New Roman"/>
          <w:sz w:val="32"/>
          <w:szCs w:val="32"/>
          <w:lang w:val="zh-CN"/>
        </w:rPr>
        <w:t>条</w:t>
      </w:r>
      <w:r w:rsidR="003E4A07" w:rsidRPr="00E079D3">
        <w:rPr>
          <w:rFonts w:ascii="仿宋" w:eastAsia="仿宋" w:hAnsi="仿宋" w:cs="Times New Roman" w:hint="eastAsia"/>
          <w:sz w:val="32"/>
          <w:szCs w:val="32"/>
          <w:lang w:val="zh-CN"/>
        </w:rPr>
        <w:t>专项资金的管理和使用应当严格执行国家有关法律法规、财务规章制度和本办法的规定，并接受财政、审计等部门的监督检查。</w:t>
      </w:r>
    </w:p>
    <w:p w:rsidR="00E079D3" w:rsidRPr="00E079D3" w:rsidRDefault="00E079D3"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w:t>
      </w:r>
      <w:r w:rsidRPr="00E079D3">
        <w:rPr>
          <w:rFonts w:ascii="仿宋" w:eastAsia="仿宋" w:hAnsi="仿宋" w:cs="Times New Roman" w:hint="eastAsia"/>
          <w:sz w:val="32"/>
          <w:szCs w:val="32"/>
          <w:lang w:val="zh-CN"/>
        </w:rPr>
        <w:t>四</w:t>
      </w:r>
      <w:r w:rsidRPr="00E079D3">
        <w:rPr>
          <w:rFonts w:ascii="仿宋" w:eastAsia="仿宋" w:hAnsi="仿宋" w:cs="Times New Roman"/>
          <w:sz w:val="32"/>
          <w:szCs w:val="32"/>
          <w:lang w:val="zh-CN"/>
        </w:rPr>
        <w:t>条</w:t>
      </w:r>
      <w:r w:rsidRPr="00E079D3">
        <w:rPr>
          <w:rFonts w:ascii="仿宋" w:eastAsia="仿宋" w:hAnsi="仿宋" w:cs="Times New Roman" w:hint="eastAsia"/>
          <w:sz w:val="32"/>
          <w:szCs w:val="32"/>
          <w:lang w:val="zh-CN"/>
        </w:rPr>
        <w:t>专项资金的补助范围主要包括：</w:t>
      </w:r>
      <w:r w:rsidRPr="00E079D3">
        <w:rPr>
          <w:rFonts w:ascii="仿宋" w:eastAsia="仿宋" w:hAnsi="仿宋" w:cs="Times New Roman"/>
          <w:sz w:val="32"/>
          <w:szCs w:val="32"/>
          <w:lang w:val="zh-CN"/>
        </w:rPr>
        <w:t>3A</w:t>
      </w:r>
      <w:r w:rsidRPr="00E079D3">
        <w:rPr>
          <w:rFonts w:ascii="仿宋" w:eastAsia="仿宋" w:hAnsi="仿宋" w:cs="Times New Roman" w:hint="eastAsia"/>
          <w:sz w:val="32"/>
          <w:szCs w:val="32"/>
          <w:lang w:val="zh-CN"/>
        </w:rPr>
        <w:t>级旅游景区复核和省级风景名胜区复检。</w:t>
      </w:r>
    </w:p>
    <w:p w:rsidR="003E4A07" w:rsidRPr="00E079D3" w:rsidRDefault="006B539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w:t>
      </w:r>
      <w:r w:rsidR="00E079D3" w:rsidRPr="00E079D3">
        <w:rPr>
          <w:rFonts w:ascii="仿宋" w:eastAsia="仿宋" w:hAnsi="仿宋" w:cs="Times New Roman" w:hint="eastAsia"/>
          <w:sz w:val="32"/>
          <w:szCs w:val="32"/>
          <w:lang w:val="zh-CN"/>
        </w:rPr>
        <w:t>五</w:t>
      </w:r>
      <w:r w:rsidRPr="00E079D3">
        <w:rPr>
          <w:rFonts w:ascii="仿宋" w:eastAsia="仿宋" w:hAnsi="仿宋" w:cs="Times New Roman"/>
          <w:sz w:val="32"/>
          <w:szCs w:val="32"/>
          <w:lang w:val="zh-CN"/>
        </w:rPr>
        <w:t>条</w:t>
      </w:r>
      <w:r w:rsidR="003E4A07" w:rsidRPr="00E079D3">
        <w:rPr>
          <w:rFonts w:ascii="仿宋" w:eastAsia="仿宋" w:hAnsi="仿宋" w:cs="Times New Roman" w:hint="eastAsia"/>
          <w:sz w:val="32"/>
          <w:szCs w:val="32"/>
          <w:lang w:val="zh-CN"/>
        </w:rPr>
        <w:t>专项资金的</w:t>
      </w:r>
      <w:r w:rsidR="00E079D3" w:rsidRPr="00E079D3">
        <w:rPr>
          <w:rFonts w:ascii="仿宋" w:eastAsia="仿宋" w:hAnsi="仿宋" w:cs="Times New Roman" w:hint="eastAsia"/>
          <w:sz w:val="32"/>
          <w:szCs w:val="32"/>
          <w:lang w:val="zh-CN"/>
        </w:rPr>
        <w:t>支出内容</w:t>
      </w:r>
      <w:r w:rsidR="003E4A07" w:rsidRPr="00E079D3">
        <w:rPr>
          <w:rFonts w:ascii="仿宋" w:eastAsia="仿宋" w:hAnsi="仿宋" w:cs="Times New Roman" w:hint="eastAsia"/>
          <w:sz w:val="32"/>
          <w:szCs w:val="32"/>
          <w:lang w:val="zh-CN"/>
        </w:rPr>
        <w:t>主要包括：景区各类标识标牌的设置与更新、景区域名与网址的建设和维护、游客中心与游客公共休息等设施的建设与维护、停车场管理、景区卫生保洁、旅游厕所新建与维护、旅游安全保障、景区生态环境保护等八个方面.</w:t>
      </w:r>
    </w:p>
    <w:p w:rsidR="003E4A07" w:rsidRPr="00E079D3" w:rsidRDefault="003E4A0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w:t>
      </w:r>
      <w:r w:rsidR="00E079D3" w:rsidRPr="00E079D3">
        <w:rPr>
          <w:rFonts w:ascii="仿宋" w:eastAsia="仿宋" w:hAnsi="仿宋" w:cs="Times New Roman" w:hint="eastAsia"/>
          <w:sz w:val="32"/>
          <w:szCs w:val="32"/>
          <w:lang w:val="zh-CN"/>
        </w:rPr>
        <w:t>六</w:t>
      </w:r>
      <w:r w:rsidRPr="00E079D3">
        <w:rPr>
          <w:rFonts w:ascii="仿宋" w:eastAsia="仿宋" w:hAnsi="仿宋" w:cs="Times New Roman"/>
          <w:sz w:val="32"/>
          <w:szCs w:val="32"/>
          <w:lang w:val="zh-CN"/>
        </w:rPr>
        <w:t>条</w:t>
      </w:r>
      <w:r w:rsidRPr="00E079D3">
        <w:rPr>
          <w:rFonts w:ascii="仿宋" w:eastAsia="仿宋" w:hAnsi="仿宋" w:cs="Times New Roman" w:hint="eastAsia"/>
          <w:sz w:val="32"/>
          <w:szCs w:val="32"/>
          <w:lang w:val="zh-CN"/>
        </w:rPr>
        <w:t>专项资金不得用于支付各种罚款、捐款、赞助、投资等支出，不得用于编制内在职人员工资性支出和离退休人员离退休费，不得用于偿还债务，不得用于国家规定禁止列支的其他支出。</w:t>
      </w:r>
    </w:p>
    <w:p w:rsidR="003E4A07" w:rsidRPr="00E079D3" w:rsidRDefault="003E4A0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hint="eastAsia"/>
          <w:sz w:val="32"/>
          <w:szCs w:val="32"/>
          <w:lang w:val="zh-CN"/>
        </w:rPr>
        <w:lastRenderedPageBreak/>
        <w:t>第</w:t>
      </w:r>
      <w:r w:rsidR="00E079D3" w:rsidRPr="00E079D3">
        <w:rPr>
          <w:rFonts w:ascii="仿宋" w:eastAsia="仿宋" w:hAnsi="仿宋" w:cs="Times New Roman" w:hint="eastAsia"/>
          <w:sz w:val="32"/>
          <w:szCs w:val="32"/>
          <w:lang w:val="zh-CN"/>
        </w:rPr>
        <w:t>七</w:t>
      </w:r>
      <w:r w:rsidRPr="00E079D3">
        <w:rPr>
          <w:rFonts w:ascii="仿宋" w:eastAsia="仿宋" w:hAnsi="仿宋" w:cs="Times New Roman" w:hint="eastAsia"/>
          <w:sz w:val="32"/>
          <w:szCs w:val="32"/>
          <w:lang w:val="zh-CN"/>
        </w:rPr>
        <w:t>条应当严格按照批准的专项资金补助范围和支出内容安排使用专项资金。如有特殊情况，需要调整补助范围和支出内容的，应当逐级报送至项目保护方案批复部门同意。</w:t>
      </w:r>
    </w:p>
    <w:p w:rsidR="00E079D3" w:rsidRPr="00E079D3" w:rsidRDefault="003E4A0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hint="eastAsia"/>
          <w:sz w:val="32"/>
          <w:szCs w:val="32"/>
          <w:lang w:val="zh-CN"/>
        </w:rPr>
        <w:t>第</w:t>
      </w:r>
      <w:r w:rsidR="00E079D3" w:rsidRPr="00E079D3">
        <w:rPr>
          <w:rFonts w:ascii="仿宋" w:eastAsia="仿宋" w:hAnsi="仿宋" w:cs="Times New Roman" w:hint="eastAsia"/>
          <w:sz w:val="32"/>
          <w:szCs w:val="32"/>
          <w:lang w:val="zh-CN"/>
        </w:rPr>
        <w:t>八</w:t>
      </w:r>
      <w:r w:rsidRPr="00E079D3">
        <w:rPr>
          <w:rFonts w:ascii="仿宋" w:eastAsia="仿宋" w:hAnsi="仿宋" w:cs="Times New Roman" w:hint="eastAsia"/>
          <w:sz w:val="32"/>
          <w:szCs w:val="32"/>
          <w:lang w:val="zh-CN"/>
        </w:rPr>
        <w:t>条专项资金支付应当按照有关规定执行。专项资金支出过程中按照规定需要实行政府采购的，按照《政府采购法》等有关规定执行。国家对相关支出事项有规定标准的，按照国家标准执行。</w:t>
      </w:r>
    </w:p>
    <w:p w:rsidR="00E079D3" w:rsidRPr="00E079D3" w:rsidRDefault="003E4A0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hint="eastAsia"/>
          <w:sz w:val="32"/>
          <w:szCs w:val="32"/>
          <w:lang w:val="zh-CN"/>
        </w:rPr>
        <w:t>第</w:t>
      </w:r>
      <w:r w:rsidR="00E079D3" w:rsidRPr="00E079D3">
        <w:rPr>
          <w:rFonts w:ascii="仿宋" w:eastAsia="仿宋" w:hAnsi="仿宋" w:cs="Times New Roman" w:hint="eastAsia"/>
          <w:sz w:val="32"/>
          <w:szCs w:val="32"/>
          <w:lang w:val="zh-CN"/>
        </w:rPr>
        <w:t>九</w:t>
      </w:r>
      <w:r w:rsidRPr="00E079D3">
        <w:rPr>
          <w:rFonts w:ascii="仿宋" w:eastAsia="仿宋" w:hAnsi="仿宋" w:cs="Times New Roman" w:hint="eastAsia"/>
          <w:sz w:val="32"/>
          <w:szCs w:val="32"/>
          <w:lang w:val="zh-CN"/>
        </w:rPr>
        <w:t>条专项资金实行年度财务报告制度。</w:t>
      </w:r>
      <w:r w:rsidR="00E079D3" w:rsidRPr="00E079D3">
        <w:rPr>
          <w:rFonts w:ascii="仿宋" w:eastAsia="仿宋" w:hAnsi="仿宋" w:cs="Times New Roman" w:hint="eastAsia"/>
          <w:sz w:val="32"/>
          <w:szCs w:val="32"/>
          <w:lang w:val="zh-CN"/>
        </w:rPr>
        <w:t>每年末</w:t>
      </w:r>
      <w:r w:rsidRPr="00E079D3">
        <w:rPr>
          <w:rFonts w:ascii="仿宋" w:eastAsia="仿宋" w:hAnsi="仿宋" w:cs="Times New Roman" w:hint="eastAsia"/>
          <w:sz w:val="32"/>
          <w:szCs w:val="32"/>
          <w:lang w:val="zh-CN"/>
        </w:rPr>
        <w:t>应当通过专项资金系统逐级报送项目决算。</w:t>
      </w:r>
      <w:r w:rsidR="00E079D3" w:rsidRPr="00E079D3">
        <w:rPr>
          <w:rFonts w:ascii="仿宋" w:eastAsia="仿宋" w:hAnsi="仿宋" w:cs="Times New Roman"/>
          <w:sz w:val="32"/>
          <w:szCs w:val="32"/>
          <w:lang w:val="zh-CN"/>
        </w:rPr>
        <w:t>利用相关媒体或公共场所对项目内容、实施情况和项目经费使用情况等定期进行公示，提高项目实施的公开性和透明度，并主动接受审计部门的审计和社会各界的监督。</w:t>
      </w:r>
    </w:p>
    <w:p w:rsidR="003E4A07" w:rsidRPr="00E079D3" w:rsidRDefault="00E079D3"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w:t>
      </w:r>
      <w:r w:rsidRPr="00E079D3">
        <w:rPr>
          <w:rFonts w:ascii="仿宋" w:eastAsia="仿宋" w:hAnsi="仿宋" w:cs="Times New Roman" w:hint="eastAsia"/>
          <w:sz w:val="32"/>
          <w:szCs w:val="32"/>
          <w:lang w:val="zh-CN"/>
        </w:rPr>
        <w:t>十</w:t>
      </w:r>
      <w:r w:rsidRPr="00E079D3">
        <w:rPr>
          <w:rFonts w:ascii="仿宋" w:eastAsia="仿宋" w:hAnsi="仿宋" w:cs="Times New Roman"/>
          <w:sz w:val="32"/>
          <w:szCs w:val="32"/>
          <w:lang w:val="zh-CN"/>
        </w:rPr>
        <w:t>条相关部门、单位及其工作人员因失职或滥用职权，造成项目经费流失的；截留、挤占和挪用项目资金的；虚报、瞒报有关情况骗取项目经费的，由有关部门追究相关领导和相关人员的责任外，将相应核减下年度项目经费。构成犯罪的，移送司法机关处理。</w:t>
      </w:r>
    </w:p>
    <w:p w:rsidR="006B5397" w:rsidRPr="00E079D3" w:rsidRDefault="006B5397" w:rsidP="00E079D3">
      <w:pPr>
        <w:spacing w:after="0" w:line="600" w:lineRule="exact"/>
        <w:ind w:firstLineChars="200" w:firstLine="640"/>
        <w:jc w:val="both"/>
        <w:rPr>
          <w:rFonts w:ascii="仿宋" w:eastAsia="仿宋" w:hAnsi="仿宋" w:cs="Times New Roman"/>
          <w:sz w:val="32"/>
          <w:szCs w:val="32"/>
          <w:lang w:val="zh-CN"/>
        </w:rPr>
      </w:pPr>
      <w:r w:rsidRPr="00E079D3">
        <w:rPr>
          <w:rFonts w:ascii="仿宋" w:eastAsia="仿宋" w:hAnsi="仿宋" w:cs="Times New Roman"/>
          <w:sz w:val="32"/>
          <w:szCs w:val="32"/>
          <w:lang w:val="zh-CN"/>
        </w:rPr>
        <w:t>第十</w:t>
      </w:r>
      <w:r w:rsidR="00E079D3" w:rsidRPr="00E079D3">
        <w:rPr>
          <w:rFonts w:ascii="仿宋" w:eastAsia="仿宋" w:hAnsi="仿宋" w:cs="Times New Roman" w:hint="eastAsia"/>
          <w:sz w:val="32"/>
          <w:szCs w:val="32"/>
          <w:lang w:val="zh-CN"/>
        </w:rPr>
        <w:t>一</w:t>
      </w:r>
      <w:r w:rsidRPr="00E079D3">
        <w:rPr>
          <w:rFonts w:ascii="仿宋" w:eastAsia="仿宋" w:hAnsi="仿宋" w:cs="Times New Roman"/>
          <w:sz w:val="32"/>
          <w:szCs w:val="32"/>
          <w:lang w:val="zh-CN"/>
        </w:rPr>
        <w:t>条本规定自</w:t>
      </w:r>
      <w:r w:rsidR="00E079D3" w:rsidRPr="00E079D3">
        <w:rPr>
          <w:rFonts w:ascii="仿宋" w:eastAsia="仿宋" w:hAnsi="仿宋" w:cs="Times New Roman" w:hint="eastAsia"/>
          <w:sz w:val="32"/>
          <w:szCs w:val="32"/>
          <w:lang w:val="zh-CN"/>
        </w:rPr>
        <w:t>20</w:t>
      </w:r>
      <w:r w:rsidR="002317EC">
        <w:rPr>
          <w:rFonts w:ascii="仿宋" w:eastAsia="仿宋" w:hAnsi="仿宋" w:cs="Times New Roman" w:hint="eastAsia"/>
          <w:sz w:val="32"/>
          <w:szCs w:val="32"/>
          <w:lang w:val="zh-CN"/>
        </w:rPr>
        <w:t>20</w:t>
      </w:r>
      <w:r w:rsidR="00E079D3" w:rsidRPr="00E079D3">
        <w:rPr>
          <w:rFonts w:ascii="仿宋" w:eastAsia="仿宋" w:hAnsi="仿宋" w:cs="Times New Roman" w:hint="eastAsia"/>
          <w:sz w:val="32"/>
          <w:szCs w:val="32"/>
          <w:lang w:val="zh-CN"/>
        </w:rPr>
        <w:t>年1月1</w:t>
      </w:r>
      <w:r w:rsidRPr="00E079D3">
        <w:rPr>
          <w:rFonts w:ascii="仿宋" w:eastAsia="仿宋" w:hAnsi="仿宋" w:cs="Times New Roman"/>
          <w:sz w:val="32"/>
          <w:szCs w:val="32"/>
          <w:lang w:val="zh-CN"/>
        </w:rPr>
        <w:t>日起执行。</w:t>
      </w:r>
    </w:p>
    <w:sectPr w:rsidR="006B5397" w:rsidRPr="00E079D3"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B59" w:rsidRDefault="004B5B59" w:rsidP="00C61358">
      <w:pPr>
        <w:spacing w:after="0"/>
      </w:pPr>
      <w:r>
        <w:separator/>
      </w:r>
    </w:p>
  </w:endnote>
  <w:endnote w:type="continuationSeparator" w:id="0">
    <w:p w:rsidR="004B5B59" w:rsidRDefault="004B5B59" w:rsidP="00C613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B59" w:rsidRDefault="004B5B59" w:rsidP="00C61358">
      <w:pPr>
        <w:spacing w:after="0"/>
      </w:pPr>
      <w:r>
        <w:separator/>
      </w:r>
    </w:p>
  </w:footnote>
  <w:footnote w:type="continuationSeparator" w:id="0">
    <w:p w:rsidR="004B5B59" w:rsidRDefault="004B5B59" w:rsidP="00C6135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E5EFE"/>
    <w:rsid w:val="002317EC"/>
    <w:rsid w:val="00323B43"/>
    <w:rsid w:val="003D37D8"/>
    <w:rsid w:val="003E4A07"/>
    <w:rsid w:val="00426133"/>
    <w:rsid w:val="004358AB"/>
    <w:rsid w:val="004B5B59"/>
    <w:rsid w:val="006B5397"/>
    <w:rsid w:val="008B7726"/>
    <w:rsid w:val="00C61358"/>
    <w:rsid w:val="00D31D50"/>
    <w:rsid w:val="00D55611"/>
    <w:rsid w:val="00E079D3"/>
    <w:rsid w:val="00E61F6D"/>
    <w:rsid w:val="00F335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6135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61358"/>
    <w:rPr>
      <w:rFonts w:ascii="Tahoma" w:hAnsi="Tahoma"/>
      <w:sz w:val="18"/>
      <w:szCs w:val="18"/>
    </w:rPr>
  </w:style>
  <w:style w:type="paragraph" w:styleId="a4">
    <w:name w:val="footer"/>
    <w:basedOn w:val="a"/>
    <w:link w:val="Char0"/>
    <w:uiPriority w:val="99"/>
    <w:semiHidden/>
    <w:unhideWhenUsed/>
    <w:rsid w:val="00C61358"/>
    <w:pPr>
      <w:tabs>
        <w:tab w:val="center" w:pos="4153"/>
        <w:tab w:val="right" w:pos="8306"/>
      </w:tabs>
    </w:pPr>
    <w:rPr>
      <w:sz w:val="18"/>
      <w:szCs w:val="18"/>
    </w:rPr>
  </w:style>
  <w:style w:type="character" w:customStyle="1" w:styleId="Char0">
    <w:name w:val="页脚 Char"/>
    <w:basedOn w:val="a0"/>
    <w:link w:val="a4"/>
    <w:uiPriority w:val="99"/>
    <w:semiHidden/>
    <w:rsid w:val="00C61358"/>
    <w:rPr>
      <w:rFonts w:ascii="Tahoma" w:hAnsi="Tahoma"/>
      <w:sz w:val="18"/>
      <w:szCs w:val="18"/>
    </w:rPr>
  </w:style>
  <w:style w:type="character" w:customStyle="1" w:styleId="boldtrue">
    <w:name w:val="bold:true"/>
    <w:basedOn w:val="a0"/>
    <w:rsid w:val="00C61358"/>
  </w:style>
  <w:style w:type="character" w:customStyle="1" w:styleId="font-familygb2312">
    <w:name w:val="font-family:仿宋_gb2312"/>
    <w:basedOn w:val="a0"/>
    <w:rsid w:val="001E5EFE"/>
  </w:style>
  <w:style w:type="paragraph" w:styleId="a5">
    <w:name w:val="Normal (Web)"/>
    <w:basedOn w:val="a"/>
    <w:uiPriority w:val="99"/>
    <w:semiHidden/>
    <w:unhideWhenUsed/>
    <w:rsid w:val="003E4A07"/>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27980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2019-12-04T03:46:00Z</dcterms:modified>
</cp:coreProperties>
</file>