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株洲市城市园林绿化养护管理指导价</w:t>
      </w:r>
    </w:p>
    <w:tbl>
      <w:tblPr>
        <w:tblStyle w:val="6"/>
        <w:tblW w:w="8349" w:type="dxa"/>
        <w:jc w:val="center"/>
        <w:tblLayout w:type="fixed"/>
        <w:tblCellMar>
          <w:top w:w="0" w:type="dxa"/>
          <w:left w:w="0" w:type="dxa"/>
          <w:bottom w:w="0" w:type="dxa"/>
          <w:right w:w="0" w:type="dxa"/>
        </w:tblCellMar>
      </w:tblPr>
      <w:tblGrid>
        <w:gridCol w:w="1150"/>
        <w:gridCol w:w="2352"/>
        <w:gridCol w:w="4847"/>
      </w:tblGrid>
      <w:tr>
        <w:tblPrEx>
          <w:tblCellMar>
            <w:top w:w="0" w:type="dxa"/>
            <w:left w:w="0" w:type="dxa"/>
            <w:bottom w:w="0" w:type="dxa"/>
            <w:right w:w="0" w:type="dxa"/>
          </w:tblCellMar>
        </w:tblPrEx>
        <w:trPr>
          <w:trHeight w:val="581"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管理内容</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单  价</w:t>
            </w:r>
          </w:p>
        </w:tc>
      </w:tr>
      <w:tr>
        <w:tblPrEx>
          <w:tblCellMar>
            <w:top w:w="0" w:type="dxa"/>
            <w:left w:w="0" w:type="dxa"/>
            <w:bottom w:w="0" w:type="dxa"/>
            <w:right w:w="0" w:type="dxa"/>
          </w:tblCellMar>
        </w:tblPrEx>
        <w:trPr>
          <w:trHeight w:val="2452"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一</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城市绿地养护</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40" w:lineRule="exact"/>
              <w:textAlignment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特级园林绿化养护：15元/㎡·年</w:t>
            </w:r>
            <w:r>
              <w:rPr>
                <w:rFonts w:hint="eastAsia" w:ascii="仿宋_GB2312" w:hAnsi="仿宋_GB2312" w:eastAsia="仿宋_GB2312" w:cs="仿宋_GB2312"/>
                <w:kern w:val="0"/>
                <w:sz w:val="30"/>
                <w:szCs w:val="30"/>
              </w:rPr>
              <w:br w:type="textWrapping"/>
            </w:r>
            <w:r>
              <w:rPr>
                <w:rFonts w:hint="eastAsia" w:ascii="仿宋_GB2312" w:hAnsi="仿宋_GB2312" w:eastAsia="仿宋_GB2312" w:cs="仿宋_GB2312"/>
                <w:kern w:val="0"/>
                <w:sz w:val="30"/>
                <w:szCs w:val="30"/>
              </w:rPr>
              <w:t>一级园林绿化养护：12元/㎡·年</w:t>
            </w:r>
            <w:r>
              <w:rPr>
                <w:rFonts w:hint="eastAsia" w:ascii="仿宋_GB2312" w:hAnsi="仿宋_GB2312" w:eastAsia="仿宋_GB2312" w:cs="仿宋_GB2312"/>
                <w:kern w:val="0"/>
                <w:sz w:val="30"/>
                <w:szCs w:val="30"/>
              </w:rPr>
              <w:br w:type="textWrapping"/>
            </w:r>
            <w:r>
              <w:rPr>
                <w:rFonts w:hint="eastAsia" w:ascii="仿宋_GB2312" w:hAnsi="仿宋_GB2312" w:eastAsia="仿宋_GB2312" w:cs="仿宋_GB2312"/>
                <w:kern w:val="0"/>
                <w:sz w:val="30"/>
                <w:szCs w:val="30"/>
              </w:rPr>
              <w:t>二级园林绿化养护：10元/㎡·年</w:t>
            </w:r>
            <w:r>
              <w:rPr>
                <w:rFonts w:hint="eastAsia" w:ascii="仿宋_GB2312" w:hAnsi="仿宋_GB2312" w:eastAsia="仿宋_GB2312" w:cs="仿宋_GB2312"/>
                <w:kern w:val="0"/>
                <w:sz w:val="30"/>
                <w:szCs w:val="30"/>
              </w:rPr>
              <w:br w:type="textWrapping"/>
            </w:r>
            <w:r>
              <w:rPr>
                <w:rFonts w:hint="eastAsia" w:ascii="仿宋_GB2312" w:hAnsi="仿宋_GB2312" w:eastAsia="仿宋_GB2312" w:cs="仿宋_GB2312"/>
                <w:kern w:val="0"/>
                <w:sz w:val="30"/>
                <w:szCs w:val="30"/>
              </w:rPr>
              <w:t>三级园林绿化养护：8元/㎡·年</w:t>
            </w:r>
          </w:p>
          <w:p>
            <w:pPr>
              <w:widowControl/>
              <w:spacing w:line="540" w:lineRule="exact"/>
              <w:textAlignment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四级园林绿化养护：4元/㎡·年</w:t>
            </w:r>
          </w:p>
          <w:p>
            <w:pPr>
              <w:widowControl/>
              <w:spacing w:line="540" w:lineRule="exact"/>
              <w:textAlignment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行道树、孤植树木养护（φ20cm以下）：20元/株·年</w:t>
            </w:r>
          </w:p>
          <w:p>
            <w:pPr>
              <w:widowControl/>
              <w:spacing w:line="540" w:lineRule="exact"/>
              <w:textAlignment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行道树、孤植树木养护（φ20cm以上）、桩景养护：35元/株·年</w:t>
            </w:r>
          </w:p>
        </w:tc>
      </w:tr>
      <w:tr>
        <w:tblPrEx>
          <w:tblCellMar>
            <w:top w:w="0" w:type="dxa"/>
            <w:left w:w="0" w:type="dxa"/>
            <w:bottom w:w="0" w:type="dxa"/>
            <w:right w:w="0" w:type="dxa"/>
          </w:tblCellMar>
        </w:tblPrEx>
        <w:trPr>
          <w:trHeight w:val="108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二</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景观水体养护</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40" w:lineRule="exact"/>
              <w:textAlignment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一级景观水体养护：7.4元/㎡·年</w:t>
            </w:r>
          </w:p>
          <w:p>
            <w:pPr>
              <w:widowControl/>
              <w:spacing w:line="540" w:lineRule="exact"/>
              <w:textAlignment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二级景观水体养护：5.2元/㎡·年</w:t>
            </w:r>
          </w:p>
          <w:p>
            <w:pPr>
              <w:widowControl/>
              <w:spacing w:line="540" w:lineRule="exact"/>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三级景观水体养护：2.7元/㎡·年</w:t>
            </w:r>
          </w:p>
        </w:tc>
      </w:tr>
      <w:tr>
        <w:tblPrEx>
          <w:tblCellMar>
            <w:top w:w="0" w:type="dxa"/>
            <w:left w:w="0" w:type="dxa"/>
            <w:bottom w:w="0" w:type="dxa"/>
            <w:right w:w="0" w:type="dxa"/>
          </w:tblCellMar>
        </w:tblPrEx>
        <w:trPr>
          <w:trHeight w:val="64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三</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安保管理</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5万元/人·年</w:t>
            </w:r>
          </w:p>
        </w:tc>
      </w:tr>
      <w:tr>
        <w:tblPrEx>
          <w:tblCellMar>
            <w:top w:w="0" w:type="dxa"/>
            <w:left w:w="0" w:type="dxa"/>
            <w:bottom w:w="0" w:type="dxa"/>
            <w:right w:w="0" w:type="dxa"/>
          </w:tblCellMar>
        </w:tblPrEx>
        <w:trPr>
          <w:trHeight w:val="58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四</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40" w:lineRule="exact"/>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房屋和设施、</w:t>
            </w:r>
            <w:r>
              <w:rPr>
                <w:rFonts w:hint="eastAsia" w:ascii="仿宋_GB2312" w:hAnsi="仿宋_GB2312" w:eastAsia="仿宋_GB2312" w:cs="仿宋_GB2312"/>
                <w:kern w:val="0"/>
                <w:sz w:val="30"/>
                <w:szCs w:val="30"/>
              </w:rPr>
              <w:br w:type="textWrapping"/>
            </w:r>
            <w:r>
              <w:rPr>
                <w:rFonts w:hint="eastAsia" w:ascii="仿宋_GB2312" w:hAnsi="仿宋_GB2312" w:eastAsia="仿宋_GB2312" w:cs="仿宋_GB2312"/>
                <w:kern w:val="0"/>
                <w:sz w:val="30"/>
                <w:szCs w:val="30"/>
              </w:rPr>
              <w:t>设备管理</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1.2元/㎡·年</w:t>
            </w:r>
          </w:p>
        </w:tc>
      </w:tr>
      <w:tr>
        <w:tblPrEx>
          <w:tblCellMar>
            <w:top w:w="0" w:type="dxa"/>
            <w:left w:w="0" w:type="dxa"/>
            <w:bottom w:w="0" w:type="dxa"/>
            <w:right w:w="0" w:type="dxa"/>
          </w:tblCellMar>
        </w:tblPrEx>
        <w:trPr>
          <w:trHeight w:val="56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五</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清洁卫生管理</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5.5元/㎡·年</w:t>
            </w:r>
          </w:p>
        </w:tc>
      </w:tr>
      <w:tr>
        <w:tblPrEx>
          <w:tblCellMar>
            <w:top w:w="0" w:type="dxa"/>
            <w:left w:w="0" w:type="dxa"/>
            <w:bottom w:w="0" w:type="dxa"/>
            <w:right w:w="0" w:type="dxa"/>
          </w:tblCellMar>
        </w:tblPrEx>
        <w:trPr>
          <w:trHeight w:val="56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六</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公共卫生间</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5万元/座·年</w:t>
            </w:r>
          </w:p>
        </w:tc>
      </w:tr>
      <w:tr>
        <w:tblPrEx>
          <w:tblCellMar>
            <w:top w:w="0" w:type="dxa"/>
            <w:left w:w="0" w:type="dxa"/>
            <w:bottom w:w="0" w:type="dxa"/>
            <w:right w:w="0" w:type="dxa"/>
          </w:tblCellMar>
        </w:tblPrEx>
        <w:trPr>
          <w:trHeight w:val="540"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七</w:t>
            </w:r>
          </w:p>
        </w:tc>
        <w:tc>
          <w:tcPr>
            <w:tcW w:w="2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建宁驿站</w:t>
            </w:r>
          </w:p>
        </w:tc>
        <w:tc>
          <w:tcPr>
            <w:tcW w:w="4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10万元/座·年</w:t>
            </w:r>
          </w:p>
        </w:tc>
      </w:tr>
    </w:tbl>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注明：此指导价未包括经相关部门认定的城市园林绿化养护管理大中修项目、更换草花等项目费用。</w:t>
      </w:r>
    </w:p>
    <w:p>
      <w:pPr>
        <w:rPr>
          <w:rFonts w:ascii="仿宋" w:eastAsia="仿宋" w:cs="仿宋"/>
          <w:sz w:val="32"/>
          <w:szCs w:val="32"/>
        </w:rPr>
      </w:pPr>
      <w:r>
        <w:rPr>
          <w:rFonts w:ascii="仿宋" w:eastAsia="仿宋" w:cs="仿宋"/>
          <w:sz w:val="32"/>
          <w:szCs w:val="32"/>
        </w:rPr>
        <w:br w:type="page"/>
      </w:r>
    </w:p>
    <w:p>
      <w:pPr>
        <w:spacing w:line="520" w:lineRule="exact"/>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株洲市城市园林绿化养护质量标准</w:t>
      </w:r>
    </w:p>
    <w:p>
      <w:pPr>
        <w:spacing w:line="540" w:lineRule="exact"/>
        <w:jc w:val="center"/>
        <w:rPr>
          <w:rFonts w:ascii="黑体" w:eastAsia="黑体"/>
          <w:sz w:val="32"/>
          <w:szCs w:val="32"/>
        </w:rPr>
      </w:pPr>
      <w:r>
        <w:rPr>
          <w:rFonts w:hint="eastAsia" w:ascii="黑体" w:eastAsia="黑体"/>
          <w:sz w:val="32"/>
          <w:szCs w:val="32"/>
        </w:rPr>
        <w:t>总  则</w:t>
      </w:r>
    </w:p>
    <w:p>
      <w:pPr>
        <w:spacing w:line="54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为了适应我市园林绿化发展的需要，保护园林绿化成果，提高园林绿化养护管理质量和水平，特制定本标准。</w:t>
      </w:r>
    </w:p>
    <w:p>
      <w:pPr>
        <w:spacing w:line="540" w:lineRule="exact"/>
        <w:ind w:firstLine="640" w:firstLineChars="200"/>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 xml:space="preserve">本标准适用于市、县（市）城区范围内除生产绿地以外的公园绿地、防护绿地、广场用地、区域绿地、附属绿地（含道路绿地、单位绿地、居住区绿地）养护管理。  </w:t>
      </w:r>
    </w:p>
    <w:p>
      <w:pPr>
        <w:spacing w:line="540" w:lineRule="exact"/>
        <w:ind w:firstLine="640" w:firstLineChars="20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园林绿地养护除应遵循本标准外，尚应符合国家、行业与地方现行有关标准的规定。</w:t>
      </w:r>
    </w:p>
    <w:p>
      <w:pPr>
        <w:spacing w:line="540" w:lineRule="exact"/>
        <w:ind w:firstLine="640" w:firstLineChars="200"/>
        <w:rPr>
          <w:rFonts w:ascii="仿宋_GB2312" w:eastAsia="仿宋_GB2312"/>
          <w:sz w:val="32"/>
          <w:szCs w:val="32"/>
        </w:rPr>
      </w:pPr>
      <w:r>
        <w:rPr>
          <w:rFonts w:ascii="仿宋_GB2312" w:eastAsia="仿宋_GB2312"/>
          <w:sz w:val="32"/>
          <w:szCs w:val="32"/>
        </w:rPr>
        <w:t>（四）</w:t>
      </w:r>
      <w:r>
        <w:rPr>
          <w:rFonts w:hint="eastAsia" w:ascii="仿宋_GB2312" w:eastAsia="仿宋_GB2312"/>
          <w:sz w:val="32"/>
          <w:szCs w:val="32"/>
        </w:rPr>
        <w:t>城市园林绿化养护管理内容应包括：浇水排水、施肥、修剪、病虫害防治、松土除草、补栽、扶正支柱、绿地保洁、水体养护、设施维护等。</w:t>
      </w:r>
    </w:p>
    <w:p>
      <w:pPr>
        <w:spacing w:line="540" w:lineRule="exact"/>
        <w:rPr>
          <w:rFonts w:ascii="黑体" w:eastAsia="黑体"/>
          <w:sz w:val="32"/>
          <w:szCs w:val="32"/>
        </w:rPr>
      </w:pPr>
    </w:p>
    <w:p>
      <w:pPr>
        <w:spacing w:line="540" w:lineRule="exact"/>
        <w:jc w:val="center"/>
        <w:rPr>
          <w:rFonts w:ascii="黑体" w:eastAsia="黑体"/>
          <w:sz w:val="32"/>
          <w:szCs w:val="32"/>
        </w:rPr>
      </w:pPr>
      <w:r>
        <w:rPr>
          <w:rFonts w:hint="eastAsia" w:ascii="黑体" w:eastAsia="黑体"/>
          <w:sz w:val="32"/>
          <w:szCs w:val="32"/>
        </w:rPr>
        <w:t>城市绿地养护质量标准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园林绿地所处的位置的重要性和养护管理水平的高低，将园林绿地的养护管理分成特级养护、一级养护、二级养护、三级养护和四级养护五个养护等级。各等级绿地按相应确定的养护指导价进行养护经费管理。</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（一）特级养护质量标准</w:t>
      </w:r>
    </w:p>
    <w:p>
      <w:pPr>
        <w:pStyle w:val="9"/>
        <w:spacing w:line="54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.完全满足一级养护质量标准。</w:t>
      </w:r>
    </w:p>
    <w:p>
      <w:pPr>
        <w:pStyle w:val="9"/>
        <w:spacing w:line="540" w:lineRule="exact"/>
        <w:ind w:left="640" w:firstLine="0" w:firstLineChars="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.是本市非常重要的地段或广场。</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.绿带修剪需做到适时修剪、园林造型及园林艺术式修剪，修剪需棱角分明、图案清晰、美感强，养护水平达到高度精细化。</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（二）一级养护质量标准</w:t>
      </w:r>
    </w:p>
    <w:p>
      <w:pPr>
        <w:pStyle w:val="9"/>
        <w:spacing w:line="540" w:lineRule="exact"/>
        <w:ind w:firstLine="643"/>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.总体要求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绿化养护技术措施完善，建有工种齐全和固定的养护队伍，管理得当，植物配置科学合理，达到黄土不露天，绿地总体景观好。</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.园林植物</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生长健壮，绿地树木群落结构合理，林相完整，层次丰富，整体观赏效果好，植物叶片健壮、色泽纯正，无枯枝败叶，无明显人为损坏的痕迹或有人为损坏能及时补栽（补植、改植于2天内完成）。</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园林树木树冠完整美观，生长旺盛，开花结果正常分枝点高度与树种特性相适应，枝条粗壮，无枯枝死杈；主侧枝分布匀称、数量适宜、修剪科学合理；内膛不乱，通风透光。花灌木生长旺盛，开花及时，株形丰满，花繁叶茂，修剪及时合理（枝条长度不超过7cm）。</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绿篱、色块、造型植物等修剪及时，枝叶茂密，整齐一致，无空洞（直径35cm以内），色块与草皮界限清晰。花坛、花带轮廓清晰，整齐美观，修剪及时（枝条长度不超过7cm），无残缺，无残花败叶。造型植物管理精细，肥水及时，有规范整齐的隔草沟、树穴。</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落叶树新梢生长健壮，叶片大小、颜色正常。在一般条件下，无黄叶、焦叶、卷叶，正常叶片保存率在95%以上。在针叶树针叶宿存3年以上，结果枝条在10%以下。</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行道树无死株、缺株。行道树的体量、高度基本保持一致，倾斜率小于3%，刷白规范、及时；新栽树木树撑规范；原有树木护杆的破败草绳须清理干净，无吊装用竹片；树池处理得当，无积水、无裸露。</w:t>
      </w:r>
    </w:p>
    <w:p>
      <w:pPr>
        <w:spacing w:line="54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草坪整齐、无坑洼、覆盖率达99%以上，无杂草，生长季节每月修剪1次以上；宿根、球根花卉内无枯枝败叶，修剪及时。</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草花更换及时，每年更换6次(含）以上；新栽草花10天内必须开花，且花色鲜艳，颜色搭配合理，美感强。</w:t>
      </w:r>
    </w:p>
    <w:p>
      <w:pPr>
        <w:spacing w:line="54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绿地内主要树木档案齐全，标志标牌和保护设施齐全完好，养护周到。</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.病虫害防治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控制及时，平均每100</w:t>
      </w:r>
      <w:r>
        <w:rPr>
          <w:rFonts w:hint="eastAsia" w:ascii="仿宋_GB2312" w:hAnsi="仿宋_GB2312"/>
          <w:sz w:val="32"/>
          <w:szCs w:val="32"/>
        </w:rPr>
        <w:t>㎡</w:t>
      </w:r>
      <w:r>
        <w:rPr>
          <w:rFonts w:hint="eastAsia" w:ascii="仿宋_GB2312" w:eastAsia="仿宋_GB2312"/>
          <w:sz w:val="32"/>
          <w:szCs w:val="32"/>
        </w:rPr>
        <w:t>绿地内园林树木无蛀干害虫的活卵、活虫；介壳虫的活虫数不得超过1头，较细枝条上平均每30cm不得超过2头，且平均被害株数不得超过1%。叶片上无虫粪、虫网，被虫咬的叶片每株不得超过2%。</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.施肥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需根据绿地生长需要不同，对植物采取施冬肥、追春肥，生长季节追肥</w:t>
      </w:r>
      <w:r>
        <w:rPr>
          <w:rFonts w:ascii="仿宋_GB2312" w:eastAsia="仿宋_GB2312"/>
          <w:sz w:val="32"/>
          <w:szCs w:val="32"/>
        </w:rPr>
        <w:t>等</w:t>
      </w:r>
      <w:r>
        <w:rPr>
          <w:rFonts w:hint="eastAsia" w:ascii="仿宋_GB2312" w:eastAsia="仿宋_GB2312"/>
          <w:sz w:val="32"/>
          <w:szCs w:val="32"/>
        </w:rPr>
        <w:t>不同施肥措施</w:t>
      </w:r>
      <w:r>
        <w:rPr>
          <w:rFonts w:ascii="仿宋_GB2312" w:eastAsia="仿宋_GB2312"/>
          <w:sz w:val="32"/>
          <w:szCs w:val="32"/>
        </w:rPr>
        <w:t>，</w:t>
      </w:r>
      <w:r>
        <w:rPr>
          <w:rFonts w:hint="eastAsia" w:ascii="仿宋_GB2312" w:eastAsia="仿宋_GB2312"/>
          <w:sz w:val="32"/>
          <w:szCs w:val="32"/>
        </w:rPr>
        <w:t>要建立施肥台账。</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5</w:t>
      </w:r>
      <w:r>
        <w:rPr>
          <w:rFonts w:hint="eastAsia" w:ascii="仿宋_GB2312" w:eastAsia="仿宋_GB2312"/>
          <w:b/>
          <w:bCs/>
          <w:sz w:val="32"/>
          <w:szCs w:val="32"/>
        </w:rPr>
        <w:t>.卫生保洁</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绿地整洁，无杂物、无树挂、无野生缠绕性和寄生性植物，对绿化生产垃圾（如树枝、树叶、草屑等）、绿地内水面杂物，重点区域随产随清，其他区域日产日清，做到巡视保洁。</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6</w:t>
      </w:r>
      <w:r>
        <w:rPr>
          <w:rFonts w:hint="eastAsia" w:ascii="仿宋_GB2312" w:eastAsia="仿宋_GB2312"/>
          <w:b/>
          <w:bCs/>
          <w:sz w:val="32"/>
          <w:szCs w:val="32"/>
        </w:rPr>
        <w:t>.设施维护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栏杆、园路、桌椅、牌示等园林设施完整、安全，完好率达到95%以上，若有损坏，护树架、竹篱等当日修好，其它设施要求维护及时。</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7</w:t>
      </w:r>
      <w:r>
        <w:rPr>
          <w:rFonts w:hint="eastAsia" w:ascii="仿宋_GB2312" w:eastAsia="仿宋_GB2312"/>
          <w:b/>
          <w:bCs/>
          <w:sz w:val="32"/>
          <w:szCs w:val="32"/>
        </w:rPr>
        <w:t>.其它</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绿地完整、不被侵占，无堆物、堆料、搭棚，树杆上无钉、栓、刻、画等现象。</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防火、防雷及其它抗灾措施得力且及时，有可随时调动用于防火抗灾等应急处理的人力和物力。</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（三）二级养护质量标准</w:t>
      </w:r>
    </w:p>
    <w:p>
      <w:pPr>
        <w:pStyle w:val="9"/>
        <w:spacing w:line="540" w:lineRule="exact"/>
        <w:ind w:left="643" w:firstLine="0" w:firstLineChars="0"/>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.整体要求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绿化养护技术措施比较完善，建有工种齐全和固定的养护队伍，管理基本得当，植物配置合理，达到黄土不露天，绿地总体景观较好。</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.园林植物</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生长正常，绿地树木群落结构较合理，层次丰富，整体观赏效果较好，基本无枯枝败叶，无明显人为损坏的痕迹或有人为损坏能及时补栽（补植、改植于5天内完成）。</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园林树木树冠基本完整，无枯枝死杈；主侧枝分布匀称、数量适宜、修剪合理；内膛不乱，通风透光。花灌木开花及时，株形正常，修剪及时（枝条长度不超过10cm）。</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绿篱、色块、造型植物等修剪及时，枝叶整齐，无空洞（直径45cm以内），色块与草皮界限基本清晰。花坛、花带轮廓清晰、整齐，修剪及时（枝条长度不超过10cm），无残缺，无残花败叶。造型植物管理得当，肥水及时，有规范整齐的隔草沟、树穴。</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落叶树新梢生长正常，叶片大小、颜色正常，在一般条件下，黄叶、焦叶、卷叶和带虫粪、虫网的叶片不能超过5%，正常叶片保存率在90%以上。针叶树针叶宿存2年以上，结果枝条不超过20%。</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行道树有缺株须及时补栽，倾斜率5%以下，刷白规范、及时；新栽树木树撑规范；原有树木护杆的破败草绳须清理干净，无吊装用竹片；树池处理得当，无积水、无裸露。</w:t>
      </w:r>
    </w:p>
    <w:p>
      <w:pPr>
        <w:spacing w:line="54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草坪较整齐、无坑洼、覆盖率达95%以上，杂草少，生长季节每月修剪1次；宿根、球根花卉内无枯枝败叶，修剪及时。</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草花更换及时，每年更换5次（含）以上；新栽草花15天内必须开花，且花色鲜艳，颜色搭配较合理。</w:t>
      </w:r>
    </w:p>
    <w:p>
      <w:pPr>
        <w:spacing w:line="54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绿地内主要树木档案齐全，标志牌和保护设施齐全完好，养护周到。</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.病虫害防治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控制及时，平均每100</w:t>
      </w:r>
      <w:r>
        <w:rPr>
          <w:rFonts w:hint="eastAsia" w:ascii="仿宋_GB2312" w:hAnsi="仿宋_GB2312"/>
          <w:sz w:val="32"/>
          <w:szCs w:val="32"/>
        </w:rPr>
        <w:t>㎡</w:t>
      </w:r>
      <w:r>
        <w:rPr>
          <w:rFonts w:hint="eastAsia" w:ascii="仿宋_GB2312" w:eastAsia="仿宋_GB2312"/>
          <w:sz w:val="32"/>
          <w:szCs w:val="32"/>
        </w:rPr>
        <w:t>绿地内园林树木无蛀干害虫的活卵、活虫；介壳虫的活虫数不得超过2头，较细枝条上平均每30cm不得超过5头，且平均被害株数不得超过3%。叶片上无虫粪、虫网，被虫咬的叶片每株不得超过5%。</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.施肥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需根据绿地生长需要不同，对植物采取施冬肥、追春肥，生长季节追肥</w:t>
      </w:r>
      <w:r>
        <w:rPr>
          <w:rFonts w:ascii="仿宋_GB2312" w:eastAsia="仿宋_GB2312"/>
          <w:sz w:val="32"/>
          <w:szCs w:val="32"/>
        </w:rPr>
        <w:t>等</w:t>
      </w:r>
      <w:r>
        <w:rPr>
          <w:rFonts w:hint="eastAsia" w:ascii="仿宋_GB2312" w:eastAsia="仿宋_GB2312"/>
          <w:sz w:val="32"/>
          <w:szCs w:val="32"/>
        </w:rPr>
        <w:t>不同施肥措施</w:t>
      </w:r>
      <w:r>
        <w:rPr>
          <w:rFonts w:ascii="仿宋_GB2312" w:eastAsia="仿宋_GB2312"/>
          <w:sz w:val="32"/>
          <w:szCs w:val="32"/>
        </w:rPr>
        <w:t>，</w:t>
      </w:r>
      <w:r>
        <w:rPr>
          <w:rFonts w:hint="eastAsia" w:ascii="仿宋_GB2312" w:eastAsia="仿宋_GB2312"/>
          <w:sz w:val="32"/>
          <w:szCs w:val="32"/>
        </w:rPr>
        <w:t>要建立施肥台账。</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5</w:t>
      </w:r>
      <w:r>
        <w:rPr>
          <w:rFonts w:hint="eastAsia" w:ascii="仿宋_GB2312" w:eastAsia="仿宋_GB2312"/>
          <w:b/>
          <w:bCs/>
          <w:sz w:val="32"/>
          <w:szCs w:val="32"/>
        </w:rPr>
        <w:t>.绿地卫生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绿地整洁，无杂物、无树挂、无野生缠绕性或寄生性植物，对绿化生产垃圾（如树枝、树叶、草屑等）、绿地内水面杂物应日产日清，做到保洁及时。</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6</w:t>
      </w:r>
      <w:r>
        <w:rPr>
          <w:rFonts w:hint="eastAsia" w:ascii="仿宋_GB2312" w:eastAsia="仿宋_GB2312"/>
          <w:b/>
          <w:bCs/>
          <w:sz w:val="32"/>
          <w:szCs w:val="32"/>
        </w:rPr>
        <w:t>.设施维护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栏杆、园路、桌椅、牌示等园林设施完整、安全，完好率达到90%以上，如有损坏，维护及时。</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7</w:t>
      </w:r>
      <w:r>
        <w:rPr>
          <w:rFonts w:hint="eastAsia" w:ascii="仿宋_GB2312" w:eastAsia="仿宋_GB2312"/>
          <w:b/>
          <w:bCs/>
          <w:sz w:val="32"/>
          <w:szCs w:val="32"/>
        </w:rPr>
        <w:t>.其它</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绿地完整、不被侵占，无堆物、堆料、搭棚，树干上无钉、栓、刻、画等现象。</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防火、防雷及其它抗灾措施得力且及时，有可随时调动用于防火抗灾等应急处理的人力和物力。</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（四）三级养护质量标准</w:t>
      </w:r>
    </w:p>
    <w:p>
      <w:pPr>
        <w:pStyle w:val="9"/>
        <w:spacing w:line="540" w:lineRule="exact"/>
        <w:ind w:left="643" w:firstLine="0" w:firstLineChars="0"/>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.整体要求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绿化养护技术措施基本完善，建有工种齐全和稳定的养护队伍，养护基本到位，植物配置基本合理，基本达到黄土不露天。</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.园林植物</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生长正常，绿地乔灌木配置较合理，有较好地景观效果，无明显人为损坏的痕迹或有人为损坏能及时补栽（补植、改植于7天内完成）。</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园林树木树冠基本正常，修剪及时，无明显枯枝死杈，分枝点合适，枝条粗壮。花灌木开花及时，株形较正常，修剪及时、合理（枝条长度不超过15cm）。</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绿篱、色块、造型植物等修剪及时，枝叶基本整齐，色块与草皮界限基本清晰。花坛、花带轮廓清晰、整齐，修剪及时（枝条长度不超过15cm），无残缺，无残花败叶。造型植物管理得当，肥水及时，有规范整齐的隔草沟、树穴。</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落叶树新梢生长基本正常，叶片大小、颜色正常，在正常条件下，有黄叶、焦叶、卷叶和带虫粪、虫网叶片的株数不得超过10%，正常叶片保存率在85%以上。针叶树针叶宿存1年以上，结果枝条不超过50%。</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行道树有缺株须及时补栽，倾斜率10%以下，刷白规范、及时；新栽树木树撑规范；原有树木护杆的破败草绳须清理干净，无吊装用竹片；树池处理得当，无积水、无裸露。</w:t>
      </w:r>
    </w:p>
    <w:p>
      <w:pPr>
        <w:spacing w:line="54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草坪较整齐、无坑洼、覆盖率达90%以上，杂草少，生长季节每两个月修剪1次；宿根、球根花卉内无枯枝败叶，修剪及时。</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草花更换及时，每年更换4次（含）以上；新栽草花20天内必须开花，且花色较鲜艳。</w:t>
      </w:r>
    </w:p>
    <w:p>
      <w:pPr>
        <w:spacing w:line="54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绿地内主要树木档案齐全，标志牌和保护设施齐全完好。</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.病虫害防治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控制及时，平均每100</w:t>
      </w:r>
      <w:r>
        <w:rPr>
          <w:rFonts w:hint="eastAsia" w:ascii="仿宋_GB2312" w:hAnsi="仿宋_GB2312"/>
          <w:sz w:val="32"/>
          <w:szCs w:val="32"/>
        </w:rPr>
        <w:t>㎡</w:t>
      </w:r>
      <w:r>
        <w:rPr>
          <w:rFonts w:hint="eastAsia" w:ascii="仿宋_GB2312" w:eastAsia="仿宋_GB2312"/>
          <w:sz w:val="32"/>
          <w:szCs w:val="32"/>
        </w:rPr>
        <w:t>绿地内，园林树木无蛀干害虫的活卵、活虫；介壳虫的活虫数不得超过3头，较细枝条上平均每30cm不得超过8头，且平均被害株数不得超过5%。叶片上无虫粪、虫网，被虫咬的叶片每株不得超过8%。</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.施肥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需根据绿地生长需要不同，对植物采取施冬肥、追春肥，生长季节追肥</w:t>
      </w:r>
      <w:r>
        <w:rPr>
          <w:rFonts w:ascii="仿宋_GB2312" w:eastAsia="仿宋_GB2312"/>
          <w:sz w:val="32"/>
          <w:szCs w:val="32"/>
        </w:rPr>
        <w:t>等</w:t>
      </w:r>
      <w:r>
        <w:rPr>
          <w:rFonts w:hint="eastAsia" w:ascii="仿宋_GB2312" w:eastAsia="仿宋_GB2312"/>
          <w:sz w:val="32"/>
          <w:szCs w:val="32"/>
        </w:rPr>
        <w:t>不同施肥措施</w:t>
      </w:r>
      <w:r>
        <w:rPr>
          <w:rFonts w:ascii="仿宋_GB2312" w:eastAsia="仿宋_GB2312"/>
          <w:sz w:val="32"/>
          <w:szCs w:val="32"/>
        </w:rPr>
        <w:t>，</w:t>
      </w:r>
      <w:r>
        <w:rPr>
          <w:rFonts w:hint="eastAsia" w:ascii="仿宋_GB2312" w:eastAsia="仿宋_GB2312"/>
          <w:sz w:val="32"/>
          <w:szCs w:val="32"/>
        </w:rPr>
        <w:t>要建立施肥台账。</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5</w:t>
      </w:r>
      <w:r>
        <w:rPr>
          <w:rFonts w:hint="eastAsia" w:ascii="仿宋_GB2312" w:eastAsia="仿宋_GB2312"/>
          <w:b/>
          <w:bCs/>
          <w:sz w:val="32"/>
          <w:szCs w:val="32"/>
        </w:rPr>
        <w:t>.绿地卫生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绿地基本整洁，无明显杂物、无树挂、无野生缠绕性和寄生性植物，绿化生产垃圾（如树枝、树叶、草屑等）、绿地内水面杂物能日产日清，能做到保洁及时。</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6</w:t>
      </w:r>
      <w:r>
        <w:rPr>
          <w:rFonts w:hint="eastAsia" w:ascii="仿宋_GB2312" w:eastAsia="仿宋_GB2312"/>
          <w:b/>
          <w:bCs/>
          <w:sz w:val="32"/>
          <w:szCs w:val="32"/>
        </w:rPr>
        <w:t>.设施维护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栏杆、园路、桌椅、牌示等园林设施完整、安全，维护及时。</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7</w:t>
      </w:r>
      <w:r>
        <w:rPr>
          <w:rFonts w:hint="eastAsia" w:ascii="仿宋_GB2312" w:eastAsia="仿宋_GB2312"/>
          <w:b/>
          <w:bCs/>
          <w:sz w:val="32"/>
          <w:szCs w:val="32"/>
        </w:rPr>
        <w:t>.其它</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绿地完整、不被侵占，无堆物、堆料、搭棚，树干上无钉、栓、刻、画等现象。</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有基本的防火、防雷及其它抗灾措施。</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（五）四级养护质量标准</w:t>
      </w:r>
    </w:p>
    <w:p>
      <w:pPr>
        <w:pStyle w:val="9"/>
        <w:spacing w:line="540" w:lineRule="exact"/>
        <w:ind w:left="643" w:firstLine="0" w:firstLineChars="0"/>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.总体要求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此标准只针对城市规划区范围内的原生态城市绿地，绿化养护技术措施粗放。</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.园林植物</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进行林相整理，清除病枝、枯枝、死树、非景观植物，每年不少于两次。</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.病虫害防治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无大面积明显病虫害现象。全年喷药不少于2次。</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.绿地卫生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绿地内基本无生活垃圾、建筑垃圾。</w:t>
      </w:r>
    </w:p>
    <w:p>
      <w:pPr>
        <w:spacing w:line="540" w:lineRule="exact"/>
        <w:ind w:firstLine="643" w:firstLineChars="200"/>
        <w:rPr>
          <w:rFonts w:ascii="仿宋_GB2312" w:eastAsia="仿宋_GB2312"/>
          <w:b/>
          <w:bCs/>
          <w:sz w:val="32"/>
          <w:szCs w:val="32"/>
        </w:rPr>
      </w:pPr>
      <w:r>
        <w:rPr>
          <w:rFonts w:ascii="仿宋_GB2312" w:eastAsia="仿宋_GB2312"/>
          <w:b/>
          <w:bCs/>
          <w:sz w:val="32"/>
          <w:szCs w:val="32"/>
        </w:rPr>
        <w:t>5</w:t>
      </w:r>
      <w:r>
        <w:rPr>
          <w:rFonts w:hint="eastAsia" w:ascii="仿宋_GB2312" w:eastAsia="仿宋_GB2312"/>
          <w:b/>
          <w:bCs/>
          <w:sz w:val="32"/>
          <w:szCs w:val="32"/>
        </w:rPr>
        <w:t>.其他</w:t>
      </w:r>
    </w:p>
    <w:p>
      <w:pPr>
        <w:spacing w:line="540" w:lineRule="exact"/>
        <w:ind w:firstLine="640" w:firstLineChars="200"/>
        <w:rPr>
          <w:rFonts w:ascii="仿宋_GB2312" w:eastAsia="仿宋_GB2312"/>
          <w:b/>
          <w:sz w:val="32"/>
          <w:szCs w:val="32"/>
        </w:rPr>
      </w:pPr>
      <w:r>
        <w:rPr>
          <w:rFonts w:hint="eastAsia" w:ascii="仿宋_GB2312" w:eastAsia="仿宋_GB2312"/>
          <w:sz w:val="32"/>
          <w:szCs w:val="32"/>
        </w:rPr>
        <w:t>有基本的防灾避险预案和措施、古树名木建档挂牌、巡查制度、后勤保障等。</w:t>
      </w:r>
    </w:p>
    <w:p>
      <w:pPr>
        <w:spacing w:line="540" w:lineRule="exact"/>
        <w:jc w:val="center"/>
        <w:rPr>
          <w:rFonts w:ascii="黑体" w:eastAsia="黑体"/>
          <w:sz w:val="32"/>
          <w:szCs w:val="32"/>
        </w:rPr>
      </w:pPr>
    </w:p>
    <w:p>
      <w:pPr>
        <w:spacing w:line="540" w:lineRule="exact"/>
        <w:jc w:val="center"/>
        <w:rPr>
          <w:rFonts w:ascii="黑体" w:eastAsia="黑体"/>
          <w:sz w:val="32"/>
          <w:szCs w:val="32"/>
        </w:rPr>
      </w:pPr>
      <w:r>
        <w:rPr>
          <w:rFonts w:hint="eastAsia" w:ascii="黑体" w:eastAsia="黑体"/>
          <w:sz w:val="32"/>
          <w:szCs w:val="32"/>
        </w:rPr>
        <w:t>景观水体养护质量标准</w:t>
      </w:r>
    </w:p>
    <w:p>
      <w:pPr>
        <w:spacing w:line="540" w:lineRule="exact"/>
        <w:ind w:firstLine="640" w:firstLineChars="200"/>
        <w:rPr>
          <w:rFonts w:ascii="仿宋_GB2312" w:eastAsia="仿宋_GB2312"/>
          <w:b/>
          <w:sz w:val="32"/>
          <w:szCs w:val="32"/>
        </w:rPr>
      </w:pPr>
      <w:r>
        <w:rPr>
          <w:rFonts w:hint="eastAsia" w:ascii="仿宋_GB2312" w:eastAsia="仿宋_GB2312"/>
          <w:sz w:val="32"/>
          <w:szCs w:val="32"/>
        </w:rPr>
        <w:t>根据园林景观水体所处的位置的重要性和养护管理水平的高低，将景观水体的养护管理分成一级养护、二级养护、三级养护三个养护等级。各等级景观水体按相应确定的养护指导价进行养护经费管理。</w:t>
      </w:r>
    </w:p>
    <w:p>
      <w:pPr>
        <w:spacing w:line="540" w:lineRule="exact"/>
        <w:ind w:firstLine="630" w:firstLineChars="196"/>
        <w:rPr>
          <w:rFonts w:ascii="楷体_GB2312" w:eastAsia="楷体_GB2312"/>
          <w:sz w:val="32"/>
          <w:szCs w:val="32"/>
        </w:rPr>
      </w:pPr>
      <w:r>
        <w:rPr>
          <w:rFonts w:hint="eastAsia" w:ascii="楷体_GB2312" w:eastAsia="楷体_GB2312"/>
          <w:b/>
          <w:sz w:val="32"/>
          <w:szCs w:val="32"/>
        </w:rPr>
        <w:t>（一）一级景观水体养护质量标准</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.水质符合GB12941-91《景观娱乐用水水质标准》规定的B类水质标准。</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.水面应保持整洁，无聚集性漂浮物，基本无水面零星漂浮物（包括垃圾，片状等），每天保洁不少于三次。</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.堤岸应保持清洁，无污物，无乱招贴，无乱吊挂。每200 m堤岸暴露垃圾累计不超过0.05m</w:t>
      </w:r>
      <w:r>
        <w:rPr>
          <w:rFonts w:hint="eastAsia" w:ascii="仿宋_GB2312" w:eastAsia="仿宋_GB2312"/>
          <w:sz w:val="32"/>
          <w:szCs w:val="32"/>
          <w:vertAlign w:val="superscript"/>
        </w:rPr>
        <w:t>2</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.码头、桥墩、上岸梯、上岸缆等保持清洁，无垃圾吊挂。</w:t>
      </w:r>
    </w:p>
    <w:p>
      <w:pPr>
        <w:spacing w:line="540" w:lineRule="exact"/>
        <w:ind w:firstLine="640" w:firstLineChars="200"/>
        <w:rPr>
          <w:rFonts w:ascii="仿宋" w:eastAsia="仿宋" w:cs="仿宋"/>
          <w:sz w:val="32"/>
          <w:szCs w:val="32"/>
        </w:rPr>
      </w:pPr>
      <w:r>
        <w:rPr>
          <w:rFonts w:ascii="仿宋_GB2312" w:eastAsia="仿宋_GB2312"/>
          <w:sz w:val="32"/>
          <w:szCs w:val="32"/>
        </w:rPr>
        <w:t>5</w:t>
      </w:r>
      <w:r>
        <w:rPr>
          <w:rFonts w:hint="eastAsia" w:ascii="仿宋_GB2312" w:eastAsia="仿宋_GB2312"/>
          <w:sz w:val="32"/>
          <w:szCs w:val="32"/>
        </w:rPr>
        <w:t>.</w:t>
      </w:r>
      <w:r>
        <w:rPr>
          <w:rFonts w:hint="eastAsia" w:ascii="仿宋_GB2312" w:eastAsia="仿宋_GB2312" w:cs="仿宋"/>
          <w:sz w:val="32"/>
          <w:szCs w:val="32"/>
        </w:rPr>
        <w:t>水生景观植物生</w:t>
      </w:r>
      <w:r>
        <w:rPr>
          <w:rFonts w:hint="eastAsia" w:ascii="仿宋_GB2312" w:eastAsia="仿宋_GB2312"/>
          <w:sz w:val="32"/>
          <w:szCs w:val="32"/>
        </w:rPr>
        <w:t>长好，开花适时，无非正常</w:t>
      </w:r>
      <w:r>
        <w:rPr>
          <w:rFonts w:hint="eastAsia" w:ascii="仿宋" w:eastAsia="仿宋" w:cs="仿宋"/>
          <w:sz w:val="32"/>
          <w:szCs w:val="32"/>
        </w:rPr>
        <w:t>枯死状况。</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（二）二级景观水体养护质量标准</w:t>
      </w:r>
    </w:p>
    <w:p>
      <w:pPr>
        <w:spacing w:line="540" w:lineRule="exact"/>
        <w:ind w:firstLine="640" w:firstLineChars="200"/>
        <w:rPr>
          <w:rFonts w:ascii="仿宋_GB2312" w:eastAsia="仿宋_GB2312" w:cs="仿宋"/>
          <w:sz w:val="32"/>
          <w:szCs w:val="32"/>
        </w:rPr>
      </w:pPr>
      <w:r>
        <w:rPr>
          <w:rFonts w:ascii="仿宋_GB2312" w:eastAsia="仿宋_GB2312"/>
          <w:sz w:val="32"/>
          <w:szCs w:val="32"/>
        </w:rPr>
        <w:t>1</w:t>
      </w:r>
      <w:r>
        <w:rPr>
          <w:rFonts w:hint="eastAsia" w:ascii="仿宋_GB2312" w:eastAsia="仿宋_GB2312"/>
          <w:sz w:val="32"/>
          <w:szCs w:val="32"/>
        </w:rPr>
        <w:t>.</w:t>
      </w:r>
      <w:r>
        <w:rPr>
          <w:rFonts w:hint="eastAsia" w:ascii="仿宋_GB2312" w:eastAsia="仿宋_GB2312" w:cs="仿宋"/>
          <w:sz w:val="32"/>
          <w:szCs w:val="32"/>
        </w:rPr>
        <w:t>水质符合GB12941-91《景观娱乐用水水质标准》规定的B类水质标准。</w:t>
      </w:r>
    </w:p>
    <w:p>
      <w:pPr>
        <w:spacing w:line="540" w:lineRule="exact"/>
        <w:ind w:firstLine="640" w:firstLineChars="200"/>
        <w:rPr>
          <w:rFonts w:ascii="仿宋_GB2312" w:eastAsia="仿宋_GB2312" w:cs="仿宋"/>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cs="仿宋"/>
          <w:sz w:val="32"/>
          <w:szCs w:val="32"/>
        </w:rPr>
        <w:t>水面应保持整洁，无聚集性漂浮物，水面零星漂浮物（包括垃圾，片状等）总表面积不超过0.5 m</w:t>
      </w:r>
      <w:r>
        <w:rPr>
          <w:rFonts w:hint="eastAsia" w:ascii="仿宋_GB2312" w:eastAsia="仿宋_GB2312" w:cs="仿宋"/>
          <w:sz w:val="32"/>
          <w:szCs w:val="32"/>
          <w:vertAlign w:val="superscript"/>
        </w:rPr>
        <w:t>2</w:t>
      </w:r>
      <w:r>
        <w:rPr>
          <w:rFonts w:hint="eastAsia" w:ascii="仿宋_GB2312" w:eastAsia="仿宋_GB2312" w:cs="仿宋"/>
          <w:sz w:val="32"/>
          <w:szCs w:val="32"/>
        </w:rPr>
        <w:t>，每天保洁不少于两次。</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_GB2312" w:eastAsia="仿宋_GB2312" w:cs="仿宋"/>
          <w:sz w:val="32"/>
          <w:szCs w:val="32"/>
        </w:rPr>
        <w:t>堤岸应保持清洁，无污物，无乱招贴，无乱吊挂。每200 m堤岸暴露垃圾累计不超过0.1m</w:t>
      </w:r>
      <w:r>
        <w:rPr>
          <w:rFonts w:hint="eastAsia" w:ascii="仿宋_GB2312" w:eastAsia="仿宋_GB2312" w:cs="仿宋"/>
          <w:sz w:val="32"/>
          <w:szCs w:val="32"/>
          <w:vertAlign w:val="superscript"/>
        </w:rPr>
        <w:t>2</w:t>
      </w:r>
      <w:r>
        <w:rPr>
          <w:rFonts w:hint="eastAsia" w:ascii="仿宋_GB2312" w:eastAsia="仿宋_GB2312" w:cs="仿宋"/>
          <w:sz w:val="32"/>
          <w:szCs w:val="32"/>
        </w:rPr>
        <w:t>。</w:t>
      </w:r>
    </w:p>
    <w:p>
      <w:pPr>
        <w:spacing w:line="540" w:lineRule="exact"/>
        <w:ind w:firstLine="640" w:firstLineChars="200"/>
        <w:rPr>
          <w:rFonts w:ascii="仿宋_GB2312" w:eastAsia="仿宋_GB2312" w:cs="仿宋"/>
          <w:sz w:val="32"/>
          <w:szCs w:val="32"/>
        </w:rPr>
      </w:pP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cs="仿宋"/>
          <w:sz w:val="32"/>
          <w:szCs w:val="32"/>
        </w:rPr>
        <w:t>码头、桥墩、上岸梯、上岸缆等保持清洁，无垃圾吊挂。</w:t>
      </w:r>
    </w:p>
    <w:p>
      <w:pPr>
        <w:spacing w:line="540" w:lineRule="exact"/>
        <w:ind w:firstLine="640" w:firstLineChars="200"/>
        <w:rPr>
          <w:rFonts w:ascii="仿宋_GB2312" w:eastAsia="仿宋_GB2312" w:cs="仿宋"/>
          <w:sz w:val="32"/>
          <w:szCs w:val="32"/>
        </w:rPr>
      </w:pPr>
      <w:r>
        <w:rPr>
          <w:rFonts w:ascii="仿宋_GB2312" w:eastAsia="仿宋_GB2312"/>
          <w:sz w:val="32"/>
          <w:szCs w:val="32"/>
        </w:rPr>
        <w:t>5</w:t>
      </w:r>
      <w:r>
        <w:rPr>
          <w:rFonts w:hint="eastAsia" w:ascii="仿宋_GB2312" w:eastAsia="仿宋_GB2312"/>
          <w:sz w:val="32"/>
          <w:szCs w:val="32"/>
        </w:rPr>
        <w:t>.水生景观植物生长良好，开花适时，基本无非正常枯死状况。</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（三）三级景观水体养护质量标准</w:t>
      </w:r>
    </w:p>
    <w:p>
      <w:pPr>
        <w:spacing w:line="540" w:lineRule="exact"/>
        <w:ind w:firstLine="640" w:firstLineChars="200"/>
        <w:rPr>
          <w:rFonts w:ascii="仿宋_GB2312" w:eastAsia="仿宋_GB2312" w:cs="仿宋"/>
          <w:sz w:val="32"/>
          <w:szCs w:val="32"/>
        </w:rPr>
      </w:pPr>
      <w:r>
        <w:rPr>
          <w:rFonts w:ascii="仿宋_GB2312" w:eastAsia="仿宋_GB2312"/>
          <w:sz w:val="32"/>
          <w:szCs w:val="32"/>
        </w:rPr>
        <w:t>1</w:t>
      </w:r>
      <w:r>
        <w:rPr>
          <w:rFonts w:hint="eastAsia" w:ascii="仿宋_GB2312" w:eastAsia="仿宋_GB2312"/>
          <w:sz w:val="32"/>
          <w:szCs w:val="32"/>
        </w:rPr>
        <w:t>.</w:t>
      </w:r>
      <w:r>
        <w:rPr>
          <w:rFonts w:hint="eastAsia" w:ascii="仿宋_GB2312" w:eastAsia="仿宋_GB2312" w:cs="仿宋"/>
          <w:sz w:val="32"/>
          <w:szCs w:val="32"/>
        </w:rPr>
        <w:t>水质符合GB12941-91《景观娱乐用水水质标准》规定的C类水质标准。</w:t>
      </w:r>
    </w:p>
    <w:p>
      <w:pPr>
        <w:spacing w:line="540" w:lineRule="exact"/>
        <w:ind w:firstLine="640" w:firstLineChars="200"/>
        <w:rPr>
          <w:rFonts w:ascii="仿宋_GB2312" w:eastAsia="仿宋_GB2312" w:cs="仿宋"/>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cs="仿宋"/>
          <w:sz w:val="32"/>
          <w:szCs w:val="32"/>
        </w:rPr>
        <w:t>水面应保持整洁，无聚集性漂浮物，水面零星漂浮物（包括垃圾，片状等）总表面积不超过1 m</w:t>
      </w:r>
      <w:r>
        <w:rPr>
          <w:rFonts w:hint="eastAsia" w:ascii="仿宋_GB2312" w:eastAsia="仿宋_GB2312" w:cs="仿宋"/>
          <w:sz w:val="32"/>
          <w:szCs w:val="32"/>
          <w:vertAlign w:val="superscript"/>
        </w:rPr>
        <w:t>2</w:t>
      </w:r>
      <w:r>
        <w:rPr>
          <w:rFonts w:hint="eastAsia" w:ascii="仿宋_GB2312" w:eastAsia="仿宋_GB2312" w:cs="仿宋"/>
          <w:sz w:val="32"/>
          <w:szCs w:val="32"/>
        </w:rPr>
        <w:t>，每天保洁不少于一次。</w:t>
      </w:r>
    </w:p>
    <w:p>
      <w:pPr>
        <w:spacing w:line="540" w:lineRule="exact"/>
        <w:ind w:firstLine="640" w:firstLineChars="200"/>
        <w:rPr>
          <w:rFonts w:ascii="仿宋_GB2312" w:eastAsia="仿宋_GB2312" w:cs="仿宋"/>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_GB2312" w:eastAsia="仿宋_GB2312" w:cs="仿宋"/>
          <w:sz w:val="32"/>
          <w:szCs w:val="32"/>
        </w:rPr>
        <w:t>堤岸应保持清洁，无污物，无乱招贴，无乱吊挂。每200 m堤岸暴露垃圾累计不超过0.2m</w:t>
      </w:r>
      <w:r>
        <w:rPr>
          <w:rFonts w:hint="eastAsia" w:ascii="仿宋_GB2312" w:eastAsia="仿宋_GB2312" w:cs="仿宋"/>
          <w:sz w:val="32"/>
          <w:szCs w:val="32"/>
          <w:vertAlign w:val="superscript"/>
        </w:rPr>
        <w:t>2</w:t>
      </w:r>
      <w:r>
        <w:rPr>
          <w:rFonts w:hint="eastAsia" w:ascii="仿宋_GB2312" w:eastAsia="仿宋_GB2312" w:cs="仿宋"/>
          <w:sz w:val="32"/>
          <w:szCs w:val="32"/>
        </w:rPr>
        <w:t>。</w:t>
      </w:r>
    </w:p>
    <w:p>
      <w:pPr>
        <w:spacing w:line="540" w:lineRule="exact"/>
        <w:ind w:firstLine="640" w:firstLineChars="200"/>
        <w:rPr>
          <w:rFonts w:ascii="仿宋_GB2312" w:eastAsia="仿宋_GB2312" w:cs="仿宋"/>
          <w:sz w:val="32"/>
          <w:szCs w:val="32"/>
        </w:rPr>
      </w:pP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cs="仿宋"/>
          <w:sz w:val="32"/>
          <w:szCs w:val="32"/>
        </w:rPr>
        <w:t>码头、桥墩、上岸梯、上岸缆等保持清洁，无垃圾吊挂。</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.水生景观植物正常生长、开花，无明显非正常枯死状况。</w:t>
      </w:r>
    </w:p>
    <w:p>
      <w:pPr>
        <w:spacing w:line="540" w:lineRule="exact"/>
        <w:rPr>
          <w:rFonts w:ascii="仿宋" w:eastAsia="仿宋" w:cs="仿宋"/>
          <w:sz w:val="32"/>
          <w:szCs w:val="32"/>
        </w:rPr>
      </w:pPr>
    </w:p>
    <w:p>
      <w:pPr>
        <w:spacing w:line="540" w:lineRule="exact"/>
        <w:jc w:val="center"/>
        <w:rPr>
          <w:rFonts w:ascii="黑体" w:eastAsia="黑体"/>
          <w:sz w:val="32"/>
          <w:szCs w:val="32"/>
        </w:rPr>
      </w:pPr>
      <w:r>
        <w:rPr>
          <w:rFonts w:hint="eastAsia" w:ascii="黑体" w:eastAsia="黑体"/>
          <w:sz w:val="32"/>
          <w:szCs w:val="32"/>
        </w:rPr>
        <w:t>公园等安保及其他设施管理质量标准</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（一）安保管理标准</w:t>
      </w:r>
    </w:p>
    <w:p>
      <w:pPr>
        <w:spacing w:line="540" w:lineRule="exact"/>
        <w:ind w:firstLine="640" w:firstLineChars="200"/>
        <w:rPr>
          <w:rFonts w:ascii="楷体" w:eastAsia="楷体"/>
          <w:b/>
          <w:sz w:val="28"/>
          <w:szCs w:val="28"/>
        </w:rPr>
      </w:pPr>
      <w:r>
        <w:rPr>
          <w:rFonts w:ascii="仿宋_GB2312" w:eastAsia="仿宋_GB2312"/>
          <w:sz w:val="32"/>
          <w:szCs w:val="32"/>
        </w:rPr>
        <w:t>1</w:t>
      </w:r>
      <w:r>
        <w:rPr>
          <w:rFonts w:hint="eastAsia" w:ascii="仿宋_GB2312" w:eastAsia="仿宋_GB2312"/>
          <w:sz w:val="32"/>
          <w:szCs w:val="32"/>
        </w:rPr>
        <w:t>.强化安全措施，确保公园游客的财产、人身安全；礼貌待人，营造良好的社会环境。</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.选派业务素质高、责任心强的秩序维护人员24小时值班和定时巡逻执勤任务。</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.做好公园的停车规范管理，在入口安装减速带和禁鸣限速标志，在公园出入口设置导向牌，停车场内设置相关交通指示牌，对临时停车车位进行划线，使公园内车辆停放井然有序，保障车辆人员安全。</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定期对消防安全检查，安保人员每天巡视公园各个角落，及时发现消防火险隐患；定期对消防器材（灭火器、消防栓等）的完好情况进行检查；每天对公园安全用电情况进行检查；定期对消防设备（消防泵、水喷淋等）进行测试，并做好记录。</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.在加强日常防火工作的同时，还要做好灭火准备工作，制定火灾应急行动实施预案；每年进行1-2次实地消防方案预演；定期组织物业人员学习消防知识，对公园工作人员进行消防知识宣传。</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（二）房屋和设施、设备管理标准</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.制定房屋及设施设备的管理规定，制止各种擅自改变房屋和配套设施的用途、结构、外观及毁坏设施设备的行为。</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.做好零星养护工作，应急维修工作，保证房屋正常的使用功能。</w:t>
      </w:r>
    </w:p>
    <w:p>
      <w:pPr>
        <w:pStyle w:val="9"/>
        <w:spacing w:line="540" w:lineRule="exact"/>
        <w:ind w:left="640" w:firstLine="0" w:firstLineChars="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.大修、中修做好养护计划，及时制定养护方案。</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.定期检查修理房屋本体的外墙面、屋面、楼梯通道，确保无损坏。</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.公园内道路、园路、栏杆、桌椅、路灯、沟渠池井和标识警示牌等园林设施完整、安全，维护及时。</w:t>
      </w:r>
    </w:p>
    <w:p>
      <w:pPr>
        <w:spacing w:line="54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.智能化系统、供水供电系统、公共设施做到定期巡查安全可靠、运转正常，完好率达到95%以上。</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.配备专业工程技术人员、负责设备、设施（供电、给排水、消防、照明、监控等）日常维护，所有维修人员要求持证上岗，实行24小时专人值班。</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（三）清洁卫生管理质量标准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园内道路、园路及其它设施设备严格</w:t>
      </w:r>
      <w:r>
        <w:rPr>
          <w:rFonts w:ascii="仿宋_GB2312" w:eastAsia="仿宋_GB2312"/>
          <w:sz w:val="32"/>
          <w:szCs w:val="32"/>
        </w:rPr>
        <w:t>执行</w:t>
      </w:r>
      <w:r>
        <w:rPr>
          <w:rFonts w:hint="eastAsia" w:ascii="仿宋_GB2312" w:eastAsia="仿宋_GB2312"/>
          <w:sz w:val="32"/>
          <w:szCs w:val="32"/>
        </w:rPr>
        <w:t>《株洲市城区环境卫生作业规范和质量标准（2014年修订版）》的规定。</w:t>
      </w:r>
    </w:p>
    <w:p>
      <w:pPr>
        <w:spacing w:line="540" w:lineRule="exact"/>
        <w:ind w:firstLine="630" w:firstLineChars="196"/>
        <w:rPr>
          <w:rFonts w:ascii="楷体_GB2312" w:eastAsia="楷体_GB2312"/>
          <w:b/>
          <w:sz w:val="32"/>
          <w:szCs w:val="32"/>
        </w:rPr>
      </w:pPr>
      <w:r>
        <w:rPr>
          <w:rFonts w:hint="eastAsia" w:ascii="楷体_GB2312" w:eastAsia="楷体_GB2312"/>
          <w:b/>
          <w:sz w:val="32"/>
          <w:szCs w:val="32"/>
        </w:rPr>
        <w:t>（四）公共卫生间管理质量标准</w:t>
      </w:r>
    </w:p>
    <w:p>
      <w:pPr>
        <w:spacing w:line="540" w:lineRule="exact"/>
        <w:ind w:firstLine="596" w:firstLineChars="200"/>
        <w:rPr>
          <w:rFonts w:ascii="仿宋_GB2312" w:eastAsia="仿宋_GB2312"/>
          <w:spacing w:val="-11"/>
          <w:sz w:val="32"/>
          <w:szCs w:val="32"/>
        </w:rPr>
      </w:pPr>
      <w:r>
        <w:rPr>
          <w:rFonts w:hint="eastAsia" w:ascii="仿宋_GB2312" w:eastAsia="仿宋_GB2312"/>
          <w:spacing w:val="-11"/>
          <w:sz w:val="32"/>
          <w:szCs w:val="32"/>
        </w:rPr>
        <w:t>园内公共卫生间严格</w:t>
      </w:r>
      <w:r>
        <w:rPr>
          <w:rFonts w:ascii="仿宋_GB2312" w:eastAsia="仿宋_GB2312"/>
          <w:spacing w:val="-11"/>
          <w:sz w:val="32"/>
          <w:szCs w:val="32"/>
        </w:rPr>
        <w:t>执行</w:t>
      </w:r>
      <w:r>
        <w:rPr>
          <w:rFonts w:hint="eastAsia" w:ascii="仿宋_GB2312" w:eastAsia="仿宋_GB2312"/>
          <w:spacing w:val="-11"/>
          <w:sz w:val="32"/>
          <w:szCs w:val="32"/>
        </w:rPr>
        <w:t>《株洲市公共厕所管理手册（试行）》的规定。</w:t>
      </w:r>
    </w:p>
    <w:p>
      <w:pPr>
        <w:spacing w:line="540" w:lineRule="exact"/>
        <w:ind w:firstLine="630" w:firstLineChars="196"/>
        <w:rPr>
          <w:rFonts w:ascii="楷体_GB2312" w:eastAsia="楷体_GB2312"/>
          <w:b/>
          <w:sz w:val="32"/>
          <w:szCs w:val="32"/>
        </w:rPr>
      </w:pPr>
      <w:r>
        <w:rPr>
          <w:rFonts w:ascii="楷体_GB2312" w:eastAsia="楷体_GB2312"/>
          <w:b/>
          <w:sz w:val="32"/>
          <w:szCs w:val="32"/>
        </w:rPr>
        <w:t>（五）</w:t>
      </w:r>
      <w:r>
        <w:rPr>
          <w:rFonts w:hint="eastAsia" w:ascii="楷体_GB2312" w:eastAsia="楷体_GB2312"/>
          <w:b/>
          <w:sz w:val="32"/>
          <w:szCs w:val="32"/>
        </w:rPr>
        <w:t>建宁驿站管理</w:t>
      </w:r>
      <w:r>
        <w:rPr>
          <w:rFonts w:ascii="楷体_GB2312" w:eastAsia="楷体_GB2312"/>
          <w:b/>
          <w:sz w:val="32"/>
          <w:szCs w:val="32"/>
        </w:rPr>
        <w:t>质量</w:t>
      </w:r>
      <w:r>
        <w:rPr>
          <w:rFonts w:hint="eastAsia" w:ascii="楷体_GB2312" w:eastAsia="楷体_GB2312"/>
          <w:b/>
          <w:sz w:val="32"/>
          <w:szCs w:val="32"/>
        </w:rPr>
        <w:t>标准</w:t>
      </w:r>
    </w:p>
    <w:p>
      <w:pPr>
        <w:spacing w:line="540" w:lineRule="exact"/>
        <w:ind w:firstLine="640" w:firstLineChars="200"/>
        <w:rPr>
          <w:rFonts w:ascii="仿宋" w:eastAsia="仿宋" w:cs="仿宋"/>
          <w:sz w:val="32"/>
          <w:szCs w:val="32"/>
        </w:rPr>
      </w:pPr>
      <w:r>
        <w:rPr>
          <w:rFonts w:eastAsia="仿宋_GB2312"/>
          <w:sz w:val="32"/>
          <w:szCs w:val="32"/>
        </w:rPr>
        <w:t>园内建宁驿站严格执行</w:t>
      </w:r>
      <w:r>
        <w:rPr>
          <w:rFonts w:hint="eastAsia" w:ascii="仿宋_GB2312" w:eastAsia="仿宋_GB2312"/>
          <w:spacing w:val="-11"/>
          <w:sz w:val="32"/>
          <w:szCs w:val="32"/>
        </w:rPr>
        <w:t>《株洲市公共厕所管理手册（试行）》、</w:t>
      </w:r>
      <w:r>
        <w:rPr>
          <w:rFonts w:hint="eastAsia" w:eastAsia="仿宋_GB2312"/>
          <w:sz w:val="32"/>
          <w:szCs w:val="32"/>
        </w:rPr>
        <w:t>《株洲市城市管理委员会办公室关于进一步加强建宁驿站规范化管理的通知》（株城管办</w:t>
      </w:r>
      <w:r>
        <w:rPr>
          <w:rFonts w:hint="eastAsia" w:ascii="仿宋_GB2312" w:eastAsia="仿宋_GB2312"/>
          <w:sz w:val="32"/>
          <w:szCs w:val="32"/>
        </w:rPr>
        <w:t>〔</w:t>
      </w:r>
      <w:r>
        <w:rPr>
          <w:rFonts w:hint="eastAsia" w:eastAsia="仿宋_GB2312"/>
          <w:sz w:val="32"/>
          <w:szCs w:val="32"/>
        </w:rPr>
        <w:t>2019</w:t>
      </w:r>
      <w:r>
        <w:rPr>
          <w:rFonts w:hint="eastAsia" w:ascii="仿宋_GB2312" w:eastAsia="仿宋_GB2312"/>
          <w:sz w:val="32"/>
          <w:szCs w:val="32"/>
        </w:rPr>
        <w:t>〕</w:t>
      </w:r>
      <w:r>
        <w:rPr>
          <w:rFonts w:hint="eastAsia" w:eastAsia="仿宋_GB2312"/>
          <w:sz w:val="32"/>
          <w:szCs w:val="32"/>
        </w:rPr>
        <w:t>15号）的规定。</w:t>
      </w:r>
    </w:p>
    <w:p/>
    <w:p>
      <w:pPr>
        <w:spacing w:line="560" w:lineRule="exact"/>
        <w:rPr>
          <w:rFonts w:ascii="仿宋" w:eastAsia="仿宋" w:cs="仿宋"/>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30505"/>
              <wp:effectExtent l="0" t="0" r="9525" b="8255"/>
              <wp:wrapNone/>
              <wp:docPr id="2" name="文本框 2"/>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9525">
                        <a:noFill/>
                        <a:miter/>
                      </a:ln>
                    </wps:spPr>
                    <wps:txbx>
                      <w:txbxContent>
                        <w:p>
                          <w:pPr>
                            <w:snapToGrid w:val="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8240;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D2TH3RAAAAAwEAAA8AAAAAAAAAAQAgAAAAIgAAAGRycy9kb3ducmV2LnhtbFBL&#10;AQIUABQAAAAIAIdO4kC/XyxvxAEAAGcDAAAOAAAAAAAAAAEAIAAAACABAABkcnMvZTJvRG9jLnht&#10;bFBLBQYAAAAABgAGAFkBAABWBQAAAAA=&#10;">
              <v:fill on="f" focussize="0,0"/>
              <v:stroke on="f" joinstyle="miter"/>
              <v:imagedata o:title=""/>
              <o:lock v:ext="edit" aspectratio="f"/>
              <v:textbox inset="0mm,0mm,0mm,0mm" style="mso-fit-shape-to-text:t;">
                <w:txbxContent>
                  <w:p>
                    <w:pPr>
                      <w:snapToGrid w:val="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Theme="majorEastAsia" w:hAnsiTheme="majorEastAsia" w:eastAsiaTheme="majorEastAsia"/>
        <w:sz w:val="28"/>
        <w:szCs w:val="28"/>
      </w:rPr>
      <w:t>-</w:t>
    </w:r>
    <w:sdt>
      <w:sdtPr>
        <w:rPr>
          <w:rFonts w:asciiTheme="majorEastAsia" w:hAnsiTheme="majorEastAsia" w:eastAsiaTheme="majorEastAsia"/>
          <w:sz w:val="28"/>
          <w:szCs w:val="28"/>
        </w:rPr>
        <w:id w:val="24923718"/>
        <w:docPartObj>
          <w:docPartGallery w:val="AutoText"/>
        </w:docPartObj>
      </w:sdtPr>
      <w:sdtEndPr>
        <w:rPr>
          <w:rFonts w:ascii="Calibri" w:hAnsi="Calibri" w:eastAsia="宋体"/>
          <w:sz w:val="18"/>
          <w:szCs w:val="18"/>
        </w:rPr>
      </w:sdtEndPr>
      <w:sdtContent>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26"/>
    <w:rsid w:val="00030FA7"/>
    <w:rsid w:val="00053F92"/>
    <w:rsid w:val="000565C4"/>
    <w:rsid w:val="0020641E"/>
    <w:rsid w:val="002426D7"/>
    <w:rsid w:val="00275A90"/>
    <w:rsid w:val="002F7233"/>
    <w:rsid w:val="004179DE"/>
    <w:rsid w:val="004205A6"/>
    <w:rsid w:val="00425CEA"/>
    <w:rsid w:val="004817FA"/>
    <w:rsid w:val="00485EC4"/>
    <w:rsid w:val="004F6757"/>
    <w:rsid w:val="006A623C"/>
    <w:rsid w:val="006B116A"/>
    <w:rsid w:val="006F4CD7"/>
    <w:rsid w:val="00776285"/>
    <w:rsid w:val="00836665"/>
    <w:rsid w:val="009205E7"/>
    <w:rsid w:val="0093692F"/>
    <w:rsid w:val="00964391"/>
    <w:rsid w:val="00970530"/>
    <w:rsid w:val="00974A2A"/>
    <w:rsid w:val="009B3667"/>
    <w:rsid w:val="009F554C"/>
    <w:rsid w:val="00A07626"/>
    <w:rsid w:val="00CB4AD8"/>
    <w:rsid w:val="00D07E99"/>
    <w:rsid w:val="00D763B7"/>
    <w:rsid w:val="00ED32B4"/>
    <w:rsid w:val="00F818CF"/>
    <w:rsid w:val="00FD0F96"/>
    <w:rsid w:val="026B4F5C"/>
    <w:rsid w:val="1A20580B"/>
    <w:rsid w:val="1C9C6787"/>
    <w:rsid w:val="1CC40B0B"/>
    <w:rsid w:val="5D975399"/>
    <w:rsid w:val="652C4FC2"/>
    <w:rsid w:val="725319D3"/>
    <w:rsid w:val="740B6F8C"/>
    <w:rsid w:val="751A27A7"/>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列出段落1"/>
    <w:basedOn w:val="1"/>
    <w:qFormat/>
    <w:uiPriority w:val="0"/>
    <w:pPr>
      <w:ind w:firstLine="200" w:firstLineChars="200"/>
    </w:pPr>
  </w:style>
  <w:style w:type="character" w:customStyle="1" w:styleId="10">
    <w:name w:val="日期 Char"/>
    <w:basedOn w:val="7"/>
    <w:link w:val="2"/>
    <w:qFormat/>
    <w:uiPriority w:val="0"/>
    <w:rPr>
      <w:rFonts w:ascii="Calibri" w:hAnsi="Calibri" w:cs="Arial"/>
      <w:kern w:val="2"/>
      <w:sz w:val="21"/>
      <w:szCs w:val="24"/>
    </w:rPr>
  </w:style>
  <w:style w:type="character" w:customStyle="1" w:styleId="11">
    <w:name w:val="页脚 Char"/>
    <w:basedOn w:val="7"/>
    <w:link w:val="4"/>
    <w:qFormat/>
    <w:uiPriority w:val="99"/>
    <w:rPr>
      <w:rFonts w:ascii="Calibri" w:hAnsi="Calibri" w:cs="Arial"/>
      <w:kern w:val="2"/>
      <w:sz w:val="18"/>
      <w:szCs w:val="18"/>
    </w:rPr>
  </w:style>
  <w:style w:type="character" w:customStyle="1" w:styleId="12">
    <w:name w:val="批注框文本 Char"/>
    <w:basedOn w:val="7"/>
    <w:link w:val="3"/>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15</Pages>
  <Words>960</Words>
  <Characters>5475</Characters>
  <Lines>45</Lines>
  <Paragraphs>12</Paragraphs>
  <TotalTime>3</TotalTime>
  <ScaleCrop>false</ScaleCrop>
  <LinksUpToDate>false</LinksUpToDate>
  <CharactersWithSpaces>6423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2020-03-04T08:05:00Z</dcterms:created>
  <dc:creator>常青藤1381546540</dc:creator>
  <cp:lastModifiedBy>常青藤1381546540</cp:lastModifiedBy>
  <cp:lastPrinted>2020-03-04T08:02:00Z</cp:lastPrinted>
  <dcterms:modified xsi:type="dcterms:W3CDTF">2020-03-05T00:59:32Z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