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Arial" w:hAnsi="Arial" w:cs="Arial"/>
          <w:b/>
          <w:i w:val="0"/>
          <w:caps w:val="0"/>
          <w:color w:val="3D79AC"/>
          <w:spacing w:val="0"/>
          <w:sz w:val="36"/>
          <w:szCs w:val="36"/>
        </w:rPr>
      </w:pPr>
      <w:r>
        <w:rPr>
          <w:rFonts w:hint="default" w:ascii="Arial" w:hAnsi="Arial" w:cs="Arial"/>
          <w:b/>
          <w:i w:val="0"/>
          <w:caps w:val="0"/>
          <w:color w:val="3D79AC"/>
          <w:spacing w:val="0"/>
          <w:sz w:val="36"/>
          <w:szCs w:val="36"/>
          <w:bdr w:val="none" w:color="auto" w:sz="0" w:space="0"/>
        </w:rPr>
        <w:t>关于印发《湖南省渔政执法与资源保护专项资金管理办法》的通知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EEEE"/>
        <w:spacing w:before="0" w:beforeAutospacing="0" w:after="0" w:afterAutospacing="0" w:line="600" w:lineRule="atLeast"/>
        <w:ind w:left="0" w:right="0" w:firstLine="0"/>
        <w:jc w:val="center"/>
        <w:rPr>
          <w:rFonts w:hint="default" w:ascii="Arial" w:hAnsi="Arial" w:cs="Arial"/>
          <w:i w:val="0"/>
          <w:caps w:val="0"/>
          <w:color w:val="333333"/>
          <w:spacing w:val="0"/>
          <w:sz w:val="18"/>
          <w:szCs w:val="18"/>
        </w:rPr>
      </w:pPr>
      <w:r>
        <w:rPr>
          <w:rFonts w:hint="default" w:ascii="Arial" w:hAnsi="Arial" w:eastAsia="宋体" w:cs="Arial"/>
          <w:i w:val="0"/>
          <w:caps w:val="0"/>
          <w:color w:val="333333"/>
          <w:spacing w:val="0"/>
          <w:kern w:val="0"/>
          <w:sz w:val="18"/>
          <w:szCs w:val="18"/>
          <w:bdr w:val="none" w:color="auto" w:sz="0" w:space="0"/>
          <w:shd w:val="clear" w:fill="EEEEEE"/>
          <w:lang w:val="en-US" w:eastAsia="zh-CN" w:bidi="ar"/>
        </w:rPr>
        <w:t>湖南省财政厅 czt.hunan.gov.cn 时间：2015年12月28日 17:14 【字体： 大 中 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ascii="仿宋_GB2312" w:hAnsi="Arial" w:eastAsia="仿宋_GB2312" w:cs="仿宋_GB2312"/>
          <w:i w:val="0"/>
          <w:caps w:val="0"/>
          <w:color w:val="000000"/>
          <w:spacing w:val="0"/>
          <w:kern w:val="0"/>
          <w:sz w:val="32"/>
          <w:szCs w:val="32"/>
          <w:bdr w:val="none" w:color="auto" w:sz="0" w:space="0"/>
          <w:lang w:val="en-US" w:eastAsia="zh-CN" w:bidi="ar"/>
        </w:rPr>
        <w:t>各市州、省直管县市财政局</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，省直有关单位：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720"/>
        <w:jc w:val="left"/>
      </w:pPr>
      <w:r>
        <w:rPr>
          <w:rFonts w:hint="eastAsia" w:ascii="仿宋_GB2312" w:hAnsi="Arial" w:eastAsia="仿宋_GB2312" w:cs="仿宋_GB2312"/>
          <w:i w:val="0"/>
          <w:caps w:val="0"/>
          <w:color w:val="000000"/>
          <w:spacing w:val="0"/>
          <w:kern w:val="0"/>
          <w:sz w:val="32"/>
          <w:szCs w:val="32"/>
          <w:bdr w:val="none" w:color="auto" w:sz="0" w:space="0"/>
          <w:lang w:val="en-US" w:eastAsia="zh-CN" w:bidi="ar"/>
        </w:rPr>
        <w:t>为推进我省畜牧水产产业转型升级，加强渔政执法与资源保护专项资金使用管理，提高资金使用效益，我们制定了《湖南省渔政执法与资源保护专项资金管理办法》，现印发给你们，请遵照执行。执行中有何问题，请及时反馈我们。</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720"/>
        <w:jc w:val="left"/>
      </w:pPr>
      <w:r>
        <w:rPr>
          <w:rFonts w:hint="eastAsia" w:ascii="仿宋_GB2312" w:hAnsi="Arial" w:eastAsia="仿宋_GB2312" w:cs="仿宋_GB2312"/>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720"/>
        <w:jc w:val="left"/>
      </w:pPr>
      <w:r>
        <w:rPr>
          <w:rFonts w:hint="eastAsia" w:ascii="仿宋_GB2312" w:hAnsi="Arial" w:eastAsia="仿宋_GB2312" w:cs="仿宋_GB2312"/>
          <w:i w:val="0"/>
          <w:caps w:val="0"/>
          <w:color w:val="333333"/>
          <w:spacing w:val="0"/>
          <w:kern w:val="0"/>
          <w:sz w:val="32"/>
          <w:szCs w:val="32"/>
          <w:bdr w:val="none" w:color="auto" w:sz="0" w:space="0"/>
          <w:lang w:val="en-US" w:eastAsia="zh-CN" w:bidi="ar"/>
        </w:rPr>
        <w:t>附件：</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湖南省渔政执法与资源保护专项资金管理办法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720"/>
        <w:jc w:val="left"/>
      </w:pPr>
      <w:r>
        <w:rPr>
          <w:rFonts w:hint="default" w:ascii="Arial" w:hAnsi="Arial" w:cs="Arial" w:eastAsiaTheme="minorEastAsia"/>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720"/>
        <w:jc w:val="left"/>
      </w:pPr>
      <w:r>
        <w:rPr>
          <w:rFonts w:hint="default" w:ascii="Arial" w:hAnsi="Arial" w:cs="Arial" w:eastAsiaTheme="minorEastAsia"/>
          <w:i w:val="0"/>
          <w:caps w:val="0"/>
          <w:color w:val="333333"/>
          <w:spacing w:val="0"/>
          <w:kern w:val="0"/>
          <w:sz w:val="32"/>
          <w:szCs w:val="32"/>
          <w:bdr w:val="none" w:color="auto" w:sz="0" w:space="0"/>
          <w:lang w:val="en-US" w:eastAsia="zh-CN" w:bidi="ar"/>
        </w:rPr>
        <w:t> </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0"/>
        <w:jc w:val="left"/>
      </w:pPr>
      <w:r>
        <w:rPr>
          <w:rFonts w:hint="eastAsia" w:ascii="仿宋_GB2312" w:hAnsi="Arial" w:eastAsia="仿宋_GB2312" w:cs="仿宋_GB2312"/>
          <w:i w:val="0"/>
          <w:caps w:val="0"/>
          <w:color w:val="333333"/>
          <w:spacing w:val="0"/>
          <w:kern w:val="0"/>
          <w:sz w:val="32"/>
          <w:szCs w:val="32"/>
          <w:bdr w:val="none" w:color="auto" w:sz="0" w:space="0"/>
          <w:lang w:val="en-US" w:eastAsia="zh-CN" w:bidi="ar"/>
        </w:rPr>
        <w:t>                            湖南省财政厅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720"/>
        <w:jc w:val="left"/>
      </w:pPr>
      <w:r>
        <w:rPr>
          <w:rFonts w:hint="default" w:ascii="Arial" w:hAnsi="Arial" w:cs="Arial" w:eastAsiaTheme="minorEastAsia"/>
          <w:i w:val="0"/>
          <w:caps w:val="0"/>
          <w:color w:val="333333"/>
          <w:spacing w:val="0"/>
          <w:kern w:val="0"/>
          <w:sz w:val="32"/>
          <w:szCs w:val="32"/>
          <w:bdr w:val="none" w:color="auto" w:sz="0" w:space="0"/>
          <w:lang w:val="en-US" w:eastAsia="zh-CN" w:bidi="ar"/>
        </w:rPr>
        <w:t>                                                       2015</w:t>
      </w:r>
      <w:r>
        <w:rPr>
          <w:rFonts w:hint="eastAsia" w:ascii="仿宋_GB2312" w:hAnsi="Arial" w:eastAsia="仿宋_GB2312" w:cs="仿宋_GB2312"/>
          <w:i w:val="0"/>
          <w:caps w:val="0"/>
          <w:color w:val="333333"/>
          <w:spacing w:val="0"/>
          <w:kern w:val="0"/>
          <w:sz w:val="32"/>
          <w:szCs w:val="32"/>
          <w:bdr w:val="none" w:color="auto" w:sz="0" w:space="0"/>
          <w:lang w:val="en-US" w:eastAsia="zh-CN" w:bidi="ar"/>
        </w:rPr>
        <w:t>年</w:t>
      </w:r>
      <w:r>
        <w:rPr>
          <w:rFonts w:hint="default" w:ascii="Arial" w:hAnsi="Arial" w:cs="Arial" w:eastAsiaTheme="minorEastAsia"/>
          <w:i w:val="0"/>
          <w:caps w:val="0"/>
          <w:color w:val="333333"/>
          <w:spacing w:val="0"/>
          <w:kern w:val="0"/>
          <w:sz w:val="32"/>
          <w:szCs w:val="32"/>
          <w:bdr w:val="none" w:color="auto" w:sz="0" w:space="0"/>
          <w:lang w:val="en-US" w:eastAsia="zh-CN" w:bidi="ar"/>
        </w:rPr>
        <w:t>12</w:t>
      </w:r>
      <w:r>
        <w:rPr>
          <w:rFonts w:hint="eastAsia" w:ascii="仿宋_GB2312" w:hAnsi="Arial" w:eastAsia="仿宋_GB2312" w:cs="仿宋_GB2312"/>
          <w:i w:val="0"/>
          <w:caps w:val="0"/>
          <w:color w:val="333333"/>
          <w:spacing w:val="0"/>
          <w:kern w:val="0"/>
          <w:sz w:val="32"/>
          <w:szCs w:val="32"/>
          <w:bdr w:val="none" w:color="auto" w:sz="0" w:space="0"/>
          <w:lang w:val="en-US" w:eastAsia="zh-CN" w:bidi="ar"/>
        </w:rPr>
        <w:t>月</w:t>
      </w:r>
      <w:r>
        <w:rPr>
          <w:rFonts w:hint="default" w:ascii="Arial" w:hAnsi="Arial" w:cs="Arial" w:eastAsiaTheme="minorEastAsia"/>
          <w:i w:val="0"/>
          <w:caps w:val="0"/>
          <w:color w:val="333333"/>
          <w:spacing w:val="0"/>
          <w:kern w:val="0"/>
          <w:sz w:val="32"/>
          <w:szCs w:val="32"/>
          <w:bdr w:val="none" w:color="auto" w:sz="0" w:space="0"/>
          <w:lang w:val="en-US" w:eastAsia="zh-CN" w:bidi="ar"/>
        </w:rPr>
        <w:t>28</w:t>
      </w:r>
      <w:r>
        <w:rPr>
          <w:rFonts w:hint="eastAsia" w:ascii="仿宋_GB2312" w:hAnsi="Arial" w:eastAsia="仿宋_GB2312" w:cs="仿宋_GB2312"/>
          <w:i w:val="0"/>
          <w:caps w:val="0"/>
          <w:color w:val="333333"/>
          <w:spacing w:val="0"/>
          <w:kern w:val="0"/>
          <w:sz w:val="32"/>
          <w:szCs w:val="32"/>
          <w:bdr w:val="none" w:color="auto" w:sz="0" w:space="0"/>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default" w:ascii="Arial" w:hAnsi="Arial" w:cs="Arial"/>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黑体" w:hAnsi="宋体" w:eastAsia="黑体" w:cs="黑体"/>
          <w:i w:val="0"/>
          <w:caps w:val="0"/>
          <w:color w:val="333333"/>
          <w:spacing w:val="0"/>
          <w:sz w:val="32"/>
          <w:szCs w:val="32"/>
          <w:bdr w:val="none" w:color="auto" w:sz="0" w:space="0"/>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jc w:val="both"/>
      </w:pPr>
      <w:r>
        <w:rPr>
          <w:rFonts w:hint="eastAsia" w:ascii="黑体" w:hAnsi="宋体" w:eastAsia="黑体" w:cs="黑体"/>
          <w:i w:val="0"/>
          <w:caps w:val="0"/>
          <w:color w:val="333333"/>
          <w:spacing w:val="0"/>
          <w:sz w:val="28"/>
          <w:szCs w:val="28"/>
          <w:bdr w:val="none" w:color="auto" w:sz="0" w:space="0"/>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jc w:val="center"/>
      </w:pPr>
      <w:r>
        <w:rPr>
          <w:rFonts w:ascii="方正小标宋_GBK" w:hAnsi="方正小标宋_GBK" w:eastAsia="方正小标宋_GBK" w:cs="方正小标宋_GBK"/>
          <w:i w:val="0"/>
          <w:caps w:val="0"/>
          <w:color w:val="333333"/>
          <w:spacing w:val="0"/>
          <w:sz w:val="36"/>
          <w:szCs w:val="36"/>
          <w:bdr w:val="none" w:color="auto" w:sz="0" w:space="0"/>
        </w:rPr>
        <w:t>湖南省渔政执法与资源保护专项资金管理办法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jc w:val="center"/>
      </w:pPr>
      <w:r>
        <w:rPr>
          <w:rFonts w:hint="default" w:ascii="Times New Roman" w:hAnsi="Times New Roman" w:cs="Times New Roman"/>
          <w:i w:val="0"/>
          <w:caps w:val="0"/>
          <w:color w:val="333333"/>
          <w:spacing w:val="0"/>
          <w:sz w:val="32"/>
          <w:szCs w:val="32"/>
          <w:bdr w:val="none" w:color="auto" w:sz="0" w:space="0"/>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jc w:val="center"/>
      </w:pPr>
      <w:r>
        <w:rPr>
          <w:rFonts w:hint="eastAsia" w:ascii="黑体" w:hAnsi="宋体" w:eastAsia="黑体" w:cs="黑体"/>
          <w:i w:val="0"/>
          <w:caps w:val="0"/>
          <w:color w:val="333333"/>
          <w:spacing w:val="0"/>
          <w:sz w:val="32"/>
          <w:szCs w:val="32"/>
          <w:bdr w:val="none" w:color="auto" w:sz="0" w:space="0"/>
        </w:rPr>
        <w:t>第一章总则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第一条</w:t>
      </w:r>
      <w:r>
        <w:rPr>
          <w:rFonts w:hint="default" w:ascii="Arial" w:hAnsi="Arial" w:cs="Arial" w:eastAsiaTheme="minorEastAsia"/>
          <w:i w:val="0"/>
          <w:caps w:val="0"/>
          <w:color w:val="000000"/>
          <w:spacing w:val="0"/>
          <w:kern w:val="0"/>
          <w:sz w:val="32"/>
          <w:szCs w:val="32"/>
          <w:bdr w:val="none" w:color="auto" w:sz="0" w:space="0"/>
          <w:lang w:val="en-US" w:eastAsia="zh-CN" w:bidi="ar"/>
        </w:rPr>
        <w:t>  </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为加强省级渔政执法与资源保护专项资金管理，提高资金使用效益，根据《中华人民共和国预算法》、《湖南省人民政府关于深化预算管理制度改革的实施意见》（湘政发</w:t>
      </w:r>
      <w:r>
        <w:rPr>
          <w:rFonts w:hint="default" w:ascii="Arial" w:hAnsi="Arial" w:cs="Arial" w:eastAsiaTheme="minorEastAsia"/>
          <w:i w:val="0"/>
          <w:caps w:val="0"/>
          <w:color w:val="000000"/>
          <w:spacing w:val="0"/>
          <w:kern w:val="0"/>
          <w:sz w:val="32"/>
          <w:szCs w:val="32"/>
          <w:bdr w:val="none" w:color="auto" w:sz="0" w:space="0"/>
          <w:lang w:val="en-US" w:eastAsia="zh-CN" w:bidi="ar"/>
        </w:rPr>
        <w:t>[2015]8</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号），制定本办法。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第二条</w:t>
      </w:r>
      <w:r>
        <w:rPr>
          <w:rFonts w:hint="default" w:ascii="Arial" w:hAnsi="Arial" w:cs="Arial" w:eastAsiaTheme="minorEastAsia"/>
          <w:i w:val="0"/>
          <w:caps w:val="0"/>
          <w:color w:val="000000"/>
          <w:spacing w:val="0"/>
          <w:kern w:val="0"/>
          <w:sz w:val="32"/>
          <w:szCs w:val="32"/>
          <w:bdr w:val="none" w:color="auto" w:sz="0" w:space="0"/>
          <w:lang w:val="en-US" w:eastAsia="zh-CN" w:bidi="ar"/>
        </w:rPr>
        <w:t>  </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本办法所指渔政执法与资源保护专项资金是指省级财政年初部门预算安排，用于支持开展渔政执法专项行动、渔政装备建设及使用维护、渔业资源增殖放流等补助的专项资金，设置年限为三年。到期后自动终止，确需延续的，重新评估后按新设专项程序报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第三条</w:t>
      </w:r>
      <w:r>
        <w:rPr>
          <w:rFonts w:hint="default" w:ascii="Arial" w:hAnsi="Arial" w:cs="Arial" w:eastAsiaTheme="minorEastAsia"/>
          <w:i w:val="0"/>
          <w:caps w:val="0"/>
          <w:color w:val="000000"/>
          <w:spacing w:val="0"/>
          <w:kern w:val="0"/>
          <w:sz w:val="32"/>
          <w:szCs w:val="32"/>
          <w:bdr w:val="none" w:color="auto" w:sz="0" w:space="0"/>
          <w:lang w:val="en-US" w:eastAsia="zh-CN" w:bidi="ar"/>
        </w:rPr>
        <w:t>  </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省级渔政执法与资源保护专项资金实行项目管理，</w:t>
      </w:r>
      <w:r>
        <w:rPr>
          <w:rStyle w:val="6"/>
          <w:rFonts w:hint="eastAsia" w:ascii="仿宋_GB2312" w:hAnsi="Arial" w:eastAsia="仿宋_GB2312" w:cs="仿宋_GB2312"/>
          <w:b w:val="0"/>
          <w:i w:val="0"/>
          <w:caps w:val="0"/>
          <w:color w:val="000000"/>
          <w:spacing w:val="0"/>
          <w:kern w:val="0"/>
          <w:sz w:val="32"/>
          <w:szCs w:val="32"/>
          <w:bdr w:val="none" w:color="auto" w:sz="0" w:space="0"/>
          <w:lang w:val="en-US" w:eastAsia="zh-CN" w:bidi="ar"/>
        </w:rPr>
        <w:t>遵循统一调控、公开透明、规范管理、绩效评价、跟踪监督的原则，并公开制度、申报、分配及绩效考评结果。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第四条</w:t>
      </w:r>
      <w:r>
        <w:rPr>
          <w:rFonts w:hint="default" w:ascii="Arial" w:hAnsi="Arial" w:cs="Arial" w:eastAsiaTheme="minorEastAsia"/>
          <w:i w:val="0"/>
          <w:caps w:val="0"/>
          <w:color w:val="000000"/>
          <w:spacing w:val="0"/>
          <w:kern w:val="0"/>
          <w:sz w:val="32"/>
          <w:szCs w:val="32"/>
          <w:bdr w:val="none" w:color="auto" w:sz="0" w:space="0"/>
          <w:lang w:val="en-US" w:eastAsia="zh-CN" w:bidi="ar"/>
        </w:rPr>
        <w:t>  </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省级渔政执法与资源保护专项资金主要用于：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仿宋_GB2312" w:hAnsi="Arial" w:eastAsia="仿宋_GB2312" w:cs="仿宋_GB2312"/>
          <w:i w:val="0"/>
          <w:caps w:val="0"/>
          <w:color w:val="000000"/>
          <w:spacing w:val="0"/>
          <w:kern w:val="0"/>
          <w:sz w:val="32"/>
          <w:szCs w:val="32"/>
          <w:bdr w:val="none" w:color="auto" w:sz="0" w:space="0"/>
          <w:lang w:val="en-US" w:eastAsia="zh-CN" w:bidi="ar"/>
        </w:rPr>
        <w:t>（一）渔政执法补助：主要用于实行禁渔期制度、渔业非法捕捞整治行动、渔业水域生态环境与资源监测等渔政管理公务用车、船、快艇、冲锋舟燃油及维护费用补助、执法经费补助；渔政执法快艇、冲锋舟建造、渔政执法设备采购及农业部为我省建造的渔政执法快艇的地方配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仿宋_GB2312" w:hAnsi="Arial" w:eastAsia="仿宋_GB2312" w:cs="仿宋_GB2312"/>
          <w:i w:val="0"/>
          <w:caps w:val="0"/>
          <w:color w:val="000000"/>
          <w:spacing w:val="0"/>
          <w:kern w:val="0"/>
          <w:sz w:val="32"/>
          <w:szCs w:val="32"/>
          <w:bdr w:val="none" w:color="auto" w:sz="0" w:space="0"/>
          <w:lang w:val="en-US" w:eastAsia="zh-CN" w:bidi="ar"/>
        </w:rPr>
        <w:t>（二）增殖放流补助：主要用于开展渔业资源增殖，包括放流物种购运、湘资沅澧“四水”产卵场增殖（人工鱼巢）技术示范推广、现场公证、放流效果监测、放流宣传等费用补助，每年资金安排不超过100个县市区，按因素法分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仿宋_GB2312" w:hAnsi="Arial" w:eastAsia="仿宋_GB2312" w:cs="仿宋_GB2312"/>
          <w:i w:val="0"/>
          <w:caps w:val="0"/>
          <w:color w:val="000000"/>
          <w:spacing w:val="0"/>
          <w:kern w:val="0"/>
          <w:sz w:val="32"/>
          <w:szCs w:val="32"/>
          <w:bdr w:val="none" w:color="auto" w:sz="0" w:space="0"/>
          <w:lang w:val="en-US" w:eastAsia="zh-CN" w:bidi="ar"/>
        </w:rPr>
        <w:t>（三）禁渔期生活补助：主要用于洞庭湖春季禁渔专业捕捞渔民生活补助。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jc w:val="center"/>
      </w:pPr>
      <w:r>
        <w:rPr>
          <w:rFonts w:hint="eastAsia" w:ascii="黑体" w:hAnsi="宋体" w:eastAsia="黑体" w:cs="黑体"/>
          <w:i w:val="0"/>
          <w:caps w:val="0"/>
          <w:color w:val="000000"/>
          <w:spacing w:val="0"/>
          <w:kern w:val="0"/>
          <w:sz w:val="32"/>
          <w:szCs w:val="32"/>
          <w:bdr w:val="none" w:color="auto" w:sz="0" w:space="0"/>
          <w:lang w:val="en-US" w:eastAsia="zh-CN" w:bidi="ar"/>
        </w:rPr>
        <w:t>第二章　资金申报与审批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第五条</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  </w:t>
      </w:r>
      <w:r>
        <w:rPr>
          <w:rStyle w:val="6"/>
          <w:rFonts w:hint="eastAsia" w:ascii="仿宋_GB2312" w:hAnsi="Arial" w:eastAsia="仿宋_GB2312" w:cs="仿宋_GB2312"/>
          <w:b w:val="0"/>
          <w:i w:val="0"/>
          <w:caps w:val="0"/>
          <w:color w:val="000000"/>
          <w:spacing w:val="0"/>
          <w:kern w:val="0"/>
          <w:sz w:val="32"/>
          <w:szCs w:val="32"/>
          <w:bdr w:val="none" w:color="auto" w:sz="0" w:space="0"/>
          <w:lang w:val="en-US" w:eastAsia="zh-CN" w:bidi="ar"/>
        </w:rPr>
        <w:t>每年9月底前，省畜牧水产局根据省财政厅年度预算要求发布次年度项目申报指南，并在省畜牧水产局门户网站上公开。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第六条</w:t>
      </w:r>
      <w:r>
        <w:rPr>
          <w:rFonts w:hint="default" w:ascii="Arial" w:hAnsi="Arial" w:cs="Arial" w:eastAsiaTheme="minorEastAsia"/>
          <w:i w:val="0"/>
          <w:caps w:val="0"/>
          <w:color w:val="000000"/>
          <w:spacing w:val="0"/>
          <w:kern w:val="0"/>
          <w:sz w:val="32"/>
          <w:szCs w:val="32"/>
          <w:bdr w:val="none" w:color="auto" w:sz="0" w:space="0"/>
          <w:lang w:val="en-US" w:eastAsia="zh-CN" w:bidi="ar"/>
        </w:rPr>
        <w:t> </w:t>
      </w:r>
      <w:r>
        <w:rPr>
          <w:rStyle w:val="6"/>
          <w:rFonts w:hint="eastAsia" w:ascii="仿宋_GB2312" w:hAnsi="Arial" w:eastAsia="仿宋_GB2312" w:cs="仿宋_GB2312"/>
          <w:b w:val="0"/>
          <w:i w:val="0"/>
          <w:caps w:val="0"/>
          <w:color w:val="000000"/>
          <w:spacing w:val="0"/>
          <w:kern w:val="0"/>
          <w:sz w:val="32"/>
          <w:szCs w:val="32"/>
          <w:bdr w:val="none" w:color="auto" w:sz="0" w:space="0"/>
          <w:lang w:val="en-US" w:eastAsia="zh-CN" w:bidi="ar"/>
        </w:rPr>
        <w:t>各市州畜牧水产主管部门根据申报指南组织所辖县市区进行申报</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，以正式文件上报省畜牧水产局。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第七条</w:t>
      </w:r>
      <w:r>
        <w:rPr>
          <w:rFonts w:hint="default" w:ascii="Arial" w:hAnsi="Arial" w:cs="Arial" w:eastAsiaTheme="minorEastAsia"/>
          <w:i w:val="0"/>
          <w:caps w:val="0"/>
          <w:color w:val="000000"/>
          <w:spacing w:val="0"/>
          <w:kern w:val="0"/>
          <w:sz w:val="32"/>
          <w:szCs w:val="32"/>
          <w:bdr w:val="none" w:color="auto" w:sz="0" w:space="0"/>
          <w:lang w:val="en-US" w:eastAsia="zh-CN" w:bidi="ar"/>
        </w:rPr>
        <w:t> </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省畜牧水产局组织有关管理人员和专家对申报材料进行筛选和评审论证，依据各市（州）、县（市、区）天然水域面积、执法人员配备情况及上一年度渔政执法工作开展情况，提出项目资金安排方案，确定资金规模、使用方向和项目承担单位，报省财政厅审批。对市县的转移支付资金，应在省人民代表大会批复预算后60日内下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第八条</w:t>
      </w:r>
      <w:r>
        <w:rPr>
          <w:rFonts w:hint="default" w:ascii="Arial" w:hAnsi="Arial" w:cs="Arial" w:eastAsiaTheme="minorEastAsia"/>
          <w:i w:val="0"/>
          <w:caps w:val="0"/>
          <w:color w:val="000000"/>
          <w:spacing w:val="0"/>
          <w:kern w:val="0"/>
          <w:sz w:val="32"/>
          <w:szCs w:val="32"/>
          <w:bdr w:val="none" w:color="auto" w:sz="0" w:space="0"/>
          <w:lang w:val="en-US" w:eastAsia="zh-CN" w:bidi="ar"/>
        </w:rPr>
        <w:t>  </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项目申报单位对申报材料的真实性负责。各级畜牧水产主管部门负责申报项目的监督管理，定期或不定期对项目实施情况进行检查，督促项目承担单位按进度实施项目建设。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仿宋_GB2312" w:hAnsi="Arial" w:eastAsia="仿宋_GB2312" w:cs="仿宋_GB2312"/>
          <w:i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jc w:val="center"/>
      </w:pPr>
      <w:r>
        <w:rPr>
          <w:rFonts w:hint="eastAsia" w:ascii="黑体" w:hAnsi="宋体" w:eastAsia="黑体" w:cs="黑体"/>
          <w:i w:val="0"/>
          <w:caps w:val="0"/>
          <w:color w:val="000000"/>
          <w:spacing w:val="0"/>
          <w:kern w:val="0"/>
          <w:sz w:val="32"/>
          <w:szCs w:val="32"/>
          <w:bdr w:val="none" w:color="auto" w:sz="0" w:space="0"/>
          <w:lang w:val="en-US" w:eastAsia="zh-CN" w:bidi="ar"/>
        </w:rPr>
        <w:t>第三章</w:t>
      </w:r>
      <w:r>
        <w:rPr>
          <w:rFonts w:hint="default" w:ascii="Arial" w:hAnsi="Arial" w:cs="Arial" w:eastAsiaTheme="minorEastAsia"/>
          <w:i w:val="0"/>
          <w:caps w:val="0"/>
          <w:color w:val="000000"/>
          <w:spacing w:val="0"/>
          <w:kern w:val="0"/>
          <w:sz w:val="32"/>
          <w:szCs w:val="32"/>
          <w:bdr w:val="none" w:color="auto" w:sz="0" w:space="0"/>
          <w:lang w:val="en-US" w:eastAsia="zh-CN" w:bidi="ar"/>
        </w:rPr>
        <w:t>  </w:t>
      </w:r>
      <w:r>
        <w:rPr>
          <w:rFonts w:hint="eastAsia" w:ascii="黑体" w:hAnsi="宋体" w:eastAsia="黑体" w:cs="黑体"/>
          <w:i w:val="0"/>
          <w:caps w:val="0"/>
          <w:color w:val="000000"/>
          <w:spacing w:val="0"/>
          <w:kern w:val="0"/>
          <w:sz w:val="32"/>
          <w:szCs w:val="32"/>
          <w:bdr w:val="none" w:color="auto" w:sz="0" w:space="0"/>
          <w:lang w:val="en-US" w:eastAsia="zh-CN" w:bidi="ar"/>
        </w:rPr>
        <w:t>资金管理与监督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第九条</w:t>
      </w:r>
      <w:r>
        <w:rPr>
          <w:rFonts w:hint="default" w:ascii="Arial" w:hAnsi="Arial" w:cs="Arial" w:eastAsiaTheme="minorEastAsia"/>
          <w:i w:val="0"/>
          <w:caps w:val="0"/>
          <w:color w:val="000000"/>
          <w:spacing w:val="0"/>
          <w:kern w:val="0"/>
          <w:sz w:val="32"/>
          <w:szCs w:val="32"/>
          <w:bdr w:val="none" w:color="auto" w:sz="0" w:space="0"/>
          <w:lang w:val="en-US" w:eastAsia="zh-CN" w:bidi="ar"/>
        </w:rPr>
        <w:t>  </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项目承担单位按照省财政厅审批确定后的年度资金安排方案，制定项目实施方案。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第十条</w:t>
      </w:r>
      <w:r>
        <w:rPr>
          <w:rFonts w:hint="default" w:ascii="Arial" w:hAnsi="Arial" w:cs="Arial" w:eastAsiaTheme="minorEastAsia"/>
          <w:i w:val="0"/>
          <w:caps w:val="0"/>
          <w:color w:val="000000"/>
          <w:spacing w:val="0"/>
          <w:kern w:val="0"/>
          <w:sz w:val="32"/>
          <w:szCs w:val="32"/>
          <w:bdr w:val="none" w:color="auto" w:sz="0" w:space="0"/>
          <w:lang w:val="en-US" w:eastAsia="zh-CN" w:bidi="ar"/>
        </w:rPr>
        <w:t>  </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项目承担单位要严格执行国家有关政策，按照有关会计核算制度，建立健全本单位的会计核算制度，全面反映和核算项目资金的收支活动，专款专用，建立完整的项目管理档案；要按照项目实施方案执行项目，科学、合理、有效地使用项目资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第十一条</w:t>
      </w:r>
      <w:r>
        <w:rPr>
          <w:rFonts w:hint="default" w:ascii="Arial" w:hAnsi="Arial" w:cs="Arial" w:eastAsiaTheme="minorEastAsia"/>
          <w:i w:val="0"/>
          <w:caps w:val="0"/>
          <w:color w:val="000000"/>
          <w:spacing w:val="0"/>
          <w:kern w:val="0"/>
          <w:sz w:val="32"/>
          <w:szCs w:val="32"/>
          <w:bdr w:val="none" w:color="auto" w:sz="0" w:space="0"/>
          <w:lang w:val="en-US" w:eastAsia="zh-CN" w:bidi="ar"/>
        </w:rPr>
        <w:t> </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渔政快艇、冲锋舟等执法装备的采购由省畜牧水产局按照政府采购相关法律法规执行，采购后分发至使用单位。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第十二条</w:t>
      </w:r>
      <w:r>
        <w:rPr>
          <w:rFonts w:hint="default" w:ascii="Arial" w:hAnsi="Arial" w:cs="Arial" w:eastAsiaTheme="minorEastAsia"/>
          <w:i w:val="0"/>
          <w:caps w:val="0"/>
          <w:color w:val="000000"/>
          <w:spacing w:val="0"/>
          <w:kern w:val="0"/>
          <w:sz w:val="32"/>
          <w:szCs w:val="32"/>
          <w:bdr w:val="none" w:color="auto" w:sz="0" w:space="0"/>
          <w:lang w:val="en-US" w:eastAsia="zh-CN" w:bidi="ar"/>
        </w:rPr>
        <w:t>  </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畜牧水产主管部门负责项目的组织实施，市（州）、省直管县（市）要及时向省畜牧水产局报送项目执行进展情况，项目完成后，对项目进行验收，并向省畜牧水产局报送项目验收报告或项目总结材料。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第十三条</w:t>
      </w:r>
      <w:r>
        <w:rPr>
          <w:rFonts w:hint="default" w:ascii="Arial" w:hAnsi="Arial" w:cs="Arial" w:eastAsiaTheme="minorEastAsia"/>
          <w:i w:val="0"/>
          <w:caps w:val="0"/>
          <w:color w:val="000000"/>
          <w:spacing w:val="0"/>
          <w:kern w:val="0"/>
          <w:sz w:val="32"/>
          <w:szCs w:val="32"/>
          <w:bdr w:val="none" w:color="auto" w:sz="0" w:space="0"/>
          <w:lang w:val="en-US" w:eastAsia="zh-CN" w:bidi="ar"/>
        </w:rPr>
        <w:t>  </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财政部门负责辖区内项目资金的拨付和监管，按要求及时拨付资金，并对资金使用情况进行检查。省财政厅联合省畜牧水产局对项目资金使用情况进行抽查，并进行年度绩效考评。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第十四条</w:t>
      </w:r>
      <w:r>
        <w:rPr>
          <w:rFonts w:hint="default" w:ascii="Arial" w:hAnsi="Arial" w:cs="Arial" w:eastAsiaTheme="minorEastAsia"/>
          <w:i w:val="0"/>
          <w:caps w:val="0"/>
          <w:color w:val="000000"/>
          <w:spacing w:val="0"/>
          <w:kern w:val="0"/>
          <w:sz w:val="32"/>
          <w:szCs w:val="32"/>
          <w:bdr w:val="none" w:color="auto" w:sz="0" w:space="0"/>
          <w:lang w:val="en-US" w:eastAsia="zh-CN" w:bidi="ar"/>
        </w:rPr>
        <w:t>  </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对虚报冒领、挤占、截留、挪用专项资金等违法违规行为，一经查实，按《财政违法行为处罚处分条例》（国务院令〔</w:t>
      </w:r>
      <w:r>
        <w:rPr>
          <w:rFonts w:hint="default" w:ascii="Arial" w:hAnsi="Arial" w:cs="Arial" w:eastAsiaTheme="minorEastAsia"/>
          <w:i w:val="0"/>
          <w:caps w:val="0"/>
          <w:color w:val="000000"/>
          <w:spacing w:val="0"/>
          <w:kern w:val="0"/>
          <w:sz w:val="32"/>
          <w:szCs w:val="32"/>
          <w:bdr w:val="none" w:color="auto" w:sz="0" w:space="0"/>
          <w:lang w:val="en-US" w:eastAsia="zh-CN" w:bidi="ar"/>
        </w:rPr>
        <w:t>2005</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〕第</w:t>
      </w:r>
      <w:r>
        <w:rPr>
          <w:rFonts w:hint="default" w:ascii="Arial" w:hAnsi="Arial" w:cs="Arial" w:eastAsiaTheme="minorEastAsia"/>
          <w:i w:val="0"/>
          <w:caps w:val="0"/>
          <w:color w:val="000000"/>
          <w:spacing w:val="0"/>
          <w:kern w:val="0"/>
          <w:sz w:val="32"/>
          <w:szCs w:val="32"/>
          <w:bdr w:val="none" w:color="auto" w:sz="0" w:space="0"/>
          <w:lang w:val="en-US" w:eastAsia="zh-CN" w:bidi="ar"/>
        </w:rPr>
        <w:t>427</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号）等有关规定进行处理。涉嫌犯罪的，移送司法机关追究刑事责任。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pPr>
      <w:r>
        <w:rPr>
          <w:rStyle w:val="6"/>
          <w:rFonts w:hint="eastAsia" w:ascii="黑体" w:hAnsi="宋体" w:eastAsia="黑体" w:cs="黑体"/>
          <w:b w:val="0"/>
          <w:i w:val="0"/>
          <w:caps w:val="0"/>
          <w:color w:val="000000"/>
          <w:spacing w:val="0"/>
          <w:sz w:val="32"/>
          <w:szCs w:val="32"/>
          <w:bdr w:val="none" w:color="auto" w:sz="0" w:space="0"/>
        </w:rPr>
        <w:t>第十五条</w:t>
      </w:r>
      <w:r>
        <w:rPr>
          <w:rFonts w:hint="eastAsia" w:ascii="仿宋_GB2312" w:hAnsi="Arial" w:eastAsia="仿宋_GB2312" w:cs="仿宋_GB2312"/>
          <w:i w:val="0"/>
          <w:caps w:val="0"/>
          <w:color w:val="000000"/>
          <w:spacing w:val="0"/>
          <w:sz w:val="32"/>
          <w:szCs w:val="32"/>
          <w:bdr w:val="none" w:color="auto" w:sz="0" w:space="0"/>
        </w:rPr>
        <w:t> 各项目承担单位要自觉接受财政部门、审计、监察机关的监督检查和审计。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left"/>
      </w:pPr>
      <w:r>
        <w:rPr>
          <w:rStyle w:val="6"/>
          <w:rFonts w:hint="eastAsia" w:ascii="黑体" w:hAnsi="宋体" w:eastAsia="黑体" w:cs="黑体"/>
          <w:b w:val="0"/>
          <w:i w:val="0"/>
          <w:caps w:val="0"/>
          <w:color w:val="000000"/>
          <w:spacing w:val="0"/>
          <w:kern w:val="0"/>
          <w:sz w:val="32"/>
          <w:szCs w:val="32"/>
          <w:bdr w:val="none" w:color="auto" w:sz="0" w:space="0"/>
          <w:lang w:val="en-US" w:eastAsia="zh-CN" w:bidi="ar"/>
        </w:rPr>
        <w:t>第十六条</w:t>
      </w:r>
      <w:r>
        <w:rPr>
          <w:rFonts w:hint="eastAsia" w:ascii="仿宋_GB2312" w:hAnsi="Arial" w:eastAsia="仿宋_GB2312" w:cs="仿宋_GB2312"/>
          <w:i w:val="0"/>
          <w:caps w:val="0"/>
          <w:color w:val="000000"/>
          <w:spacing w:val="0"/>
          <w:kern w:val="0"/>
          <w:sz w:val="32"/>
          <w:szCs w:val="32"/>
          <w:bdr w:val="none" w:color="auto" w:sz="0" w:space="0"/>
          <w:lang w:val="en-US" w:eastAsia="zh-CN" w:bidi="ar"/>
        </w:rPr>
        <w:t> 本办法自公布之日起施行。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3F6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小谢</cp:lastModifiedBy>
  <dcterms:modified xsi:type="dcterms:W3CDTF">2019-11-20T07:17:40Z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