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2</w:t>
      </w:r>
    </w:p>
    <w:p>
      <w:pPr>
        <w:spacing w:line="600" w:lineRule="exact"/>
        <w:ind w:firstLine="800" w:firstLineChars="200"/>
        <w:jc w:val="center"/>
        <w:rPr>
          <w:rFonts w:ascii="方正小标宋简体" w:hAnsi="黑体" w:eastAsia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0"/>
          <w:szCs w:val="40"/>
        </w:rPr>
        <w:t>推荐单位联系部门、推荐负责人信息表</w:t>
      </w:r>
    </w:p>
    <w:bookmarkEnd w:id="0"/>
    <w:p>
      <w:pPr>
        <w:spacing w:line="600" w:lineRule="exact"/>
        <w:ind w:firstLine="0" w:firstLineChars="0"/>
        <w:rPr>
          <w:rFonts w:ascii="黑体" w:hAnsi="黑体" w:eastAsia="黑体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章）： </w:t>
      </w:r>
      <w:r>
        <w:rPr>
          <w:rFonts w:hint="eastAsia" w:ascii="黑体" w:hAnsi="黑体" w:eastAsia="黑体"/>
          <w:bCs/>
          <w:sz w:val="32"/>
          <w:szCs w:val="32"/>
        </w:rPr>
        <w:t xml:space="preserve">                         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1442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85"/>
        <w:gridCol w:w="1842"/>
        <w:gridCol w:w="1843"/>
        <w:gridCol w:w="1985"/>
        <w:gridCol w:w="2283"/>
        <w:gridCol w:w="2678"/>
        <w:gridCol w:w="8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beforeLines="0" w:afterLines="0" w:line="0" w:lineRule="atLeas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推荐单位</w:t>
            </w:r>
          </w:p>
          <w:p>
            <w:pPr>
              <w:spacing w:beforeLines="0" w:afterLines="0" w:line="0" w:lineRule="atLeas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联系部门</w:t>
            </w:r>
          </w:p>
        </w:tc>
        <w:tc>
          <w:tcPr>
            <w:tcW w:w="611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推荐负责人</w:t>
            </w:r>
          </w:p>
        </w:tc>
        <w:tc>
          <w:tcPr>
            <w:tcW w:w="267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line="60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228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678" w:type="dxa"/>
            <w:vMerge w:val="continue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678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678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678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678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2678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600" w:lineRule="exact"/>
              <w:rPr>
                <w:rFonts w:ascii="黑体" w:hAnsi="黑体" w:eastAsia="黑体"/>
                <w:bCs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6361"/>
    <w:rsid w:val="0196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2020-04-21T06:46:00Z</dcterms:created>
  <dc:creator>刘泉江</dc:creator>
  <cp:lastModifiedBy>刘泉江</cp:lastModifiedBy>
  <dcterms:modified xsi:type="dcterms:W3CDTF">2020-04-21T06:47:18Z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