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株洲市201</w:t>
      </w:r>
      <w:r>
        <w:rPr>
          <w:rFonts w:hint="eastAsia" w:ascii="方正小标宋简体" w:hAnsi="方正小标宋简体" w:eastAsia="方正小标宋简体" w:cs="方正小标宋简体"/>
          <w:bCs/>
          <w:sz w:val="44"/>
          <w:szCs w:val="44"/>
          <w:lang w:val="en-US" w:eastAsia="zh-CN"/>
        </w:rPr>
        <w:t>9</w:t>
      </w:r>
      <w:r>
        <w:rPr>
          <w:rFonts w:hint="eastAsia" w:ascii="方正小标宋简体" w:hAnsi="方正小标宋简体" w:eastAsia="方正小标宋简体" w:cs="方正小标宋简体"/>
          <w:bCs/>
          <w:sz w:val="44"/>
          <w:szCs w:val="44"/>
        </w:rPr>
        <w:t>年政府信息公开工作年度报告</w:t>
      </w:r>
    </w:p>
    <w:p>
      <w:pPr>
        <w:keepNext w:val="0"/>
        <w:keepLines w:val="0"/>
        <w:pageBreakBefore w:val="0"/>
        <w:kinsoku/>
        <w:wordWrap/>
        <w:overflowPunct/>
        <w:topLinePunct w:val="0"/>
        <w:autoSpaceDE/>
        <w:autoSpaceDN/>
        <w:bidi w:val="0"/>
        <w:adjustRightInd/>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kinsoku/>
        <w:wordWrap/>
        <w:overflowPunct/>
        <w:topLinePunct w:val="0"/>
        <w:autoSpaceDE/>
        <w:autoSpaceDN/>
        <w:bidi w:val="0"/>
        <w:adjustRightInd/>
        <w:snapToGrid w:val="0"/>
        <w:spacing w:line="580" w:lineRule="exact"/>
        <w:ind w:left="0" w:leftChars="0" w:right="0" w:rightChars="0" w:firstLine="3168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fill="FFFFFF"/>
        </w:rPr>
        <w:t>本年度工作报告根据《国务院办公厅政府信息与政务公开办公室关于政府信息公开工作年度报告有关事项的通知》（国办公开办函〔2019〕60号）的要求</w:t>
      </w:r>
      <w:r>
        <w:rPr>
          <w:rFonts w:hint="default" w:ascii="Times New Roman" w:hAnsi="Times New Roman" w:eastAsia="仿宋_GB2312" w:cs="Times New Roman"/>
          <w:color w:val="000000"/>
          <w:sz w:val="32"/>
          <w:szCs w:val="32"/>
          <w:shd w:val="clear" w:fill="FFFFFF"/>
          <w:lang w:eastAsia="zh-CN"/>
        </w:rPr>
        <w:t>编制。</w:t>
      </w:r>
      <w:r>
        <w:rPr>
          <w:rFonts w:hint="default" w:ascii="Times New Roman" w:hAnsi="Times New Roman" w:eastAsia="仿宋_GB2312" w:cs="Times New Roman"/>
          <w:color w:val="000000"/>
          <w:sz w:val="32"/>
          <w:szCs w:val="32"/>
          <w:shd w:val="clear" w:fill="FFFFFF"/>
        </w:rPr>
        <w:t>全文包括总体情况、主动公开政府信息情况、收到和处理政府信息公开申请情况、政府信息公开行政复议和行政诉讼情况、政府信息公开工作存在的主要问题及改进情况、其他需要报告的事项等。本年度报告中所列数据的统计期限自2019年1月1日</w:t>
      </w:r>
      <w:bookmarkStart w:id="0" w:name="_GoBack"/>
      <w:bookmarkEnd w:id="0"/>
      <w:r>
        <w:rPr>
          <w:rFonts w:hint="default" w:ascii="Times New Roman" w:hAnsi="Times New Roman" w:eastAsia="仿宋_GB2312" w:cs="Times New Roman"/>
          <w:color w:val="000000"/>
          <w:sz w:val="32"/>
          <w:szCs w:val="32"/>
          <w:shd w:val="clear" w:fill="FFFFFF"/>
        </w:rPr>
        <w:t>起至12月31日止。</w:t>
      </w:r>
      <w:r>
        <w:rPr>
          <w:rFonts w:hint="default" w:ascii="Times New Roman" w:hAnsi="Times New Roman" w:eastAsia="仿宋_GB2312" w:cs="Times New Roman"/>
          <w:sz w:val="32"/>
          <w:szCs w:val="32"/>
        </w:rPr>
        <w:t>报告的电子版可以在“中国·株洲”政府门户网站（www.zhuzhou.gov.cn）上下载。如对本报告有任何疑问，</w:t>
      </w:r>
      <w:r>
        <w:rPr>
          <w:rFonts w:hint="default" w:ascii="Times New Roman" w:hAnsi="Times New Roman" w:eastAsia="仿宋_GB2312" w:cs="Times New Roman"/>
          <w:sz w:val="32"/>
          <w:szCs w:val="32"/>
          <w:u w:val="none"/>
        </w:rPr>
        <w:t>请与市</w:t>
      </w:r>
      <w:r>
        <w:rPr>
          <w:rFonts w:hint="eastAsia" w:ascii="Times New Roman" w:hAnsi="Times New Roman" w:eastAsia="仿宋_GB2312" w:cs="Times New Roman"/>
          <w:sz w:val="32"/>
          <w:szCs w:val="32"/>
          <w:u w:val="none"/>
          <w:lang w:eastAsia="zh-CN"/>
        </w:rPr>
        <w:t>政府政务公开办</w:t>
      </w:r>
      <w:r>
        <w:rPr>
          <w:rFonts w:hint="default" w:ascii="Times New Roman" w:hAnsi="Times New Roman" w:eastAsia="仿宋_GB2312" w:cs="Times New Roman"/>
          <w:sz w:val="32"/>
          <w:szCs w:val="32"/>
          <w:u w:val="none"/>
        </w:rPr>
        <w:t>联系</w:t>
      </w:r>
      <w:r>
        <w:rPr>
          <w:rFonts w:hint="default" w:ascii="Times New Roman" w:hAnsi="Times New Roman" w:eastAsia="仿宋_GB2312" w:cs="Times New Roman"/>
          <w:sz w:val="32"/>
          <w:szCs w:val="32"/>
        </w:rPr>
        <w:t>（地址：株洲市天元区天台路58号，邮编：412007，电话：0731－28680652，电子邮箱：zzzwgkb@163.com）。</w:t>
      </w:r>
    </w:p>
    <w:p>
      <w:pPr>
        <w:pStyle w:val="2"/>
        <w:keepNext w:val="0"/>
        <w:keepLines w:val="0"/>
        <w:widowControl/>
        <w:suppressLineNumbers w:val="0"/>
        <w:spacing w:before="0" w:beforeAutospacing="0" w:after="0" w:afterAutospacing="0" w:line="520" w:lineRule="atLeast"/>
        <w:ind w:left="0" w:right="0" w:firstLine="640"/>
        <w:jc w:val="both"/>
        <w:rPr>
          <w:rFonts w:ascii="Calibri" w:hAnsi="Calibri" w:cs="Calibri"/>
          <w:sz w:val="21"/>
          <w:szCs w:val="21"/>
        </w:rPr>
      </w:pPr>
      <w:r>
        <w:rPr>
          <w:rFonts w:ascii="黑体" w:hAnsi="宋体" w:eastAsia="黑体" w:cs="黑体"/>
          <w:color w:val="000000"/>
          <w:sz w:val="32"/>
          <w:szCs w:val="32"/>
        </w:rPr>
        <w:t>一、</w:t>
      </w:r>
      <w:r>
        <w:rPr>
          <w:rFonts w:hint="eastAsia" w:ascii="黑体" w:hAnsi="宋体" w:eastAsia="黑体" w:cs="黑体"/>
          <w:sz w:val="32"/>
          <w:szCs w:val="32"/>
        </w:rPr>
        <w:t>总体情况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cs="Times New Roman"/>
          <w:sz w:val="32"/>
          <w:szCs w:val="32"/>
        </w:rPr>
        <w:t>2019</w:t>
      </w:r>
      <w:r>
        <w:rPr>
          <w:rFonts w:ascii="仿宋" w:hAnsi="仿宋" w:eastAsia="仿宋" w:cs="仿宋"/>
          <w:sz w:val="32"/>
          <w:szCs w:val="32"/>
        </w:rPr>
        <w:t>年我市深入学习领会习近平新时代中国特色社会主义思想，全面贯彻党的十九大精神，认真落实中央、省委省政府关于全面推进政务公开工作的一系列决策部署，坚持以公开为常态、不公开为例外，以宣传贯彻新修订的《政府信息公开条例》（以下简称新《条例》）为契机，着力完善公开机制、细化公开内容、扩大公开范围，强化政策解读和政务舆情回应，加大公开平台建设力度，以公开促落实，以公开促规范，以公开促服务，增强政务公开工作的主动性，为</w:t>
      </w:r>
      <w:r>
        <w:rPr>
          <w:rFonts w:hint="eastAsia" w:ascii="仿宋" w:hAnsi="仿宋" w:eastAsia="仿宋" w:cs="仿宋"/>
          <w:sz w:val="32"/>
          <w:szCs w:val="32"/>
          <w:lang w:eastAsia="zh-CN"/>
        </w:rPr>
        <w:t>株洲</w:t>
      </w:r>
      <w:r>
        <w:rPr>
          <w:rFonts w:ascii="仿宋" w:hAnsi="仿宋" w:eastAsia="仿宋" w:cs="仿宋"/>
          <w:sz w:val="32"/>
          <w:szCs w:val="32"/>
        </w:rPr>
        <w:t>建设高质量发展走在前列提供了有力支撑。</w:t>
      </w:r>
    </w:p>
    <w:p>
      <w:pPr>
        <w:pStyle w:val="2"/>
        <w:keepNext w:val="0"/>
        <w:keepLines w:val="0"/>
        <w:widowControl/>
        <w:suppressLineNumbers w:val="0"/>
        <w:spacing w:before="0" w:beforeAutospacing="0" w:after="0" w:afterAutospacing="0" w:line="520" w:lineRule="atLeast"/>
        <w:ind w:left="0" w:right="0" w:firstLine="643"/>
        <w:jc w:val="both"/>
        <w:rPr>
          <w:rFonts w:hint="default" w:ascii="Calibri" w:hAnsi="Calibri" w:cs="Calibri"/>
          <w:sz w:val="21"/>
          <w:szCs w:val="21"/>
        </w:rPr>
      </w:pPr>
      <w:r>
        <w:rPr>
          <w:rFonts w:hint="eastAsia" w:ascii="楷体" w:hAnsi="楷体" w:eastAsia="楷体" w:cs="楷体"/>
          <w:b/>
          <w:sz w:val="32"/>
          <w:szCs w:val="32"/>
        </w:rPr>
        <w:t>（</w:t>
      </w:r>
      <w:r>
        <w:rPr>
          <w:rFonts w:hint="eastAsia" w:ascii="楷体" w:hAnsi="楷体" w:eastAsia="楷体" w:cs="楷体"/>
          <w:b/>
          <w:sz w:val="32"/>
          <w:szCs w:val="32"/>
          <w:lang w:eastAsia="zh-CN"/>
        </w:rPr>
        <w:t>一</w:t>
      </w:r>
      <w:r>
        <w:rPr>
          <w:rFonts w:hint="eastAsia" w:ascii="楷体" w:hAnsi="楷体" w:eastAsia="楷体" w:cs="楷体"/>
          <w:b/>
          <w:sz w:val="32"/>
          <w:szCs w:val="32"/>
        </w:rPr>
        <w:t>）主动公开情况</w:t>
      </w:r>
    </w:p>
    <w:p>
      <w:pPr>
        <w:spacing w:line="540" w:lineRule="exact"/>
        <w:ind w:firstLine="640" w:firstLineChars="200"/>
        <w:rPr>
          <w:rFonts w:hint="default" w:ascii="Calibri" w:hAnsi="Calibri" w:cs="Calibri"/>
          <w:sz w:val="21"/>
          <w:szCs w:val="21"/>
        </w:rPr>
      </w:pPr>
      <w:r>
        <w:rPr>
          <w:rFonts w:hint="eastAsia" w:ascii="仿宋" w:hAnsi="仿宋" w:eastAsia="仿宋" w:cs="仿宋"/>
          <w:sz w:val="32"/>
          <w:szCs w:val="32"/>
        </w:rPr>
        <w:t>一是进一步深化各重点领域政府信息主动公开工作。结合工作实际制定出台《</w:t>
      </w:r>
      <w:r>
        <w:rPr>
          <w:rFonts w:hint="eastAsia" w:ascii="仿宋" w:hAnsi="仿宋" w:eastAsia="仿宋" w:cs="仿宋"/>
          <w:sz w:val="32"/>
          <w:szCs w:val="32"/>
          <w:lang w:eastAsia="zh-CN"/>
        </w:rPr>
        <w:t>株洲</w:t>
      </w:r>
      <w:r>
        <w:rPr>
          <w:rFonts w:hint="eastAsia" w:ascii="仿宋" w:hAnsi="仿宋" w:eastAsia="仿宋" w:cs="仿宋"/>
          <w:sz w:val="32"/>
          <w:szCs w:val="32"/>
        </w:rPr>
        <w:t>市</w:t>
      </w:r>
      <w:r>
        <w:rPr>
          <w:rFonts w:hint="default" w:ascii="Times New Roman" w:hAnsi="Times New Roman" w:cs="Times New Roman"/>
          <w:sz w:val="32"/>
          <w:szCs w:val="32"/>
        </w:rPr>
        <w:t>2019</w:t>
      </w:r>
      <w:r>
        <w:rPr>
          <w:rFonts w:hint="eastAsia" w:ascii="仿宋" w:hAnsi="仿宋" w:eastAsia="仿宋" w:cs="仿宋"/>
          <w:sz w:val="32"/>
          <w:szCs w:val="32"/>
        </w:rPr>
        <w:t>年政务公开工作要点》，对各重点领域、重点工作的政府信息公开作出明确部署和要求。</w:t>
      </w:r>
      <w:r>
        <w:rPr>
          <w:rFonts w:hint="eastAsia" w:ascii="仿宋" w:hAnsi="仿宋" w:eastAsia="仿宋" w:cs="仿宋"/>
          <w:sz w:val="32"/>
          <w:szCs w:val="32"/>
          <w:lang w:eastAsia="zh-CN"/>
        </w:rPr>
        <w:t>全市</w:t>
      </w:r>
      <w:r>
        <w:rPr>
          <w:rFonts w:hint="eastAsia" w:ascii="Times New Roman" w:hAnsi="Times New Roman" w:eastAsia="仿宋_GB2312" w:cs="仿宋_GB2312"/>
          <w:sz w:val="32"/>
          <w:szCs w:val="32"/>
        </w:rPr>
        <w:t>主动公开信息总量达到</w:t>
      </w:r>
      <w:r>
        <w:rPr>
          <w:rFonts w:ascii="Times New Roman" w:hAnsi="Times New Roman" w:eastAsia="仿宋_GB2312" w:cs="Times New Roman"/>
          <w:sz w:val="32"/>
          <w:szCs w:val="32"/>
        </w:rPr>
        <w:t>2.2</w:t>
      </w:r>
      <w:r>
        <w:rPr>
          <w:rFonts w:hint="eastAsia" w:ascii="Times New Roman" w:hAnsi="Times New Roman" w:eastAsia="仿宋_GB2312" w:cs="仿宋_GB2312"/>
          <w:sz w:val="32"/>
          <w:szCs w:val="32"/>
        </w:rPr>
        <w:t>万多条，其中动态类信息</w:t>
      </w:r>
      <w:r>
        <w:rPr>
          <w:rFonts w:ascii="Times New Roman" w:hAnsi="Times New Roman" w:eastAsia="仿宋_GB2312" w:cs="Times New Roman"/>
          <w:sz w:val="32"/>
          <w:szCs w:val="32"/>
        </w:rPr>
        <w:t>19317</w:t>
      </w:r>
      <w:r>
        <w:rPr>
          <w:rFonts w:hint="eastAsia" w:ascii="Times New Roman" w:hAnsi="Times New Roman" w:eastAsia="仿宋_GB2312" w:cs="仿宋_GB2312"/>
          <w:sz w:val="32"/>
          <w:szCs w:val="32"/>
        </w:rPr>
        <w:t>条，公开类信息</w:t>
      </w:r>
      <w:r>
        <w:rPr>
          <w:rFonts w:ascii="Times New Roman" w:hAnsi="Times New Roman" w:eastAsia="仿宋_GB2312" w:cs="Times New Roman"/>
          <w:sz w:val="32"/>
          <w:szCs w:val="32"/>
        </w:rPr>
        <w:t>3470</w:t>
      </w:r>
      <w:r>
        <w:rPr>
          <w:rFonts w:hint="eastAsia" w:ascii="Times New Roman" w:hAnsi="Times New Roman" w:eastAsia="仿宋_GB2312" w:cs="仿宋_GB2312"/>
          <w:sz w:val="32"/>
          <w:szCs w:val="32"/>
        </w:rPr>
        <w:t>条，平均每日发布及更新信息</w:t>
      </w:r>
      <w:r>
        <w:rPr>
          <w:rFonts w:ascii="Times New Roman" w:hAnsi="Times New Roman" w:eastAsia="仿宋_GB2312" w:cs="Times New Roman"/>
          <w:sz w:val="32"/>
          <w:szCs w:val="32"/>
        </w:rPr>
        <w:t xml:space="preserve"> 69</w:t>
      </w:r>
      <w:r>
        <w:rPr>
          <w:rFonts w:hint="eastAsia" w:ascii="Times New Roman" w:hAnsi="Times New Roman" w:eastAsia="仿宋_GB2312" w:cs="仿宋_GB2312"/>
          <w:sz w:val="32"/>
          <w:szCs w:val="32"/>
        </w:rPr>
        <w:t>条，推送信息被省政府门户网站采纳</w:t>
      </w:r>
      <w:r>
        <w:rPr>
          <w:rFonts w:ascii="Times New Roman" w:hAnsi="Times New Roman" w:eastAsia="仿宋_GB2312" w:cs="Times New Roman"/>
          <w:sz w:val="32"/>
          <w:szCs w:val="32"/>
        </w:rPr>
        <w:t>280</w:t>
      </w:r>
      <w:r>
        <w:rPr>
          <w:rFonts w:hint="eastAsia" w:ascii="Times New Roman" w:hAnsi="Times New Roman" w:eastAsia="仿宋_GB2312" w:cs="仿宋_GB2312"/>
          <w:sz w:val="32"/>
          <w:szCs w:val="32"/>
        </w:rPr>
        <w:t>条，平均每日采用</w:t>
      </w:r>
      <w:r>
        <w:rPr>
          <w:rFonts w:ascii="Times New Roman" w:hAnsi="Times New Roman" w:eastAsia="仿宋_GB2312" w:cs="Times New Roman"/>
          <w:sz w:val="32"/>
          <w:szCs w:val="32"/>
        </w:rPr>
        <w:t>0.8</w:t>
      </w:r>
      <w:r>
        <w:rPr>
          <w:rFonts w:hint="eastAsia" w:ascii="Times New Roman" w:hAnsi="Times New Roman" w:eastAsia="仿宋_GB2312" w:cs="仿宋_GB2312"/>
          <w:sz w:val="32"/>
          <w:szCs w:val="32"/>
        </w:rPr>
        <w:t>条，信息报送质量得到省政府门户网站认可；全年参加会议和重要活动</w:t>
      </w:r>
      <w:r>
        <w:rPr>
          <w:rFonts w:ascii="Times New Roman" w:hAnsi="Times New Roman" w:eastAsia="仿宋_GB2312" w:cs="Times New Roman"/>
          <w:sz w:val="32"/>
          <w:szCs w:val="32"/>
        </w:rPr>
        <w:t>76</w:t>
      </w:r>
      <w:r>
        <w:rPr>
          <w:rFonts w:hint="eastAsia" w:ascii="Times New Roman" w:hAnsi="Times New Roman" w:eastAsia="仿宋_GB2312" w:cs="仿宋_GB2312"/>
          <w:sz w:val="32"/>
          <w:szCs w:val="32"/>
        </w:rPr>
        <w:t>次，采集图片</w:t>
      </w:r>
      <w:r>
        <w:rPr>
          <w:rFonts w:ascii="Times New Roman" w:hAnsi="Times New Roman" w:eastAsia="仿宋_GB2312" w:cs="Times New Roman"/>
          <w:sz w:val="32"/>
          <w:szCs w:val="32"/>
        </w:rPr>
        <w:t>2541</w:t>
      </w:r>
      <w:r>
        <w:rPr>
          <w:rFonts w:hint="eastAsia" w:ascii="Times New Roman" w:hAnsi="Times New Roman" w:eastAsia="仿宋_GB2312" w:cs="仿宋_GB2312"/>
          <w:sz w:val="32"/>
          <w:szCs w:val="32"/>
        </w:rPr>
        <w:t>张；参加新闻发布会</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场，采集发布实录</w:t>
      </w:r>
      <w:r>
        <w:rPr>
          <w:rFonts w:ascii="Times New Roman" w:hAnsi="Times New Roman" w:eastAsia="仿宋_GB2312" w:cs="Times New Roman"/>
          <w:sz w:val="32"/>
          <w:szCs w:val="32"/>
        </w:rPr>
        <w:t>36</w:t>
      </w:r>
      <w:r>
        <w:rPr>
          <w:rFonts w:hint="eastAsia" w:ascii="Times New Roman" w:hAnsi="Times New Roman" w:eastAsia="仿宋_GB2312" w:cs="仿宋_GB2312"/>
          <w:sz w:val="32"/>
          <w:szCs w:val="32"/>
        </w:rPr>
        <w:t>篇、图片</w:t>
      </w:r>
      <w:r>
        <w:rPr>
          <w:rFonts w:ascii="Times New Roman" w:hAnsi="Times New Roman" w:eastAsia="仿宋_GB2312" w:cs="Times New Roman"/>
          <w:sz w:val="32"/>
          <w:szCs w:val="32"/>
        </w:rPr>
        <w:t>101</w:t>
      </w:r>
      <w:r>
        <w:rPr>
          <w:rFonts w:hint="eastAsia" w:ascii="Times New Roman" w:hAnsi="Times New Roman" w:eastAsia="仿宋_GB2312" w:cs="仿宋_GB2312"/>
          <w:sz w:val="32"/>
          <w:szCs w:val="32"/>
        </w:rPr>
        <w:t>张、视频</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个，较好完成了我市重点工作宣传任务；围绕全市主要工作，新增专题</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个，其中株洲市财政预决算公开专题全方位公开我市财政预决算，得到了省财政厅的肯定；利用新兴媒介，形成了</w:t>
      </w:r>
      <w:r>
        <w:rPr>
          <w:rFonts w:ascii="Times New Roman" w:hAnsi="Times New Roman" w:eastAsia="仿宋_GB2312" w:cs="Times New Roman"/>
          <w:sz w:val="32"/>
          <w:szCs w:val="32"/>
        </w:rPr>
        <w:t>PC</w:t>
      </w:r>
      <w:r>
        <w:rPr>
          <w:rFonts w:hint="eastAsia" w:ascii="Times New Roman" w:hAnsi="Times New Roman" w:eastAsia="仿宋_GB2312" w:cs="仿宋_GB2312"/>
          <w:sz w:val="32"/>
          <w:szCs w:val="32"/>
        </w:rPr>
        <w:t>版、微信版、微博版多方位展示平台，微博、微信累计发布信息</w:t>
      </w:r>
      <w:r>
        <w:rPr>
          <w:rFonts w:ascii="Times New Roman" w:hAnsi="Times New Roman" w:eastAsia="仿宋_GB2312" w:cs="Times New Roman"/>
          <w:sz w:val="32"/>
          <w:szCs w:val="32"/>
        </w:rPr>
        <w:t>1485</w:t>
      </w:r>
      <w:r>
        <w:rPr>
          <w:rFonts w:hint="eastAsia" w:ascii="Times New Roman" w:hAnsi="Times New Roman" w:eastAsia="仿宋_GB2312" w:cs="仿宋_GB2312"/>
          <w:sz w:val="32"/>
          <w:szCs w:val="32"/>
        </w:rPr>
        <w:t>条。</w:t>
      </w:r>
    </w:p>
    <w:p>
      <w:pPr>
        <w:pStyle w:val="2"/>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eastAsia="仿宋_GB2312" w:cs="Times New Roman"/>
          <w:sz w:val="32"/>
          <w:szCs w:val="32"/>
        </w:rPr>
      </w:pPr>
      <w:r>
        <w:rPr>
          <w:rFonts w:hint="eastAsia" w:ascii="仿宋" w:hAnsi="仿宋" w:eastAsia="仿宋" w:cs="仿宋"/>
          <w:sz w:val="32"/>
          <w:szCs w:val="32"/>
        </w:rPr>
        <w:t>二是进一步加强政策解读工作。</w:t>
      </w:r>
      <w:r>
        <w:rPr>
          <w:rFonts w:hint="default" w:ascii="Times New Roman" w:hAnsi="Times New Roman" w:eastAsia="仿宋_GB2312" w:cs="Times New Roman"/>
          <w:b w:val="0"/>
          <w:bCs/>
          <w:sz w:val="32"/>
          <w:szCs w:val="32"/>
          <w:shd w:val="clear" w:color="auto" w:fill="FFFFFF"/>
          <w:lang w:val="en-US" w:eastAsia="zh-CN"/>
        </w:rPr>
        <w:t>201</w:t>
      </w:r>
      <w:r>
        <w:rPr>
          <w:rFonts w:hint="eastAsia" w:ascii="Times New Roman" w:hAnsi="Times New Roman" w:eastAsia="仿宋_GB2312" w:cs="Times New Roman"/>
          <w:b w:val="0"/>
          <w:bCs/>
          <w:sz w:val="32"/>
          <w:szCs w:val="32"/>
          <w:shd w:val="clear" w:color="auto" w:fill="FFFFFF"/>
          <w:lang w:val="en-US" w:eastAsia="zh-CN"/>
        </w:rPr>
        <w:t>9</w:t>
      </w:r>
      <w:r>
        <w:rPr>
          <w:rFonts w:hint="default" w:ascii="Times New Roman" w:hAnsi="Times New Roman" w:eastAsia="仿宋_GB2312" w:cs="Times New Roman"/>
          <w:b w:val="0"/>
          <w:bCs/>
          <w:sz w:val="32"/>
          <w:szCs w:val="32"/>
          <w:shd w:val="clear" w:color="auto" w:fill="FFFFFF"/>
          <w:lang w:val="en-US" w:eastAsia="zh-CN"/>
        </w:rPr>
        <w:t>年，我市认真贯彻执行国务院、省委及省政府出台的重要政策措施文件，结合株洲市实际，切实抓好重要政策解读常态化工作的落实，对重要政策文件进行科学解读，迅速跟进，及时更新内容。确保政策解读与公文办理相关环节的有机融合、有序推进，根据实际及时进行补充解读。</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rPr>
        <w:t>落实</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信息发布主体责任，加强</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信息发布制度建设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履行好重大政策“第一解读人”职责，通过新闻发布会、在线访谈等方式，解读好政策背景、重点任务、后续工作考虑等，及时准确传递权威信息和政策意图。对专业性较强的政策，起草部门注重运用客观数据、生动实例等，进行形象化、通俗化解读，把政策解释</w:t>
      </w:r>
      <w:r>
        <w:rPr>
          <w:rFonts w:hint="default" w:ascii="Times New Roman" w:hAnsi="Times New Roman" w:eastAsia="仿宋_GB2312" w:cs="Times New Roman"/>
          <w:sz w:val="32"/>
          <w:szCs w:val="32"/>
          <w:lang w:eastAsia="zh-CN"/>
        </w:rPr>
        <w:t>更为透彻</w:t>
      </w:r>
      <w:r>
        <w:rPr>
          <w:rFonts w:hint="default" w:ascii="Times New Roman" w:hAnsi="Times New Roman" w:eastAsia="仿宋_GB2312" w:cs="Times New Roman"/>
          <w:sz w:val="32"/>
          <w:szCs w:val="32"/>
        </w:rPr>
        <w:t>。</w:t>
      </w:r>
    </w:p>
    <w:p>
      <w:pPr>
        <w:pStyle w:val="2"/>
        <w:keepNext w:val="0"/>
        <w:keepLines w:val="0"/>
        <w:widowControl/>
        <w:suppressLineNumbers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三是进一步扩大公众参与。我市通过</w:t>
      </w:r>
      <w:r>
        <w:rPr>
          <w:rFonts w:hint="eastAsia" w:ascii="仿宋" w:hAnsi="仿宋" w:eastAsia="仿宋" w:cs="仿宋"/>
          <w:sz w:val="32"/>
          <w:szCs w:val="32"/>
          <w:lang w:eastAsia="zh-CN"/>
        </w:rPr>
        <w:t>株洲市政府门户网站</w:t>
      </w:r>
      <w:r>
        <w:rPr>
          <w:rFonts w:hint="eastAsia" w:ascii="仿宋" w:hAnsi="仿宋" w:eastAsia="仿宋" w:cs="仿宋"/>
          <w:sz w:val="32"/>
          <w:szCs w:val="32"/>
        </w:rPr>
        <w:t>对</w:t>
      </w:r>
      <w:r>
        <w:rPr>
          <w:rFonts w:hint="eastAsia" w:ascii="Times New Roman" w:hAnsi="Times New Roman" w:eastAsia="仿宋_GB2312" w:cs="仿宋_GB2312"/>
          <w:sz w:val="32"/>
          <w:szCs w:val="32"/>
        </w:rPr>
        <w:t>医疗保障、生态环境、气象服务、国土资源、经济普查等</w:t>
      </w:r>
      <w:r>
        <w:rPr>
          <w:rFonts w:ascii="Times New Roman" w:hAnsi="Times New Roman" w:eastAsia="仿宋_GB2312" w:cs="Times New Roman"/>
          <w:sz w:val="32"/>
          <w:szCs w:val="32"/>
        </w:rPr>
        <w:t>2019</w:t>
      </w:r>
      <w:r>
        <w:rPr>
          <w:rFonts w:hint="eastAsia" w:ascii="Times New Roman" w:hAnsi="Times New Roman" w:eastAsia="仿宋_GB2312" w:cs="仿宋_GB2312"/>
          <w:sz w:val="32"/>
          <w:szCs w:val="32"/>
        </w:rPr>
        <w:t>年重点民生工作为主题，组织部门负责人参与录制嘉宾访谈</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期，开展了</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期图文访谈</w:t>
      </w:r>
      <w:r>
        <w:rPr>
          <w:rFonts w:hint="eastAsia" w:ascii="Times New Roman" w:hAnsi="Times New Roman" w:eastAsia="仿宋_GB2312" w:cs="仿宋_GB2312"/>
          <w:sz w:val="32"/>
          <w:szCs w:val="32"/>
          <w:lang w:eastAsia="zh-CN"/>
        </w:rPr>
        <w:t>，</w:t>
      </w:r>
      <w:r>
        <w:rPr>
          <w:rFonts w:hint="eastAsia" w:ascii="仿宋" w:hAnsi="仿宋" w:eastAsia="仿宋" w:cs="仿宋"/>
          <w:sz w:val="32"/>
          <w:szCs w:val="32"/>
        </w:rPr>
        <w:t>增强互动频率，回应民生关切，取得良好效果。</w:t>
      </w:r>
    </w:p>
    <w:p>
      <w:pPr>
        <w:pStyle w:val="2"/>
        <w:keepNext w:val="0"/>
        <w:keepLines w:val="0"/>
        <w:widowControl/>
        <w:suppressLineNumbers w:val="0"/>
        <w:spacing w:before="0" w:beforeAutospacing="0" w:after="0" w:afterAutospacing="0" w:line="520" w:lineRule="atLeast"/>
        <w:ind w:left="0" w:right="0" w:firstLine="643"/>
        <w:jc w:val="both"/>
        <w:rPr>
          <w:rFonts w:hint="default" w:ascii="Calibri" w:hAnsi="Calibri" w:cs="Calibri"/>
          <w:sz w:val="21"/>
          <w:szCs w:val="21"/>
        </w:rPr>
      </w:pPr>
      <w:r>
        <w:rPr>
          <w:rFonts w:hint="eastAsia" w:ascii="楷体" w:hAnsi="楷体" w:eastAsia="楷体" w:cs="楷体"/>
          <w:b/>
          <w:sz w:val="32"/>
          <w:szCs w:val="32"/>
        </w:rPr>
        <w:t>（三）依申请公开办理情况</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u w:val="none"/>
        </w:rPr>
      </w:pPr>
      <w:r>
        <w:rPr>
          <w:rFonts w:hint="default" w:ascii="Times New Roman" w:hAnsi="Times New Roman" w:cs="Times New Roman"/>
          <w:sz w:val="32"/>
          <w:szCs w:val="32"/>
        </w:rPr>
        <w:t>2019</w:t>
      </w:r>
      <w:r>
        <w:rPr>
          <w:rFonts w:hint="eastAsia" w:ascii="仿宋" w:hAnsi="仿宋" w:eastAsia="仿宋" w:cs="仿宋"/>
          <w:sz w:val="32"/>
          <w:szCs w:val="32"/>
        </w:rPr>
        <w:t>年全市共收到政府信息公开申请</w:t>
      </w:r>
      <w:r>
        <w:rPr>
          <w:rFonts w:hint="eastAsia" w:ascii="Times New Roman" w:hAnsi="Times New Roman" w:eastAsia="仿宋" w:cs="Times New Roman"/>
          <w:sz w:val="32"/>
          <w:szCs w:val="32"/>
          <w:lang w:val="en-US" w:eastAsia="zh-CN"/>
        </w:rPr>
        <w:t>569</w:t>
      </w:r>
      <w:r>
        <w:rPr>
          <w:rFonts w:hint="eastAsia" w:ascii="仿宋" w:hAnsi="仿宋" w:eastAsia="仿宋" w:cs="仿宋"/>
          <w:sz w:val="32"/>
          <w:szCs w:val="32"/>
        </w:rPr>
        <w:t>件（含</w:t>
      </w:r>
      <w:r>
        <w:rPr>
          <w:rFonts w:hint="default" w:ascii="Times New Roman" w:hAnsi="Times New Roman" w:cs="Times New Roman"/>
          <w:sz w:val="32"/>
          <w:szCs w:val="32"/>
        </w:rPr>
        <w:t>201</w:t>
      </w:r>
      <w:r>
        <w:rPr>
          <w:rFonts w:hint="eastAsia" w:ascii="Times New Roman" w:hAnsi="Times New Roman" w:cs="Times New Roman"/>
          <w:sz w:val="32"/>
          <w:szCs w:val="32"/>
          <w:lang w:val="en-US" w:eastAsia="zh-CN"/>
        </w:rPr>
        <w:t>9</w:t>
      </w:r>
      <w:r>
        <w:rPr>
          <w:rFonts w:hint="eastAsia" w:ascii="仿宋" w:hAnsi="仿宋" w:eastAsia="仿宋" w:cs="仿宋"/>
          <w:sz w:val="32"/>
          <w:szCs w:val="32"/>
        </w:rPr>
        <w:t>年结转</w:t>
      </w:r>
      <w:r>
        <w:rPr>
          <w:rFonts w:hint="eastAsia" w:ascii="Times New Roman" w:hAnsi="Times New Roman" w:eastAsia="仿宋" w:cs="Times New Roman"/>
          <w:sz w:val="32"/>
          <w:szCs w:val="32"/>
          <w:lang w:val="en-US" w:eastAsia="zh-CN"/>
        </w:rPr>
        <w:t>68</w:t>
      </w:r>
      <w:r>
        <w:rPr>
          <w:rFonts w:hint="eastAsia" w:ascii="仿宋" w:hAnsi="仿宋" w:eastAsia="仿宋" w:cs="仿宋"/>
          <w:sz w:val="32"/>
          <w:szCs w:val="32"/>
        </w:rPr>
        <w:t>件），办结</w:t>
      </w:r>
      <w:r>
        <w:rPr>
          <w:rFonts w:hint="eastAsia" w:ascii="Times New Roman" w:hAnsi="Times New Roman" w:eastAsia="仿宋" w:cs="Times New Roman"/>
          <w:sz w:val="32"/>
          <w:szCs w:val="32"/>
          <w:lang w:val="en-US" w:eastAsia="zh-CN"/>
        </w:rPr>
        <w:t>546</w:t>
      </w:r>
      <w:r>
        <w:rPr>
          <w:rFonts w:hint="eastAsia" w:ascii="仿宋" w:hAnsi="仿宋" w:eastAsia="仿宋" w:cs="仿宋"/>
          <w:sz w:val="32"/>
          <w:szCs w:val="32"/>
        </w:rPr>
        <w:t>件，结转下一年度办理</w:t>
      </w:r>
      <w:r>
        <w:rPr>
          <w:rFonts w:hint="eastAsia" w:ascii="Times New Roman" w:hAnsi="Times New Roman" w:eastAsia="仿宋" w:cs="Times New Roman"/>
          <w:sz w:val="32"/>
          <w:szCs w:val="32"/>
          <w:lang w:val="en-US" w:eastAsia="zh-CN"/>
        </w:rPr>
        <w:t>23</w:t>
      </w:r>
      <w:r>
        <w:rPr>
          <w:rFonts w:hint="eastAsia" w:ascii="仿宋" w:hAnsi="仿宋" w:eastAsia="仿宋" w:cs="仿宋"/>
          <w:sz w:val="32"/>
          <w:szCs w:val="32"/>
        </w:rPr>
        <w:t>件。</w:t>
      </w:r>
      <w:r>
        <w:rPr>
          <w:rFonts w:hint="default" w:ascii="Times New Roman" w:hAnsi="Times New Roman" w:cs="Times New Roman"/>
          <w:sz w:val="32"/>
          <w:szCs w:val="32"/>
          <w:u w:val="none"/>
        </w:rPr>
        <w:t>2019</w:t>
      </w:r>
      <w:r>
        <w:rPr>
          <w:rFonts w:hint="eastAsia" w:ascii="仿宋" w:hAnsi="仿宋" w:eastAsia="仿宋" w:cs="仿宋"/>
          <w:sz w:val="32"/>
          <w:szCs w:val="32"/>
          <w:u w:val="none"/>
        </w:rPr>
        <w:t>年全市因信息公开行政复议案件</w:t>
      </w:r>
      <w:r>
        <w:rPr>
          <w:rFonts w:hint="eastAsia" w:ascii="Times New Roman" w:hAnsi="Times New Roman" w:eastAsia="仿宋" w:cs="Times New Roman"/>
          <w:sz w:val="32"/>
          <w:szCs w:val="32"/>
          <w:u w:val="none"/>
          <w:lang w:val="en-US" w:eastAsia="zh-CN"/>
        </w:rPr>
        <w:t>23</w:t>
      </w:r>
      <w:r>
        <w:rPr>
          <w:rFonts w:hint="eastAsia" w:ascii="仿宋" w:hAnsi="仿宋" w:eastAsia="仿宋" w:cs="仿宋"/>
          <w:sz w:val="32"/>
          <w:szCs w:val="32"/>
          <w:u w:val="none"/>
        </w:rPr>
        <w:t>件，行政诉讼案件</w:t>
      </w:r>
      <w:r>
        <w:rPr>
          <w:rFonts w:hint="eastAsia" w:ascii="Times New Roman" w:hAnsi="Times New Roman" w:eastAsia="仿宋" w:cs="Times New Roman"/>
          <w:sz w:val="32"/>
          <w:szCs w:val="32"/>
          <w:u w:val="none"/>
          <w:lang w:val="en-US" w:eastAsia="zh-CN"/>
        </w:rPr>
        <w:t>42</w:t>
      </w:r>
      <w:r>
        <w:rPr>
          <w:rFonts w:hint="eastAsia" w:ascii="仿宋" w:hAnsi="仿宋" w:eastAsia="仿宋" w:cs="仿宋"/>
          <w:sz w:val="32"/>
          <w:szCs w:val="32"/>
          <w:u w:val="none"/>
        </w:rPr>
        <w:t>件。</w:t>
      </w:r>
    </w:p>
    <w:p>
      <w:pPr>
        <w:pStyle w:val="2"/>
        <w:keepNext w:val="0"/>
        <w:keepLines w:val="0"/>
        <w:widowControl/>
        <w:suppressLineNumbers w:val="0"/>
        <w:spacing w:before="0" w:beforeAutospacing="0" w:after="0" w:afterAutospacing="0" w:line="520" w:lineRule="atLeast"/>
        <w:ind w:left="0" w:right="0" w:firstLine="643"/>
        <w:jc w:val="both"/>
        <w:rPr>
          <w:rFonts w:hint="default" w:ascii="Calibri" w:hAnsi="Calibri" w:cs="Calibri"/>
          <w:sz w:val="21"/>
          <w:szCs w:val="21"/>
        </w:rPr>
      </w:pPr>
      <w:r>
        <w:rPr>
          <w:rFonts w:hint="eastAsia" w:ascii="楷体" w:hAnsi="楷体" w:eastAsia="楷体" w:cs="楷体"/>
          <w:b/>
          <w:sz w:val="32"/>
          <w:szCs w:val="32"/>
        </w:rPr>
        <w:t>（四）政府信息管理</w:t>
      </w:r>
    </w:p>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645"/>
        <w:jc w:val="both"/>
        <w:textAlignment w:val="auto"/>
        <w:outlineLvl w:val="9"/>
        <w:rPr>
          <w:rFonts w:hint="default" w:ascii="Times New Roman" w:hAnsi="Times New Roman" w:eastAsia="仿宋_GB2312" w:cs="Times New Roman"/>
          <w:color w:val="000000"/>
          <w:sz w:val="32"/>
          <w:szCs w:val="32"/>
          <w:shd w:val="clear" w:fill="FFFFFF"/>
        </w:rPr>
      </w:pPr>
      <w:r>
        <w:rPr>
          <w:rFonts w:hint="default" w:ascii="Times New Roman" w:hAnsi="Times New Roman" w:eastAsia="仿宋_GB2312" w:cs="Times New Roman"/>
          <w:color w:val="000000"/>
          <w:sz w:val="32"/>
          <w:szCs w:val="32"/>
          <w:shd w:val="clear" w:fill="FFFFFF"/>
        </w:rPr>
        <w:t>一是确立了政府信息公开三大原则：“公开是常态，不公开是例外”原则：凡是能够公开的，都要公开；“谁批准，谁公开；谁实施，谁公开；谁制作，谁公开；谁保存，谁公开”原则：公开的主体为产生或掌握该政府信息的直接相关方；“公正、公平、合法、便民”原则：为公民、法人或其他组织依法获取政府信息，切实保障其知情权、参与权、表达权、监督权提供便利。二是明确了各种不同类型政府信息的公开时限：属于主动公开范围的政府信息，自该政府信息形成或变更之日起20个工作日内公开。</w:t>
      </w:r>
    </w:p>
    <w:p>
      <w:pPr>
        <w:pStyle w:val="2"/>
        <w:keepNext w:val="0"/>
        <w:keepLines w:val="0"/>
        <w:widowControl/>
        <w:suppressLineNumbers w:val="0"/>
        <w:spacing w:before="0" w:beforeAutospacing="0" w:after="0" w:afterAutospacing="0" w:line="520" w:lineRule="atLeast"/>
        <w:ind w:left="0" w:right="0" w:firstLine="643"/>
        <w:jc w:val="both"/>
        <w:rPr>
          <w:rFonts w:hint="default" w:ascii="Calibri" w:hAnsi="Calibri" w:cs="Calibri"/>
          <w:sz w:val="21"/>
          <w:szCs w:val="21"/>
        </w:rPr>
      </w:pPr>
      <w:r>
        <w:rPr>
          <w:rFonts w:hint="eastAsia" w:ascii="楷体" w:hAnsi="楷体" w:eastAsia="楷体" w:cs="楷体"/>
          <w:b/>
          <w:sz w:val="32"/>
          <w:szCs w:val="32"/>
        </w:rPr>
        <w:t>（五）政府信息公开平台建设</w:t>
      </w:r>
    </w:p>
    <w:p>
      <w:pPr>
        <w:keepNext w:val="0"/>
        <w:keepLines w:val="0"/>
        <w:pageBreakBefore w:val="0"/>
        <w:kinsoku/>
        <w:wordWrap/>
        <w:overflowPunct/>
        <w:topLinePunct w:val="0"/>
        <w:autoSpaceDE/>
        <w:autoSpaceDN/>
        <w:bidi w:val="0"/>
        <w:adjustRightInd/>
        <w:spacing w:line="580" w:lineRule="exact"/>
        <w:ind w:left="0" w:leftChars="0" w:right="0" w:rightChars="0" w:firstLine="640"/>
        <w:textAlignment w:val="auto"/>
        <w:outlineLvl w:val="9"/>
        <w:rPr>
          <w:rFonts w:hint="default" w:ascii="Calibri" w:hAnsi="Calibri" w:cs="Calibri"/>
          <w:sz w:val="21"/>
          <w:szCs w:val="21"/>
        </w:rPr>
      </w:pPr>
      <w:r>
        <w:rPr>
          <w:rFonts w:hint="eastAsia" w:ascii="仿宋" w:hAnsi="仿宋" w:eastAsia="仿宋" w:cs="仿宋"/>
          <w:sz w:val="32"/>
          <w:szCs w:val="32"/>
        </w:rPr>
        <w:t>一是主动开展全市政务新媒体的规范管理工作。</w:t>
      </w:r>
      <w:r>
        <w:rPr>
          <w:rFonts w:hint="default" w:ascii="Times New Roman" w:hAnsi="Times New Roman" w:cs="Times New Roman"/>
          <w:sz w:val="32"/>
          <w:szCs w:val="32"/>
        </w:rPr>
        <w:t>2019</w:t>
      </w:r>
      <w:r>
        <w:rPr>
          <w:rFonts w:hint="eastAsia" w:ascii="仿宋" w:hAnsi="仿宋" w:eastAsia="仿宋" w:cs="仿宋"/>
          <w:sz w:val="32"/>
          <w:szCs w:val="32"/>
        </w:rPr>
        <w:t>年我市进一步理顺工作机制，配齐配强政务新媒体工作人员，强化政务新媒体常态化监管，开展规范清理整合工作，集中力量做优做强了一批优质精品账号</w:t>
      </w:r>
      <w:r>
        <w:rPr>
          <w:rFonts w:hint="eastAsia" w:ascii="仿宋" w:hAnsi="仿宋" w:eastAsia="仿宋" w:cs="仿宋"/>
          <w:sz w:val="32"/>
          <w:szCs w:val="32"/>
          <w:lang w:eastAsia="zh-CN"/>
        </w:rPr>
        <w:t>。二</w:t>
      </w:r>
      <w:r>
        <w:rPr>
          <w:rFonts w:hint="default" w:ascii="Times New Roman" w:hAnsi="Times New Roman" w:eastAsia="仿宋_GB2312" w:cs="Times New Roman"/>
          <w:color w:val="000000"/>
          <w:sz w:val="32"/>
          <w:szCs w:val="32"/>
          <w:shd w:val="clear" w:fill="FFFFFF"/>
        </w:rPr>
        <w:t>是建强政府网站。</w:t>
      </w:r>
      <w:r>
        <w:rPr>
          <w:rFonts w:hint="default" w:ascii="Times New Roman" w:hAnsi="Times New Roman" w:eastAsia="仿宋_GB2312" w:cs="Times New Roman"/>
          <w:sz w:val="32"/>
          <w:szCs w:val="32"/>
        </w:rPr>
        <w:t>按照国办和省办要求，我市将网站集约化工作与全市政府网站群改版工作相结合，纳入株洲市互联网+政务服务的项目实施范围，作为其中的一项工作。目前，辖区政府网站已全部迁移到市级内容发布平台，实现了“一市一平台”。</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color w:val="000000"/>
          <w:sz w:val="32"/>
          <w:szCs w:val="32"/>
          <w:shd w:val="clear" w:fill="FFFFFF"/>
        </w:rPr>
        <w:t>是编好政府公报。市政府办每月编辑1期《</w:t>
      </w:r>
      <w:r>
        <w:rPr>
          <w:rFonts w:hint="default" w:ascii="Times New Roman" w:hAnsi="Times New Roman" w:eastAsia="仿宋_GB2312" w:cs="Times New Roman"/>
          <w:color w:val="000000"/>
          <w:sz w:val="32"/>
          <w:szCs w:val="32"/>
          <w:shd w:val="clear" w:fill="FFFFFF"/>
          <w:lang w:eastAsia="zh-CN"/>
        </w:rPr>
        <w:t>株洲市</w:t>
      </w:r>
      <w:r>
        <w:rPr>
          <w:rFonts w:hint="default" w:ascii="Times New Roman" w:hAnsi="Times New Roman" w:eastAsia="仿宋_GB2312" w:cs="Times New Roman"/>
          <w:color w:val="000000"/>
          <w:sz w:val="32"/>
          <w:szCs w:val="32"/>
          <w:shd w:val="clear" w:fill="FFFFFF"/>
        </w:rPr>
        <w:t>人民政府公报》，主要刊登市委、市政府主要领导讲话，市政府规章、规范性文件，市政府工作部门规范性文件，相关解读材料。</w:t>
      </w:r>
      <w:r>
        <w:rPr>
          <w:rFonts w:hint="default" w:ascii="Times New Roman" w:hAnsi="Times New Roman" w:eastAsia="仿宋_GB2312" w:cs="Times New Roman"/>
          <w:color w:val="000000"/>
          <w:sz w:val="32"/>
          <w:szCs w:val="32"/>
          <w:shd w:val="clear" w:fill="FFFFFF"/>
          <w:lang w:eastAsia="zh-CN"/>
        </w:rPr>
        <w:t>四是回应社会关切。</w:t>
      </w:r>
      <w:r>
        <w:rPr>
          <w:rFonts w:hint="default" w:ascii="Times New Roman" w:hAnsi="Times New Roman" w:eastAsia="仿宋_GB2312" w:cs="Times New Roman"/>
          <w:color w:val="000000"/>
          <w:sz w:val="32"/>
          <w:szCs w:val="32"/>
          <w:shd w:val="clear" w:fill="FFFFFF"/>
        </w:rPr>
        <w:t>为</w:t>
      </w:r>
      <w:r>
        <w:rPr>
          <w:rFonts w:hint="default" w:ascii="Times New Roman" w:hAnsi="Times New Roman" w:eastAsia="仿宋_GB2312" w:cs="Times New Roman"/>
          <w:sz w:val="32"/>
          <w:szCs w:val="32"/>
        </w:rPr>
        <w:t>进一步做好涉及我市政府网站的网民留言办理工作，规范留言办理程序，提高办理质量。</w:t>
      </w:r>
      <w:r>
        <w:rPr>
          <w:rFonts w:hint="eastAsia"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rPr>
        <w:t>共收到网民留言61起，已全部按时办结，回复率达到100%。</w:t>
      </w:r>
    </w:p>
    <w:p>
      <w:pPr>
        <w:pStyle w:val="2"/>
        <w:keepNext w:val="0"/>
        <w:keepLines w:val="0"/>
        <w:widowControl/>
        <w:suppressLineNumbers w:val="0"/>
        <w:spacing w:before="0" w:beforeAutospacing="0" w:after="0" w:afterAutospacing="0" w:line="520" w:lineRule="atLeast"/>
        <w:ind w:left="0" w:right="0" w:firstLine="643"/>
        <w:jc w:val="both"/>
        <w:rPr>
          <w:rFonts w:hint="default" w:ascii="Calibri" w:hAnsi="Calibri" w:cs="Calibri"/>
          <w:sz w:val="21"/>
          <w:szCs w:val="21"/>
        </w:rPr>
      </w:pPr>
      <w:r>
        <w:rPr>
          <w:rFonts w:hint="eastAsia" w:ascii="楷体" w:hAnsi="楷体" w:eastAsia="楷体" w:cs="楷体"/>
          <w:b/>
          <w:sz w:val="32"/>
          <w:szCs w:val="32"/>
        </w:rPr>
        <w:t>（六）政府信息公开监督保障情况</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Times New Roman" w:hAnsi="Times New Roman" w:cs="Times New Roman"/>
          <w:sz w:val="32"/>
          <w:szCs w:val="32"/>
        </w:rPr>
        <w:t> </w:t>
      </w:r>
      <w:r>
        <w:rPr>
          <w:rFonts w:hint="eastAsia" w:ascii="仿宋" w:hAnsi="仿宋" w:eastAsia="仿宋" w:cs="仿宋"/>
          <w:sz w:val="32"/>
          <w:szCs w:val="32"/>
        </w:rPr>
        <w:t>一是强化组织领导。在市政府办公室专门设立了政务公开办公室，承担全市政府信息与政务公开、政务新媒体发展的指导、协调和监督工作，承担市政府、市政府办公室政府信息公开工作，组织市政府重大政策解读和问答，负责办理政府信息和政务公开等方面的文稿起草、文电会务和督查调研工作。各</w:t>
      </w:r>
      <w:r>
        <w:rPr>
          <w:rFonts w:hint="eastAsia" w:ascii="仿宋" w:hAnsi="仿宋" w:eastAsia="仿宋" w:cs="仿宋"/>
          <w:sz w:val="32"/>
          <w:szCs w:val="32"/>
          <w:lang w:eastAsia="zh-CN"/>
        </w:rPr>
        <w:t>县市区、</w:t>
      </w:r>
      <w:r>
        <w:rPr>
          <w:rFonts w:hint="eastAsia" w:ascii="仿宋" w:hAnsi="仿宋" w:eastAsia="仿宋" w:cs="仿宋"/>
          <w:sz w:val="32"/>
          <w:szCs w:val="32"/>
        </w:rPr>
        <w:t>各部门也明确了分管领导和具体承担工作的部门。</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sz w:val="32"/>
          <w:szCs w:val="32"/>
          <w:lang w:eastAsia="zh-CN"/>
        </w:rPr>
        <w:t>二</w:t>
      </w:r>
      <w:r>
        <w:rPr>
          <w:rFonts w:hint="eastAsia" w:ascii="仿宋" w:hAnsi="仿宋" w:eastAsia="仿宋" w:cs="仿宋"/>
          <w:sz w:val="32"/>
          <w:szCs w:val="32"/>
        </w:rPr>
        <w:t>是加大考核力度。</w:t>
      </w:r>
      <w:r>
        <w:rPr>
          <w:rFonts w:hint="default" w:ascii="Times New Roman" w:hAnsi="Times New Roman" w:cs="Times New Roman"/>
          <w:sz w:val="32"/>
          <w:szCs w:val="32"/>
        </w:rPr>
        <w:t>2019</w:t>
      </w:r>
      <w:r>
        <w:rPr>
          <w:rFonts w:hint="eastAsia" w:ascii="仿宋" w:hAnsi="仿宋" w:eastAsia="仿宋" w:cs="仿宋"/>
          <w:sz w:val="32"/>
          <w:szCs w:val="32"/>
        </w:rPr>
        <w:t>年政务公开工作纳入了我市各行政机关绩效考核指标。</w:t>
      </w:r>
      <w:r>
        <w:rPr>
          <w:rFonts w:hint="default" w:ascii="Times New Roman" w:hAnsi="Times New Roman" w:cs="Times New Roman"/>
          <w:sz w:val="32"/>
          <w:szCs w:val="32"/>
        </w:rPr>
        <w:t>12</w:t>
      </w:r>
      <w:r>
        <w:rPr>
          <w:rFonts w:hint="eastAsia" w:ascii="仿宋" w:hAnsi="仿宋" w:eastAsia="仿宋" w:cs="仿宋"/>
          <w:sz w:val="32"/>
          <w:szCs w:val="32"/>
        </w:rPr>
        <w:t>月份，我市通过查阅工作台帐、核实工作数据、现场实地考核等方式，对全市</w:t>
      </w:r>
      <w:r>
        <w:rPr>
          <w:rFonts w:hint="eastAsia" w:ascii="仿宋" w:hAnsi="仿宋" w:eastAsia="仿宋" w:cs="仿宋"/>
          <w:sz w:val="32"/>
          <w:szCs w:val="32"/>
          <w:lang w:eastAsia="zh-CN"/>
        </w:rPr>
        <w:t>全年</w:t>
      </w:r>
      <w:r>
        <w:rPr>
          <w:rFonts w:hint="eastAsia" w:ascii="仿宋" w:hAnsi="仿宋" w:eastAsia="仿宋" w:cs="仿宋"/>
          <w:sz w:val="32"/>
          <w:szCs w:val="32"/>
        </w:rPr>
        <w:t>政务公开工作进行考核评分，评分结果作为相关单位政务公开工作绩效得分纳入全年绩效考核。</w:t>
      </w:r>
    </w:p>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645"/>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shd w:val="clear" w:fill="FFFFFF"/>
        </w:rPr>
        <w:t>二、主动公开政府信息情况</w:t>
      </w:r>
    </w:p>
    <w:tbl>
      <w:tblPr>
        <w:tblStyle w:val="12"/>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18"/>
        <w:gridCol w:w="15"/>
        <w:gridCol w:w="1905"/>
        <w:gridCol w:w="1980"/>
        <w:gridCol w:w="2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7" w:hRule="atLeast"/>
        </w:trPr>
        <w:tc>
          <w:tcPr>
            <w:tcW w:w="8514"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本年新制作数量</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本年新公开数量</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规章</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规范性文件</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134</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134</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2" w:hRule="atLeast"/>
        </w:trPr>
        <w:tc>
          <w:tcPr>
            <w:tcW w:w="8514"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上一年项目数量</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本年增/减</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7"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行政许可</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360</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0</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312998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其他对外管理服务事项</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585</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0</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1245386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8514"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上一年项目数量</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本年增/减</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行政处罚</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8337</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1107</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9315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25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行政强制</w:t>
            </w:r>
          </w:p>
        </w:tc>
        <w:tc>
          <w:tcPr>
            <w:tcW w:w="192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800</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-95</w:t>
            </w:r>
          </w:p>
        </w:tc>
        <w:tc>
          <w:tcPr>
            <w:tcW w:w="209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8514"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2533"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上一年项目数量</w:t>
            </w:r>
          </w:p>
        </w:tc>
        <w:tc>
          <w:tcPr>
            <w:tcW w:w="407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2533"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行政事业性收费</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1163</w:t>
            </w:r>
          </w:p>
        </w:tc>
        <w:tc>
          <w:tcPr>
            <w:tcW w:w="407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8514"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2533"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采购项目数量</w:t>
            </w:r>
          </w:p>
        </w:tc>
        <w:tc>
          <w:tcPr>
            <w:tcW w:w="407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2533"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政府集中采购</w:t>
            </w:r>
          </w:p>
        </w:tc>
        <w:tc>
          <w:tcPr>
            <w:tcW w:w="19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eastAsia" w:ascii="Times New Roman" w:hAnsi="Times New Roman" w:eastAsia="宋体" w:cs="Times New Roman"/>
                <w:color w:val="000000"/>
                <w:sz w:val="24"/>
                <w:szCs w:val="24"/>
                <w:lang w:val="en-US" w:eastAsia="zh-CN"/>
              </w:rPr>
              <w:t>119652</w:t>
            </w:r>
          </w:p>
        </w:tc>
        <w:tc>
          <w:tcPr>
            <w:tcW w:w="407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eastAsia" w:ascii="Times New Roman" w:hAnsi="Times New Roman" w:eastAsia="宋体" w:cs="Times New Roman"/>
                <w:color w:val="000000"/>
                <w:sz w:val="24"/>
                <w:szCs w:val="24"/>
                <w:lang w:val="en-US" w:eastAsia="zh-CN"/>
              </w:rPr>
              <w:t>19.07亿</w:t>
            </w:r>
            <w:r>
              <w:rPr>
                <w:rFonts w:hint="default" w:ascii="Times New Roman" w:hAnsi="Times New Roman" w:eastAsia="宋体" w:cs="Times New Roman"/>
                <w:color w:val="000000"/>
                <w:sz w:val="24"/>
                <w:szCs w:val="24"/>
              </w:rPr>
              <w:t>元</w:t>
            </w:r>
          </w:p>
        </w:tc>
      </w:tr>
    </w:tbl>
    <w:p>
      <w:pPr>
        <w:pStyle w:val="2"/>
        <w:keepNext w:val="0"/>
        <w:keepLines w:val="0"/>
        <w:widowControl/>
        <w:suppressLineNumbers w:val="0"/>
        <w:spacing w:before="0" w:beforeAutospacing="0" w:after="300" w:afterAutospacing="0" w:line="450" w:lineRule="atLeast"/>
        <w:ind w:left="0" w:right="0"/>
        <w:jc w:val="left"/>
        <w:rPr>
          <w:rFonts w:hint="default" w:ascii="Times New Roman" w:hAnsi="Times New Roman" w:cs="Times New Roman"/>
        </w:rPr>
      </w:pPr>
      <w:r>
        <w:rPr>
          <w:rFonts w:hint="default" w:ascii="Times New Roman" w:hAnsi="Times New Roman" w:eastAsia="宋体" w:cs="Times New Roman"/>
          <w:color w:val="000000"/>
          <w:sz w:val="24"/>
          <w:szCs w:val="24"/>
          <w:shd w:val="clear" w:fill="FFFFFF"/>
        </w:rPr>
        <w:t>注：因机构改革职能调整，行政许可、行政处罚、行政强制等信息已相应迁出。</w:t>
      </w:r>
    </w:p>
    <w:p>
      <w:pPr>
        <w:pStyle w:val="2"/>
        <w:keepNext w:val="0"/>
        <w:keepLines w:val="0"/>
        <w:widowControl/>
        <w:suppressLineNumbers w:val="0"/>
        <w:spacing w:before="0" w:beforeAutospacing="0" w:after="300" w:afterAutospacing="0" w:line="450" w:lineRule="atLeast"/>
        <w:ind w:left="0" w:right="0" w:firstLine="645"/>
        <w:jc w:val="left"/>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shd w:val="clear" w:fill="FFFFFF"/>
        </w:rPr>
        <w:t>三、收到和处理政府信息公开申请情况</w:t>
      </w:r>
    </w:p>
    <w:tbl>
      <w:tblPr>
        <w:tblStyle w:val="12"/>
        <w:tblW w:w="9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6"/>
        <w:gridCol w:w="932"/>
        <w:gridCol w:w="1982"/>
        <w:gridCol w:w="779"/>
        <w:gridCol w:w="720"/>
        <w:gridCol w:w="720"/>
        <w:gridCol w:w="780"/>
        <w:gridCol w:w="1045"/>
        <w:gridCol w:w="912"/>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350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50" w:lineRule="atLeast"/>
              <w:ind w:left="0" w:right="0"/>
              <w:jc w:val="center"/>
              <w:rPr>
                <w:rFonts w:hint="default" w:ascii="Times New Roman" w:hAnsi="Times New Roman" w:eastAsia="微软雅黑" w:cs="Times New Roman"/>
                <w:color w:val="333333"/>
                <w:sz w:val="21"/>
                <w:szCs w:val="21"/>
              </w:rPr>
            </w:pPr>
          </w:p>
        </w:tc>
        <w:tc>
          <w:tcPr>
            <w:tcW w:w="5554"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35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77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自然人</w:t>
            </w:r>
          </w:p>
        </w:tc>
        <w:tc>
          <w:tcPr>
            <w:tcW w:w="4177"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法人或其他组织</w:t>
            </w:r>
          </w:p>
        </w:tc>
        <w:tc>
          <w:tcPr>
            <w:tcW w:w="59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1" w:hRule="atLeast"/>
        </w:trPr>
        <w:tc>
          <w:tcPr>
            <w:tcW w:w="35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77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商业企业</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科研机构</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社会公益组织</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法律服务机构</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其他</w:t>
            </w:r>
          </w:p>
        </w:tc>
        <w:tc>
          <w:tcPr>
            <w:tcW w:w="59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4" w:hRule="atLeast"/>
        </w:trPr>
        <w:tc>
          <w:tcPr>
            <w:tcW w:w="350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一、本年新收政府信息公开申请数量</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439</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17</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35</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7</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0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二、上年结转政府信息公开申请数量</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42</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25</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三</w:t>
            </w:r>
          </w:p>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w:t>
            </w:r>
          </w:p>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本年度办理结果</w:t>
            </w:r>
          </w:p>
        </w:tc>
        <w:tc>
          <w:tcPr>
            <w:tcW w:w="291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（一）予以公开</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247</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7</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43</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7</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1</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291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（二）部分公开（区分处理的，只计这一情形，不计其他情形）</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（三）不予公开</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1.属于国家秘密</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2.其他法律行政法规禁止公开</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3.危及“三安全一稳定”</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4.保护第三方合法权益</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5.属于三类内部事务信息</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6.属于四类过程性信息</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7.属于行政执法案卷</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8.属于行政查询事项</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（四）无法提供</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1.本机关不掌握相关政府信息</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109</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2</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2.没有现成信息需要另行制作</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3.申请内容不明确</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（五）不予处理</w:t>
            </w: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1.信访举报投诉类申请</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2.重复申请</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8</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3.要求提供公开出版物</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4.无正当理由大量反复申请</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1"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932"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198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5.要求行政机关确认或重新出具已获取信息</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291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（六）其他处理</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586"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2914"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（七）总计</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458</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18</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60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7</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3</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350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四、结转下年度继续办理</w:t>
            </w:r>
          </w:p>
        </w:tc>
        <w:tc>
          <w:tcPr>
            <w:tcW w:w="77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23</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0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91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9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23</w:t>
            </w:r>
          </w:p>
        </w:tc>
      </w:tr>
    </w:tbl>
    <w:p>
      <w:pPr>
        <w:pStyle w:val="2"/>
        <w:keepNext w:val="0"/>
        <w:keepLines w:val="0"/>
        <w:widowControl/>
        <w:suppressLineNumbers w:val="0"/>
        <w:spacing w:before="0" w:beforeAutospacing="0" w:after="300" w:afterAutospacing="0" w:line="450" w:lineRule="atLeast"/>
        <w:ind w:left="0" w:right="0"/>
        <w:jc w:val="left"/>
        <w:rPr>
          <w:rFonts w:hint="default" w:ascii="Times New Roman" w:hAnsi="Times New Roman" w:cs="Times New Roman"/>
        </w:rPr>
      </w:pPr>
      <w:r>
        <w:rPr>
          <w:rFonts w:hint="default" w:ascii="Times New Roman" w:hAnsi="Times New Roman" w:eastAsia="宋体" w:cs="Times New Roman"/>
          <w:color w:val="000000"/>
          <w:sz w:val="24"/>
          <w:szCs w:val="24"/>
          <w:shd w:val="clear" w:fill="FFFFFF"/>
        </w:rPr>
        <w:t>注：因多数依申请公开件并非“一事一申请”，一件申请中往往有多个申请事项，故“办理结果”的数量大于收到申请件的数量。</w:t>
      </w:r>
    </w:p>
    <w:p>
      <w:pPr>
        <w:pStyle w:val="2"/>
        <w:keepNext w:val="0"/>
        <w:keepLines w:val="0"/>
        <w:widowControl/>
        <w:suppressLineNumbers w:val="0"/>
        <w:spacing w:before="0" w:beforeAutospacing="0" w:after="300" w:afterAutospacing="0" w:line="495" w:lineRule="atLeast"/>
        <w:ind w:left="0" w:right="0" w:firstLine="645"/>
        <w:jc w:val="both"/>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shd w:val="clear" w:fill="FFFFFF"/>
        </w:rPr>
        <w:t>四、政府信息公开行政复议、行政诉讼情况</w:t>
      </w:r>
    </w:p>
    <w:tbl>
      <w:tblPr>
        <w:tblStyle w:val="12"/>
        <w:tblW w:w="9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9"/>
        <w:gridCol w:w="569"/>
        <w:gridCol w:w="569"/>
        <w:gridCol w:w="569"/>
        <w:gridCol w:w="660"/>
        <w:gridCol w:w="525"/>
        <w:gridCol w:w="585"/>
        <w:gridCol w:w="585"/>
        <w:gridCol w:w="585"/>
        <w:gridCol w:w="585"/>
        <w:gridCol w:w="585"/>
        <w:gridCol w:w="585"/>
        <w:gridCol w:w="585"/>
        <w:gridCol w:w="585"/>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2936"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行政复议</w:t>
            </w:r>
          </w:p>
        </w:tc>
        <w:tc>
          <w:tcPr>
            <w:tcW w:w="6111"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结果维持</w:t>
            </w:r>
          </w:p>
        </w:tc>
        <w:tc>
          <w:tcPr>
            <w:tcW w:w="56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结果纠正</w:t>
            </w:r>
          </w:p>
        </w:tc>
        <w:tc>
          <w:tcPr>
            <w:tcW w:w="56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驳回申请</w:t>
            </w:r>
          </w:p>
        </w:tc>
        <w:tc>
          <w:tcPr>
            <w:tcW w:w="56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尚未审结</w:t>
            </w:r>
          </w:p>
        </w:tc>
        <w:tc>
          <w:tcPr>
            <w:tcW w:w="66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总计</w:t>
            </w:r>
          </w:p>
        </w:tc>
        <w:tc>
          <w:tcPr>
            <w:tcW w:w="286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未经复议直接起诉</w:t>
            </w:r>
          </w:p>
        </w:tc>
        <w:tc>
          <w:tcPr>
            <w:tcW w:w="3246"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 w:hRule="atLeast"/>
        </w:trPr>
        <w:tc>
          <w:tcPr>
            <w:tcW w:w="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56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56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56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66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jc w:val="center"/>
              <w:rPr>
                <w:rFonts w:hint="default" w:ascii="Times New Roman" w:hAnsi="Times New Roman" w:eastAsia="微软雅黑" w:cs="Times New Roman"/>
                <w:color w:val="333333"/>
                <w:sz w:val="21"/>
                <w:szCs w:val="21"/>
              </w:rPr>
            </w:pP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结果维持</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结果纠正</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其他结果</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尚未审结</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总计</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结果维持</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结果纠正</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驳回起诉</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尚未审结</w:t>
            </w:r>
          </w:p>
        </w:tc>
        <w:tc>
          <w:tcPr>
            <w:tcW w:w="90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5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6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w:t>
            </w:r>
          </w:p>
        </w:tc>
        <w:tc>
          <w:tcPr>
            <w:tcW w:w="56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20</w:t>
            </w:r>
          </w:p>
        </w:tc>
        <w:tc>
          <w:tcPr>
            <w:tcW w:w="56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23</w:t>
            </w:r>
          </w:p>
        </w:tc>
        <w:tc>
          <w:tcPr>
            <w:tcW w:w="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35</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3</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eastAsia"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eastAsia" w:ascii="Times New Roman" w:hAnsi="Times New Roman" w:eastAsia="宋体" w:cs="Times New Roman"/>
                <w:color w:val="000000"/>
                <w:sz w:val="24"/>
                <w:szCs w:val="24"/>
                <w:lang w:val="en-US" w:eastAsia="zh-CN"/>
              </w:rPr>
              <w:t>42</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0</w:t>
            </w:r>
          </w:p>
        </w:tc>
        <w:tc>
          <w:tcPr>
            <w:tcW w:w="90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spacing w:before="0" w:beforeAutospacing="0" w:after="0" w:afterAutospacing="0" w:line="240" w:lineRule="atLeast"/>
              <w:ind w:left="0" w:right="0" w:firstLine="0"/>
              <w:jc w:val="center"/>
              <w:rPr>
                <w:rFonts w:hint="default" w:ascii="Times New Roman" w:hAnsi="Times New Roman" w:cs="Times New Roman" w:eastAsiaTheme="minorEastAsia"/>
                <w:lang w:eastAsia="zh-CN"/>
              </w:rPr>
            </w:pPr>
            <w:r>
              <w:rPr>
                <w:rFonts w:hint="default" w:ascii="Times New Roman" w:hAnsi="Times New Roman" w:eastAsia="宋体" w:cs="Times New Roman"/>
                <w:color w:val="000000"/>
                <w:sz w:val="24"/>
                <w:szCs w:val="24"/>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45"/>
        <w:jc w:val="both"/>
        <w:textAlignment w:val="auto"/>
        <w:outlineLvl w:val="9"/>
        <w:rPr>
          <w:rFonts w:hint="default" w:ascii="Times New Roman" w:hAnsi="Times New Roman" w:eastAsia="黑体" w:cs="Times New Roman"/>
          <w:color w:val="000000"/>
          <w:sz w:val="32"/>
          <w:szCs w:val="32"/>
          <w:shd w:val="clear" w:fill="FFFFFF"/>
        </w:rPr>
      </w:pPr>
    </w:p>
    <w:p>
      <w:pPr>
        <w:pStyle w:val="2"/>
        <w:keepNext w:val="0"/>
        <w:keepLines w:val="0"/>
        <w:widowControl/>
        <w:suppressLineNumbers w:val="0"/>
        <w:spacing w:before="0" w:beforeAutospacing="0" w:after="0" w:afterAutospacing="0" w:line="520" w:lineRule="atLeast"/>
        <w:ind w:left="0" w:right="0" w:firstLine="640"/>
        <w:jc w:val="both"/>
        <w:rPr>
          <w:rFonts w:ascii="Calibri" w:hAnsi="Calibri" w:cs="Calibri"/>
          <w:sz w:val="21"/>
          <w:szCs w:val="21"/>
        </w:rPr>
      </w:pPr>
      <w:r>
        <w:rPr>
          <w:rFonts w:ascii="黑体" w:hAnsi="宋体" w:eastAsia="黑体" w:cs="黑体"/>
          <w:sz w:val="32"/>
          <w:szCs w:val="32"/>
        </w:rPr>
        <w:t>五、存在的主要问题及改进情况</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Times New Roman" w:hAnsi="Times New Roman" w:cs="Times New Roman"/>
          <w:sz w:val="32"/>
          <w:szCs w:val="32"/>
        </w:rPr>
        <w:t>2019</w:t>
      </w:r>
      <w:r>
        <w:rPr>
          <w:rFonts w:ascii="仿宋" w:hAnsi="仿宋" w:eastAsia="仿宋" w:cs="仿宋"/>
          <w:sz w:val="32"/>
          <w:szCs w:val="32"/>
        </w:rPr>
        <w:t>年我市的政府信息公开工作虽然取得了一定的成绩。但是与新《条例》的要求相比，与人民群众的期望和需求相比，仍然存在一定的不足：</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一是基层从事政务公开工作的人员队伍还不够稳定，流动性较大，从事政务公开具体业务的工作人员能力需继续加强；二是少数单位政务公开基础工作还不够扎实，落实新《条例》的相关要求还浮于表面；三是政务新媒体的监督管理工作还需要进一步强化。</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default" w:ascii="Times New Roman" w:hAnsi="Times New Roman" w:cs="Times New Roman"/>
          <w:sz w:val="32"/>
          <w:szCs w:val="32"/>
        </w:rPr>
        <w:t>2020</w:t>
      </w:r>
      <w:r>
        <w:rPr>
          <w:rFonts w:hint="eastAsia" w:ascii="仿宋" w:hAnsi="仿宋" w:eastAsia="仿宋" w:cs="仿宋"/>
          <w:sz w:val="32"/>
          <w:szCs w:val="32"/>
        </w:rPr>
        <w:t>年，我市将坚持以习近平新时代中国特色社会主义思想为指导，认真贯彻落实国</w:t>
      </w:r>
      <w:r>
        <w:rPr>
          <w:rFonts w:hint="eastAsia" w:ascii="仿宋" w:hAnsi="仿宋" w:eastAsia="仿宋" w:cs="仿宋"/>
          <w:sz w:val="32"/>
          <w:szCs w:val="32"/>
          <w:lang w:eastAsia="zh-CN"/>
        </w:rPr>
        <w:t>务院、</w:t>
      </w:r>
      <w:r>
        <w:rPr>
          <w:rFonts w:hint="eastAsia" w:ascii="仿宋" w:hAnsi="仿宋" w:eastAsia="仿宋" w:cs="仿宋"/>
          <w:sz w:val="32"/>
          <w:szCs w:val="32"/>
        </w:rPr>
        <w:t>省</w:t>
      </w:r>
      <w:r>
        <w:rPr>
          <w:rFonts w:hint="eastAsia" w:ascii="仿宋" w:hAnsi="仿宋" w:eastAsia="仿宋" w:cs="仿宋"/>
          <w:sz w:val="32"/>
          <w:szCs w:val="32"/>
          <w:lang w:eastAsia="zh-CN"/>
        </w:rPr>
        <w:t>政府</w:t>
      </w:r>
      <w:r>
        <w:rPr>
          <w:rFonts w:hint="eastAsia" w:ascii="仿宋" w:hAnsi="仿宋" w:eastAsia="仿宋" w:cs="仿宋"/>
          <w:sz w:val="32"/>
          <w:szCs w:val="32"/>
        </w:rPr>
        <w:t>关于政务公开工作的各项部署要求，紧紧围绕全市重点工作，积极创新工作方法，提升工作能力，不断提高政务公开工作的质量和实效。</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一是加强基层政务公开工作人员的队伍建设。</w:t>
      </w:r>
      <w:r>
        <w:rPr>
          <w:rFonts w:hint="default" w:ascii="Times New Roman" w:hAnsi="Times New Roman" w:cs="Times New Roman"/>
          <w:sz w:val="32"/>
          <w:szCs w:val="32"/>
        </w:rPr>
        <w:t>2020</w:t>
      </w:r>
      <w:r>
        <w:rPr>
          <w:rFonts w:hint="eastAsia" w:ascii="仿宋" w:hAnsi="仿宋" w:eastAsia="仿宋" w:cs="仿宋"/>
          <w:sz w:val="32"/>
          <w:szCs w:val="32"/>
        </w:rPr>
        <w:t>年我市将进一步加大业务培训力度，全力提升基层政务公开工作人员的能力和水平，努力打造一支立场坚定，专业素质过硬的政务公开工作队伍。</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sz w:val="32"/>
          <w:szCs w:val="32"/>
        </w:rPr>
        <w:t>二是加强全市政务公开工作的监督检查指导。</w:t>
      </w:r>
      <w:r>
        <w:rPr>
          <w:rFonts w:hint="default" w:ascii="Times New Roman" w:hAnsi="Times New Roman" w:cs="Times New Roman"/>
          <w:sz w:val="32"/>
          <w:szCs w:val="32"/>
        </w:rPr>
        <w:t>2020</w:t>
      </w:r>
      <w:r>
        <w:rPr>
          <w:rFonts w:hint="eastAsia" w:ascii="仿宋" w:hAnsi="仿宋" w:eastAsia="仿宋" w:cs="仿宋"/>
          <w:sz w:val="32"/>
          <w:szCs w:val="32"/>
        </w:rPr>
        <w:t>年我市将紧紧围绕新《条例》的各项要求，以政务公开标准化、规范化建设为抓手，强化新《条例》执行与监督，把上级各项政务公开工作要求落在实处，全面提升我市信息公开质量与效果。</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eastAsia" w:ascii="仿宋" w:hAnsi="仿宋" w:eastAsia="仿宋" w:cs="仿宋"/>
          <w:sz w:val="32"/>
          <w:szCs w:val="32"/>
        </w:rPr>
        <w:t>三是加强政务新媒体常态化监督管理，加大日常巡查检查力度，注重政务新媒体的内容建设，不断丰富内容，强化线上线下互动，不断提升我市政务新媒体规范运营能力、信息编发能力、回应引导能力。</w:t>
      </w:r>
    </w:p>
    <w:p>
      <w:pPr>
        <w:pStyle w:val="2"/>
        <w:keepNext w:val="0"/>
        <w:keepLines w:val="0"/>
        <w:widowControl/>
        <w:suppressLineNumbers w:val="0"/>
        <w:spacing w:before="0" w:beforeAutospacing="0" w:after="0" w:afterAutospacing="0" w:line="520" w:lineRule="atLeast"/>
        <w:ind w:left="0" w:right="0" w:firstLine="640"/>
        <w:jc w:val="both"/>
        <w:rPr>
          <w:rFonts w:hint="default" w:ascii="Calibri" w:hAnsi="Calibri" w:cs="Calibri"/>
          <w:sz w:val="21"/>
          <w:szCs w:val="21"/>
        </w:rPr>
      </w:pPr>
      <w:r>
        <w:rPr>
          <w:rFonts w:hint="eastAsia" w:ascii="黑体" w:hAnsi="宋体" w:eastAsia="黑体" w:cs="黑体"/>
          <w:sz w:val="30"/>
          <w:szCs w:val="30"/>
          <w:shd w:val="clear" w:fill="FFFFFF"/>
        </w:rPr>
        <w:t>六、其他需要报告的事项</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仿宋_GB2312" w:eastAsia="仿宋_GB2312" w:cs="仿宋_GB2312"/>
          <w:sz w:val="21"/>
          <w:szCs w:val="21"/>
        </w:rPr>
      </w:pPr>
      <w:r>
        <w:rPr>
          <w:rFonts w:hint="eastAsia" w:ascii="仿宋_GB2312" w:hAnsi="仿宋_GB2312" w:eastAsia="仿宋_GB2312" w:cs="仿宋_GB2312"/>
          <w:sz w:val="30"/>
          <w:szCs w:val="30"/>
          <w:shd w:val="clear" w:fill="FFFFFF"/>
          <w:lang w:eastAsia="zh-CN"/>
        </w:rPr>
        <w:t>无</w:t>
      </w:r>
      <w:r>
        <w:rPr>
          <w:rFonts w:hint="eastAsia" w:ascii="仿宋_GB2312" w:hAnsi="仿宋_GB2312" w:eastAsia="仿宋_GB2312" w:cs="仿宋_GB2312"/>
          <w:sz w:val="30"/>
          <w:szCs w:val="30"/>
          <w:shd w:val="clear" w:fill="FFFFFF"/>
        </w:rPr>
        <w:t>其他需要报告的事项</w:t>
      </w:r>
      <w:r>
        <w:rPr>
          <w:rFonts w:hint="eastAsia" w:ascii="仿宋_GB2312" w:hAnsi="仿宋_GB2312" w:eastAsia="仿宋_GB2312" w:cs="仿宋_GB2312"/>
          <w:sz w:val="30"/>
          <w:szCs w:val="30"/>
          <w:shd w:val="clear" w:fill="FFFFFF"/>
          <w:lang w:eastAsia="zh-CN"/>
        </w:rPr>
        <w:t>。</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eastAsia="仿宋_GB2312" w:cs="Times New Roman"/>
          <w:sz w:val="32"/>
          <w:szCs w:val="32"/>
        </w:rPr>
      </w:pPr>
    </w:p>
    <w:sectPr>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Palatino Linotype">
    <w:panose1 w:val="02040502050505030304"/>
    <w:charset w:val="00"/>
    <w:family w:val="auto"/>
    <w:pitch w:val="default"/>
    <w:sig w:usb0="E0000287" w:usb1="40000013" w:usb2="00000000" w:usb3="00000000" w:csb0="2000019F" w:csb1="00000000"/>
  </w:font>
  <w:font w:name="方正仿宋_GBK">
    <w:altName w:val="宋体"/>
    <w:panose1 w:val="03000509000000000000"/>
    <w:charset w:val="86"/>
    <w:family w:val="script"/>
    <w:pitch w:val="default"/>
    <w:sig w:usb0="00000000" w:usb1="00000000" w:usb2="00000010" w:usb3="00000000" w:csb0="00040000" w:csb1="00000000"/>
  </w:font>
  <w:font w:name="汉仪仿宋简">
    <w:altName w:val="仿宋_GB2312"/>
    <w:panose1 w:val="02010600000101010101"/>
    <w:charset w:val="86"/>
    <w:family w:val="auto"/>
    <w:pitch w:val="default"/>
    <w:sig w:usb0="00000000" w:usb1="00000000" w:usb2="00000002" w:usb3="00000000" w:csb0="0004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Verdana">
    <w:panose1 w:val="020B0604030504040204"/>
    <w:charset w:val="00"/>
    <w:family w:val="swiss"/>
    <w:pitch w:val="default"/>
    <w:sig w:usb0="A10006FF" w:usb1="4000205B" w:usb2="00000010" w:usb3="00000000" w:csb0="2000019F" w:csb1="00000000"/>
  </w:font>
  <w:font w:name="字体管家萌兔奔月">
    <w:panose1 w:val="00020600040101010101"/>
    <w:charset w:val="86"/>
    <w:family w:val="auto"/>
    <w:pitch w:val="default"/>
    <w:sig w:usb0="A00002BF" w:usb1="18EF7CFA" w:usb2="00000016" w:usb3="00000000" w:csb0="0004009F" w:csb1="DFD70000"/>
  </w:font>
  <w:font w:name="字体管家元旦">
    <w:panose1 w:val="02000500000000000000"/>
    <w:charset w:val="86"/>
    <w:family w:val="auto"/>
    <w:pitch w:val="default"/>
    <w:sig w:usb0="F7FFAEFF" w:usb1="F9DFFFFF" w:usb2="001FFDFF" w:usb3="00000000" w:csb0="00040003" w:csb1="C4900000"/>
  </w:font>
  <w:font w:name="Senty Cream Puff 新蒂泡芙体">
    <w:panose1 w:val="03000600000000000000"/>
    <w:charset w:val="86"/>
    <w:family w:val="auto"/>
    <w:pitch w:val="default"/>
    <w:sig w:usb0="80000027" w:usb1="0807086A" w:usb2="00000010" w:usb3="00000000" w:csb0="00140001" w:csb1="00000000"/>
  </w:font>
  <w:font w:name="方正魏碑简体">
    <w:panose1 w:val="02010601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幼圆">
    <w:altName w:val="Segoe Print"/>
    <w:panose1 w:val="00000000000000000000"/>
    <w:charset w:val="00"/>
    <w:family w:val="auto"/>
    <w:pitch w:val="default"/>
    <w:sig w:usb0="00000000" w:usb1="00000000" w:usb2="00000000" w:usb3="00000000" w:csb0="00000000" w:csb1="00000000"/>
  </w:font>
  <w:font w:name="草檀斋毛泽东字体">
    <w:panose1 w:val="0201060103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Arial Narrow">
    <w:panose1 w:val="020B050602020203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EucrosiaUPC">
    <w:panose1 w:val="02020603050405020304"/>
    <w:charset w:val="00"/>
    <w:family w:val="auto"/>
    <w:pitch w:val="default"/>
    <w:sig w:usb0="81000027" w:usb1="00000002" w:usb2="00000000" w:usb3="00000000" w:csb0="00010001" w:csb1="00000000"/>
  </w:font>
  <w:font w:name="Estrangelo Edessa">
    <w:panose1 w:val="03080600000000000000"/>
    <w:charset w:val="00"/>
    <w:family w:val="auto"/>
    <w:pitch w:val="default"/>
    <w:sig w:usb0="80002043" w:usb1="00000000" w:usb2="00000080" w:usb3="00000000" w:csb0="00000001" w:csb1="00000000"/>
  </w:font>
  <w:font w:name="Haettenschweiler">
    <w:panose1 w:val="020B0706040902060204"/>
    <w:charset w:val="00"/>
    <w:family w:val="auto"/>
    <w:pitch w:val="default"/>
    <w:sig w:usb0="00000287" w:usb1="00000000" w:usb2="00000000" w:usb3="00000000" w:csb0="2000009F" w:csb1="DFD7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方正仿宋_GBK">
    <w:altName w:val="仿宋"/>
    <w:panose1 w:val="00000000000000000000"/>
    <w:charset w:val="86"/>
    <w:family w:val="auto"/>
    <w:pitch w:val="default"/>
    <w:sig w:usb0="00000000" w:usb1="00000000" w:usb2="00000010" w:usb3="00000000" w:csb0="00040000" w:csb1="00000000"/>
  </w:font>
  <w:font w:name="@方正楷体_GBK">
    <w:altName w:val="楷体_GB2312"/>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10" w:usb3="00000000" w:csb0="00040000" w:csb1="00000000"/>
  </w:font>
  <w:font w:name="baikeFont_layout">
    <w:altName w:val="Courier New"/>
    <w:panose1 w:val="00000000000000000000"/>
    <w:charset w:val="00"/>
    <w:family w:val="auto"/>
    <w:pitch w:val="default"/>
    <w:sig w:usb0="00000000" w:usb1="00000000" w:usb2="00000000" w:usb3="00000000" w:csb0="00000000" w:csb1="00000000"/>
  </w:font>
  <w:font w:name="baikeFont_cmnIconFont">
    <w:altName w:val="Courier New"/>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宋体-PUA">
    <w:altName w:val="宋体"/>
    <w:panose1 w:val="0201060003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方正兰亭超细黑简体"/>
    <w:panose1 w:val="02010601030101010101"/>
    <w:charset w:val="86"/>
    <w:family w:val="auto"/>
    <w:pitch w:val="default"/>
    <w:sig w:usb0="00000000" w:usb1="00000000" w:usb2="00000000" w:usb3="00000000" w:csb0="00040000" w:csb1="00000000"/>
  </w:font>
  <w:font w:name="穝灿砰">
    <w:altName w:val="Times New Roman"/>
    <w:panose1 w:val="00000000000000000000"/>
    <w:charset w:val="00"/>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DY92+ZINBsO-92">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文鼎中钢笔行楷">
    <w:altName w:val="楷体_GB2312"/>
    <w:panose1 w:val="03000600000000000000"/>
    <w:charset w:val="86"/>
    <w:family w:val="auto"/>
    <w:pitch w:val="default"/>
    <w:sig w:usb0="00000000" w:usb1="00000000"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仿宋简体">
    <w:altName w:val="宋体"/>
    <w:panose1 w:val="02010601030101010101"/>
    <w:charset w:val="86"/>
    <w:family w:val="auto"/>
    <w:pitch w:val="default"/>
    <w:sig w:usb0="00000000" w:usb1="00000000" w:usb2="00000000" w:usb3="00000000" w:csb0="00040000" w:csb1="00000000"/>
  </w:font>
  <w:font w:name="PingFang SC">
    <w:altName w:val="仿宋_GB2312"/>
    <w:panose1 w:val="00000000000000000000"/>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
    <w:altName w:val="Segoe Print"/>
    <w:panose1 w:val="00000000000000000000"/>
    <w:charset w:val="00"/>
    <w:family w:val="auto"/>
    <w:pitch w:val="default"/>
    <w:sig w:usb0="00000000" w:usb1="00000000" w:usb2="00000000" w:usb3="00000000" w:csb0="00000000" w:csb1="00000000"/>
  </w:font>
  <w:font w:name="华文仿宋">
    <w:altName w:val="仿宋_GB2312"/>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Arial Narrow">
    <w:panose1 w:val="020B0506020202030204"/>
    <w:charset w:val="01"/>
    <w:family w:val="swiss"/>
    <w:pitch w:val="default"/>
    <w:sig w:usb0="00000287" w:usb1="00000000" w:usb2="00000000" w:usb3="00000000" w:csb0="2000009F" w:csb1="DFD70000"/>
  </w:font>
  <w:font w:name="华文仿宋">
    <w:altName w:val="仿宋"/>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6F99"/>
    <w:rsid w:val="034A1037"/>
    <w:rsid w:val="03C20F60"/>
    <w:rsid w:val="04344983"/>
    <w:rsid w:val="04C64514"/>
    <w:rsid w:val="062C3146"/>
    <w:rsid w:val="071147D4"/>
    <w:rsid w:val="08D15A82"/>
    <w:rsid w:val="094C2377"/>
    <w:rsid w:val="0A4E4973"/>
    <w:rsid w:val="0A8F5CB6"/>
    <w:rsid w:val="0AE65543"/>
    <w:rsid w:val="0B625373"/>
    <w:rsid w:val="0C29674D"/>
    <w:rsid w:val="0DEF0D7C"/>
    <w:rsid w:val="0EF3231B"/>
    <w:rsid w:val="0F482175"/>
    <w:rsid w:val="0F826331"/>
    <w:rsid w:val="10377156"/>
    <w:rsid w:val="10D601B4"/>
    <w:rsid w:val="12343AC7"/>
    <w:rsid w:val="12576908"/>
    <w:rsid w:val="127B4C52"/>
    <w:rsid w:val="12AF5AC9"/>
    <w:rsid w:val="1416127A"/>
    <w:rsid w:val="15BD192B"/>
    <w:rsid w:val="16731DD9"/>
    <w:rsid w:val="17222080"/>
    <w:rsid w:val="19E04CC4"/>
    <w:rsid w:val="1AA00E80"/>
    <w:rsid w:val="1B31177B"/>
    <w:rsid w:val="1B5F1C41"/>
    <w:rsid w:val="1C377ED3"/>
    <w:rsid w:val="1D0F72F6"/>
    <w:rsid w:val="1D1E00F8"/>
    <w:rsid w:val="1F0252C4"/>
    <w:rsid w:val="1FF160B1"/>
    <w:rsid w:val="20315D5D"/>
    <w:rsid w:val="204E522F"/>
    <w:rsid w:val="208213F6"/>
    <w:rsid w:val="2106495F"/>
    <w:rsid w:val="212667E8"/>
    <w:rsid w:val="21CF42F0"/>
    <w:rsid w:val="22DC7EB2"/>
    <w:rsid w:val="24EA108B"/>
    <w:rsid w:val="2570507A"/>
    <w:rsid w:val="26D622E0"/>
    <w:rsid w:val="27202F8F"/>
    <w:rsid w:val="27644404"/>
    <w:rsid w:val="29F22065"/>
    <w:rsid w:val="2AAD2626"/>
    <w:rsid w:val="2AC018F0"/>
    <w:rsid w:val="2AED573E"/>
    <w:rsid w:val="2B5F652D"/>
    <w:rsid w:val="2BEE6E97"/>
    <w:rsid w:val="2BFE37C9"/>
    <w:rsid w:val="2C404E2B"/>
    <w:rsid w:val="2C40622A"/>
    <w:rsid w:val="2CEA0C5C"/>
    <w:rsid w:val="2DFE2FFB"/>
    <w:rsid w:val="2E2144E5"/>
    <w:rsid w:val="2E8F7911"/>
    <w:rsid w:val="2FAC0E7D"/>
    <w:rsid w:val="311F68A4"/>
    <w:rsid w:val="31235669"/>
    <w:rsid w:val="313031A1"/>
    <w:rsid w:val="323B053D"/>
    <w:rsid w:val="35CF5552"/>
    <w:rsid w:val="36650A5D"/>
    <w:rsid w:val="378B6035"/>
    <w:rsid w:val="378F089A"/>
    <w:rsid w:val="37D806EB"/>
    <w:rsid w:val="399460EE"/>
    <w:rsid w:val="3A463900"/>
    <w:rsid w:val="3ABC5EC5"/>
    <w:rsid w:val="3B10756D"/>
    <w:rsid w:val="3B3B4AB8"/>
    <w:rsid w:val="3C323686"/>
    <w:rsid w:val="3D143C63"/>
    <w:rsid w:val="3DFE3B4C"/>
    <w:rsid w:val="3E3368F2"/>
    <w:rsid w:val="3F6D0C27"/>
    <w:rsid w:val="3F6F3B50"/>
    <w:rsid w:val="40470E3B"/>
    <w:rsid w:val="4090652D"/>
    <w:rsid w:val="414B683D"/>
    <w:rsid w:val="416539DB"/>
    <w:rsid w:val="41BA1EDB"/>
    <w:rsid w:val="41F86E39"/>
    <w:rsid w:val="43054A25"/>
    <w:rsid w:val="43AF0329"/>
    <w:rsid w:val="43FE5FB1"/>
    <w:rsid w:val="44000175"/>
    <w:rsid w:val="446A0546"/>
    <w:rsid w:val="44D050A5"/>
    <w:rsid w:val="44FD1F77"/>
    <w:rsid w:val="46D0536C"/>
    <w:rsid w:val="477E51E0"/>
    <w:rsid w:val="479A39F6"/>
    <w:rsid w:val="47BF5D59"/>
    <w:rsid w:val="47C414B9"/>
    <w:rsid w:val="487056B0"/>
    <w:rsid w:val="48AC6B32"/>
    <w:rsid w:val="49785C69"/>
    <w:rsid w:val="4B611CB8"/>
    <w:rsid w:val="4B6D67D0"/>
    <w:rsid w:val="4B7F7F97"/>
    <w:rsid w:val="4C407499"/>
    <w:rsid w:val="4DBC6D06"/>
    <w:rsid w:val="4DBC702C"/>
    <w:rsid w:val="4DCD5EA7"/>
    <w:rsid w:val="4DD44041"/>
    <w:rsid w:val="4E1678BC"/>
    <w:rsid w:val="4E682EC0"/>
    <w:rsid w:val="50AF4857"/>
    <w:rsid w:val="50C13639"/>
    <w:rsid w:val="50C57836"/>
    <w:rsid w:val="50CE3D06"/>
    <w:rsid w:val="51093175"/>
    <w:rsid w:val="51676FBC"/>
    <w:rsid w:val="522018CC"/>
    <w:rsid w:val="52AC15EE"/>
    <w:rsid w:val="52B15238"/>
    <w:rsid w:val="531446A2"/>
    <w:rsid w:val="53C77DB8"/>
    <w:rsid w:val="55856294"/>
    <w:rsid w:val="55CF30F7"/>
    <w:rsid w:val="55ED5D1D"/>
    <w:rsid w:val="57524EA6"/>
    <w:rsid w:val="57F06382"/>
    <w:rsid w:val="588D1379"/>
    <w:rsid w:val="58A76224"/>
    <w:rsid w:val="59037AC3"/>
    <w:rsid w:val="590F40BA"/>
    <w:rsid w:val="59246664"/>
    <w:rsid w:val="5A5C40C2"/>
    <w:rsid w:val="5ACF0F8C"/>
    <w:rsid w:val="5AFF56F3"/>
    <w:rsid w:val="5BA40A2A"/>
    <w:rsid w:val="5BA71A24"/>
    <w:rsid w:val="5C9E7D8B"/>
    <w:rsid w:val="5D863E65"/>
    <w:rsid w:val="5F59686F"/>
    <w:rsid w:val="6049563D"/>
    <w:rsid w:val="60B12A18"/>
    <w:rsid w:val="620975A9"/>
    <w:rsid w:val="6296078F"/>
    <w:rsid w:val="64272A76"/>
    <w:rsid w:val="64A8490C"/>
    <w:rsid w:val="64C516DF"/>
    <w:rsid w:val="65061039"/>
    <w:rsid w:val="65415FE3"/>
    <w:rsid w:val="65CD3FB8"/>
    <w:rsid w:val="65FC5F98"/>
    <w:rsid w:val="660F73CC"/>
    <w:rsid w:val="6735035D"/>
    <w:rsid w:val="680A1EC7"/>
    <w:rsid w:val="68552729"/>
    <w:rsid w:val="688C1440"/>
    <w:rsid w:val="691E4D28"/>
    <w:rsid w:val="69EB0B9A"/>
    <w:rsid w:val="6A4D0298"/>
    <w:rsid w:val="6A827225"/>
    <w:rsid w:val="6B1A1126"/>
    <w:rsid w:val="6BB42BE3"/>
    <w:rsid w:val="6D9315AB"/>
    <w:rsid w:val="6EBD64EA"/>
    <w:rsid w:val="6F7977E6"/>
    <w:rsid w:val="6FAB23EF"/>
    <w:rsid w:val="6FAD73C8"/>
    <w:rsid w:val="70E635DE"/>
    <w:rsid w:val="734D7D61"/>
    <w:rsid w:val="73854BEB"/>
    <w:rsid w:val="73AB61D0"/>
    <w:rsid w:val="747E45E0"/>
    <w:rsid w:val="74CA256E"/>
    <w:rsid w:val="751C144B"/>
    <w:rsid w:val="76055C9B"/>
    <w:rsid w:val="761559C6"/>
    <w:rsid w:val="7678203F"/>
    <w:rsid w:val="77307BAF"/>
    <w:rsid w:val="77B15011"/>
    <w:rsid w:val="78F54AD2"/>
    <w:rsid w:val="7A6E0E2E"/>
    <w:rsid w:val="7A8263CE"/>
    <w:rsid w:val="7AB40E2E"/>
    <w:rsid w:val="7AEA09BA"/>
    <w:rsid w:val="7B1A6B4A"/>
    <w:rsid w:val="7BB50231"/>
    <w:rsid w:val="7C947562"/>
    <w:rsid w:val="7E8A0904"/>
    <w:rsid w:val="7EC2594A"/>
    <w:rsid w:val="7F614EBD"/>
    <w:rsid w:val="7F7928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333333"/>
      <w:u w:val="none"/>
    </w:rPr>
  </w:style>
  <w:style w:type="character" w:styleId="5">
    <w:name w:val="Emphasis"/>
    <w:basedOn w:val="3"/>
    <w:qFormat/>
    <w:uiPriority w:val="0"/>
  </w:style>
  <w:style w:type="character" w:styleId="6">
    <w:name w:val="HTML Definition"/>
    <w:basedOn w:val="3"/>
    <w:qFormat/>
    <w:uiPriority w:val="0"/>
  </w:style>
  <w:style w:type="character" w:styleId="7">
    <w:name w:val="HTML Acronym"/>
    <w:basedOn w:val="3"/>
    <w:qFormat/>
    <w:uiPriority w:val="0"/>
  </w:style>
  <w:style w:type="character" w:styleId="8">
    <w:name w:val="HTML Variable"/>
    <w:basedOn w:val="3"/>
    <w:qFormat/>
    <w:uiPriority w:val="0"/>
  </w:style>
  <w:style w:type="character" w:styleId="9">
    <w:name w:val="Hyperlink"/>
    <w:basedOn w:val="3"/>
    <w:qFormat/>
    <w:uiPriority w:val="0"/>
    <w:rPr>
      <w:color w:val="333333"/>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 w:type="character" w:customStyle="1" w:styleId="13">
    <w:name w:val="layui-this"/>
    <w:basedOn w:val="3"/>
    <w:qFormat/>
    <w:uiPriority w:val="0"/>
    <w:rPr>
      <w:bdr w:val="single" w:color="EEEEEE" w:sz="6" w:space="0"/>
      <w:shd w:val="clear" w:fill="FFFFFF"/>
    </w:rPr>
  </w:style>
  <w:style w:type="character" w:customStyle="1" w:styleId="14">
    <w:name w:val="first-child"/>
    <w:basedOn w:val="3"/>
    <w:qFormat/>
    <w:uiPriority w:val="0"/>
  </w:style>
  <w:style w:type="character" w:customStyle="1" w:styleId="15">
    <w:name w:val="hover21"/>
    <w:basedOn w:val="3"/>
    <w:qFormat/>
    <w:uiPriority w:val="0"/>
    <w:rPr>
      <w:color w:val="146AC1"/>
      <w:u w:val="none"/>
    </w:rPr>
  </w:style>
  <w:style w:type="character" w:customStyle="1" w:styleId="16">
    <w:name w:val="layui-layer-tabnow"/>
    <w:basedOn w:val="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2020-03-18T00:31:19Z</cp:lastPrinted>
  <dcterms:modified xsi:type="dcterms:W3CDTF">2020-03-18T07:35:50Z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