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1D" w:rsidRPr="005A6A8C" w:rsidRDefault="00065C1D" w:rsidP="00321341">
      <w:pPr>
        <w:widowControl/>
        <w:spacing w:line="600" w:lineRule="exact"/>
        <w:jc w:val="center"/>
        <w:rPr>
          <w:rFonts w:ascii="Times New Roman" w:eastAsia="方正小标宋_GBK" w:hAnsi="Times New Roman" w:cs="Times New Roman"/>
          <w:kern w:val="0"/>
          <w:sz w:val="44"/>
          <w:szCs w:val="44"/>
        </w:rPr>
      </w:pPr>
      <w:r w:rsidRPr="005A6A8C">
        <w:rPr>
          <w:rFonts w:ascii="Times New Roman" w:eastAsia="方正小标宋_GBK" w:hAnsi="Times New Roman" w:cs="Times New Roman"/>
          <w:kern w:val="0"/>
          <w:sz w:val="44"/>
          <w:szCs w:val="44"/>
        </w:rPr>
        <w:t>株洲市审计局</w:t>
      </w:r>
      <w:r w:rsidRPr="005A6A8C">
        <w:rPr>
          <w:rFonts w:ascii="Times New Roman" w:eastAsia="方正小标宋_GBK" w:hAnsi="Times New Roman" w:cs="Times New Roman"/>
          <w:kern w:val="0"/>
          <w:sz w:val="44"/>
          <w:szCs w:val="44"/>
        </w:rPr>
        <w:t>2019</w:t>
      </w:r>
      <w:r w:rsidRPr="005A6A8C">
        <w:rPr>
          <w:rFonts w:ascii="Times New Roman" w:eastAsia="方正小标宋_GBK" w:hAnsi="Times New Roman" w:cs="Times New Roman"/>
          <w:kern w:val="0"/>
          <w:sz w:val="44"/>
          <w:szCs w:val="44"/>
        </w:rPr>
        <w:t>年度</w:t>
      </w:r>
    </w:p>
    <w:p w:rsidR="00065C1D" w:rsidRPr="005A6A8C" w:rsidRDefault="00065C1D" w:rsidP="00321341">
      <w:pPr>
        <w:widowControl/>
        <w:spacing w:line="600" w:lineRule="exact"/>
        <w:jc w:val="center"/>
        <w:rPr>
          <w:rFonts w:ascii="Times New Roman" w:eastAsia="方正小标宋_GBK" w:hAnsi="Times New Roman" w:cs="Times New Roman"/>
          <w:kern w:val="0"/>
          <w:sz w:val="44"/>
          <w:szCs w:val="44"/>
        </w:rPr>
      </w:pPr>
      <w:r w:rsidRPr="005A6A8C">
        <w:rPr>
          <w:rFonts w:ascii="Times New Roman" w:eastAsia="方正小标宋_GBK" w:hAnsi="Times New Roman" w:cs="Times New Roman"/>
          <w:kern w:val="0"/>
          <w:sz w:val="44"/>
          <w:szCs w:val="44"/>
        </w:rPr>
        <w:t>政府信息公开工作年度报告</w:t>
      </w:r>
    </w:p>
    <w:p w:rsidR="00065C1D" w:rsidRPr="005A6A8C" w:rsidRDefault="00065C1D" w:rsidP="00321341">
      <w:pPr>
        <w:widowControl/>
        <w:ind w:firstLineChars="200" w:firstLine="640"/>
        <w:jc w:val="left"/>
        <w:rPr>
          <w:rFonts w:ascii="Times New Roman" w:eastAsia="仿宋_GB2312" w:hAnsi="Times New Roman" w:cs="Times New Roman"/>
          <w:kern w:val="0"/>
          <w:sz w:val="32"/>
          <w:szCs w:val="32"/>
        </w:rPr>
      </w:pPr>
    </w:p>
    <w:p w:rsidR="00065C1D" w:rsidRPr="005A6A8C" w:rsidRDefault="00065C1D" w:rsidP="00321341">
      <w:pPr>
        <w:widowControl/>
        <w:ind w:firstLineChars="200" w:firstLine="640"/>
        <w:jc w:val="left"/>
        <w:rPr>
          <w:rFonts w:ascii="Times New Roman" w:eastAsia="黑体" w:hAnsi="Times New Roman" w:cs="Times New Roman"/>
          <w:kern w:val="0"/>
          <w:sz w:val="32"/>
          <w:szCs w:val="32"/>
        </w:rPr>
      </w:pPr>
      <w:r w:rsidRPr="005A6A8C">
        <w:rPr>
          <w:rFonts w:ascii="Times New Roman" w:eastAsia="黑体" w:hAnsi="黑体" w:cs="Times New Roman"/>
          <w:kern w:val="0"/>
          <w:sz w:val="32"/>
          <w:szCs w:val="32"/>
        </w:rPr>
        <w:t>一、总体情况</w:t>
      </w:r>
    </w:p>
    <w:p w:rsidR="00065C1D" w:rsidRPr="005A6A8C" w:rsidRDefault="00065C1D" w:rsidP="00321341">
      <w:pPr>
        <w:widowControl/>
        <w:ind w:firstLineChars="200" w:firstLine="640"/>
        <w:jc w:val="left"/>
        <w:rPr>
          <w:rFonts w:ascii="Times New Roman" w:eastAsia="仿宋_GB2312" w:hAnsi="Times New Roman" w:cs="Times New Roman"/>
          <w:kern w:val="0"/>
          <w:sz w:val="32"/>
          <w:szCs w:val="32"/>
        </w:rPr>
      </w:pPr>
      <w:r w:rsidRPr="005A6A8C">
        <w:rPr>
          <w:rFonts w:ascii="Times New Roman" w:eastAsia="仿宋_GB2312" w:hAnsi="Times New Roman" w:cs="Times New Roman"/>
          <w:kern w:val="0"/>
          <w:sz w:val="32"/>
          <w:szCs w:val="32"/>
        </w:rPr>
        <w:t>2019</w:t>
      </w:r>
      <w:r w:rsidRPr="005A6A8C">
        <w:rPr>
          <w:rFonts w:ascii="Times New Roman" w:eastAsia="仿宋_GB2312" w:hAnsi="Times New Roman" w:cs="Times New Roman"/>
          <w:kern w:val="0"/>
          <w:sz w:val="32"/>
          <w:szCs w:val="32"/>
        </w:rPr>
        <w:t>年，株洲市审计局深入贯彻落实国家和省市</w:t>
      </w:r>
      <w:r w:rsidRPr="005A6A8C">
        <w:rPr>
          <w:rFonts w:ascii="Times New Roman" w:eastAsia="仿宋_GB2312" w:hAnsi="Times New Roman" w:cs="Times New Roman"/>
          <w:kern w:val="0"/>
          <w:sz w:val="32"/>
          <w:szCs w:val="32"/>
        </w:rPr>
        <w:t>2019</w:t>
      </w:r>
      <w:r w:rsidRPr="005A6A8C">
        <w:rPr>
          <w:rFonts w:ascii="Times New Roman" w:eastAsia="仿宋_GB2312" w:hAnsi="Times New Roman" w:cs="Times New Roman"/>
          <w:kern w:val="0"/>
          <w:sz w:val="32"/>
          <w:szCs w:val="32"/>
        </w:rPr>
        <w:t>年政务公开工作要点文件精神，切实推进政府信息公开工作。修订了《株洲市审计局政府信息公开指</w:t>
      </w:r>
      <w:r w:rsidR="00E05838">
        <w:rPr>
          <w:rFonts w:ascii="Times New Roman" w:eastAsia="仿宋_GB2312" w:hAnsi="Times New Roman" w:cs="Times New Roman"/>
          <w:kern w:val="0"/>
          <w:sz w:val="32"/>
          <w:szCs w:val="32"/>
        </w:rPr>
        <w:t>南》，出台了《株洲市审计局政务公开工作实施方案》，根据人事异动</w:t>
      </w:r>
      <w:r w:rsidRPr="005A6A8C">
        <w:rPr>
          <w:rFonts w:ascii="Times New Roman" w:eastAsia="仿宋_GB2312" w:hAnsi="Times New Roman" w:cs="Times New Roman"/>
          <w:kern w:val="0"/>
          <w:sz w:val="32"/>
          <w:szCs w:val="32"/>
        </w:rPr>
        <w:t>及时调整局政务公开工作领导小组人员组成。同时，创新工作方式方法，创造性地建立了审计结果通报反馈制度，着力推进审计结果公告工作，拓宽审计结果公开覆盖面，取得了较好成效。</w:t>
      </w:r>
    </w:p>
    <w:p w:rsidR="00065C1D" w:rsidRPr="005A6A8C" w:rsidRDefault="00065C1D" w:rsidP="00321341">
      <w:pPr>
        <w:widowControl/>
        <w:ind w:firstLineChars="200" w:firstLine="640"/>
        <w:jc w:val="left"/>
        <w:rPr>
          <w:rFonts w:ascii="Times New Roman" w:eastAsia="仿宋_GB2312" w:hAnsi="Times New Roman" w:cs="Times New Roman"/>
          <w:kern w:val="0"/>
          <w:sz w:val="32"/>
          <w:szCs w:val="32"/>
        </w:rPr>
      </w:pPr>
      <w:r w:rsidRPr="005A6A8C">
        <w:rPr>
          <w:rFonts w:ascii="Times New Roman" w:eastAsia="仿宋_GB2312" w:hAnsi="Times New Roman" w:cs="Times New Roman"/>
          <w:kern w:val="0"/>
          <w:sz w:val="32"/>
          <w:szCs w:val="32"/>
        </w:rPr>
        <w:t>一是紧紧围绕审计工作，抓紧抓好主动公开。通过政府门户网站、株洲市审计局微信公众号全文对外公布了《</w:t>
      </w:r>
      <w:r w:rsidRPr="005A6A8C">
        <w:rPr>
          <w:rFonts w:ascii="Times New Roman" w:eastAsia="仿宋_GB2312" w:hAnsi="Times New Roman" w:cs="Times New Roman"/>
          <w:kern w:val="0"/>
          <w:sz w:val="32"/>
          <w:szCs w:val="32"/>
        </w:rPr>
        <w:t>2018</w:t>
      </w:r>
      <w:r w:rsidR="00E05838">
        <w:rPr>
          <w:rFonts w:ascii="Times New Roman" w:eastAsia="仿宋_GB2312" w:hAnsi="Times New Roman" w:cs="Times New Roman"/>
          <w:kern w:val="0"/>
          <w:sz w:val="32"/>
          <w:szCs w:val="32"/>
        </w:rPr>
        <w:t>年度市本级预算执行审计和其他财政财务收支审计情况工作报告》</w:t>
      </w:r>
      <w:r w:rsidR="00624EC6">
        <w:rPr>
          <w:rFonts w:ascii="Times New Roman" w:eastAsia="仿宋_GB2312" w:hAnsi="Times New Roman" w:cs="Times New Roman" w:hint="eastAsia"/>
          <w:kern w:val="0"/>
          <w:sz w:val="32"/>
          <w:szCs w:val="32"/>
        </w:rPr>
        <w:t>《</w:t>
      </w:r>
      <w:r w:rsidR="00624EC6">
        <w:rPr>
          <w:rFonts w:ascii="Times New Roman" w:eastAsia="仿宋_GB2312" w:hAnsi="Times New Roman" w:cs="Times New Roman" w:hint="eastAsia"/>
          <w:kern w:val="0"/>
          <w:sz w:val="32"/>
          <w:szCs w:val="32"/>
        </w:rPr>
        <w:t>2018</w:t>
      </w:r>
      <w:r w:rsidR="00624EC6">
        <w:rPr>
          <w:rFonts w:ascii="Times New Roman" w:eastAsia="仿宋_GB2312" w:hAnsi="Times New Roman" w:cs="Times New Roman" w:hint="eastAsia"/>
          <w:kern w:val="0"/>
          <w:sz w:val="32"/>
          <w:szCs w:val="32"/>
        </w:rPr>
        <w:t>年度市本级预算执行及其他财政收支审计查出问题整改情况的报告》</w:t>
      </w:r>
      <w:r w:rsidR="00E05838">
        <w:rPr>
          <w:rFonts w:ascii="Times New Roman" w:eastAsia="仿宋_GB2312" w:hAnsi="Times New Roman" w:cs="Times New Roman" w:hint="eastAsia"/>
          <w:kern w:val="0"/>
          <w:sz w:val="32"/>
          <w:szCs w:val="32"/>
        </w:rPr>
        <w:t>；</w:t>
      </w:r>
      <w:r w:rsidRPr="005A6A8C">
        <w:rPr>
          <w:rFonts w:ascii="Times New Roman" w:eastAsia="仿宋_GB2312" w:hAnsi="Times New Roman" w:cs="Times New Roman"/>
          <w:kern w:val="0"/>
          <w:sz w:val="32"/>
          <w:szCs w:val="32"/>
        </w:rPr>
        <w:t>着力创新工作方式方法，创造性地建立了审计结果通报反馈制度。审计项目结束后以审计情况通报会的方式对审计报告反映的问题和审计建议进行通报说明，对审计发现的问题整改和审计建议的落实提出具体要求，审计结</w:t>
      </w:r>
      <w:r w:rsidR="00E05838">
        <w:rPr>
          <w:rFonts w:ascii="Times New Roman" w:eastAsia="仿宋_GB2312" w:hAnsi="Times New Roman" w:cs="Times New Roman"/>
          <w:kern w:val="0"/>
          <w:sz w:val="32"/>
          <w:szCs w:val="32"/>
        </w:rPr>
        <w:t>果和审计工作在一定范围内得以公开</w:t>
      </w:r>
      <w:r w:rsidR="00E05838">
        <w:rPr>
          <w:rFonts w:ascii="Times New Roman" w:eastAsia="仿宋_GB2312" w:hAnsi="Times New Roman" w:cs="Times New Roman" w:hint="eastAsia"/>
          <w:kern w:val="0"/>
          <w:sz w:val="32"/>
          <w:szCs w:val="32"/>
        </w:rPr>
        <w:t>；</w:t>
      </w:r>
      <w:r w:rsidRPr="005A6A8C">
        <w:rPr>
          <w:rFonts w:ascii="Times New Roman" w:eastAsia="仿宋_GB2312" w:hAnsi="Times New Roman" w:cs="Times New Roman"/>
          <w:kern w:val="0"/>
          <w:sz w:val="32"/>
          <w:szCs w:val="32"/>
        </w:rPr>
        <w:t>整章建制持续发力。出台《株洲市审计局审计整改检查工作规程》，明确审计整改程序，严格整改工作要求，完善</w:t>
      </w:r>
      <w:r w:rsidRPr="005A6A8C">
        <w:rPr>
          <w:rFonts w:ascii="Times New Roman" w:eastAsia="仿宋_GB2312" w:hAnsi="Times New Roman" w:cs="Times New Roman"/>
          <w:kern w:val="0"/>
          <w:sz w:val="32"/>
          <w:szCs w:val="32"/>
        </w:rPr>
        <w:lastRenderedPageBreak/>
        <w:t>审计</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问题清单</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和</w:t>
      </w:r>
      <w:r w:rsidRPr="005A6A8C">
        <w:rPr>
          <w:rFonts w:ascii="Times New Roman" w:eastAsia="仿宋_GB2312" w:hAnsi="Times New Roman" w:cs="Times New Roman"/>
          <w:kern w:val="0"/>
          <w:sz w:val="32"/>
          <w:szCs w:val="32"/>
        </w:rPr>
        <w:t xml:space="preserve"> “</w:t>
      </w:r>
      <w:r w:rsidRPr="005A6A8C">
        <w:rPr>
          <w:rFonts w:ascii="Times New Roman" w:eastAsia="仿宋_GB2312" w:hAnsi="Times New Roman" w:cs="Times New Roman"/>
          <w:kern w:val="0"/>
          <w:sz w:val="32"/>
          <w:szCs w:val="32"/>
        </w:rPr>
        <w:t>整改清单</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对接销号机制，建立审计执行台账，提出可行建议，并对审计执行情况予以通报。</w:t>
      </w:r>
    </w:p>
    <w:p w:rsidR="00065C1D" w:rsidRPr="005A6A8C" w:rsidRDefault="00065C1D" w:rsidP="00321341">
      <w:pPr>
        <w:widowControl/>
        <w:ind w:firstLineChars="200" w:firstLine="640"/>
        <w:jc w:val="left"/>
        <w:rPr>
          <w:rFonts w:ascii="Times New Roman" w:eastAsia="仿宋_GB2312" w:hAnsi="Times New Roman" w:cs="Times New Roman"/>
          <w:kern w:val="0"/>
          <w:sz w:val="32"/>
          <w:szCs w:val="32"/>
        </w:rPr>
      </w:pPr>
      <w:r w:rsidRPr="005A6A8C">
        <w:rPr>
          <w:rFonts w:ascii="Times New Roman" w:eastAsia="仿宋_GB2312" w:hAnsi="Times New Roman" w:cs="Times New Roman"/>
          <w:kern w:val="0"/>
          <w:sz w:val="32"/>
          <w:szCs w:val="32"/>
        </w:rPr>
        <w:t>二是以健全内部管理为抓手，持续推进管理公开。按要求通过市政府门户网站主动向社会公开部门预算、决算和</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三公</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经费预算情况，真实、准确、全面地反映单位部门收支预算、决算和</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三公</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经费预算，自觉接受社会监督；在人事任免上，坚持提拔干部必先公示，公示期满后无异义再行文；在办公物品采购上，坚持按政府采购制度办事，对办公用品领用实行了逐次登记和及时通报领用情况，公开接受全体干部职工的监督。同时，加强机关财务管理，坚持定期进行内部审计，并将审计结果向全体干部职工公布。</w:t>
      </w:r>
    </w:p>
    <w:p w:rsidR="00065C1D" w:rsidRPr="005A6A8C" w:rsidRDefault="00065C1D" w:rsidP="00321341">
      <w:pPr>
        <w:widowControl/>
        <w:ind w:firstLineChars="200" w:firstLine="640"/>
        <w:jc w:val="left"/>
        <w:rPr>
          <w:rFonts w:ascii="Times New Roman" w:eastAsia="仿宋_GB2312" w:hAnsi="Times New Roman" w:cs="Times New Roman"/>
          <w:kern w:val="0"/>
          <w:sz w:val="32"/>
          <w:szCs w:val="32"/>
        </w:rPr>
      </w:pPr>
      <w:r w:rsidRPr="005A6A8C">
        <w:rPr>
          <w:rFonts w:ascii="Times New Roman" w:eastAsia="仿宋_GB2312" w:hAnsi="Times New Roman" w:cs="Times New Roman"/>
          <w:kern w:val="0"/>
          <w:sz w:val="32"/>
          <w:szCs w:val="32"/>
        </w:rPr>
        <w:t>三是夯实基础、制度先行，切实规范依申请公开工作。修订出台《株洲市审计局依申请公开政府信息制度》，对申请主体、申请内容、申请程序、受理申请机构进行规范明确，并指定专人负责依申请公开工作，建立流程图规范依申请公开工作流程。</w:t>
      </w:r>
      <w:r w:rsidRPr="005A6A8C">
        <w:rPr>
          <w:rFonts w:ascii="Times New Roman" w:eastAsia="仿宋_GB2312" w:hAnsi="Times New Roman" w:cs="Times New Roman"/>
          <w:kern w:val="0"/>
          <w:sz w:val="32"/>
          <w:szCs w:val="32"/>
        </w:rPr>
        <w:t>2019</w:t>
      </w:r>
      <w:r w:rsidRPr="005A6A8C">
        <w:rPr>
          <w:rFonts w:ascii="Times New Roman" w:eastAsia="仿宋_GB2312" w:hAnsi="Times New Roman" w:cs="Times New Roman"/>
          <w:kern w:val="0"/>
          <w:sz w:val="32"/>
          <w:szCs w:val="32"/>
        </w:rPr>
        <w:t>年全局未收到政府信息公开申请，围绕该工作的各项举措有条不紊、持续进行。</w:t>
      </w:r>
    </w:p>
    <w:p w:rsidR="00065C1D" w:rsidRPr="005A6A8C" w:rsidRDefault="00065C1D" w:rsidP="00321341">
      <w:pPr>
        <w:widowControl/>
        <w:ind w:firstLineChars="200" w:firstLine="640"/>
        <w:jc w:val="left"/>
        <w:rPr>
          <w:rFonts w:ascii="Times New Roman" w:eastAsia="仿宋_GB2312" w:hAnsi="Times New Roman" w:cs="Times New Roman"/>
          <w:kern w:val="0"/>
          <w:sz w:val="32"/>
          <w:szCs w:val="32"/>
        </w:rPr>
      </w:pPr>
      <w:r w:rsidRPr="005A6A8C">
        <w:rPr>
          <w:rFonts w:ascii="Times New Roman" w:eastAsia="仿宋_GB2312" w:hAnsi="Times New Roman" w:cs="Times New Roman"/>
          <w:kern w:val="0"/>
          <w:sz w:val="32"/>
          <w:szCs w:val="32"/>
        </w:rPr>
        <w:t>四是整章建制持续发力，政府信息管理日臻完善。修订印发《株洲市审计局信息宣传工作管理办法》，实行审计信息全员负责制度，明确审计信息审核签发程序、健全审计信息任务管理，完善信息进度通报工作，理顺信息工作机制；信息工作成果丰硕，全年通过省审计厅门户网站、我局政府门户网站和微信公众号等</w:t>
      </w:r>
      <w:r w:rsidRPr="005A6A8C">
        <w:rPr>
          <w:rFonts w:ascii="Times New Roman" w:eastAsia="仿宋_GB2312" w:hAnsi="Times New Roman" w:cs="Times New Roman"/>
          <w:kern w:val="0"/>
          <w:sz w:val="32"/>
          <w:szCs w:val="32"/>
        </w:rPr>
        <w:lastRenderedPageBreak/>
        <w:t>平台主动公开工作动态类信息</w:t>
      </w:r>
      <w:r w:rsidRPr="005A6A8C">
        <w:rPr>
          <w:rFonts w:ascii="Times New Roman" w:eastAsia="仿宋_GB2312" w:hAnsi="Times New Roman" w:cs="Times New Roman"/>
          <w:kern w:val="0"/>
          <w:sz w:val="32"/>
          <w:szCs w:val="32"/>
        </w:rPr>
        <w:t>200</w:t>
      </w:r>
      <w:r w:rsidRPr="005A6A8C">
        <w:rPr>
          <w:rFonts w:ascii="Times New Roman" w:eastAsia="仿宋_GB2312" w:hAnsi="Times New Roman" w:cs="Times New Roman"/>
          <w:kern w:val="0"/>
          <w:sz w:val="32"/>
          <w:szCs w:val="32"/>
        </w:rPr>
        <w:t>余条，在《中国审计报》《中国审计》《审计观察》《株洲日报》等媒体平台刊发文章、简讯</w:t>
      </w:r>
      <w:r w:rsidRPr="005A6A8C">
        <w:rPr>
          <w:rFonts w:ascii="Times New Roman" w:eastAsia="仿宋_GB2312" w:hAnsi="Times New Roman" w:cs="Times New Roman"/>
          <w:kern w:val="0"/>
          <w:sz w:val="32"/>
          <w:szCs w:val="32"/>
        </w:rPr>
        <w:t>80</w:t>
      </w:r>
      <w:r w:rsidRPr="005A6A8C">
        <w:rPr>
          <w:rFonts w:ascii="Times New Roman" w:eastAsia="仿宋_GB2312" w:hAnsi="Times New Roman" w:cs="Times New Roman"/>
          <w:kern w:val="0"/>
          <w:sz w:val="32"/>
          <w:szCs w:val="32"/>
        </w:rPr>
        <w:t>余篇（次）；制定《政务公开制度》，明确政务公开原则、内容、范围、方式、程序等工作；健全《新闻媒体采访管理办法》，制定《政府信息公开保密审查制度》《政府信息公开责任追究制度》，切实提升政府信息公开力度的同时，上紧信息保密</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安全阀</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w:t>
      </w:r>
    </w:p>
    <w:p w:rsidR="00065C1D" w:rsidRPr="005A6A8C" w:rsidRDefault="00065C1D" w:rsidP="00321341">
      <w:pPr>
        <w:widowControl/>
        <w:ind w:firstLineChars="200" w:firstLine="640"/>
        <w:jc w:val="left"/>
        <w:rPr>
          <w:rFonts w:ascii="Times New Roman" w:eastAsia="仿宋_GB2312" w:hAnsi="Times New Roman" w:cs="Times New Roman"/>
          <w:kern w:val="0"/>
          <w:sz w:val="32"/>
          <w:szCs w:val="32"/>
        </w:rPr>
      </w:pPr>
      <w:r w:rsidRPr="005A6A8C">
        <w:rPr>
          <w:rFonts w:ascii="Times New Roman" w:eastAsia="仿宋_GB2312" w:hAnsi="Times New Roman" w:cs="Times New Roman"/>
          <w:kern w:val="0"/>
          <w:sz w:val="32"/>
          <w:szCs w:val="32"/>
        </w:rPr>
        <w:t>五是夯实基础主动作为，搭建审计信息平台。建立稿源统计台账，以重要性、时效性、准确性为原则发布审计信息。审计信息发布平台多样、渠道丰富。全省审计系统内网、政府门户网站审计子网站、株洲市审计局微信公众号、株洲审计</w:t>
      </w:r>
      <w:r w:rsidRPr="005A6A8C">
        <w:rPr>
          <w:rFonts w:ascii="Times New Roman" w:eastAsia="仿宋_GB2312" w:hAnsi="Times New Roman" w:cs="Times New Roman"/>
          <w:kern w:val="0"/>
          <w:sz w:val="32"/>
          <w:szCs w:val="32"/>
        </w:rPr>
        <w:t>QQ</w:t>
      </w:r>
      <w:r w:rsidRPr="005A6A8C">
        <w:rPr>
          <w:rFonts w:ascii="Times New Roman" w:eastAsia="仿宋_GB2312" w:hAnsi="Times New Roman" w:cs="Times New Roman"/>
          <w:kern w:val="0"/>
          <w:sz w:val="32"/>
          <w:szCs w:val="32"/>
        </w:rPr>
        <w:t>群，借助网络技术搭建迅捷信息发布平台；全年发表《株洲审计简报》</w:t>
      </w:r>
      <w:r w:rsidRPr="005A6A8C">
        <w:rPr>
          <w:rFonts w:ascii="Times New Roman" w:eastAsia="仿宋_GB2312" w:hAnsi="Times New Roman" w:cs="Times New Roman"/>
          <w:kern w:val="0"/>
          <w:sz w:val="32"/>
          <w:szCs w:val="32"/>
        </w:rPr>
        <w:t>50</w:t>
      </w:r>
      <w:r w:rsidRPr="005A6A8C">
        <w:rPr>
          <w:rFonts w:ascii="Times New Roman" w:eastAsia="仿宋_GB2312" w:hAnsi="Times New Roman" w:cs="Times New Roman"/>
          <w:kern w:val="0"/>
          <w:sz w:val="32"/>
          <w:szCs w:val="32"/>
        </w:rPr>
        <w:t>余期，反映全局党的建设、作风建设、审计工作进展、审计经验、精神文明建设等内容；局办公楼一楼设置液晶大屏，向社会各界公开了审计机关机构设置、职能职责、工作动态，宣传审计保密知识、扫黑除恶专项行动，进行普法教育。</w:t>
      </w:r>
    </w:p>
    <w:p w:rsidR="00065C1D" w:rsidRPr="005A6A8C" w:rsidRDefault="00065C1D" w:rsidP="00321341">
      <w:pPr>
        <w:widowControl/>
        <w:ind w:firstLineChars="200" w:firstLine="640"/>
        <w:jc w:val="left"/>
        <w:rPr>
          <w:rFonts w:ascii="Times New Roman" w:eastAsia="仿宋_GB2312" w:hAnsi="Times New Roman" w:cs="Times New Roman"/>
          <w:kern w:val="0"/>
          <w:sz w:val="32"/>
          <w:szCs w:val="32"/>
        </w:rPr>
      </w:pPr>
      <w:r w:rsidRPr="005A6A8C">
        <w:rPr>
          <w:rFonts w:ascii="Times New Roman" w:eastAsia="仿宋_GB2312" w:hAnsi="Times New Roman" w:cs="Times New Roman"/>
          <w:kern w:val="0"/>
          <w:sz w:val="32"/>
          <w:szCs w:val="32"/>
        </w:rPr>
        <w:t>六是注重审计程序公开，监督保障有力。健全完善了审计进点公示制度。审计项目进点时，向被审单位宣讲审计执法有关规定、公开审计</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八不准</w:t>
      </w:r>
      <w:r w:rsidRPr="005A6A8C">
        <w:rPr>
          <w:rFonts w:ascii="Times New Roman" w:eastAsia="仿宋_GB2312" w:hAnsi="Times New Roman" w:cs="Times New Roman"/>
          <w:kern w:val="0"/>
          <w:sz w:val="32"/>
          <w:szCs w:val="32"/>
        </w:rPr>
        <w:t>”</w:t>
      </w:r>
      <w:r w:rsidRPr="005A6A8C">
        <w:rPr>
          <w:rFonts w:ascii="Times New Roman" w:eastAsia="仿宋_GB2312" w:hAnsi="Times New Roman" w:cs="Times New Roman"/>
          <w:kern w:val="0"/>
          <w:sz w:val="32"/>
          <w:szCs w:val="32"/>
        </w:rPr>
        <w:t>廉政制度，公开举报电话，接受被审单位监督。经济责任审计和政府投资项目审计进点时，张贴审计公告，说明审计来意，为当事人反映问题提供渠道，接受群众对审计工作的监督。在《依申请公开政府信息制度》《政府信息公开指南》等文件中明确监督和救济方式方法，监督保障措施持续发力。</w:t>
      </w:r>
    </w:p>
    <w:tbl>
      <w:tblPr>
        <w:tblW w:w="9476" w:type="dxa"/>
        <w:tblCellSpacing w:w="0" w:type="dxa"/>
        <w:tblInd w:w="-142" w:type="dxa"/>
        <w:shd w:val="clear" w:color="auto" w:fill="FFFFFF"/>
        <w:tblCellMar>
          <w:left w:w="0" w:type="dxa"/>
          <w:right w:w="0" w:type="dxa"/>
        </w:tblCellMar>
        <w:tblLook w:val="04A0"/>
      </w:tblPr>
      <w:tblGrid>
        <w:gridCol w:w="9476"/>
      </w:tblGrid>
      <w:tr w:rsidR="0064180F" w:rsidRPr="005A6A8C" w:rsidTr="009756AA">
        <w:trPr>
          <w:tblCellSpacing w:w="0" w:type="dxa"/>
        </w:trPr>
        <w:tc>
          <w:tcPr>
            <w:tcW w:w="9476" w:type="dxa"/>
            <w:shd w:val="clear" w:color="auto" w:fill="FFFFFF"/>
            <w:vAlign w:val="center"/>
            <w:hideMark/>
          </w:tcPr>
          <w:p w:rsidR="00B76BE9" w:rsidRDefault="00B76BE9" w:rsidP="00B76BE9">
            <w:pPr>
              <w:widowControl/>
              <w:spacing w:after="240" w:line="432" w:lineRule="atLeast"/>
              <w:ind w:firstLineChars="300" w:firstLine="960"/>
              <w:jc w:val="left"/>
              <w:rPr>
                <w:rFonts w:ascii="Times New Roman" w:eastAsia="黑体" w:hAnsi="黑体" w:cs="Times New Roman"/>
                <w:color w:val="222222"/>
                <w:sz w:val="32"/>
                <w:szCs w:val="32"/>
              </w:rPr>
            </w:pPr>
          </w:p>
          <w:p w:rsidR="0064180F" w:rsidRPr="005A6A8C" w:rsidRDefault="0064180F" w:rsidP="00B76BE9">
            <w:pPr>
              <w:widowControl/>
              <w:spacing w:after="240" w:line="432" w:lineRule="atLeast"/>
              <w:ind w:firstLineChars="300" w:firstLine="960"/>
              <w:jc w:val="left"/>
              <w:rPr>
                <w:rFonts w:ascii="Times New Roman" w:eastAsia="黑体" w:hAnsi="Times New Roman" w:cs="Times New Roman"/>
                <w:color w:val="333333"/>
                <w:kern w:val="0"/>
                <w:sz w:val="24"/>
                <w:szCs w:val="24"/>
              </w:rPr>
            </w:pPr>
            <w:r w:rsidRPr="005A6A8C">
              <w:rPr>
                <w:rFonts w:ascii="Times New Roman" w:eastAsia="黑体" w:hAnsi="黑体" w:cs="Times New Roman"/>
                <w:color w:val="222222"/>
                <w:sz w:val="32"/>
                <w:szCs w:val="32"/>
              </w:rPr>
              <w:t>二、主动公开政府信息情况</w:t>
            </w:r>
          </w:p>
          <w:tbl>
            <w:tblPr>
              <w:tblW w:w="8140" w:type="dxa"/>
              <w:tblInd w:w="700" w:type="dxa"/>
              <w:tblCellMar>
                <w:left w:w="0" w:type="dxa"/>
                <w:right w:w="0" w:type="dxa"/>
              </w:tblCellMar>
              <w:tblLook w:val="04A0"/>
            </w:tblPr>
            <w:tblGrid>
              <w:gridCol w:w="3113"/>
              <w:gridCol w:w="1875"/>
              <w:gridCol w:w="6"/>
              <w:gridCol w:w="1265"/>
              <w:gridCol w:w="1881"/>
            </w:tblGrid>
            <w:tr w:rsidR="0064180F" w:rsidRPr="005A6A8C" w:rsidTr="00A16372">
              <w:trPr>
                <w:trHeight w:val="495"/>
              </w:trPr>
              <w:tc>
                <w:tcPr>
                  <w:tcW w:w="8140" w:type="dxa"/>
                  <w:gridSpan w:val="5"/>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第二十条第（一）项</w:t>
                  </w:r>
                </w:p>
              </w:tc>
            </w:tr>
            <w:tr w:rsidR="0064180F" w:rsidRPr="005A6A8C" w:rsidTr="00AA488C">
              <w:trPr>
                <w:trHeight w:val="882"/>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本年新</w:t>
                  </w:r>
                  <w:r w:rsidRPr="005A6A8C">
                    <w:rPr>
                      <w:rFonts w:ascii="Times New Roman" w:eastAsia="宋体" w:hAnsi="Times New Roman" w:cs="Times New Roman"/>
                      <w:color w:val="000000"/>
                      <w:kern w:val="0"/>
                      <w:sz w:val="20"/>
                      <w:szCs w:val="20"/>
                    </w:rPr>
                    <w:br/>
                  </w:r>
                  <w:r w:rsidRPr="005A6A8C">
                    <w:rPr>
                      <w:rFonts w:ascii="Times New Roman" w:eastAsia="宋体" w:hAnsi="宋体" w:cs="Times New Roman"/>
                      <w:kern w:val="0"/>
                      <w:sz w:val="20"/>
                      <w:szCs w:val="20"/>
                    </w:rPr>
                    <w:t>制作数量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本年新</w:t>
                  </w:r>
                  <w:r w:rsidRPr="005A6A8C">
                    <w:rPr>
                      <w:rFonts w:ascii="Times New Roman" w:eastAsia="宋体" w:hAnsi="Times New Roman" w:cs="Times New Roman"/>
                      <w:color w:val="000000"/>
                      <w:kern w:val="0"/>
                      <w:sz w:val="20"/>
                      <w:szCs w:val="20"/>
                    </w:rPr>
                    <w:br/>
                  </w:r>
                  <w:r w:rsidRPr="005A6A8C">
                    <w:rPr>
                      <w:rFonts w:ascii="Times New Roman" w:eastAsia="宋体" w:hAnsi="宋体" w:cs="Times New Roman"/>
                      <w:kern w:val="0"/>
                      <w:sz w:val="20"/>
                      <w:szCs w:val="20"/>
                    </w:rPr>
                    <w:t>公开数量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对外公开总数量</w:t>
                  </w:r>
                </w:p>
              </w:tc>
            </w:tr>
            <w:tr w:rsidR="0064180F" w:rsidRPr="005A6A8C" w:rsidTr="00AA488C">
              <w:trPr>
                <w:trHeight w:val="523"/>
              </w:trPr>
              <w:tc>
                <w:tcPr>
                  <w:tcW w:w="311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规章</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FC6B0F"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FC6B0F"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188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FC6B0F"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r>
            <w:tr w:rsidR="0064180F" w:rsidRPr="005A6A8C" w:rsidTr="00AA488C">
              <w:trPr>
                <w:trHeight w:val="471"/>
              </w:trPr>
              <w:tc>
                <w:tcPr>
                  <w:tcW w:w="311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规范性文件</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FC6B0F"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1</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FC6B0F"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1</w:t>
                  </w:r>
                </w:p>
              </w:tc>
              <w:tc>
                <w:tcPr>
                  <w:tcW w:w="188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180F" w:rsidRPr="005A6A8C" w:rsidRDefault="00FC6B0F"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1</w:t>
                  </w:r>
                </w:p>
              </w:tc>
            </w:tr>
            <w:tr w:rsidR="0064180F" w:rsidRPr="005A6A8C" w:rsidTr="00AA488C">
              <w:trPr>
                <w:trHeight w:val="480"/>
              </w:trPr>
              <w:tc>
                <w:tcPr>
                  <w:tcW w:w="8140" w:type="dxa"/>
                  <w:gridSpan w:val="5"/>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第二十条第（五）项</w:t>
                  </w:r>
                </w:p>
              </w:tc>
            </w:tr>
            <w:tr w:rsidR="0064180F" w:rsidRPr="005A6A8C" w:rsidTr="00AA488C">
              <w:trPr>
                <w:trHeight w:val="634"/>
              </w:trPr>
              <w:tc>
                <w:tcPr>
                  <w:tcW w:w="311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本年增</w:t>
                  </w:r>
                  <w:r w:rsidRPr="005A6A8C">
                    <w:rPr>
                      <w:rFonts w:ascii="Times New Roman" w:eastAsia="宋体" w:hAnsi="Times New Roman" w:cs="Times New Roman"/>
                      <w:color w:val="000000"/>
                      <w:kern w:val="0"/>
                      <w:sz w:val="20"/>
                      <w:szCs w:val="20"/>
                    </w:rPr>
                    <w:t>/</w:t>
                  </w:r>
                  <w:r w:rsidRPr="005A6A8C">
                    <w:rPr>
                      <w:rFonts w:ascii="Times New Roman" w:eastAsia="宋体" w:hAnsi="宋体" w:cs="Times New Roman"/>
                      <w:color w:val="000000"/>
                      <w:kern w:val="0"/>
                      <w:sz w:val="20"/>
                      <w:szCs w:val="20"/>
                    </w:rPr>
                    <w:t>减</w:t>
                  </w:r>
                </w:p>
              </w:tc>
              <w:tc>
                <w:tcPr>
                  <w:tcW w:w="188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处理决定数量</w:t>
                  </w:r>
                </w:p>
              </w:tc>
            </w:tr>
            <w:tr w:rsidR="0064180F" w:rsidRPr="005A6A8C" w:rsidTr="00AA488C">
              <w:trPr>
                <w:trHeight w:val="528"/>
              </w:trPr>
              <w:tc>
                <w:tcPr>
                  <w:tcW w:w="311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行政许可</w:t>
                  </w:r>
                </w:p>
              </w:tc>
              <w:tc>
                <w:tcPr>
                  <w:tcW w:w="1881"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126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188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r>
            <w:tr w:rsidR="0064180F" w:rsidRPr="005A6A8C" w:rsidTr="00A16372">
              <w:trPr>
                <w:trHeight w:val="550"/>
              </w:trPr>
              <w:tc>
                <w:tcPr>
                  <w:tcW w:w="311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其他对外管理服务事项</w:t>
                  </w:r>
                </w:p>
              </w:tc>
              <w:tc>
                <w:tcPr>
                  <w:tcW w:w="188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12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18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r>
            <w:tr w:rsidR="0064180F" w:rsidRPr="005A6A8C" w:rsidTr="00A16372">
              <w:trPr>
                <w:trHeight w:val="406"/>
              </w:trPr>
              <w:tc>
                <w:tcPr>
                  <w:tcW w:w="8140" w:type="dxa"/>
                  <w:gridSpan w:val="5"/>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第二十条第（六）项</w:t>
                  </w:r>
                </w:p>
              </w:tc>
            </w:tr>
            <w:tr w:rsidR="0064180F" w:rsidRPr="005A6A8C" w:rsidTr="00A16372">
              <w:trPr>
                <w:trHeight w:val="634"/>
              </w:trPr>
              <w:tc>
                <w:tcPr>
                  <w:tcW w:w="311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本年增</w:t>
                  </w:r>
                  <w:r w:rsidRPr="005A6A8C">
                    <w:rPr>
                      <w:rFonts w:ascii="Times New Roman" w:eastAsia="宋体" w:hAnsi="Times New Roman" w:cs="Times New Roman"/>
                      <w:color w:val="000000"/>
                      <w:kern w:val="0"/>
                      <w:sz w:val="20"/>
                      <w:szCs w:val="20"/>
                    </w:rPr>
                    <w:t>/</w:t>
                  </w:r>
                  <w:r w:rsidRPr="005A6A8C">
                    <w:rPr>
                      <w:rFonts w:ascii="Times New Roman" w:eastAsia="宋体" w:hAnsi="宋体" w:cs="Times New Roman"/>
                      <w:color w:val="000000"/>
                      <w:kern w:val="0"/>
                      <w:sz w:val="20"/>
                      <w:szCs w:val="20"/>
                    </w:rPr>
                    <w:t>减</w:t>
                  </w:r>
                </w:p>
              </w:tc>
              <w:tc>
                <w:tcPr>
                  <w:tcW w:w="18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处理决定数量</w:t>
                  </w:r>
                </w:p>
              </w:tc>
            </w:tr>
            <w:tr w:rsidR="0064180F" w:rsidRPr="005A6A8C" w:rsidTr="00A16372">
              <w:trPr>
                <w:trHeight w:val="430"/>
              </w:trPr>
              <w:tc>
                <w:tcPr>
                  <w:tcW w:w="311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行政处罚</w:t>
                  </w:r>
                </w:p>
              </w:tc>
              <w:tc>
                <w:tcPr>
                  <w:tcW w:w="188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color w:val="000000"/>
                      <w:kern w:val="0"/>
                      <w:sz w:val="20"/>
                      <w:szCs w:val="20"/>
                    </w:rPr>
                  </w:pPr>
                  <w:r w:rsidRPr="005A6A8C">
                    <w:rPr>
                      <w:rFonts w:ascii="Times New Roman" w:eastAsia="宋体" w:hAnsi="Times New Roman" w:cs="Times New Roman"/>
                      <w:color w:val="000000"/>
                      <w:kern w:val="0"/>
                      <w:sz w:val="20"/>
                      <w:szCs w:val="20"/>
                    </w:rPr>
                    <w:t>1</w:t>
                  </w:r>
                </w:p>
              </w:tc>
              <w:tc>
                <w:tcPr>
                  <w:tcW w:w="12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24EC6" w:rsidP="00624EC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w:t>
                  </w:r>
                </w:p>
              </w:tc>
              <w:tc>
                <w:tcPr>
                  <w:tcW w:w="18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24EC6" w:rsidP="00065C1D">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w:t>
                  </w:r>
                </w:p>
              </w:tc>
            </w:tr>
            <w:tr w:rsidR="0064180F" w:rsidRPr="005A6A8C" w:rsidTr="00A16372">
              <w:trPr>
                <w:trHeight w:val="409"/>
              </w:trPr>
              <w:tc>
                <w:tcPr>
                  <w:tcW w:w="311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行政强制</w:t>
                  </w:r>
                </w:p>
              </w:tc>
              <w:tc>
                <w:tcPr>
                  <w:tcW w:w="188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color w:val="000000"/>
                      <w:kern w:val="0"/>
                      <w:sz w:val="20"/>
                      <w:szCs w:val="20"/>
                    </w:rPr>
                  </w:pPr>
                  <w:r w:rsidRPr="005A6A8C">
                    <w:rPr>
                      <w:rFonts w:ascii="Times New Roman" w:eastAsia="宋体" w:hAnsi="Times New Roman" w:cs="Times New Roman"/>
                      <w:color w:val="000000"/>
                      <w:kern w:val="0"/>
                      <w:sz w:val="20"/>
                      <w:szCs w:val="20"/>
                    </w:rPr>
                    <w:t>0</w:t>
                  </w:r>
                </w:p>
              </w:tc>
              <w:tc>
                <w:tcPr>
                  <w:tcW w:w="12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color w:val="000000"/>
                      <w:kern w:val="0"/>
                      <w:sz w:val="20"/>
                      <w:szCs w:val="20"/>
                    </w:rPr>
                  </w:pPr>
                  <w:r w:rsidRPr="005A6A8C">
                    <w:rPr>
                      <w:rFonts w:ascii="Times New Roman" w:eastAsia="宋体" w:hAnsi="Times New Roman" w:cs="Times New Roman"/>
                      <w:color w:val="000000"/>
                      <w:kern w:val="0"/>
                      <w:sz w:val="20"/>
                      <w:szCs w:val="20"/>
                    </w:rPr>
                    <w:t>0</w:t>
                  </w:r>
                </w:p>
              </w:tc>
              <w:tc>
                <w:tcPr>
                  <w:tcW w:w="18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color w:val="000000"/>
                      <w:kern w:val="0"/>
                      <w:sz w:val="20"/>
                      <w:szCs w:val="20"/>
                    </w:rPr>
                  </w:pPr>
                  <w:r w:rsidRPr="005A6A8C">
                    <w:rPr>
                      <w:rFonts w:ascii="Times New Roman" w:eastAsia="宋体" w:hAnsi="Times New Roman" w:cs="Times New Roman"/>
                      <w:color w:val="000000"/>
                      <w:kern w:val="0"/>
                      <w:sz w:val="20"/>
                      <w:szCs w:val="20"/>
                    </w:rPr>
                    <w:t>0</w:t>
                  </w:r>
                </w:p>
              </w:tc>
            </w:tr>
            <w:tr w:rsidR="0064180F" w:rsidRPr="005A6A8C" w:rsidTr="00A16372">
              <w:trPr>
                <w:trHeight w:val="474"/>
              </w:trPr>
              <w:tc>
                <w:tcPr>
                  <w:tcW w:w="8140" w:type="dxa"/>
                  <w:gridSpan w:val="5"/>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第二十条第（八）项</w:t>
                  </w:r>
                </w:p>
              </w:tc>
            </w:tr>
            <w:tr w:rsidR="0064180F" w:rsidRPr="005A6A8C" w:rsidTr="00A16372">
              <w:trPr>
                <w:trHeight w:val="270"/>
              </w:trPr>
              <w:tc>
                <w:tcPr>
                  <w:tcW w:w="311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信息内容</w:t>
                  </w:r>
                </w:p>
              </w:tc>
              <w:tc>
                <w:tcPr>
                  <w:tcW w:w="188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上一年项目数量</w:t>
                  </w:r>
                </w:p>
              </w:tc>
              <w:tc>
                <w:tcPr>
                  <w:tcW w:w="3146"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本年增</w:t>
                  </w:r>
                  <w:r w:rsidRPr="005A6A8C">
                    <w:rPr>
                      <w:rFonts w:ascii="Times New Roman" w:eastAsia="宋体" w:hAnsi="Times New Roman" w:cs="Times New Roman"/>
                      <w:color w:val="000000"/>
                      <w:kern w:val="0"/>
                      <w:sz w:val="20"/>
                      <w:szCs w:val="20"/>
                    </w:rPr>
                    <w:t>/</w:t>
                  </w:r>
                  <w:r w:rsidRPr="005A6A8C">
                    <w:rPr>
                      <w:rFonts w:ascii="Times New Roman" w:eastAsia="宋体" w:hAnsi="宋体" w:cs="Times New Roman"/>
                      <w:color w:val="000000"/>
                      <w:kern w:val="0"/>
                      <w:sz w:val="20"/>
                      <w:szCs w:val="20"/>
                    </w:rPr>
                    <w:t>减</w:t>
                  </w:r>
                </w:p>
              </w:tc>
            </w:tr>
            <w:tr w:rsidR="0064180F" w:rsidRPr="005A6A8C" w:rsidTr="00A16372">
              <w:trPr>
                <w:trHeight w:val="551"/>
              </w:trPr>
              <w:tc>
                <w:tcPr>
                  <w:tcW w:w="311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行政事业性收费</w:t>
                  </w:r>
                </w:p>
              </w:tc>
              <w:tc>
                <w:tcPr>
                  <w:tcW w:w="188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color w:val="000000"/>
                      <w:kern w:val="0"/>
                      <w:sz w:val="20"/>
                      <w:szCs w:val="20"/>
                    </w:rPr>
                  </w:pPr>
                  <w:r w:rsidRPr="005A6A8C">
                    <w:rPr>
                      <w:rFonts w:ascii="Times New Roman" w:eastAsia="宋体" w:hAnsi="Times New Roman" w:cs="Times New Roman"/>
                      <w:color w:val="000000"/>
                      <w:kern w:val="0"/>
                      <w:sz w:val="20"/>
                      <w:szCs w:val="20"/>
                    </w:rPr>
                    <w:t>0</w:t>
                  </w:r>
                </w:p>
              </w:tc>
              <w:tc>
                <w:tcPr>
                  <w:tcW w:w="3146" w:type="dxa"/>
                  <w:gridSpan w:val="2"/>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64180F" w:rsidRPr="005A6A8C" w:rsidRDefault="0050213A" w:rsidP="00065C1D">
                  <w:pPr>
                    <w:widowControl/>
                    <w:jc w:val="left"/>
                    <w:rPr>
                      <w:rFonts w:ascii="Times New Roman" w:eastAsia="宋体" w:hAnsi="Times New Roman" w:cs="Times New Roman"/>
                      <w:color w:val="000000"/>
                      <w:kern w:val="0"/>
                      <w:sz w:val="20"/>
                      <w:szCs w:val="20"/>
                    </w:rPr>
                  </w:pPr>
                  <w:r w:rsidRPr="005A6A8C">
                    <w:rPr>
                      <w:rFonts w:ascii="Times New Roman" w:eastAsia="宋体" w:hAnsi="Times New Roman" w:cs="Times New Roman"/>
                      <w:color w:val="000000"/>
                      <w:kern w:val="0"/>
                      <w:sz w:val="20"/>
                      <w:szCs w:val="20"/>
                    </w:rPr>
                    <w:t>0</w:t>
                  </w:r>
                </w:p>
              </w:tc>
            </w:tr>
            <w:tr w:rsidR="0064180F" w:rsidRPr="005A6A8C" w:rsidTr="00A16372">
              <w:trPr>
                <w:trHeight w:val="476"/>
              </w:trPr>
              <w:tc>
                <w:tcPr>
                  <w:tcW w:w="8140" w:type="dxa"/>
                  <w:gridSpan w:val="5"/>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第二十条第（九）项</w:t>
                  </w:r>
                </w:p>
              </w:tc>
            </w:tr>
            <w:tr w:rsidR="0064180F" w:rsidRPr="005A6A8C" w:rsidTr="00A16372">
              <w:trPr>
                <w:trHeight w:val="585"/>
              </w:trPr>
              <w:tc>
                <w:tcPr>
                  <w:tcW w:w="311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信息内容</w:t>
                  </w:r>
                </w:p>
              </w:tc>
              <w:tc>
                <w:tcPr>
                  <w:tcW w:w="188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采购总金额</w:t>
                  </w:r>
                </w:p>
              </w:tc>
            </w:tr>
            <w:tr w:rsidR="0064180F" w:rsidRPr="005A6A8C" w:rsidTr="00A16372">
              <w:trPr>
                <w:trHeight w:val="539"/>
              </w:trPr>
              <w:tc>
                <w:tcPr>
                  <w:tcW w:w="311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政府集中采购</w:t>
                  </w:r>
                </w:p>
              </w:tc>
              <w:tc>
                <w:tcPr>
                  <w:tcW w:w="188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4180F" w:rsidRPr="005A6A8C" w:rsidRDefault="006555C5" w:rsidP="00065C1D">
                  <w:pPr>
                    <w:widowControl/>
                    <w:jc w:val="left"/>
                    <w:rPr>
                      <w:rFonts w:ascii="Times New Roman" w:eastAsia="宋体" w:hAnsi="Times New Roman" w:cs="Times New Roman"/>
                      <w:color w:val="000000"/>
                      <w:kern w:val="0"/>
                      <w:sz w:val="20"/>
                      <w:szCs w:val="20"/>
                    </w:rPr>
                  </w:pPr>
                  <w:r w:rsidRPr="005A6A8C">
                    <w:rPr>
                      <w:rFonts w:ascii="Times New Roman" w:eastAsia="宋体" w:hAnsi="Times New Roman" w:cs="Times New Roman"/>
                      <w:color w:val="000000"/>
                      <w:kern w:val="0"/>
                      <w:sz w:val="20"/>
                      <w:szCs w:val="20"/>
                    </w:rPr>
                    <w:t>52</w:t>
                  </w:r>
                </w:p>
              </w:tc>
              <w:tc>
                <w:tcPr>
                  <w:tcW w:w="3146" w:type="dxa"/>
                  <w:gridSpan w:val="2"/>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64180F" w:rsidRPr="005A6A8C" w:rsidRDefault="006555C5" w:rsidP="00065C1D">
                  <w:pPr>
                    <w:widowControl/>
                    <w:jc w:val="left"/>
                    <w:rPr>
                      <w:rFonts w:ascii="Times New Roman" w:eastAsia="宋体" w:hAnsi="Times New Roman" w:cs="Times New Roman"/>
                      <w:color w:val="FFFFFF" w:themeColor="background1"/>
                      <w:kern w:val="0"/>
                      <w:sz w:val="24"/>
                      <w:szCs w:val="24"/>
                    </w:rPr>
                  </w:pPr>
                  <w:r w:rsidRPr="005A6A8C">
                    <w:rPr>
                      <w:rFonts w:ascii="Times New Roman" w:eastAsia="宋体" w:hAnsi="Times New Roman" w:cs="Times New Roman"/>
                      <w:color w:val="000000"/>
                      <w:kern w:val="0"/>
                      <w:sz w:val="20"/>
                      <w:szCs w:val="20"/>
                    </w:rPr>
                    <w:t>24.47</w:t>
                  </w:r>
                  <w:r w:rsidRPr="005A6A8C">
                    <w:rPr>
                      <w:rFonts w:ascii="Times New Roman" w:eastAsia="宋体" w:hAnsi="宋体" w:cs="Times New Roman"/>
                      <w:color w:val="000000"/>
                      <w:kern w:val="0"/>
                      <w:sz w:val="20"/>
                      <w:szCs w:val="20"/>
                    </w:rPr>
                    <w:t>万元</w:t>
                  </w:r>
                </w:p>
              </w:tc>
            </w:tr>
          </w:tbl>
          <w:p w:rsidR="0050213A" w:rsidRPr="005A6A8C" w:rsidRDefault="0050213A" w:rsidP="00065C1D">
            <w:pPr>
              <w:widowControl/>
              <w:spacing w:after="240" w:line="432" w:lineRule="atLeast"/>
              <w:jc w:val="left"/>
              <w:rPr>
                <w:rFonts w:ascii="Times New Roman" w:eastAsia="宋体" w:hAnsi="Times New Roman" w:cs="Times New Roman"/>
                <w:b/>
                <w:bCs/>
                <w:color w:val="333333"/>
                <w:kern w:val="0"/>
                <w:sz w:val="24"/>
                <w:szCs w:val="24"/>
              </w:rPr>
            </w:pPr>
          </w:p>
          <w:p w:rsidR="00D85EE2" w:rsidRPr="005A6A8C" w:rsidRDefault="00D85EE2" w:rsidP="00065C1D">
            <w:pPr>
              <w:widowControl/>
              <w:spacing w:after="240" w:line="432" w:lineRule="atLeast"/>
              <w:ind w:firstLineChars="196" w:firstLine="472"/>
              <w:jc w:val="left"/>
              <w:rPr>
                <w:rFonts w:ascii="Times New Roman" w:eastAsia="宋体" w:hAnsi="Times New Roman" w:cs="Times New Roman"/>
                <w:b/>
                <w:bCs/>
                <w:color w:val="333333"/>
                <w:kern w:val="0"/>
                <w:sz w:val="24"/>
                <w:szCs w:val="24"/>
              </w:rPr>
            </w:pPr>
          </w:p>
          <w:p w:rsidR="00D85EE2" w:rsidRPr="005A6A8C" w:rsidRDefault="00D85EE2" w:rsidP="0035554E">
            <w:pPr>
              <w:widowControl/>
              <w:spacing w:after="240" w:line="432" w:lineRule="atLeast"/>
              <w:jc w:val="left"/>
              <w:rPr>
                <w:rFonts w:ascii="Times New Roman" w:eastAsia="宋体" w:hAnsi="Times New Roman" w:cs="Times New Roman"/>
                <w:b/>
                <w:bCs/>
                <w:color w:val="333333"/>
                <w:kern w:val="0"/>
                <w:sz w:val="24"/>
                <w:szCs w:val="24"/>
              </w:rPr>
            </w:pPr>
          </w:p>
          <w:p w:rsidR="0064180F" w:rsidRPr="005A6A8C" w:rsidRDefault="0064180F" w:rsidP="00321341">
            <w:pPr>
              <w:widowControl/>
              <w:spacing w:after="240" w:line="432" w:lineRule="atLeast"/>
              <w:ind w:firstLineChars="196" w:firstLine="627"/>
              <w:jc w:val="left"/>
              <w:rPr>
                <w:rFonts w:ascii="Times New Roman" w:eastAsia="黑体" w:hAnsi="Times New Roman" w:cs="Times New Roman"/>
                <w:color w:val="333333"/>
                <w:kern w:val="0"/>
                <w:sz w:val="24"/>
                <w:szCs w:val="24"/>
              </w:rPr>
            </w:pPr>
            <w:r w:rsidRPr="005A6A8C">
              <w:rPr>
                <w:rFonts w:ascii="Times New Roman" w:eastAsia="黑体" w:hAnsi="黑体" w:cs="Times New Roman"/>
                <w:color w:val="222222"/>
                <w:sz w:val="32"/>
                <w:szCs w:val="32"/>
              </w:rPr>
              <w:lastRenderedPageBreak/>
              <w:t>三、收到和处理政府信息公开申请情况</w:t>
            </w:r>
          </w:p>
          <w:tbl>
            <w:tblPr>
              <w:tblW w:w="9056" w:type="dxa"/>
              <w:tblInd w:w="134" w:type="dxa"/>
              <w:tblCellMar>
                <w:left w:w="0" w:type="dxa"/>
                <w:right w:w="0" w:type="dxa"/>
              </w:tblCellMar>
              <w:tblLook w:val="04A0"/>
            </w:tblPr>
            <w:tblGrid>
              <w:gridCol w:w="617"/>
              <w:gridCol w:w="854"/>
              <w:gridCol w:w="2086"/>
              <w:gridCol w:w="813"/>
              <w:gridCol w:w="755"/>
              <w:gridCol w:w="755"/>
              <w:gridCol w:w="922"/>
              <w:gridCol w:w="973"/>
              <w:gridCol w:w="587"/>
              <w:gridCol w:w="694"/>
            </w:tblGrid>
            <w:tr w:rsidR="0064180F" w:rsidRPr="005A6A8C" w:rsidTr="009756AA">
              <w:tc>
                <w:tcPr>
                  <w:tcW w:w="3557"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（本列数据的勾稽关系为：第一项加第二项之和，等于第三项加第四项之和）</w:t>
                  </w:r>
                </w:p>
              </w:tc>
              <w:tc>
                <w:tcPr>
                  <w:tcW w:w="5499"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申请人情况</w:t>
                  </w:r>
                </w:p>
              </w:tc>
            </w:tr>
            <w:tr w:rsidR="0064180F" w:rsidRPr="005A6A8C" w:rsidTr="009756AA">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64180F" w:rsidRPr="005A6A8C" w:rsidRDefault="0064180F" w:rsidP="00065C1D">
                  <w:pPr>
                    <w:widowControl/>
                    <w:jc w:val="left"/>
                    <w:rPr>
                      <w:rFonts w:ascii="Times New Roman" w:eastAsia="宋体" w:hAnsi="Times New Roman" w:cs="Times New Roman"/>
                      <w:kern w:val="0"/>
                      <w:sz w:val="24"/>
                      <w:szCs w:val="24"/>
                    </w:rPr>
                  </w:pPr>
                </w:p>
              </w:tc>
              <w:tc>
                <w:tcPr>
                  <w:tcW w:w="8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自然人</w:t>
                  </w:r>
                </w:p>
              </w:tc>
              <w:tc>
                <w:tcPr>
                  <w:tcW w:w="399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法人或其他组织</w:t>
                  </w:r>
                </w:p>
              </w:tc>
              <w:tc>
                <w:tcPr>
                  <w:tcW w:w="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总计</w:t>
                  </w:r>
                </w:p>
              </w:tc>
            </w:tr>
            <w:tr w:rsidR="0064180F" w:rsidRPr="005A6A8C" w:rsidTr="009756AA">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64180F" w:rsidRPr="005A6A8C" w:rsidRDefault="0064180F"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64180F" w:rsidRPr="005A6A8C" w:rsidRDefault="0064180F" w:rsidP="00065C1D">
                  <w:pPr>
                    <w:widowControl/>
                    <w:jc w:val="left"/>
                    <w:rPr>
                      <w:rFonts w:ascii="Times New Roman" w:eastAsia="宋体" w:hAnsi="Times New Roman" w:cs="Times New Roman"/>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商业企业</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科研机构</w:t>
                  </w:r>
                </w:p>
              </w:tc>
              <w:tc>
                <w:tcPr>
                  <w:tcW w:w="9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社会公益组织</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法律服务机构</w:t>
                  </w:r>
                </w:p>
              </w:tc>
              <w:tc>
                <w:tcPr>
                  <w:tcW w:w="5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其他</w:t>
                  </w:r>
                </w:p>
              </w:tc>
              <w:tc>
                <w:tcPr>
                  <w:tcW w:w="0" w:type="auto"/>
                  <w:vMerge/>
                  <w:tcBorders>
                    <w:top w:val="single" w:sz="8" w:space="0" w:color="auto"/>
                    <w:left w:val="nil"/>
                    <w:bottom w:val="single" w:sz="8" w:space="0" w:color="auto"/>
                    <w:right w:val="single" w:sz="8" w:space="0" w:color="auto"/>
                  </w:tcBorders>
                  <w:vAlign w:val="center"/>
                  <w:hideMark/>
                </w:tcPr>
                <w:p w:rsidR="0064180F" w:rsidRPr="005A6A8C" w:rsidRDefault="0064180F" w:rsidP="00065C1D">
                  <w:pPr>
                    <w:widowControl/>
                    <w:jc w:val="left"/>
                    <w:rPr>
                      <w:rFonts w:ascii="Times New Roman" w:eastAsia="宋体" w:hAnsi="Times New Roman" w:cs="Times New Roman"/>
                      <w:kern w:val="0"/>
                      <w:sz w:val="24"/>
                      <w:szCs w:val="24"/>
                    </w:rPr>
                  </w:pPr>
                </w:p>
              </w:tc>
            </w:tr>
            <w:tr w:rsidR="0064180F" w:rsidRPr="005A6A8C" w:rsidTr="009756AA">
              <w:tc>
                <w:tcPr>
                  <w:tcW w:w="355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一、本年新收政府信息公开申请数量</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color w:val="000000"/>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r>
            <w:tr w:rsidR="0064180F" w:rsidRPr="005A6A8C" w:rsidTr="009756AA">
              <w:tc>
                <w:tcPr>
                  <w:tcW w:w="355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二、上年结转政府信息公开申请数量</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3301F6" w:rsidP="00065C1D">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D85EE2"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3301F6" w:rsidP="00065C1D">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64180F" w:rsidRPr="005A6A8C" w:rsidTr="009756AA">
              <w:tc>
                <w:tcPr>
                  <w:tcW w:w="6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三、本年度办理结果</w:t>
                  </w:r>
                </w:p>
              </w:tc>
              <w:tc>
                <w:tcPr>
                  <w:tcW w:w="2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64180F" w:rsidP="00065C1D">
                  <w:pPr>
                    <w:widowControl/>
                    <w:jc w:val="left"/>
                    <w:rPr>
                      <w:rFonts w:ascii="Times New Roman" w:eastAsia="宋体" w:hAnsi="Times New Roman" w:cs="Times New Roman"/>
                      <w:kern w:val="0"/>
                      <w:sz w:val="24"/>
                      <w:szCs w:val="24"/>
                    </w:rPr>
                  </w:pPr>
                  <w:r w:rsidRPr="005A6A8C">
                    <w:rPr>
                      <w:rFonts w:ascii="Times New Roman" w:eastAsia="楷体" w:hAnsi="楷体" w:cs="Times New Roman"/>
                      <w:kern w:val="0"/>
                      <w:sz w:val="20"/>
                      <w:szCs w:val="20"/>
                    </w:rPr>
                    <w:t>（一）予以公开</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EB36A2" w:rsidP="00065C1D">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r w:rsidR="006725D4">
                    <w:rPr>
                      <w:rFonts w:ascii="Times New Roman" w:eastAsia="宋体" w:hAnsi="Times New Roman" w:cs="Times New Roman" w:hint="eastAsia"/>
                      <w:kern w:val="0"/>
                      <w:sz w:val="20"/>
                      <w:szCs w:val="20"/>
                    </w:rPr>
                    <w:t xml:space="preserve"> </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80F" w:rsidRPr="005A6A8C" w:rsidRDefault="00EB36A2" w:rsidP="00065C1D">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楷体" w:hAnsi="楷体" w:cs="Times New Roman"/>
                      <w:kern w:val="0"/>
                      <w:sz w:val="20"/>
                      <w:szCs w:val="20"/>
                    </w:rPr>
                    <w:t>（二）部分公开（区分处理的，只计这一情形，不计其他情形）</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楷体" w:hAnsi="楷体" w:cs="Times New Roman"/>
                      <w:kern w:val="0"/>
                      <w:sz w:val="20"/>
                      <w:szCs w:val="20"/>
                    </w:rPr>
                    <w:t>（三）不予公开</w:t>
                  </w: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楷体" w:hAnsi="楷体" w:cs="Times New Roman"/>
                      <w:kern w:val="0"/>
                      <w:sz w:val="20"/>
                      <w:szCs w:val="20"/>
                    </w:rPr>
                    <w:t>（四）无法提供</w:t>
                  </w: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楷体" w:hAnsi="楷体" w:cs="Times New Roman"/>
                      <w:kern w:val="0"/>
                      <w:sz w:val="20"/>
                      <w:szCs w:val="20"/>
                    </w:rPr>
                    <w:t>（五）不予处理</w:t>
                  </w: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Times New Roman" w:cs="Times New Roman"/>
                      <w:kern w:val="0"/>
                      <w:sz w:val="24"/>
                      <w:szCs w:val="24"/>
                    </w:rPr>
                    <w:t>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hideMark/>
                </w:tcPr>
                <w:p w:rsidR="00BA1CB4" w:rsidRPr="005A6A8C" w:rsidRDefault="00BA1CB4" w:rsidP="00065C1D">
                  <w:pPr>
                    <w:jc w:val="left"/>
                    <w:rPr>
                      <w:rFonts w:ascii="Times New Roman" w:hAnsi="Times New Roman" w:cs="Times New Roman"/>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楷体" w:hAnsi="楷体" w:cs="Times New Roman"/>
                      <w:kern w:val="0"/>
                      <w:sz w:val="20"/>
                      <w:szCs w:val="20"/>
                    </w:rPr>
                    <w:t>（六）其他处理</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r>
            <w:tr w:rsidR="00BA1CB4" w:rsidRPr="005A6A8C" w:rsidTr="009756AA">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2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楷体" w:hAnsi="楷体" w:cs="Times New Roman"/>
                      <w:kern w:val="0"/>
                      <w:sz w:val="20"/>
                      <w:szCs w:val="20"/>
                    </w:rPr>
                    <w:t>（七）总计</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7B0915" w:rsidP="00065C1D">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7B0915" w:rsidP="00065C1D">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w:t>
                  </w:r>
                </w:p>
              </w:tc>
            </w:tr>
            <w:tr w:rsidR="00BA1CB4" w:rsidRPr="005A6A8C" w:rsidTr="009756AA">
              <w:tc>
                <w:tcPr>
                  <w:tcW w:w="355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四、结转下年度继续办理</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r>
          </w:tbl>
          <w:p w:rsidR="00BA1CB4" w:rsidRPr="005A6A8C" w:rsidRDefault="00BA1CB4" w:rsidP="00065C1D">
            <w:pPr>
              <w:widowControl/>
              <w:shd w:val="clear" w:color="auto" w:fill="FFFFFF"/>
              <w:jc w:val="left"/>
              <w:rPr>
                <w:rFonts w:ascii="Times New Roman" w:eastAsia="宋体" w:hAnsi="Times New Roman" w:cs="Times New Roman"/>
                <w:b/>
                <w:bCs/>
                <w:color w:val="333333"/>
                <w:kern w:val="0"/>
                <w:sz w:val="24"/>
                <w:szCs w:val="24"/>
              </w:rPr>
            </w:pPr>
          </w:p>
          <w:p w:rsidR="00BA1CB4" w:rsidRPr="005A6A8C" w:rsidRDefault="00BA1CB4" w:rsidP="00065C1D">
            <w:pPr>
              <w:widowControl/>
              <w:shd w:val="clear" w:color="auto" w:fill="FFFFFF"/>
              <w:ind w:firstLine="480"/>
              <w:jc w:val="left"/>
              <w:rPr>
                <w:rFonts w:ascii="Times New Roman" w:eastAsia="黑体" w:hAnsi="Times New Roman" w:cs="Times New Roman"/>
                <w:color w:val="333333"/>
                <w:kern w:val="0"/>
                <w:sz w:val="24"/>
                <w:szCs w:val="24"/>
              </w:rPr>
            </w:pPr>
            <w:r w:rsidRPr="005A6A8C">
              <w:rPr>
                <w:rFonts w:ascii="Times New Roman" w:eastAsia="黑体" w:hAnsi="黑体" w:cs="Times New Roman"/>
                <w:color w:val="222222"/>
                <w:sz w:val="32"/>
                <w:szCs w:val="32"/>
              </w:rPr>
              <w:t>四、政府信息公开行政复议、行政诉讼情况</w:t>
            </w:r>
          </w:p>
          <w:p w:rsidR="00BA1CB4" w:rsidRPr="005A6A8C" w:rsidRDefault="00BA1CB4" w:rsidP="00065C1D">
            <w:pPr>
              <w:widowControl/>
              <w:shd w:val="clear" w:color="auto" w:fill="FFFFFF"/>
              <w:ind w:firstLine="480"/>
              <w:jc w:val="left"/>
              <w:rPr>
                <w:rFonts w:ascii="Times New Roman" w:eastAsia="宋体" w:hAnsi="Times New Roman" w:cs="Times New Roman"/>
                <w:color w:val="333333"/>
                <w:kern w:val="0"/>
                <w:sz w:val="24"/>
                <w:szCs w:val="24"/>
              </w:rPr>
            </w:pPr>
          </w:p>
          <w:tbl>
            <w:tblPr>
              <w:tblW w:w="9071" w:type="dxa"/>
              <w:tblInd w:w="152" w:type="dxa"/>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BA1CB4" w:rsidRPr="005A6A8C" w:rsidTr="00CE7649">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行政诉讼</w:t>
                  </w:r>
                </w:p>
              </w:tc>
            </w:tr>
            <w:tr w:rsidR="00BA1CB4" w:rsidRPr="005A6A8C" w:rsidTr="00CE7649">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复议后起诉</w:t>
                  </w:r>
                </w:p>
              </w:tc>
            </w:tr>
            <w:tr w:rsidR="00BA1CB4" w:rsidRPr="005A6A8C" w:rsidTr="00CE7649">
              <w:tc>
                <w:tcPr>
                  <w:tcW w:w="0" w:type="auto"/>
                  <w:vMerge/>
                  <w:tcBorders>
                    <w:top w:val="nil"/>
                    <w:left w:val="single" w:sz="8" w:space="0" w:color="auto"/>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A1CB4" w:rsidRPr="005A6A8C" w:rsidRDefault="00BA1CB4" w:rsidP="00065C1D">
                  <w:pPr>
                    <w:widowControl/>
                    <w:jc w:val="left"/>
                    <w:rPr>
                      <w:rFonts w:ascii="Times New Roman" w:eastAsia="宋体" w:hAnsi="Times New Roman" w:cs="Times New Roman"/>
                      <w:kern w:val="0"/>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4"/>
                      <w:szCs w:val="24"/>
                    </w:rPr>
                  </w:pPr>
                  <w:r w:rsidRPr="005A6A8C">
                    <w:rPr>
                      <w:rFonts w:ascii="Times New Roman" w:eastAsia="宋体" w:hAnsi="宋体" w:cs="Times New Roman"/>
                      <w:color w:val="000000"/>
                      <w:kern w:val="0"/>
                      <w:sz w:val="20"/>
                      <w:szCs w:val="20"/>
                    </w:rPr>
                    <w:t>总计</w:t>
                  </w:r>
                </w:p>
              </w:tc>
            </w:tr>
            <w:tr w:rsidR="00BA1CB4" w:rsidRPr="005A6A8C" w:rsidTr="00CE7649">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1CB4" w:rsidRPr="005A6A8C" w:rsidRDefault="00BA1CB4" w:rsidP="00065C1D">
                  <w:pPr>
                    <w:widowControl/>
                    <w:jc w:val="left"/>
                    <w:rPr>
                      <w:rFonts w:ascii="Times New Roman" w:eastAsia="宋体" w:hAnsi="Times New Roman" w:cs="Times New Roman"/>
                      <w:kern w:val="0"/>
                      <w:sz w:val="20"/>
                      <w:szCs w:val="20"/>
                    </w:rPr>
                  </w:pPr>
                  <w:r w:rsidRPr="005A6A8C">
                    <w:rPr>
                      <w:rFonts w:ascii="Times New Roman" w:eastAsia="宋体" w:hAnsi="Times New Roman" w:cs="Times New Roman"/>
                      <w:kern w:val="0"/>
                      <w:sz w:val="20"/>
                      <w:szCs w:val="20"/>
                    </w:rPr>
                    <w:t>0</w:t>
                  </w:r>
                </w:p>
              </w:tc>
            </w:tr>
          </w:tbl>
          <w:p w:rsidR="0064180F" w:rsidRPr="005A6A8C" w:rsidRDefault="0064180F" w:rsidP="00CE7649">
            <w:pPr>
              <w:widowControl/>
              <w:spacing w:line="432" w:lineRule="atLeast"/>
              <w:ind w:firstLineChars="200" w:firstLine="640"/>
              <w:jc w:val="left"/>
              <w:rPr>
                <w:rFonts w:ascii="Times New Roman" w:eastAsia="黑体" w:hAnsi="Times New Roman" w:cs="Times New Roman"/>
                <w:color w:val="222222"/>
                <w:sz w:val="32"/>
                <w:szCs w:val="32"/>
              </w:rPr>
            </w:pPr>
            <w:r w:rsidRPr="005A6A8C">
              <w:rPr>
                <w:rFonts w:ascii="Times New Roman" w:eastAsia="黑体" w:hAnsi="黑体" w:cs="Times New Roman"/>
                <w:color w:val="222222"/>
                <w:sz w:val="32"/>
                <w:szCs w:val="32"/>
              </w:rPr>
              <w:lastRenderedPageBreak/>
              <w:t>五、存在的主要问题及改进情况</w:t>
            </w:r>
          </w:p>
          <w:p w:rsidR="00065C1D" w:rsidRPr="005A6A8C" w:rsidRDefault="00065C1D" w:rsidP="00487C85">
            <w:pPr>
              <w:widowControl/>
              <w:spacing w:line="432" w:lineRule="atLeast"/>
              <w:ind w:leftChars="76" w:left="160" w:firstLineChars="150" w:firstLine="480"/>
              <w:jc w:val="left"/>
              <w:rPr>
                <w:rFonts w:ascii="Times New Roman" w:eastAsia="仿宋_GB2312" w:hAnsi="Times New Roman" w:cs="Times New Roman"/>
                <w:color w:val="333333"/>
                <w:kern w:val="0"/>
                <w:sz w:val="32"/>
                <w:szCs w:val="32"/>
              </w:rPr>
            </w:pPr>
            <w:r w:rsidRPr="005A6A8C">
              <w:rPr>
                <w:rFonts w:ascii="Times New Roman" w:eastAsia="仿宋_GB2312" w:hAnsi="Times New Roman" w:cs="Times New Roman"/>
                <w:color w:val="333333"/>
                <w:kern w:val="0"/>
                <w:sz w:val="32"/>
                <w:szCs w:val="32"/>
              </w:rPr>
              <w:t>（一）政府门户网站内容有待充实。我局</w:t>
            </w:r>
            <w:r w:rsidR="00487C85">
              <w:rPr>
                <w:rFonts w:ascii="Times New Roman" w:eastAsia="仿宋_GB2312" w:hAnsi="Times New Roman" w:cs="Times New Roman" w:hint="eastAsia"/>
                <w:color w:val="333333"/>
                <w:kern w:val="0"/>
                <w:sz w:val="32"/>
                <w:szCs w:val="32"/>
              </w:rPr>
              <w:t>网站</w:t>
            </w:r>
            <w:r w:rsidRPr="005A6A8C">
              <w:rPr>
                <w:rFonts w:ascii="Times New Roman" w:eastAsia="仿宋_GB2312" w:hAnsi="Times New Roman" w:cs="Times New Roman"/>
                <w:color w:val="333333"/>
                <w:kern w:val="0"/>
                <w:sz w:val="32"/>
                <w:szCs w:val="32"/>
              </w:rPr>
              <w:t>作为</w:t>
            </w:r>
            <w:r w:rsidR="00487C85">
              <w:rPr>
                <w:rFonts w:ascii="Times New Roman" w:eastAsia="仿宋_GB2312" w:hAnsi="Times New Roman" w:cs="Times New Roman" w:hint="eastAsia"/>
                <w:color w:val="333333"/>
                <w:kern w:val="0"/>
                <w:sz w:val="32"/>
                <w:szCs w:val="32"/>
              </w:rPr>
              <w:t>政府</w:t>
            </w:r>
            <w:r w:rsidRPr="005A6A8C">
              <w:rPr>
                <w:rFonts w:ascii="Times New Roman" w:eastAsia="仿宋_GB2312" w:hAnsi="Times New Roman" w:cs="Times New Roman"/>
                <w:color w:val="333333"/>
                <w:kern w:val="0"/>
                <w:sz w:val="32"/>
                <w:szCs w:val="32"/>
              </w:rPr>
              <w:t>门户网站子网站，全年整体保持高频更新，但个别栏目更新较少，内容有待丰富。应全面统筹政府门户网站发布工作，全方位展现审计工作面向。</w:t>
            </w:r>
          </w:p>
          <w:p w:rsidR="00065C1D" w:rsidRPr="005A6A8C" w:rsidRDefault="00065C1D" w:rsidP="00065C1D">
            <w:pPr>
              <w:widowControl/>
              <w:spacing w:line="432" w:lineRule="atLeast"/>
              <w:ind w:firstLine="480"/>
              <w:jc w:val="left"/>
              <w:rPr>
                <w:rFonts w:ascii="Times New Roman" w:eastAsia="仿宋_GB2312" w:hAnsi="Times New Roman" w:cs="Times New Roman"/>
                <w:color w:val="333333"/>
                <w:kern w:val="0"/>
                <w:sz w:val="32"/>
                <w:szCs w:val="32"/>
              </w:rPr>
            </w:pPr>
            <w:r w:rsidRPr="005A6A8C">
              <w:rPr>
                <w:rFonts w:ascii="Times New Roman" w:eastAsia="仿宋_GB2312" w:hAnsi="Times New Roman" w:cs="Times New Roman"/>
                <w:color w:val="333333"/>
                <w:kern w:val="0"/>
                <w:sz w:val="32"/>
                <w:szCs w:val="32"/>
              </w:rPr>
              <w:t>（二）政府信息公开力度有待提高。应明确</w:t>
            </w:r>
            <w:r w:rsidR="008A3F0F">
              <w:rPr>
                <w:rFonts w:ascii="Times New Roman" w:eastAsia="仿宋_GB2312" w:hAnsi="Times New Roman" w:cs="Times New Roman" w:hint="eastAsia"/>
                <w:color w:val="333333"/>
                <w:kern w:val="0"/>
                <w:sz w:val="32"/>
                <w:szCs w:val="32"/>
              </w:rPr>
              <w:t>信息采写</w:t>
            </w:r>
            <w:r w:rsidRPr="005A6A8C">
              <w:rPr>
                <w:rFonts w:ascii="Times New Roman" w:eastAsia="仿宋_GB2312" w:hAnsi="Times New Roman" w:cs="Times New Roman"/>
                <w:color w:val="333333"/>
                <w:kern w:val="0"/>
                <w:sz w:val="32"/>
                <w:szCs w:val="32"/>
              </w:rPr>
              <w:t>工作职责，</w:t>
            </w:r>
            <w:r w:rsidR="008A3F0F">
              <w:rPr>
                <w:rFonts w:ascii="Times New Roman" w:eastAsia="仿宋_GB2312" w:hAnsi="Times New Roman" w:cs="Times New Roman" w:hint="eastAsia"/>
                <w:color w:val="333333"/>
                <w:kern w:val="0"/>
                <w:sz w:val="32"/>
                <w:szCs w:val="32"/>
              </w:rPr>
              <w:t>每一位审计工作者都是信息员，要</w:t>
            </w:r>
            <w:r w:rsidRPr="005A6A8C">
              <w:rPr>
                <w:rFonts w:ascii="Times New Roman" w:eastAsia="仿宋_GB2312" w:hAnsi="Times New Roman" w:cs="Times New Roman"/>
                <w:color w:val="333333"/>
                <w:kern w:val="0"/>
                <w:sz w:val="32"/>
                <w:szCs w:val="32"/>
              </w:rPr>
              <w:t>调动</w:t>
            </w:r>
            <w:r w:rsidR="008A3F0F">
              <w:rPr>
                <w:rFonts w:ascii="Times New Roman" w:eastAsia="仿宋_GB2312" w:hAnsi="Times New Roman" w:cs="Times New Roman" w:hint="eastAsia"/>
                <w:color w:val="333333"/>
                <w:kern w:val="0"/>
                <w:sz w:val="32"/>
                <w:szCs w:val="32"/>
              </w:rPr>
              <w:t>其</w:t>
            </w:r>
            <w:r w:rsidRPr="005A6A8C">
              <w:rPr>
                <w:rFonts w:ascii="Times New Roman" w:eastAsia="仿宋_GB2312" w:hAnsi="Times New Roman" w:cs="Times New Roman"/>
                <w:color w:val="333333"/>
                <w:kern w:val="0"/>
                <w:sz w:val="32"/>
                <w:szCs w:val="32"/>
              </w:rPr>
              <w:t>积极性，挖掘</w:t>
            </w:r>
            <w:r w:rsidR="008A3F0F">
              <w:rPr>
                <w:rFonts w:ascii="Times New Roman" w:eastAsia="仿宋_GB2312" w:hAnsi="Times New Roman" w:cs="Times New Roman" w:hint="eastAsia"/>
                <w:color w:val="333333"/>
                <w:kern w:val="0"/>
                <w:sz w:val="32"/>
                <w:szCs w:val="32"/>
              </w:rPr>
              <w:t>其</w:t>
            </w:r>
            <w:r w:rsidRPr="005A6A8C">
              <w:rPr>
                <w:rFonts w:ascii="Times New Roman" w:eastAsia="仿宋_GB2312" w:hAnsi="Times New Roman" w:cs="Times New Roman"/>
                <w:color w:val="333333"/>
                <w:kern w:val="0"/>
                <w:sz w:val="32"/>
                <w:szCs w:val="32"/>
              </w:rPr>
              <w:t>创造力，</w:t>
            </w:r>
            <w:r w:rsidR="008A3F0F">
              <w:rPr>
                <w:rFonts w:ascii="Times New Roman" w:eastAsia="仿宋_GB2312" w:hAnsi="Times New Roman" w:cs="Times New Roman" w:hint="eastAsia"/>
                <w:color w:val="333333"/>
                <w:kern w:val="0"/>
                <w:sz w:val="32"/>
                <w:szCs w:val="32"/>
              </w:rPr>
              <w:t>进而</w:t>
            </w:r>
            <w:r w:rsidRPr="005A6A8C">
              <w:rPr>
                <w:rFonts w:ascii="Times New Roman" w:eastAsia="仿宋_GB2312" w:hAnsi="Times New Roman" w:cs="Times New Roman"/>
                <w:color w:val="333333"/>
                <w:kern w:val="0"/>
                <w:sz w:val="32"/>
                <w:szCs w:val="32"/>
              </w:rPr>
              <w:t>提高政府信息公开的力度，提高公众对审计信息的知晓度。以政府门户网站、审计报刊杂志、微信公众号为载体，加大推广力度，充分利用好这些公开平台，切实提高审计工作透明度。</w:t>
            </w:r>
          </w:p>
          <w:p w:rsidR="00065C1D" w:rsidRPr="005A6A8C" w:rsidRDefault="00065C1D" w:rsidP="00065C1D">
            <w:pPr>
              <w:widowControl/>
              <w:spacing w:line="432" w:lineRule="atLeast"/>
              <w:ind w:firstLine="480"/>
              <w:jc w:val="left"/>
              <w:rPr>
                <w:rFonts w:ascii="Times New Roman" w:eastAsia="仿宋_GB2312" w:hAnsi="Times New Roman" w:cs="Times New Roman"/>
                <w:color w:val="333333"/>
                <w:kern w:val="0"/>
                <w:sz w:val="32"/>
                <w:szCs w:val="32"/>
              </w:rPr>
            </w:pPr>
            <w:r w:rsidRPr="005A6A8C">
              <w:rPr>
                <w:rFonts w:ascii="Times New Roman" w:eastAsia="仿宋_GB2312" w:hAnsi="Times New Roman" w:cs="Times New Roman"/>
                <w:color w:val="333333"/>
                <w:kern w:val="0"/>
                <w:sz w:val="32"/>
                <w:szCs w:val="32"/>
              </w:rPr>
              <w:t>（三）政府信息公开工作能力有待完善。审计部门的专业性较强，全体干部职工在钻研审计业务工作的同时，应注重加强对政府信息公开相关知识的学习，贯彻落实好《中华人民共和国政府信息公开条例》，掌握公开范围、方式和程序等精髓要点，不断提高我局政府信息公开工作的质量和水平。</w:t>
            </w:r>
          </w:p>
          <w:p w:rsidR="00065C1D" w:rsidRPr="005A6A8C" w:rsidRDefault="00065C1D" w:rsidP="00CE7649">
            <w:pPr>
              <w:widowControl/>
              <w:spacing w:line="432" w:lineRule="atLeast"/>
              <w:ind w:firstLineChars="200" w:firstLine="640"/>
              <w:jc w:val="left"/>
              <w:rPr>
                <w:rFonts w:ascii="Times New Roman" w:eastAsia="黑体" w:hAnsi="Times New Roman" w:cs="Times New Roman"/>
                <w:color w:val="333333"/>
                <w:kern w:val="0"/>
                <w:sz w:val="32"/>
                <w:szCs w:val="32"/>
              </w:rPr>
            </w:pPr>
            <w:r w:rsidRPr="005A6A8C">
              <w:rPr>
                <w:rFonts w:ascii="Times New Roman" w:eastAsia="黑体" w:hAnsi="黑体" w:cs="Times New Roman"/>
                <w:color w:val="333333"/>
                <w:kern w:val="0"/>
                <w:sz w:val="32"/>
                <w:szCs w:val="32"/>
              </w:rPr>
              <w:t>六、其他需要报告的事项</w:t>
            </w:r>
          </w:p>
          <w:p w:rsidR="0064180F" w:rsidRPr="005A6A8C" w:rsidRDefault="00065C1D" w:rsidP="00CE7649">
            <w:pPr>
              <w:widowControl/>
              <w:spacing w:line="432" w:lineRule="atLeast"/>
              <w:ind w:firstLineChars="200" w:firstLine="640"/>
              <w:jc w:val="left"/>
              <w:rPr>
                <w:rFonts w:ascii="Times New Roman" w:eastAsia="仿宋_GB2312" w:hAnsi="Times New Roman" w:cs="Times New Roman"/>
                <w:color w:val="333333"/>
                <w:kern w:val="0"/>
                <w:sz w:val="32"/>
                <w:szCs w:val="32"/>
              </w:rPr>
            </w:pPr>
            <w:r w:rsidRPr="005A6A8C">
              <w:rPr>
                <w:rFonts w:ascii="Times New Roman" w:eastAsia="仿宋_GB2312" w:hAnsi="Times New Roman" w:cs="Times New Roman"/>
                <w:color w:val="333333"/>
                <w:kern w:val="0"/>
                <w:sz w:val="32"/>
                <w:szCs w:val="32"/>
              </w:rPr>
              <w:t>无</w:t>
            </w:r>
            <w:r w:rsidR="007420EA">
              <w:rPr>
                <w:rFonts w:ascii="Times New Roman" w:eastAsia="仿宋_GB2312" w:hAnsi="Times New Roman" w:cs="Times New Roman" w:hint="eastAsia"/>
                <w:color w:val="333333"/>
                <w:kern w:val="0"/>
                <w:sz w:val="32"/>
                <w:szCs w:val="32"/>
              </w:rPr>
              <w:t>。</w:t>
            </w:r>
          </w:p>
        </w:tc>
      </w:tr>
    </w:tbl>
    <w:p w:rsidR="00BB10C9" w:rsidRDefault="007420EA" w:rsidP="00325D96">
      <w:pPr>
        <w:jc w:val="left"/>
        <w:rPr>
          <w:rFonts w:ascii="Times New Roman" w:hAnsi="Times New Roman" w:cs="Times New Roman"/>
        </w:rPr>
      </w:pPr>
      <w:r>
        <w:rPr>
          <w:rFonts w:ascii="Times New Roman" w:hAnsi="Times New Roman" w:cs="Times New Roman" w:hint="eastAsia"/>
        </w:rPr>
        <w:lastRenderedPageBreak/>
        <w:t xml:space="preserve">                                             </w:t>
      </w:r>
    </w:p>
    <w:p w:rsidR="0035554E" w:rsidRDefault="007420EA" w:rsidP="00325D96">
      <w:pPr>
        <w:jc w:val="left"/>
        <w:rPr>
          <w:rFonts w:ascii="Times New Roman" w:hAnsi="Times New Roman" w:cs="Times New Roman"/>
        </w:rPr>
      </w:pPr>
      <w:r>
        <w:rPr>
          <w:rFonts w:ascii="Times New Roman" w:hAnsi="Times New Roman" w:cs="Times New Roman" w:hint="eastAsia"/>
        </w:rPr>
        <w:t xml:space="preserve">                                                   </w:t>
      </w:r>
      <w:r w:rsidRPr="007420EA">
        <w:rPr>
          <w:rFonts w:ascii="Times New Roman" w:eastAsia="仿宋_GB2312" w:hAnsi="Times New Roman" w:cs="Times New Roman" w:hint="eastAsia"/>
          <w:color w:val="333333"/>
          <w:kern w:val="0"/>
          <w:sz w:val="32"/>
          <w:szCs w:val="32"/>
        </w:rPr>
        <w:t xml:space="preserve">   </w:t>
      </w:r>
      <w:r>
        <w:rPr>
          <w:rFonts w:ascii="Times New Roman" w:eastAsia="仿宋_GB2312" w:hAnsi="Times New Roman" w:cs="Times New Roman" w:hint="eastAsia"/>
          <w:color w:val="333333"/>
          <w:kern w:val="0"/>
          <w:sz w:val="32"/>
          <w:szCs w:val="32"/>
        </w:rPr>
        <w:t xml:space="preserve"> </w:t>
      </w:r>
      <w:r w:rsidRPr="007420EA">
        <w:rPr>
          <w:rFonts w:ascii="Times New Roman" w:eastAsia="仿宋_GB2312" w:hAnsi="Times New Roman" w:cs="Times New Roman" w:hint="eastAsia"/>
          <w:color w:val="333333"/>
          <w:kern w:val="0"/>
          <w:sz w:val="32"/>
          <w:szCs w:val="32"/>
        </w:rPr>
        <w:t>株洲市审计局</w:t>
      </w:r>
    </w:p>
    <w:p w:rsidR="0035554E" w:rsidRPr="005A6A8C" w:rsidRDefault="0035554E" w:rsidP="00325D96">
      <w:pPr>
        <w:jc w:val="left"/>
        <w:rPr>
          <w:rFonts w:ascii="Times New Roman" w:hAnsi="Times New Roman" w:cs="Times New Roman"/>
        </w:rPr>
      </w:pPr>
      <w:r>
        <w:rPr>
          <w:rFonts w:ascii="Times New Roman" w:hAnsi="Times New Roman" w:cs="Times New Roman" w:hint="eastAsia"/>
        </w:rPr>
        <w:t xml:space="preserve">                                                      </w:t>
      </w:r>
      <w:r w:rsidRPr="0035554E">
        <w:rPr>
          <w:rFonts w:ascii="Times New Roman" w:eastAsia="仿宋_GB2312" w:hAnsi="Times New Roman" w:cs="Times New Roman" w:hint="eastAsia"/>
          <w:color w:val="333333"/>
          <w:kern w:val="0"/>
          <w:sz w:val="32"/>
          <w:szCs w:val="32"/>
        </w:rPr>
        <w:t>2020</w:t>
      </w:r>
      <w:r w:rsidRPr="0035554E">
        <w:rPr>
          <w:rFonts w:ascii="Times New Roman" w:eastAsia="仿宋_GB2312" w:hAnsi="Times New Roman" w:cs="Times New Roman" w:hint="eastAsia"/>
          <w:color w:val="333333"/>
          <w:kern w:val="0"/>
          <w:sz w:val="32"/>
          <w:szCs w:val="32"/>
        </w:rPr>
        <w:t>年</w:t>
      </w:r>
      <w:r w:rsidR="00743F8D">
        <w:rPr>
          <w:rFonts w:ascii="Times New Roman" w:eastAsia="仿宋_GB2312" w:hAnsi="Times New Roman" w:cs="Times New Roman" w:hint="eastAsia"/>
          <w:color w:val="333333"/>
          <w:kern w:val="0"/>
          <w:sz w:val="32"/>
          <w:szCs w:val="32"/>
        </w:rPr>
        <w:t>1</w:t>
      </w:r>
      <w:r w:rsidRPr="0035554E">
        <w:rPr>
          <w:rFonts w:ascii="Times New Roman" w:eastAsia="仿宋_GB2312" w:hAnsi="Times New Roman" w:cs="Times New Roman" w:hint="eastAsia"/>
          <w:color w:val="333333"/>
          <w:kern w:val="0"/>
          <w:sz w:val="32"/>
          <w:szCs w:val="32"/>
        </w:rPr>
        <w:t>月</w:t>
      </w:r>
      <w:r w:rsidR="006738AF">
        <w:rPr>
          <w:rFonts w:ascii="Times New Roman" w:eastAsia="仿宋_GB2312" w:hAnsi="Times New Roman" w:cs="Times New Roman" w:hint="eastAsia"/>
          <w:color w:val="333333"/>
          <w:kern w:val="0"/>
          <w:sz w:val="32"/>
          <w:szCs w:val="32"/>
        </w:rPr>
        <w:t>1</w:t>
      </w:r>
      <w:r w:rsidR="00743F8D">
        <w:rPr>
          <w:rFonts w:ascii="Times New Roman" w:eastAsia="仿宋_GB2312" w:hAnsi="Times New Roman" w:cs="Times New Roman" w:hint="eastAsia"/>
          <w:color w:val="333333"/>
          <w:kern w:val="0"/>
          <w:sz w:val="32"/>
          <w:szCs w:val="32"/>
        </w:rPr>
        <w:t>4</w:t>
      </w:r>
      <w:r w:rsidRPr="0035554E">
        <w:rPr>
          <w:rFonts w:ascii="Times New Roman" w:eastAsia="仿宋_GB2312" w:hAnsi="Times New Roman" w:cs="Times New Roman" w:hint="eastAsia"/>
          <w:color w:val="333333"/>
          <w:kern w:val="0"/>
          <w:sz w:val="32"/>
          <w:szCs w:val="32"/>
        </w:rPr>
        <w:t>日</w:t>
      </w:r>
    </w:p>
    <w:sectPr w:rsidR="0035554E" w:rsidRPr="005A6A8C" w:rsidSect="0022131A">
      <w:footerReference w:type="default" r:id="rId8"/>
      <w:pgSz w:w="11906" w:h="16838"/>
      <w:pgMar w:top="1560" w:right="1474" w:bottom="1135"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5EF" w:rsidRDefault="008615EF" w:rsidP="0064180F">
      <w:r>
        <w:separator/>
      </w:r>
    </w:p>
  </w:endnote>
  <w:endnote w:type="continuationSeparator" w:id="1">
    <w:p w:rsidR="008615EF" w:rsidRDefault="008615EF" w:rsidP="0064180F">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9169"/>
      <w:docPartObj>
        <w:docPartGallery w:val="Page Numbers (Bottom of Page)"/>
        <w:docPartUnique/>
      </w:docPartObj>
    </w:sdtPr>
    <w:sdtContent>
      <w:p w:rsidR="00807FBA" w:rsidRDefault="00385749">
        <w:pPr>
          <w:pStyle w:val="a4"/>
          <w:jc w:val="center"/>
        </w:pPr>
        <w:fldSimple w:instr=" PAGE   \* MERGEFORMAT ">
          <w:r w:rsidR="00743F8D" w:rsidRPr="00743F8D">
            <w:rPr>
              <w:noProof/>
              <w:lang w:val="zh-CN"/>
            </w:rPr>
            <w:t>6</w:t>
          </w:r>
        </w:fldSimple>
      </w:p>
    </w:sdtContent>
  </w:sdt>
  <w:p w:rsidR="00807FBA" w:rsidRDefault="00807F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5EF" w:rsidRDefault="008615EF" w:rsidP="0064180F">
      <w:r>
        <w:separator/>
      </w:r>
    </w:p>
  </w:footnote>
  <w:footnote w:type="continuationSeparator" w:id="1">
    <w:p w:rsidR="008615EF" w:rsidRDefault="008615EF" w:rsidP="00641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05608"/>
    <w:multiLevelType w:val="hybridMultilevel"/>
    <w:tmpl w:val="F60CE00E"/>
    <w:lvl w:ilvl="0" w:tplc="D92CE44C">
      <w:start w:val="2019"/>
      <w:numFmt w:val="decimal"/>
      <w:lvlText w:val="%1年，"/>
      <w:lvlJc w:val="left"/>
      <w:pPr>
        <w:ind w:left="1560" w:hanging="1080"/>
      </w:pPr>
      <w:rPr>
        <w:rFonts w:ascii="仿宋_GB2312" w:eastAsia="仿宋_GB2312" w:cs="仿宋_GB2312" w:hint="default"/>
        <w:b w:val="0"/>
        <w:color w:val="333333"/>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81E337D"/>
    <w:multiLevelType w:val="hybridMultilevel"/>
    <w:tmpl w:val="089CB6FA"/>
    <w:lvl w:ilvl="0" w:tplc="5240BCF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E921ECC"/>
    <w:multiLevelType w:val="hybridMultilevel"/>
    <w:tmpl w:val="BF34E49C"/>
    <w:lvl w:ilvl="0" w:tplc="22CC328E">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180F"/>
    <w:rsid w:val="0002000A"/>
    <w:rsid w:val="000365E6"/>
    <w:rsid w:val="0005417C"/>
    <w:rsid w:val="00065C1D"/>
    <w:rsid w:val="00067413"/>
    <w:rsid w:val="00082D99"/>
    <w:rsid w:val="00094909"/>
    <w:rsid w:val="000A098A"/>
    <w:rsid w:val="000F0BEF"/>
    <w:rsid w:val="000F709C"/>
    <w:rsid w:val="00102682"/>
    <w:rsid w:val="00104B72"/>
    <w:rsid w:val="001432C9"/>
    <w:rsid w:val="001461AD"/>
    <w:rsid w:val="001553AB"/>
    <w:rsid w:val="00162E16"/>
    <w:rsid w:val="001C0A7F"/>
    <w:rsid w:val="001F6223"/>
    <w:rsid w:val="0020423F"/>
    <w:rsid w:val="00211B77"/>
    <w:rsid w:val="0022131A"/>
    <w:rsid w:val="00224073"/>
    <w:rsid w:val="0024485D"/>
    <w:rsid w:val="00245A88"/>
    <w:rsid w:val="002845C3"/>
    <w:rsid w:val="00284B66"/>
    <w:rsid w:val="00286FED"/>
    <w:rsid w:val="00297178"/>
    <w:rsid w:val="002C4CB9"/>
    <w:rsid w:val="002C700A"/>
    <w:rsid w:val="003111B6"/>
    <w:rsid w:val="00321341"/>
    <w:rsid w:val="00325D96"/>
    <w:rsid w:val="003301F6"/>
    <w:rsid w:val="00342B0B"/>
    <w:rsid w:val="0035554E"/>
    <w:rsid w:val="003562C9"/>
    <w:rsid w:val="00385749"/>
    <w:rsid w:val="003C305C"/>
    <w:rsid w:val="003E5694"/>
    <w:rsid w:val="00404FA2"/>
    <w:rsid w:val="00426189"/>
    <w:rsid w:val="004270EF"/>
    <w:rsid w:val="00442561"/>
    <w:rsid w:val="00467147"/>
    <w:rsid w:val="00487C85"/>
    <w:rsid w:val="00491791"/>
    <w:rsid w:val="004B4753"/>
    <w:rsid w:val="004D0947"/>
    <w:rsid w:val="004E7ED3"/>
    <w:rsid w:val="004F44E3"/>
    <w:rsid w:val="004F5137"/>
    <w:rsid w:val="0050213A"/>
    <w:rsid w:val="00521688"/>
    <w:rsid w:val="005616F0"/>
    <w:rsid w:val="0056402B"/>
    <w:rsid w:val="00594AB2"/>
    <w:rsid w:val="005A6A8C"/>
    <w:rsid w:val="00624EC6"/>
    <w:rsid w:val="0064180F"/>
    <w:rsid w:val="00651C17"/>
    <w:rsid w:val="006555C5"/>
    <w:rsid w:val="006725D4"/>
    <w:rsid w:val="006738AF"/>
    <w:rsid w:val="0068521E"/>
    <w:rsid w:val="00686880"/>
    <w:rsid w:val="00694589"/>
    <w:rsid w:val="006A3956"/>
    <w:rsid w:val="006D7B5D"/>
    <w:rsid w:val="007420EA"/>
    <w:rsid w:val="00743F8D"/>
    <w:rsid w:val="0074675C"/>
    <w:rsid w:val="007B0915"/>
    <w:rsid w:val="007B65F2"/>
    <w:rsid w:val="007B7B67"/>
    <w:rsid w:val="007C2A65"/>
    <w:rsid w:val="007C3EDA"/>
    <w:rsid w:val="007D72DA"/>
    <w:rsid w:val="007E5A77"/>
    <w:rsid w:val="00807FBA"/>
    <w:rsid w:val="0081583F"/>
    <w:rsid w:val="00853687"/>
    <w:rsid w:val="008615EF"/>
    <w:rsid w:val="00865726"/>
    <w:rsid w:val="0087386B"/>
    <w:rsid w:val="00886C27"/>
    <w:rsid w:val="008A3F0F"/>
    <w:rsid w:val="008C353C"/>
    <w:rsid w:val="008C721A"/>
    <w:rsid w:val="008D4959"/>
    <w:rsid w:val="008E7449"/>
    <w:rsid w:val="008F3ED8"/>
    <w:rsid w:val="00906E9A"/>
    <w:rsid w:val="0092095D"/>
    <w:rsid w:val="00964731"/>
    <w:rsid w:val="009756AA"/>
    <w:rsid w:val="009E4332"/>
    <w:rsid w:val="009F7414"/>
    <w:rsid w:val="00A16372"/>
    <w:rsid w:val="00A4507C"/>
    <w:rsid w:val="00AA488C"/>
    <w:rsid w:val="00AE406E"/>
    <w:rsid w:val="00B0651D"/>
    <w:rsid w:val="00B52CBF"/>
    <w:rsid w:val="00B7289B"/>
    <w:rsid w:val="00B76BE9"/>
    <w:rsid w:val="00BA1CB4"/>
    <w:rsid w:val="00BB10C9"/>
    <w:rsid w:val="00C25A09"/>
    <w:rsid w:val="00C602CB"/>
    <w:rsid w:val="00CB22D7"/>
    <w:rsid w:val="00CB57E8"/>
    <w:rsid w:val="00CE7649"/>
    <w:rsid w:val="00D85EE2"/>
    <w:rsid w:val="00D90829"/>
    <w:rsid w:val="00DB2D8F"/>
    <w:rsid w:val="00DF3BF6"/>
    <w:rsid w:val="00E036B4"/>
    <w:rsid w:val="00E05838"/>
    <w:rsid w:val="00E115F9"/>
    <w:rsid w:val="00E11C91"/>
    <w:rsid w:val="00E303FA"/>
    <w:rsid w:val="00E86B0C"/>
    <w:rsid w:val="00EA62CA"/>
    <w:rsid w:val="00EB36A2"/>
    <w:rsid w:val="00EB4C32"/>
    <w:rsid w:val="00ED31F8"/>
    <w:rsid w:val="00F03490"/>
    <w:rsid w:val="00F2191D"/>
    <w:rsid w:val="00F2373A"/>
    <w:rsid w:val="00F35A03"/>
    <w:rsid w:val="00F57172"/>
    <w:rsid w:val="00F6034F"/>
    <w:rsid w:val="00F778AE"/>
    <w:rsid w:val="00F856F4"/>
    <w:rsid w:val="00FB5FB4"/>
    <w:rsid w:val="00FC6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8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180F"/>
    <w:rPr>
      <w:sz w:val="18"/>
      <w:szCs w:val="18"/>
    </w:rPr>
  </w:style>
  <w:style w:type="paragraph" w:styleId="a4">
    <w:name w:val="footer"/>
    <w:basedOn w:val="a"/>
    <w:link w:val="Char0"/>
    <w:uiPriority w:val="99"/>
    <w:unhideWhenUsed/>
    <w:rsid w:val="0064180F"/>
    <w:pPr>
      <w:tabs>
        <w:tab w:val="center" w:pos="4153"/>
        <w:tab w:val="right" w:pos="8306"/>
      </w:tabs>
      <w:snapToGrid w:val="0"/>
      <w:jc w:val="left"/>
    </w:pPr>
    <w:rPr>
      <w:sz w:val="18"/>
      <w:szCs w:val="18"/>
    </w:rPr>
  </w:style>
  <w:style w:type="character" w:customStyle="1" w:styleId="Char0">
    <w:name w:val="页脚 Char"/>
    <w:basedOn w:val="a0"/>
    <w:link w:val="a4"/>
    <w:uiPriority w:val="99"/>
    <w:rsid w:val="0064180F"/>
    <w:rPr>
      <w:sz w:val="18"/>
      <w:szCs w:val="18"/>
    </w:rPr>
  </w:style>
  <w:style w:type="paragraph" w:styleId="a5">
    <w:name w:val="Normal (Web)"/>
    <w:basedOn w:val="a"/>
    <w:unhideWhenUsed/>
    <w:rsid w:val="0064180F"/>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74675C"/>
    <w:pPr>
      <w:ind w:firstLineChars="200" w:firstLine="420"/>
    </w:pPr>
  </w:style>
</w:styles>
</file>

<file path=word/webSettings.xml><?xml version="1.0" encoding="utf-8"?>
<w:webSettings xmlns:r="http://schemas.openxmlformats.org/officeDocument/2006/relationships" xmlns:w="http://schemas.openxmlformats.org/wordprocessingml/2006/main">
  <w:divs>
    <w:div w:id="53546671">
      <w:bodyDiv w:val="1"/>
      <w:marLeft w:val="0"/>
      <w:marRight w:val="0"/>
      <w:marTop w:val="0"/>
      <w:marBottom w:val="0"/>
      <w:divBdr>
        <w:top w:val="none" w:sz="0" w:space="0" w:color="auto"/>
        <w:left w:val="none" w:sz="0" w:space="0" w:color="auto"/>
        <w:bottom w:val="none" w:sz="0" w:space="0" w:color="auto"/>
        <w:right w:val="none" w:sz="0" w:space="0" w:color="auto"/>
      </w:divBdr>
    </w:div>
    <w:div w:id="375813430">
      <w:bodyDiv w:val="1"/>
      <w:marLeft w:val="0"/>
      <w:marRight w:val="0"/>
      <w:marTop w:val="0"/>
      <w:marBottom w:val="0"/>
      <w:divBdr>
        <w:top w:val="none" w:sz="0" w:space="0" w:color="auto"/>
        <w:left w:val="none" w:sz="0" w:space="0" w:color="auto"/>
        <w:bottom w:val="none" w:sz="0" w:space="0" w:color="auto"/>
        <w:right w:val="none" w:sz="0" w:space="0" w:color="auto"/>
      </w:divBdr>
    </w:div>
    <w:div w:id="651560905">
      <w:bodyDiv w:val="1"/>
      <w:marLeft w:val="0"/>
      <w:marRight w:val="0"/>
      <w:marTop w:val="0"/>
      <w:marBottom w:val="0"/>
      <w:divBdr>
        <w:top w:val="none" w:sz="0" w:space="0" w:color="auto"/>
        <w:left w:val="none" w:sz="0" w:space="0" w:color="auto"/>
        <w:bottom w:val="none" w:sz="0" w:space="0" w:color="auto"/>
        <w:right w:val="none" w:sz="0" w:space="0" w:color="auto"/>
      </w:divBdr>
    </w:div>
    <w:div w:id="877009579">
      <w:bodyDiv w:val="1"/>
      <w:marLeft w:val="0"/>
      <w:marRight w:val="0"/>
      <w:marTop w:val="0"/>
      <w:marBottom w:val="0"/>
      <w:divBdr>
        <w:top w:val="none" w:sz="0" w:space="0" w:color="auto"/>
        <w:left w:val="none" w:sz="0" w:space="0" w:color="auto"/>
        <w:bottom w:val="none" w:sz="0" w:space="0" w:color="auto"/>
        <w:right w:val="none" w:sz="0" w:space="0" w:color="auto"/>
      </w:divBdr>
    </w:div>
    <w:div w:id="1138844298">
      <w:bodyDiv w:val="1"/>
      <w:marLeft w:val="0"/>
      <w:marRight w:val="0"/>
      <w:marTop w:val="0"/>
      <w:marBottom w:val="0"/>
      <w:divBdr>
        <w:top w:val="none" w:sz="0" w:space="0" w:color="auto"/>
        <w:left w:val="none" w:sz="0" w:space="0" w:color="auto"/>
        <w:bottom w:val="none" w:sz="0" w:space="0" w:color="auto"/>
        <w:right w:val="none" w:sz="0" w:space="0" w:color="auto"/>
      </w:divBdr>
    </w:div>
    <w:div w:id="1456871106">
      <w:bodyDiv w:val="1"/>
      <w:marLeft w:val="0"/>
      <w:marRight w:val="0"/>
      <w:marTop w:val="0"/>
      <w:marBottom w:val="0"/>
      <w:divBdr>
        <w:top w:val="none" w:sz="0" w:space="0" w:color="auto"/>
        <w:left w:val="none" w:sz="0" w:space="0" w:color="auto"/>
        <w:bottom w:val="none" w:sz="0" w:space="0" w:color="auto"/>
        <w:right w:val="none" w:sz="0" w:space="0" w:color="auto"/>
      </w:divBdr>
    </w:div>
    <w:div w:id="2117484424">
      <w:bodyDiv w:val="1"/>
      <w:marLeft w:val="0"/>
      <w:marRight w:val="0"/>
      <w:marTop w:val="0"/>
      <w:marBottom w:val="0"/>
      <w:divBdr>
        <w:top w:val="none" w:sz="0" w:space="0" w:color="auto"/>
        <w:left w:val="none" w:sz="0" w:space="0" w:color="auto"/>
        <w:bottom w:val="none" w:sz="0" w:space="0" w:color="auto"/>
        <w:right w:val="none" w:sz="0" w:space="0" w:color="auto"/>
      </w:divBdr>
    </w:div>
    <w:div w:id="21343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9124B-B05F-4ADD-A2D8-1B37A258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6</Pages>
  <Words>501</Words>
  <Characters>2862</Characters>
  <Application>Microsoft Office Word</Application>
  <DocSecurity>0</DocSecurity>
  <Lines>23</Lines>
  <Paragraphs>6</Paragraphs>
  <ScaleCrop>false</ScaleCrop>
  <Company>Microsoft</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81</cp:revision>
  <cp:lastPrinted>2020-01-14T03:42:00Z</cp:lastPrinted>
  <dcterms:created xsi:type="dcterms:W3CDTF">2020-01-08T00:38:00Z</dcterms:created>
  <dcterms:modified xsi:type="dcterms:W3CDTF">2020-03-13T08:20:00Z</dcterms:modified>
</cp:coreProperties>
</file>