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center"/>
        <w:rPr>
          <w:rFonts w:hint="eastAsia" w:eastAsia="宋体"/>
          <w:bCs/>
          <w:kern w:val="0"/>
          <w:szCs w:val="32"/>
          <w:lang w:val="en-US" w:eastAsia="zh-CN"/>
        </w:rPr>
      </w:pPr>
      <w:bookmarkStart w:id="1" w:name="_GoBack"/>
      <w:bookmarkEnd w:id="1"/>
      <w:r>
        <w:rPr>
          <w:rFonts w:hint="eastAsia" w:ascii="宋体" w:hAnsi="宋体" w:eastAsia="宋体"/>
          <w:b/>
          <w:bCs/>
          <w:color w:val="000000"/>
          <w:sz w:val="72"/>
          <w:szCs w:val="72"/>
        </w:rPr>
        <w:t>株洲县城市建设投资管理中心</w:t>
      </w:r>
      <w:r>
        <w:rPr>
          <w:rFonts w:hint="eastAsia" w:ascii="宋体" w:hAnsi="宋体" w:eastAsia="宋体"/>
          <w:b/>
          <w:bCs/>
          <w:kern w:val="0"/>
          <w:sz w:val="72"/>
          <w:szCs w:val="72"/>
        </w:rPr>
        <w:t>2018年度部门决算</w:t>
      </w:r>
      <w:r>
        <w:rPr>
          <w:rFonts w:hint="eastAsia" w:ascii="宋体" w:hAnsi="宋体" w:eastAsia="宋体"/>
          <w:b/>
          <w:bCs/>
          <w:kern w:val="0"/>
          <w:sz w:val="72"/>
          <w:szCs w:val="72"/>
          <w:lang w:eastAsia="zh-CN"/>
        </w:rPr>
        <w:t>公开</w:t>
      </w:r>
    </w:p>
    <w:p>
      <w:pPr>
        <w:widowControl/>
        <w:spacing w:line="240" w:lineRule="auto"/>
        <w:ind w:firstLine="0" w:firstLineChars="0"/>
        <w:jc w:val="center"/>
        <w:rPr>
          <w:rFonts w:eastAsia="方正小标宋_GBK"/>
          <w:bCs/>
          <w:kern w:val="0"/>
          <w:sz w:val="44"/>
          <w:szCs w:val="44"/>
        </w:rPr>
      </w:pPr>
      <w:r>
        <w:rPr>
          <w:rFonts w:hint="eastAsia" w:eastAsia="方正小标宋_GBK"/>
          <w:bCs/>
          <w:kern w:val="0"/>
          <w:sz w:val="44"/>
          <w:szCs w:val="44"/>
        </w:rPr>
        <w:t>目  录</w:t>
      </w:r>
    </w:p>
    <w:p>
      <w:pPr>
        <w:widowControl/>
        <w:ind w:firstLine="0" w:firstLineChars="0"/>
        <w:rPr>
          <w:rFonts w:eastAsia="黑体"/>
          <w:bCs/>
          <w:kern w:val="0"/>
          <w:szCs w:val="32"/>
        </w:rPr>
      </w:pPr>
      <w:r>
        <w:rPr>
          <w:rFonts w:hint="eastAsia" w:eastAsia="黑体"/>
          <w:bCs/>
          <w:kern w:val="0"/>
          <w:szCs w:val="32"/>
        </w:rPr>
        <w:t>第一部分</w:t>
      </w:r>
      <w:r>
        <w:rPr>
          <w:rFonts w:eastAsia="黑体"/>
          <w:bCs/>
          <w:kern w:val="0"/>
          <w:szCs w:val="32"/>
        </w:rPr>
        <w:t xml:space="preserve"> </w:t>
      </w:r>
      <w:r>
        <w:rPr>
          <w:rFonts w:hint="eastAsia" w:eastAsia="黑体"/>
          <w:bCs/>
          <w:kern w:val="0"/>
          <w:szCs w:val="32"/>
        </w:rPr>
        <w:t xml:space="preserve"> </w:t>
      </w:r>
      <w:r>
        <w:rPr>
          <w:rFonts w:hint="eastAsia" w:ascii="黑体" w:hAnsi="黑体" w:eastAsia="黑体"/>
          <w:bCs/>
          <w:color w:val="000000"/>
          <w:szCs w:val="32"/>
        </w:rPr>
        <w:t>株洲县城市建设投资管理中心</w:t>
      </w:r>
      <w:r>
        <w:rPr>
          <w:rFonts w:hint="eastAsia" w:eastAsia="黑体"/>
          <w:bCs/>
          <w:kern w:val="0"/>
          <w:szCs w:val="32"/>
        </w:rPr>
        <w:t>概况</w:t>
      </w:r>
    </w:p>
    <w:p>
      <w:pPr>
        <w:widowControl/>
        <w:ind w:firstLine="0" w:firstLineChars="0"/>
        <w:rPr>
          <w:bCs/>
          <w:kern w:val="0"/>
          <w:szCs w:val="32"/>
        </w:rPr>
      </w:pPr>
      <w:r>
        <w:rPr>
          <w:rFonts w:hint="eastAsia"/>
          <w:bCs/>
          <w:kern w:val="0"/>
          <w:szCs w:val="32"/>
        </w:rPr>
        <w:t>一、部门职责</w:t>
      </w:r>
    </w:p>
    <w:p>
      <w:pPr>
        <w:widowControl/>
        <w:ind w:firstLine="0" w:firstLineChars="0"/>
        <w:rPr>
          <w:bCs/>
          <w:kern w:val="0"/>
          <w:szCs w:val="32"/>
        </w:rPr>
      </w:pPr>
      <w:r>
        <w:rPr>
          <w:rFonts w:hint="eastAsia"/>
          <w:bCs/>
          <w:kern w:val="0"/>
          <w:szCs w:val="32"/>
        </w:rPr>
        <w:t>二、机构设置</w:t>
      </w:r>
    </w:p>
    <w:p>
      <w:pPr>
        <w:widowControl/>
        <w:ind w:firstLine="0" w:firstLineChars="0"/>
        <w:rPr>
          <w:rFonts w:eastAsia="黑体"/>
          <w:bCs/>
          <w:kern w:val="0"/>
          <w:szCs w:val="32"/>
        </w:rPr>
      </w:pPr>
      <w:r>
        <w:rPr>
          <w:rFonts w:hint="eastAsia" w:eastAsia="黑体"/>
          <w:bCs/>
          <w:kern w:val="0"/>
          <w:szCs w:val="32"/>
        </w:rPr>
        <w:t xml:space="preserve">第二部分  </w:t>
      </w:r>
      <w:r>
        <w:rPr>
          <w:rFonts w:hint="eastAsia" w:ascii="黑体" w:hAnsi="黑体" w:eastAsia="黑体"/>
          <w:bCs/>
          <w:color w:val="000000"/>
          <w:szCs w:val="32"/>
        </w:rPr>
        <w:t>株洲县城市建设投资管理中心</w:t>
      </w:r>
      <w:r>
        <w:rPr>
          <w:rFonts w:eastAsia="黑体"/>
          <w:bCs/>
          <w:kern w:val="0"/>
          <w:szCs w:val="32"/>
        </w:rPr>
        <w:t>2018</w:t>
      </w:r>
      <w:r>
        <w:rPr>
          <w:rFonts w:hint="eastAsia" w:eastAsia="黑体"/>
          <w:bCs/>
          <w:kern w:val="0"/>
          <w:szCs w:val="32"/>
        </w:rPr>
        <w:t>年度部门决算表</w:t>
      </w:r>
    </w:p>
    <w:p>
      <w:pPr>
        <w:widowControl/>
        <w:ind w:firstLine="0" w:firstLineChars="0"/>
        <w:rPr>
          <w:bCs/>
          <w:kern w:val="0"/>
          <w:szCs w:val="32"/>
        </w:rPr>
      </w:pPr>
      <w:r>
        <w:rPr>
          <w:rFonts w:hint="eastAsia"/>
          <w:bCs/>
          <w:kern w:val="0"/>
          <w:szCs w:val="32"/>
        </w:rPr>
        <w:t>一、收入支出决算总表</w:t>
      </w:r>
    </w:p>
    <w:p>
      <w:pPr>
        <w:widowControl/>
        <w:ind w:firstLine="0" w:firstLineChars="0"/>
        <w:rPr>
          <w:bCs/>
          <w:kern w:val="0"/>
          <w:szCs w:val="32"/>
        </w:rPr>
      </w:pPr>
      <w:r>
        <w:rPr>
          <w:rFonts w:hint="eastAsia"/>
          <w:bCs/>
          <w:kern w:val="0"/>
          <w:szCs w:val="32"/>
        </w:rPr>
        <w:t>二、收入决算表</w:t>
      </w:r>
    </w:p>
    <w:p>
      <w:pPr>
        <w:widowControl/>
        <w:ind w:firstLine="0" w:firstLineChars="0"/>
        <w:rPr>
          <w:bCs/>
          <w:kern w:val="0"/>
          <w:szCs w:val="32"/>
        </w:rPr>
      </w:pPr>
      <w:r>
        <w:rPr>
          <w:rFonts w:hint="eastAsia"/>
          <w:bCs/>
          <w:kern w:val="0"/>
          <w:szCs w:val="32"/>
        </w:rPr>
        <w:t>三、支出决算表</w:t>
      </w:r>
    </w:p>
    <w:p>
      <w:pPr>
        <w:widowControl/>
        <w:ind w:firstLine="0" w:firstLineChars="0"/>
        <w:rPr>
          <w:bCs/>
          <w:kern w:val="0"/>
          <w:szCs w:val="32"/>
        </w:rPr>
      </w:pPr>
      <w:r>
        <w:rPr>
          <w:rFonts w:hint="eastAsia"/>
          <w:bCs/>
          <w:kern w:val="0"/>
          <w:szCs w:val="32"/>
        </w:rPr>
        <w:t>四、财政拨款收入支出决算总表</w:t>
      </w:r>
    </w:p>
    <w:p>
      <w:pPr>
        <w:widowControl/>
        <w:ind w:firstLine="0" w:firstLineChars="0"/>
        <w:rPr>
          <w:bCs/>
          <w:kern w:val="0"/>
          <w:szCs w:val="32"/>
        </w:rPr>
      </w:pPr>
      <w:r>
        <w:rPr>
          <w:rFonts w:hint="eastAsia"/>
          <w:bCs/>
          <w:kern w:val="0"/>
          <w:szCs w:val="32"/>
        </w:rPr>
        <w:t>五、一般公共预算财政拨款支出决算表</w:t>
      </w:r>
    </w:p>
    <w:p>
      <w:pPr>
        <w:widowControl/>
        <w:ind w:firstLine="0" w:firstLineChars="0"/>
        <w:rPr>
          <w:bCs/>
          <w:kern w:val="0"/>
          <w:szCs w:val="32"/>
        </w:rPr>
      </w:pPr>
      <w:r>
        <w:rPr>
          <w:rFonts w:hint="eastAsia"/>
          <w:bCs/>
          <w:kern w:val="0"/>
          <w:szCs w:val="32"/>
        </w:rPr>
        <w:t>六、一般公共预算财政拨款基本支出决算表</w:t>
      </w:r>
    </w:p>
    <w:p>
      <w:pPr>
        <w:widowControl/>
        <w:ind w:firstLine="0" w:firstLineChars="0"/>
        <w:rPr>
          <w:bCs/>
          <w:kern w:val="0"/>
          <w:szCs w:val="32"/>
        </w:rPr>
      </w:pPr>
      <w:r>
        <w:rPr>
          <w:rFonts w:hint="eastAsia"/>
          <w:bCs/>
          <w:kern w:val="0"/>
          <w:szCs w:val="32"/>
        </w:rPr>
        <w:t>七、一般公共预算财政拨款</w:t>
      </w:r>
      <w:r>
        <w:rPr>
          <w:bCs/>
          <w:kern w:val="0"/>
          <w:szCs w:val="32"/>
        </w:rPr>
        <w:t>“</w:t>
      </w:r>
      <w:r>
        <w:rPr>
          <w:rFonts w:hint="eastAsia"/>
          <w:bCs/>
          <w:kern w:val="0"/>
          <w:szCs w:val="32"/>
        </w:rPr>
        <w:t>三公</w:t>
      </w:r>
      <w:r>
        <w:rPr>
          <w:bCs/>
          <w:kern w:val="0"/>
          <w:szCs w:val="32"/>
        </w:rPr>
        <w:t>”</w:t>
      </w:r>
      <w:r>
        <w:rPr>
          <w:rFonts w:hint="eastAsia"/>
          <w:bCs/>
          <w:kern w:val="0"/>
          <w:szCs w:val="32"/>
        </w:rPr>
        <w:t>经费支出决算表</w:t>
      </w:r>
    </w:p>
    <w:p>
      <w:pPr>
        <w:widowControl/>
        <w:ind w:firstLine="0" w:firstLineChars="0"/>
        <w:rPr>
          <w:bCs/>
          <w:kern w:val="0"/>
          <w:szCs w:val="32"/>
        </w:rPr>
      </w:pPr>
      <w:r>
        <w:rPr>
          <w:rFonts w:hint="eastAsia"/>
          <w:bCs/>
          <w:kern w:val="0"/>
          <w:szCs w:val="32"/>
        </w:rPr>
        <w:t>八、政府性基金预算财政拨款收入支出决算表</w:t>
      </w:r>
    </w:p>
    <w:p>
      <w:pPr>
        <w:widowControl/>
        <w:ind w:firstLine="0" w:firstLineChars="0"/>
        <w:rPr>
          <w:rFonts w:eastAsia="黑体"/>
          <w:bCs/>
          <w:kern w:val="0"/>
          <w:szCs w:val="32"/>
        </w:rPr>
      </w:pPr>
      <w:r>
        <w:rPr>
          <w:rFonts w:hint="eastAsia" w:eastAsia="黑体"/>
          <w:bCs/>
          <w:kern w:val="0"/>
          <w:szCs w:val="32"/>
        </w:rPr>
        <w:t xml:space="preserve">第三部分  </w:t>
      </w:r>
      <w:r>
        <w:rPr>
          <w:rFonts w:hint="eastAsia" w:ascii="黑体" w:hAnsi="黑体" w:eastAsia="黑体"/>
          <w:bCs/>
          <w:color w:val="000000"/>
          <w:szCs w:val="32"/>
        </w:rPr>
        <w:t>株洲县城市建设投资管理中心</w:t>
      </w:r>
      <w:r>
        <w:rPr>
          <w:rFonts w:eastAsia="黑体"/>
          <w:bCs/>
          <w:kern w:val="0"/>
          <w:szCs w:val="32"/>
        </w:rPr>
        <w:t>2018</w:t>
      </w:r>
      <w:r>
        <w:rPr>
          <w:rFonts w:hint="eastAsia" w:eastAsia="黑体"/>
          <w:bCs/>
          <w:kern w:val="0"/>
          <w:szCs w:val="32"/>
        </w:rPr>
        <w:t>年度部门决算情况说明</w:t>
      </w:r>
    </w:p>
    <w:p>
      <w:pPr>
        <w:widowControl/>
        <w:ind w:firstLine="0" w:firstLineChars="0"/>
        <w:rPr>
          <w:bCs/>
          <w:kern w:val="0"/>
          <w:szCs w:val="32"/>
        </w:rPr>
      </w:pPr>
      <w:r>
        <w:rPr>
          <w:rFonts w:hint="eastAsia"/>
          <w:bCs/>
          <w:kern w:val="0"/>
          <w:szCs w:val="32"/>
        </w:rPr>
        <w:t>一、收入支出决算总体情况说明</w:t>
      </w:r>
    </w:p>
    <w:p>
      <w:pPr>
        <w:widowControl/>
        <w:ind w:firstLine="0" w:firstLineChars="0"/>
        <w:rPr>
          <w:bCs/>
          <w:kern w:val="0"/>
          <w:szCs w:val="32"/>
        </w:rPr>
      </w:pPr>
      <w:r>
        <w:rPr>
          <w:rFonts w:hint="eastAsia"/>
          <w:bCs/>
          <w:kern w:val="0"/>
          <w:szCs w:val="32"/>
        </w:rPr>
        <w:t>二、收入决算情况说明</w:t>
      </w:r>
    </w:p>
    <w:p>
      <w:pPr>
        <w:widowControl/>
        <w:ind w:firstLine="0" w:firstLineChars="0"/>
        <w:rPr>
          <w:bCs/>
          <w:kern w:val="0"/>
          <w:szCs w:val="32"/>
        </w:rPr>
      </w:pPr>
      <w:r>
        <w:rPr>
          <w:rFonts w:hint="eastAsia"/>
          <w:bCs/>
          <w:kern w:val="0"/>
          <w:szCs w:val="32"/>
        </w:rPr>
        <w:t>三、支出决算情况说明</w:t>
      </w:r>
    </w:p>
    <w:p>
      <w:pPr>
        <w:widowControl/>
        <w:ind w:firstLine="0" w:firstLineChars="0"/>
        <w:rPr>
          <w:bCs/>
          <w:kern w:val="0"/>
          <w:szCs w:val="32"/>
        </w:rPr>
      </w:pPr>
      <w:r>
        <w:rPr>
          <w:rFonts w:hint="eastAsia"/>
          <w:bCs/>
          <w:kern w:val="0"/>
          <w:szCs w:val="32"/>
        </w:rPr>
        <w:t>四、财政拨款收入支出决算总体情况说明</w:t>
      </w:r>
    </w:p>
    <w:p>
      <w:pPr>
        <w:widowControl/>
        <w:ind w:firstLine="0" w:firstLineChars="0"/>
        <w:rPr>
          <w:bCs/>
          <w:kern w:val="0"/>
          <w:szCs w:val="32"/>
        </w:rPr>
      </w:pPr>
      <w:r>
        <w:rPr>
          <w:rFonts w:hint="eastAsia"/>
          <w:bCs/>
          <w:kern w:val="0"/>
          <w:szCs w:val="32"/>
        </w:rPr>
        <w:t>五、一般公共预算财政拨款支出决算情况说明</w:t>
      </w:r>
    </w:p>
    <w:p>
      <w:pPr>
        <w:widowControl/>
        <w:ind w:firstLine="0" w:firstLineChars="0"/>
        <w:rPr>
          <w:bCs/>
          <w:kern w:val="0"/>
          <w:szCs w:val="32"/>
        </w:rPr>
      </w:pPr>
      <w:r>
        <w:rPr>
          <w:rFonts w:hint="eastAsia"/>
          <w:bCs/>
          <w:kern w:val="0"/>
          <w:szCs w:val="32"/>
        </w:rPr>
        <w:t>六、一般公共预算财政拨款基本支出决算情况说明</w:t>
      </w:r>
    </w:p>
    <w:p>
      <w:pPr>
        <w:widowControl/>
        <w:ind w:firstLine="0" w:firstLineChars="0"/>
        <w:rPr>
          <w:bCs/>
          <w:kern w:val="0"/>
          <w:szCs w:val="32"/>
        </w:rPr>
      </w:pPr>
      <w:r>
        <w:rPr>
          <w:rFonts w:hint="eastAsia"/>
          <w:bCs/>
          <w:kern w:val="0"/>
          <w:szCs w:val="32"/>
        </w:rPr>
        <w:t>七、一般公共预算财政拨款</w:t>
      </w:r>
      <w:r>
        <w:rPr>
          <w:bCs/>
          <w:kern w:val="0"/>
          <w:szCs w:val="32"/>
        </w:rPr>
        <w:t>“</w:t>
      </w:r>
      <w:r>
        <w:rPr>
          <w:rFonts w:hint="eastAsia"/>
          <w:bCs/>
          <w:kern w:val="0"/>
          <w:szCs w:val="32"/>
        </w:rPr>
        <w:t>三公</w:t>
      </w:r>
      <w:r>
        <w:rPr>
          <w:bCs/>
          <w:kern w:val="0"/>
          <w:szCs w:val="32"/>
        </w:rPr>
        <w:t>”</w:t>
      </w:r>
      <w:r>
        <w:rPr>
          <w:rFonts w:hint="eastAsia"/>
          <w:bCs/>
          <w:kern w:val="0"/>
          <w:szCs w:val="32"/>
        </w:rPr>
        <w:t>经费支出情况决算情况说明</w:t>
      </w:r>
    </w:p>
    <w:p>
      <w:pPr>
        <w:widowControl/>
        <w:ind w:firstLine="0" w:firstLineChars="0"/>
        <w:rPr>
          <w:bCs/>
          <w:kern w:val="0"/>
          <w:szCs w:val="32"/>
        </w:rPr>
      </w:pPr>
      <w:r>
        <w:rPr>
          <w:rFonts w:hint="eastAsia"/>
          <w:bCs/>
          <w:kern w:val="0"/>
          <w:szCs w:val="32"/>
        </w:rPr>
        <w:t>八、政府性基金预算收入支出情况说明</w:t>
      </w:r>
    </w:p>
    <w:p>
      <w:pPr>
        <w:widowControl/>
        <w:ind w:firstLine="0" w:firstLineChars="0"/>
        <w:rPr>
          <w:rFonts w:hint="eastAsia"/>
          <w:bCs/>
          <w:kern w:val="0"/>
          <w:szCs w:val="32"/>
        </w:rPr>
      </w:pPr>
      <w:r>
        <w:rPr>
          <w:rFonts w:hint="eastAsia"/>
          <w:bCs/>
          <w:kern w:val="0"/>
          <w:szCs w:val="32"/>
        </w:rPr>
        <w:t>九、预算绩效情况说明</w:t>
      </w:r>
    </w:p>
    <w:p>
      <w:pPr>
        <w:widowControl/>
        <w:ind w:firstLine="0" w:firstLineChars="0"/>
        <w:rPr>
          <w:bCs/>
          <w:kern w:val="0"/>
          <w:szCs w:val="32"/>
        </w:rPr>
      </w:pPr>
      <w:r>
        <w:rPr>
          <w:rFonts w:hint="eastAsia"/>
          <w:bCs/>
          <w:kern w:val="0"/>
          <w:szCs w:val="32"/>
        </w:rPr>
        <w:t>十、其他重要事项的情况说明</w:t>
      </w:r>
    </w:p>
    <w:p>
      <w:pPr>
        <w:widowControl/>
        <w:ind w:firstLine="0" w:firstLineChars="0"/>
        <w:rPr>
          <w:rFonts w:eastAsia="黑体"/>
          <w:bCs/>
          <w:kern w:val="0"/>
          <w:szCs w:val="32"/>
        </w:rPr>
      </w:pPr>
      <w:r>
        <w:rPr>
          <w:rFonts w:hint="eastAsia" w:eastAsia="黑体"/>
          <w:bCs/>
          <w:kern w:val="0"/>
          <w:szCs w:val="32"/>
        </w:rPr>
        <w:t>第四部分</w:t>
      </w:r>
      <w:r>
        <w:rPr>
          <w:rFonts w:eastAsia="黑体"/>
          <w:bCs/>
          <w:kern w:val="0"/>
          <w:szCs w:val="32"/>
        </w:rPr>
        <w:t xml:space="preserve">  </w:t>
      </w:r>
      <w:r>
        <w:rPr>
          <w:rFonts w:hint="eastAsia" w:eastAsia="黑体"/>
          <w:bCs/>
          <w:kern w:val="0"/>
          <w:szCs w:val="32"/>
        </w:rPr>
        <w:t>名词解释</w:t>
      </w:r>
    </w:p>
    <w:p>
      <w:pPr>
        <w:widowControl/>
        <w:spacing w:line="240" w:lineRule="auto"/>
        <w:ind w:firstLine="0" w:firstLineChars="0"/>
        <w:jc w:val="center"/>
        <w:rPr>
          <w:rFonts w:hint="eastAsia" w:eastAsia="方正小标宋_GBK"/>
          <w:bCs/>
          <w:kern w:val="0"/>
          <w:sz w:val="44"/>
          <w:szCs w:val="44"/>
        </w:rPr>
      </w:pPr>
    </w:p>
    <w:p>
      <w:pPr>
        <w:widowControl/>
        <w:ind w:firstLine="0" w:firstLineChars="0"/>
        <w:rPr>
          <w:rFonts w:eastAsia="黑体"/>
          <w:bCs/>
          <w:kern w:val="0"/>
          <w:szCs w:val="32"/>
        </w:rPr>
      </w:pPr>
      <w:r>
        <w:rPr>
          <w:rFonts w:hint="eastAsia" w:eastAsia="黑体"/>
          <w:bCs/>
          <w:kern w:val="0"/>
          <w:szCs w:val="32"/>
        </w:rPr>
        <w:t>第一部分</w:t>
      </w:r>
      <w:r>
        <w:rPr>
          <w:rFonts w:eastAsia="黑体"/>
          <w:bCs/>
          <w:kern w:val="0"/>
          <w:szCs w:val="32"/>
        </w:rPr>
        <w:t xml:space="preserve">  </w:t>
      </w:r>
      <w:r>
        <w:rPr>
          <w:rFonts w:hint="eastAsia" w:ascii="黑体" w:hAnsi="黑体" w:eastAsia="黑体"/>
          <w:bCs/>
          <w:color w:val="000000"/>
          <w:szCs w:val="32"/>
        </w:rPr>
        <w:t>株洲县城市建设投资管理中心</w:t>
      </w:r>
      <w:r>
        <w:rPr>
          <w:rFonts w:hint="eastAsia" w:eastAsia="黑体"/>
          <w:bCs/>
          <w:kern w:val="0"/>
          <w:szCs w:val="32"/>
        </w:rPr>
        <w:t>单位概况</w:t>
      </w:r>
    </w:p>
    <w:p>
      <w:pPr>
        <w:widowControl/>
        <w:ind w:firstLine="0" w:firstLineChars="0"/>
        <w:rPr>
          <w:rFonts w:hint="eastAsia"/>
          <w:bCs/>
          <w:kern w:val="0"/>
          <w:szCs w:val="32"/>
        </w:rPr>
      </w:pPr>
      <w:r>
        <w:rPr>
          <w:rFonts w:hint="eastAsia"/>
          <w:bCs/>
          <w:kern w:val="0"/>
          <w:szCs w:val="32"/>
        </w:rPr>
        <w:t>一、部门职责</w:t>
      </w:r>
    </w:p>
    <w:p>
      <w:pPr>
        <w:snapToGrid w:val="0"/>
        <w:spacing w:line="520" w:lineRule="exact"/>
        <w:ind w:firstLine="640"/>
        <w:rPr>
          <w:rFonts w:hint="eastAsia" w:ascii="仿宋_GB2312" w:hAnsi="仿宋"/>
          <w:szCs w:val="32"/>
        </w:rPr>
      </w:pPr>
      <w:r>
        <w:rPr>
          <w:rFonts w:hint="eastAsia" w:ascii="仿宋_GB2312" w:hAnsi="仿宋"/>
          <w:szCs w:val="32"/>
        </w:rPr>
        <w:t>(1)贯彻执行国家、省、市有关智慧城市建设、发展的法律法规和方针政策；</w:t>
      </w:r>
    </w:p>
    <w:p>
      <w:pPr>
        <w:spacing w:line="540" w:lineRule="exact"/>
        <w:ind w:firstLine="640"/>
        <w:rPr>
          <w:rFonts w:hint="eastAsia" w:ascii="仿宋_GB2312" w:hAnsi="仿宋"/>
          <w:szCs w:val="32"/>
        </w:rPr>
      </w:pPr>
      <w:r>
        <w:rPr>
          <w:rFonts w:hint="eastAsia" w:ascii="仿宋_GB2312" w:hAnsi="仿宋"/>
          <w:szCs w:val="32"/>
        </w:rPr>
        <w:t>(2)负责拟订“智慧渌口”顶层设计和发展规划，指导、协调“智慧渌口”相关项目和应用系统建设工作；</w:t>
      </w:r>
    </w:p>
    <w:p>
      <w:pPr>
        <w:spacing w:line="540" w:lineRule="exact"/>
        <w:ind w:firstLine="640"/>
        <w:rPr>
          <w:rFonts w:hint="eastAsia" w:ascii="仿宋_GB2312" w:hAnsi="仿宋"/>
          <w:szCs w:val="32"/>
        </w:rPr>
      </w:pPr>
      <w:r>
        <w:rPr>
          <w:rFonts w:hint="eastAsia" w:ascii="仿宋_GB2312" w:hAnsi="仿宋"/>
          <w:szCs w:val="32"/>
        </w:rPr>
        <w:t>(3)负责县“智慧渌口”信息平台及网络系统建设、运行、维护和管理；负责“智慧渌口”大数据中心的数据采集、整理、共享、反馈、分析，提供技术支撑和安全保障工作；</w:t>
      </w:r>
    </w:p>
    <w:p>
      <w:pPr>
        <w:spacing w:line="540" w:lineRule="exact"/>
        <w:ind w:firstLine="640"/>
        <w:rPr>
          <w:rFonts w:hint="eastAsia" w:ascii="仿宋_GB2312" w:hAnsi="仿宋"/>
          <w:szCs w:val="32"/>
        </w:rPr>
      </w:pPr>
      <w:r>
        <w:rPr>
          <w:rFonts w:hint="eastAsia" w:ascii="仿宋_GB2312" w:hAnsi="仿宋"/>
          <w:szCs w:val="32"/>
        </w:rPr>
        <w:t>(4)负责为县委、县政府工作决策提供大数据服务，推进各部门数据资源整合共享；为全县行政机关、事业单位提供“互联网+”信息平台开发应用服务，协调配合有关部门推进智慧产业发展；</w:t>
      </w:r>
    </w:p>
    <w:p>
      <w:pPr>
        <w:spacing w:line="540" w:lineRule="exact"/>
        <w:ind w:firstLine="640"/>
        <w:rPr>
          <w:rFonts w:hint="eastAsia" w:ascii="仿宋_GB2312" w:hAnsi="仿宋"/>
          <w:szCs w:val="32"/>
        </w:rPr>
      </w:pPr>
      <w:r>
        <w:rPr>
          <w:rFonts w:hint="eastAsia" w:ascii="仿宋_GB2312" w:hAnsi="仿宋"/>
          <w:szCs w:val="32"/>
        </w:rPr>
        <w:t>(5)承担县应急综合指挥调度的信息收集、分析、派送、技术服务，协助部门联动处置；</w:t>
      </w:r>
    </w:p>
    <w:p>
      <w:pPr>
        <w:spacing w:line="540" w:lineRule="exact"/>
        <w:ind w:firstLine="640"/>
        <w:rPr>
          <w:rFonts w:hint="eastAsia" w:ascii="仿宋_GB2312" w:hAnsi="仿宋"/>
          <w:szCs w:val="32"/>
        </w:rPr>
      </w:pPr>
      <w:r>
        <w:rPr>
          <w:rFonts w:hint="eastAsia" w:ascii="仿宋_GB2312" w:hAnsi="仿宋"/>
          <w:szCs w:val="32"/>
        </w:rPr>
        <w:t>(6)负责统筹、指导县网格化管理体系运行、数据维护；负责网格化日常事件的协调指挥；承担网格员的聘用、管理、培训、考核工作；负责网格化管理公共安全信息处理；</w:t>
      </w:r>
    </w:p>
    <w:p>
      <w:pPr>
        <w:spacing w:line="540" w:lineRule="exact"/>
        <w:ind w:firstLine="640"/>
        <w:rPr>
          <w:rFonts w:hint="eastAsia" w:ascii="仿宋_GB2312" w:hAnsi="仿宋"/>
          <w:szCs w:val="32"/>
        </w:rPr>
      </w:pPr>
      <w:r>
        <w:rPr>
          <w:rFonts w:hint="eastAsia" w:ascii="仿宋_GB2312" w:hAnsi="仿宋"/>
          <w:szCs w:val="32"/>
        </w:rPr>
        <w:t>(7)承担市长、县长热线的受理、交办、反馈工作，为事项的办理过程提供信息技术服务；</w:t>
      </w:r>
    </w:p>
    <w:p>
      <w:pPr>
        <w:spacing w:line="540" w:lineRule="exact"/>
        <w:ind w:firstLine="640"/>
        <w:rPr>
          <w:rFonts w:hint="eastAsia" w:ascii="仿宋_GB2312" w:hAnsi="仿宋"/>
          <w:szCs w:val="32"/>
        </w:rPr>
      </w:pPr>
      <w:r>
        <w:rPr>
          <w:rFonts w:hint="eastAsia" w:ascii="仿宋_GB2312" w:hAnsi="仿宋"/>
          <w:szCs w:val="32"/>
        </w:rPr>
        <w:t>(8)承担全县电子政务外网建设和使用工作；</w:t>
      </w:r>
    </w:p>
    <w:p>
      <w:pPr>
        <w:spacing w:line="540" w:lineRule="exact"/>
        <w:ind w:firstLine="640"/>
        <w:rPr>
          <w:rFonts w:hint="eastAsia" w:ascii="仿宋_GB2312" w:hAnsi="仿宋"/>
          <w:szCs w:val="32"/>
        </w:rPr>
      </w:pPr>
      <w:r>
        <w:rPr>
          <w:rFonts w:hint="eastAsia" w:ascii="仿宋_GB2312" w:hAnsi="仿宋"/>
          <w:szCs w:val="32"/>
        </w:rPr>
        <w:t>(9)承担省电子政务督察系统的监管及优化经济环境涉企投诉专线的值守、交办、反馈工作；</w:t>
      </w:r>
    </w:p>
    <w:p>
      <w:pPr>
        <w:widowControl/>
        <w:ind w:firstLine="0" w:firstLineChars="0"/>
        <w:rPr>
          <w:rFonts w:ascii="宋体" w:hAnsi="宋体" w:eastAsia="宋体"/>
          <w:b/>
          <w:bCs/>
          <w:kern w:val="0"/>
          <w:szCs w:val="32"/>
        </w:rPr>
      </w:pPr>
      <w:r>
        <w:rPr>
          <w:rFonts w:hint="eastAsia" w:ascii="仿宋_GB2312" w:hAnsi="仿宋"/>
          <w:szCs w:val="32"/>
        </w:rPr>
        <w:t>(10)承担县委、县政府交办的其它工作任务</w:t>
      </w:r>
      <w:r>
        <w:rPr>
          <w:rFonts w:ascii="仿宋" w:hAnsi="仿宋" w:eastAsia="仿宋"/>
          <w:szCs w:val="32"/>
        </w:rPr>
        <w:t>。</w:t>
      </w:r>
    </w:p>
    <w:p>
      <w:pPr>
        <w:widowControl/>
        <w:ind w:firstLine="0" w:firstLineChars="0"/>
        <w:rPr>
          <w:rFonts w:hint="eastAsia"/>
          <w:bCs/>
          <w:kern w:val="0"/>
          <w:szCs w:val="32"/>
        </w:rPr>
      </w:pPr>
      <w:r>
        <w:rPr>
          <w:rFonts w:hint="eastAsia"/>
          <w:bCs/>
          <w:kern w:val="0"/>
          <w:szCs w:val="32"/>
        </w:rPr>
        <w:t>二、机构设置</w:t>
      </w:r>
    </w:p>
    <w:p>
      <w:pPr>
        <w:widowControl/>
        <w:ind w:firstLine="0" w:firstLineChars="0"/>
        <w:rPr>
          <w:rFonts w:hint="eastAsia" w:ascii="仿宋_GB2312" w:hAnsi="宋体"/>
          <w:bCs/>
          <w:kern w:val="0"/>
          <w:szCs w:val="32"/>
        </w:rPr>
      </w:pPr>
      <w:r>
        <w:rPr>
          <w:rFonts w:hint="eastAsia" w:ascii="仿宋_GB2312" w:hAnsi="宋体"/>
          <w:bCs/>
          <w:kern w:val="0"/>
          <w:szCs w:val="32"/>
        </w:rPr>
        <w:t>（一）内设机构设置。</w:t>
      </w:r>
      <w:r>
        <w:rPr>
          <w:rFonts w:hint="eastAsia" w:ascii="仿宋_GB2312" w:hAnsi="宋体"/>
          <w:szCs w:val="32"/>
        </w:rPr>
        <w:t>株洲县城市建设投资管理中心是县人民政府直属正科级全额拨款公益一类事业机关单位，现有股室4个，</w:t>
      </w:r>
      <w:r>
        <w:rPr>
          <w:rFonts w:hint="eastAsia" w:ascii="仿宋_GB2312" w:hAnsi="宋体"/>
          <w:bCs/>
          <w:kern w:val="0"/>
          <w:szCs w:val="32"/>
        </w:rPr>
        <w:t>包括：</w:t>
      </w:r>
      <w:r>
        <w:rPr>
          <w:rFonts w:hint="eastAsia" w:ascii="仿宋_GB2312" w:hAnsi="宋体"/>
          <w:szCs w:val="32"/>
        </w:rPr>
        <w:t>办公室、网格办、热线办、项目办。在职人员7人，无离退休人员，属县一级预算单位。下设0个副科级直属单位，其中0个参照公务员管理、0个全额拨款、0个差额拨款、0个自收自支单位。</w:t>
      </w:r>
    </w:p>
    <w:p>
      <w:pPr>
        <w:widowControl/>
        <w:ind w:firstLine="0" w:firstLineChars="0"/>
        <w:rPr>
          <w:rFonts w:hint="eastAsia" w:ascii="仿宋_GB2312" w:eastAsia="仿宋_GB2312"/>
          <w:bCs/>
          <w:kern w:val="0"/>
          <w:szCs w:val="32"/>
          <w:lang w:eastAsia="zh-CN"/>
        </w:rPr>
      </w:pPr>
      <w:r>
        <w:rPr>
          <w:rFonts w:hint="eastAsia" w:ascii="仿宋_GB2312" w:hAnsi="宋体"/>
          <w:bCs/>
          <w:kern w:val="0"/>
          <w:szCs w:val="32"/>
        </w:rPr>
        <w:t>（二）决算单位构成。</w:t>
      </w:r>
      <w:r>
        <w:rPr>
          <w:rFonts w:hint="eastAsia" w:ascii="仿宋_GB2312" w:hAnsi="宋体"/>
          <w:szCs w:val="32"/>
        </w:rPr>
        <w:t>株洲县城市建设投资管理中心</w:t>
      </w:r>
      <w:r>
        <w:rPr>
          <w:rFonts w:hint="eastAsia" w:ascii="仿宋_GB2312" w:hAnsi="宋体"/>
          <w:bCs/>
          <w:kern w:val="0"/>
          <w:szCs w:val="32"/>
        </w:rPr>
        <w:t>2018年部门决算汇总公开单位构成包括：</w:t>
      </w:r>
      <w:r>
        <w:rPr>
          <w:rFonts w:hint="eastAsia" w:ascii="仿宋_GB2312" w:hAnsi="宋体"/>
          <w:szCs w:val="32"/>
        </w:rPr>
        <w:t>株洲县城市建设投资管理中心</w:t>
      </w:r>
      <w:r>
        <w:rPr>
          <w:rFonts w:hint="eastAsia" w:ascii="仿宋_GB2312" w:hAnsi="宋体"/>
          <w:bCs/>
          <w:kern w:val="0"/>
          <w:szCs w:val="32"/>
        </w:rPr>
        <w:t>单位本级</w:t>
      </w:r>
      <w:r>
        <w:rPr>
          <w:rFonts w:hint="eastAsia" w:ascii="仿宋_GB2312" w:hAnsi="宋体"/>
          <w:bCs/>
          <w:kern w:val="0"/>
          <w:szCs w:val="32"/>
          <w:lang w:eastAsia="zh-CN"/>
        </w:rPr>
        <w:t>，无其他下属单位。</w:t>
      </w:r>
    </w:p>
    <w:p>
      <w:pPr>
        <w:widowControl/>
        <w:ind w:firstLine="0" w:firstLineChars="0"/>
        <w:rPr>
          <w:rFonts w:eastAsia="黑体"/>
          <w:bCs/>
          <w:kern w:val="0"/>
          <w:szCs w:val="32"/>
        </w:rPr>
      </w:pPr>
      <w:r>
        <w:rPr>
          <w:rFonts w:hint="eastAsia" w:eastAsia="黑体"/>
          <w:bCs/>
          <w:kern w:val="0"/>
          <w:szCs w:val="32"/>
        </w:rPr>
        <w:t xml:space="preserve">第二部分 </w:t>
      </w:r>
      <w:r>
        <w:rPr>
          <w:rFonts w:hint="eastAsia" w:ascii="黑体" w:hAnsi="黑体" w:eastAsia="黑体"/>
          <w:szCs w:val="32"/>
        </w:rPr>
        <w:t>株洲县城市建设投资管理中心</w:t>
      </w:r>
      <w:r>
        <w:rPr>
          <w:rFonts w:eastAsia="黑体"/>
          <w:bCs/>
          <w:kern w:val="0"/>
          <w:szCs w:val="32"/>
        </w:rPr>
        <w:t>2018</w:t>
      </w:r>
      <w:r>
        <w:rPr>
          <w:rFonts w:hint="eastAsia" w:eastAsia="黑体"/>
          <w:bCs/>
          <w:kern w:val="0"/>
          <w:szCs w:val="32"/>
        </w:rPr>
        <w:t>年度部门决算表</w:t>
      </w:r>
    </w:p>
    <w:p>
      <w:pPr>
        <w:widowControl/>
        <w:ind w:firstLine="0" w:firstLineChars="0"/>
        <w:rPr>
          <w:bCs/>
          <w:kern w:val="0"/>
          <w:szCs w:val="32"/>
        </w:rPr>
      </w:pPr>
      <w:r>
        <w:rPr>
          <w:rFonts w:hint="eastAsia"/>
          <w:bCs/>
          <w:kern w:val="0"/>
          <w:szCs w:val="32"/>
        </w:rPr>
        <w:t>一、收入支出决算总表</w:t>
      </w:r>
    </w:p>
    <w:p>
      <w:pPr>
        <w:widowControl/>
        <w:ind w:firstLine="0" w:firstLineChars="0"/>
        <w:rPr>
          <w:bCs/>
          <w:kern w:val="0"/>
          <w:szCs w:val="32"/>
        </w:rPr>
      </w:pPr>
      <w:r>
        <w:rPr>
          <w:rFonts w:hint="eastAsia"/>
          <w:bCs/>
          <w:kern w:val="0"/>
          <w:szCs w:val="32"/>
        </w:rPr>
        <w:t>二、收入决算表</w:t>
      </w:r>
    </w:p>
    <w:p>
      <w:pPr>
        <w:widowControl/>
        <w:ind w:firstLine="0" w:firstLineChars="0"/>
        <w:rPr>
          <w:bCs/>
          <w:kern w:val="0"/>
          <w:szCs w:val="32"/>
        </w:rPr>
      </w:pPr>
      <w:r>
        <w:rPr>
          <w:rFonts w:hint="eastAsia"/>
          <w:bCs/>
          <w:kern w:val="0"/>
          <w:szCs w:val="32"/>
        </w:rPr>
        <w:t>三、支出决算表</w:t>
      </w:r>
    </w:p>
    <w:p>
      <w:pPr>
        <w:widowControl/>
        <w:ind w:firstLine="0" w:firstLineChars="0"/>
        <w:rPr>
          <w:bCs/>
          <w:kern w:val="0"/>
          <w:szCs w:val="32"/>
        </w:rPr>
      </w:pPr>
      <w:r>
        <w:rPr>
          <w:rFonts w:hint="eastAsia"/>
          <w:bCs/>
          <w:kern w:val="0"/>
          <w:szCs w:val="32"/>
        </w:rPr>
        <w:t>四、财政拨款收入支出决算总表</w:t>
      </w:r>
    </w:p>
    <w:p>
      <w:pPr>
        <w:widowControl/>
        <w:ind w:firstLine="0" w:firstLineChars="0"/>
        <w:rPr>
          <w:bCs/>
          <w:kern w:val="0"/>
          <w:szCs w:val="32"/>
        </w:rPr>
      </w:pPr>
      <w:r>
        <w:rPr>
          <w:rFonts w:hint="eastAsia"/>
          <w:bCs/>
          <w:kern w:val="0"/>
          <w:szCs w:val="32"/>
        </w:rPr>
        <w:t>五、一般公共预算财政拨款支出决算表</w:t>
      </w:r>
    </w:p>
    <w:p>
      <w:pPr>
        <w:widowControl/>
        <w:ind w:firstLine="0" w:firstLineChars="0"/>
        <w:rPr>
          <w:bCs/>
          <w:kern w:val="0"/>
          <w:szCs w:val="32"/>
        </w:rPr>
      </w:pPr>
      <w:r>
        <w:rPr>
          <w:rFonts w:hint="eastAsia"/>
          <w:bCs/>
          <w:kern w:val="0"/>
          <w:szCs w:val="32"/>
        </w:rPr>
        <w:t>六、一般公共预算财政拨款基本支出决算表</w:t>
      </w:r>
    </w:p>
    <w:p>
      <w:pPr>
        <w:widowControl/>
        <w:ind w:firstLine="0" w:firstLineChars="0"/>
        <w:rPr>
          <w:bCs/>
          <w:kern w:val="0"/>
          <w:szCs w:val="32"/>
        </w:rPr>
      </w:pPr>
      <w:r>
        <w:rPr>
          <w:rFonts w:hint="eastAsia"/>
          <w:bCs/>
          <w:kern w:val="0"/>
          <w:szCs w:val="32"/>
        </w:rPr>
        <w:t>七、一般公共预算财政拨款</w:t>
      </w:r>
      <w:r>
        <w:rPr>
          <w:bCs/>
          <w:kern w:val="0"/>
          <w:szCs w:val="32"/>
        </w:rPr>
        <w:t>“</w:t>
      </w:r>
      <w:r>
        <w:rPr>
          <w:rFonts w:hint="eastAsia"/>
          <w:bCs/>
          <w:kern w:val="0"/>
          <w:szCs w:val="32"/>
        </w:rPr>
        <w:t>三公</w:t>
      </w:r>
      <w:r>
        <w:rPr>
          <w:bCs/>
          <w:kern w:val="0"/>
          <w:szCs w:val="32"/>
        </w:rPr>
        <w:t>”</w:t>
      </w:r>
      <w:r>
        <w:rPr>
          <w:rFonts w:hint="eastAsia"/>
          <w:bCs/>
          <w:kern w:val="0"/>
          <w:szCs w:val="32"/>
        </w:rPr>
        <w:t>经费支出决算表</w:t>
      </w:r>
    </w:p>
    <w:p>
      <w:pPr>
        <w:widowControl/>
        <w:ind w:firstLine="0" w:firstLineChars="0"/>
        <w:rPr>
          <w:rFonts w:hint="eastAsia"/>
          <w:bCs/>
          <w:kern w:val="0"/>
          <w:szCs w:val="32"/>
        </w:rPr>
      </w:pPr>
      <w:r>
        <w:rPr>
          <w:rFonts w:hint="eastAsia"/>
          <w:bCs/>
          <w:kern w:val="0"/>
          <w:szCs w:val="32"/>
        </w:rPr>
        <w:t>八、政府性基金预算财政拨款收入支出决算表</w:t>
      </w:r>
    </w:p>
    <w:p>
      <w:pPr>
        <w:widowControl/>
        <w:ind w:firstLine="0" w:firstLineChars="0"/>
        <w:rPr>
          <w:rFonts w:hint="eastAsia"/>
          <w:bCs/>
          <w:kern w:val="0"/>
          <w:szCs w:val="32"/>
        </w:rPr>
      </w:pPr>
      <w:r>
        <w:rPr>
          <w:rFonts w:hint="eastAsia"/>
          <w:bCs/>
          <w:kern w:val="0"/>
          <w:szCs w:val="32"/>
        </w:rPr>
        <w:t>（</w:t>
      </w:r>
      <w:r>
        <w:rPr>
          <w:rFonts w:hint="eastAsia"/>
          <w:bCs/>
          <w:kern w:val="0"/>
          <w:szCs w:val="32"/>
          <w:lang w:eastAsia="zh-CN"/>
        </w:rPr>
        <w:t>本单位无政府性基金预算财政拨款收入和支出</w:t>
      </w:r>
      <w:r>
        <w:rPr>
          <w:rFonts w:hint="eastAsia"/>
          <w:bCs/>
          <w:kern w:val="0"/>
          <w:szCs w:val="32"/>
        </w:rPr>
        <w:t>）</w:t>
      </w:r>
    </w:p>
    <w:p>
      <w:pPr>
        <w:widowControl/>
        <w:ind w:firstLine="0" w:firstLineChars="0"/>
        <w:rPr>
          <w:rFonts w:eastAsia="黑体"/>
          <w:bCs/>
          <w:kern w:val="0"/>
          <w:szCs w:val="32"/>
        </w:rPr>
      </w:pPr>
      <w:r>
        <w:rPr>
          <w:rFonts w:hint="eastAsia" w:eastAsia="黑体"/>
          <w:bCs/>
          <w:kern w:val="0"/>
          <w:szCs w:val="32"/>
        </w:rPr>
        <w:t>第三部分</w:t>
      </w:r>
      <w:r>
        <w:rPr>
          <w:rFonts w:eastAsia="黑体"/>
          <w:bCs/>
          <w:kern w:val="0"/>
          <w:szCs w:val="32"/>
        </w:rPr>
        <w:t xml:space="preserve">  </w:t>
      </w:r>
      <w:r>
        <w:rPr>
          <w:rFonts w:hint="eastAsia" w:ascii="黑体" w:hAnsi="黑体" w:eastAsia="黑体"/>
          <w:szCs w:val="32"/>
        </w:rPr>
        <w:t>株洲县城市建设投资管理中心</w:t>
      </w:r>
      <w:r>
        <w:rPr>
          <w:rFonts w:eastAsia="黑体"/>
          <w:bCs/>
          <w:kern w:val="0"/>
          <w:szCs w:val="32"/>
        </w:rPr>
        <w:t>2018</w:t>
      </w:r>
      <w:r>
        <w:rPr>
          <w:rFonts w:hint="eastAsia" w:eastAsia="黑体"/>
          <w:bCs/>
          <w:kern w:val="0"/>
          <w:szCs w:val="32"/>
        </w:rPr>
        <w:t>年度部门决算情况说明</w:t>
      </w:r>
    </w:p>
    <w:p>
      <w:pPr>
        <w:widowControl/>
        <w:ind w:firstLine="640"/>
        <w:rPr>
          <w:rFonts w:hint="eastAsia"/>
          <w:bCs/>
          <w:kern w:val="0"/>
          <w:szCs w:val="32"/>
        </w:rPr>
      </w:pPr>
      <w:r>
        <w:rPr>
          <w:rFonts w:hint="eastAsia"/>
          <w:bCs/>
          <w:kern w:val="0"/>
          <w:szCs w:val="32"/>
        </w:rPr>
        <w:t>一、收入支出决算总体情况说明</w:t>
      </w:r>
    </w:p>
    <w:p>
      <w:pPr>
        <w:snapToGrid w:val="0"/>
        <w:spacing w:line="520" w:lineRule="exact"/>
        <w:ind w:firstLine="640"/>
        <w:rPr>
          <w:rFonts w:hint="eastAsia" w:ascii="仿宋_GB2312" w:hAnsi="宋体"/>
          <w:szCs w:val="32"/>
        </w:rPr>
      </w:pPr>
      <w:r>
        <w:rPr>
          <w:rFonts w:hint="eastAsia"/>
          <w:kern w:val="0"/>
          <w:szCs w:val="32"/>
        </w:rPr>
        <w:t>2018 年度收入总计</w:t>
      </w:r>
      <w:r>
        <w:rPr>
          <w:rFonts w:hint="eastAsia" w:ascii="仿宋_GB2312" w:hAnsi="宋体"/>
          <w:szCs w:val="32"/>
        </w:rPr>
        <w:t>485.02</w:t>
      </w:r>
      <w:r>
        <w:rPr>
          <w:rFonts w:hint="eastAsia"/>
          <w:kern w:val="0"/>
          <w:szCs w:val="32"/>
        </w:rPr>
        <w:t>万元，支出总计</w:t>
      </w:r>
      <w:r>
        <w:rPr>
          <w:rFonts w:hint="eastAsia" w:ascii="仿宋_GB2312" w:hAnsi="宋体"/>
          <w:szCs w:val="32"/>
        </w:rPr>
        <w:t>485.02</w:t>
      </w:r>
      <w:r>
        <w:rPr>
          <w:rFonts w:hint="eastAsia"/>
          <w:kern w:val="0"/>
          <w:szCs w:val="32"/>
        </w:rPr>
        <w:t>万元。与 2017 年相比，收、支总计都增加</w:t>
      </w:r>
      <w:r>
        <w:rPr>
          <w:rFonts w:hint="eastAsia" w:ascii="仿宋_GB2312" w:hAnsi="宋体"/>
          <w:szCs w:val="32"/>
        </w:rPr>
        <w:t>373.94</w:t>
      </w:r>
      <w:r>
        <w:rPr>
          <w:rFonts w:hint="eastAsia"/>
          <w:kern w:val="0"/>
          <w:szCs w:val="32"/>
        </w:rPr>
        <w:t xml:space="preserve"> 万元，增加336.64%。主要原因是</w:t>
      </w:r>
      <w:r>
        <w:rPr>
          <w:rFonts w:hint="eastAsia" w:ascii="仿宋_GB2312" w:hAnsi="宋体"/>
          <w:szCs w:val="32"/>
        </w:rPr>
        <w:t>2017年成立本单位，2018年全力推进了智慧渌口的建设。</w:t>
      </w:r>
    </w:p>
    <w:p>
      <w:pPr>
        <w:widowControl/>
        <w:ind w:firstLine="640"/>
        <w:rPr>
          <w:rFonts w:hint="eastAsia"/>
          <w:bCs/>
          <w:kern w:val="0"/>
          <w:szCs w:val="32"/>
        </w:rPr>
      </w:pPr>
      <w:r>
        <w:rPr>
          <w:rFonts w:hint="eastAsia"/>
          <w:bCs/>
          <w:kern w:val="0"/>
          <w:szCs w:val="32"/>
        </w:rPr>
        <w:t>二、收入决算情况说明</w:t>
      </w:r>
    </w:p>
    <w:p>
      <w:pPr>
        <w:widowControl/>
        <w:ind w:firstLine="640"/>
        <w:rPr>
          <w:rFonts w:hint="eastAsia"/>
          <w:kern w:val="0"/>
          <w:szCs w:val="32"/>
        </w:rPr>
      </w:pPr>
      <w:r>
        <w:rPr>
          <w:rFonts w:hint="eastAsia"/>
          <w:kern w:val="0"/>
          <w:szCs w:val="32"/>
        </w:rPr>
        <w:t>本年收入合计485.02万元，其中：财政拨款收入</w:t>
      </w:r>
      <w:r>
        <w:rPr>
          <w:rFonts w:hint="eastAsia" w:ascii="宋体" w:hAnsi="宋体" w:eastAsia="宋体"/>
          <w:szCs w:val="32"/>
        </w:rPr>
        <w:t>485.02</w:t>
      </w:r>
      <w:r>
        <w:rPr>
          <w:rFonts w:hint="eastAsia"/>
          <w:kern w:val="0"/>
          <w:szCs w:val="32"/>
        </w:rPr>
        <w:t xml:space="preserve"> 万元，占100%；事业收入0万元，占0%；经营收入0万元，占 0%；其他收入0万元，占0%。</w:t>
      </w:r>
    </w:p>
    <w:p>
      <w:pPr>
        <w:widowControl/>
        <w:ind w:firstLine="640"/>
        <w:rPr>
          <w:rFonts w:hint="eastAsia"/>
          <w:bCs/>
          <w:kern w:val="0"/>
          <w:szCs w:val="32"/>
        </w:rPr>
      </w:pPr>
      <w:r>
        <w:rPr>
          <w:rFonts w:hint="eastAsia"/>
          <w:bCs/>
          <w:kern w:val="0"/>
          <w:szCs w:val="32"/>
        </w:rPr>
        <w:t>三、支出决算情况说明</w:t>
      </w:r>
    </w:p>
    <w:p>
      <w:pPr>
        <w:widowControl/>
        <w:ind w:firstLine="640"/>
        <w:rPr>
          <w:kern w:val="0"/>
          <w:szCs w:val="32"/>
        </w:rPr>
      </w:pPr>
      <w:r>
        <w:rPr>
          <w:rFonts w:hint="eastAsia"/>
          <w:kern w:val="0"/>
          <w:szCs w:val="32"/>
        </w:rPr>
        <w:t>本年支出合计</w:t>
      </w:r>
      <w:r>
        <w:rPr>
          <w:rFonts w:hint="eastAsia" w:ascii="宋体" w:hAnsi="宋体" w:eastAsia="宋体"/>
          <w:szCs w:val="32"/>
        </w:rPr>
        <w:t>485.02</w:t>
      </w:r>
      <w:r>
        <w:rPr>
          <w:rFonts w:hint="eastAsia"/>
          <w:kern w:val="0"/>
          <w:szCs w:val="32"/>
        </w:rPr>
        <w:t>万元，其中：基本支出</w:t>
      </w:r>
      <w:r>
        <w:rPr>
          <w:rFonts w:hint="eastAsia" w:ascii="宋体" w:hAnsi="宋体" w:eastAsia="宋体"/>
          <w:szCs w:val="32"/>
        </w:rPr>
        <w:t>485.02</w:t>
      </w:r>
      <w:r>
        <w:rPr>
          <w:rFonts w:hint="eastAsia"/>
          <w:kern w:val="0"/>
          <w:szCs w:val="32"/>
        </w:rPr>
        <w:t>万元，占100%；项目支出0万元，占 0%；经营支出0万元，占0%。</w:t>
      </w:r>
    </w:p>
    <w:p>
      <w:pPr>
        <w:widowControl/>
        <w:ind w:firstLine="640"/>
        <w:rPr>
          <w:rFonts w:hint="eastAsia"/>
          <w:bCs/>
          <w:kern w:val="0"/>
          <w:szCs w:val="32"/>
        </w:rPr>
      </w:pPr>
      <w:r>
        <w:rPr>
          <w:rFonts w:hint="eastAsia"/>
          <w:bCs/>
          <w:kern w:val="0"/>
          <w:szCs w:val="32"/>
        </w:rPr>
        <w:t>四、财政拨款收入支出决算总体情况说明</w:t>
      </w:r>
    </w:p>
    <w:p>
      <w:pPr>
        <w:snapToGrid w:val="0"/>
        <w:spacing w:line="520" w:lineRule="exact"/>
        <w:ind w:firstLine="640"/>
        <w:rPr>
          <w:rFonts w:hint="eastAsia" w:ascii="仿宋_GB2312" w:hAnsi="宋体"/>
          <w:szCs w:val="32"/>
        </w:rPr>
      </w:pPr>
      <w:r>
        <w:rPr>
          <w:rFonts w:hint="eastAsia"/>
          <w:kern w:val="0"/>
          <w:szCs w:val="32"/>
        </w:rPr>
        <w:t>2018 年度财政拨款收入总计</w:t>
      </w:r>
      <w:r>
        <w:rPr>
          <w:rFonts w:hint="eastAsia" w:ascii="仿宋_GB2312" w:hAnsi="宋体"/>
          <w:szCs w:val="32"/>
        </w:rPr>
        <w:t>485.02</w:t>
      </w:r>
      <w:r>
        <w:rPr>
          <w:rFonts w:hint="eastAsia"/>
          <w:kern w:val="0"/>
          <w:szCs w:val="32"/>
        </w:rPr>
        <w:t>万元，支出总计</w:t>
      </w:r>
      <w:r>
        <w:rPr>
          <w:rFonts w:hint="eastAsia" w:ascii="仿宋_GB2312" w:hAnsi="宋体"/>
          <w:szCs w:val="32"/>
        </w:rPr>
        <w:t>485.02</w:t>
      </w:r>
      <w:r>
        <w:rPr>
          <w:rFonts w:hint="eastAsia"/>
          <w:kern w:val="0"/>
          <w:szCs w:val="32"/>
        </w:rPr>
        <w:t>万元。与2017 年相比，财政拨款收、支总计都增加</w:t>
      </w:r>
      <w:r>
        <w:rPr>
          <w:rFonts w:hint="eastAsia" w:ascii="仿宋_GB2312" w:hAnsi="宋体"/>
          <w:szCs w:val="32"/>
        </w:rPr>
        <w:t>373.94</w:t>
      </w:r>
      <w:r>
        <w:rPr>
          <w:rFonts w:hint="eastAsia"/>
          <w:kern w:val="0"/>
          <w:szCs w:val="32"/>
        </w:rPr>
        <w:t xml:space="preserve"> 万元，增加336.64%。主要原因是</w:t>
      </w:r>
      <w:r>
        <w:rPr>
          <w:rFonts w:hint="eastAsia" w:ascii="仿宋_GB2312" w:hAnsi="宋体"/>
          <w:szCs w:val="32"/>
        </w:rPr>
        <w:t>2017年成立本单位，2018年全力推进了智慧渌口的建设。</w:t>
      </w:r>
    </w:p>
    <w:p>
      <w:pPr>
        <w:widowControl/>
        <w:ind w:firstLine="640"/>
        <w:rPr>
          <w:rFonts w:hint="eastAsia"/>
          <w:bCs/>
          <w:kern w:val="0"/>
          <w:szCs w:val="32"/>
        </w:rPr>
      </w:pPr>
      <w:r>
        <w:rPr>
          <w:rFonts w:hint="eastAsia"/>
          <w:bCs/>
          <w:kern w:val="0"/>
          <w:szCs w:val="32"/>
        </w:rPr>
        <w:t>五、一般公共预算财政拨款支出决算情况说明</w:t>
      </w:r>
    </w:p>
    <w:p>
      <w:pPr>
        <w:widowControl/>
        <w:ind w:firstLine="640"/>
        <w:rPr>
          <w:rFonts w:hint="eastAsia" w:ascii="仿宋_GB2312" w:hAnsi="宋体"/>
          <w:kern w:val="0"/>
          <w:szCs w:val="32"/>
        </w:rPr>
      </w:pPr>
      <w:r>
        <w:rPr>
          <w:rFonts w:hint="eastAsia" w:ascii="仿宋_GB2312" w:hAnsi="宋体"/>
          <w:kern w:val="0"/>
          <w:szCs w:val="32"/>
        </w:rPr>
        <w:t>（一）财政拨款支出决算总体情况。</w:t>
      </w:r>
    </w:p>
    <w:p>
      <w:pPr>
        <w:snapToGrid w:val="0"/>
        <w:spacing w:line="520" w:lineRule="exact"/>
        <w:ind w:firstLine="640"/>
        <w:rPr>
          <w:rFonts w:hint="eastAsia" w:ascii="仿宋_GB2312" w:hAnsi="宋体"/>
          <w:szCs w:val="32"/>
        </w:rPr>
      </w:pPr>
      <w:r>
        <w:rPr>
          <w:rFonts w:hint="eastAsia" w:ascii="仿宋_GB2312"/>
          <w:kern w:val="0"/>
          <w:szCs w:val="32"/>
        </w:rPr>
        <w:t>2018 年度财政拨款支出</w:t>
      </w:r>
      <w:r>
        <w:rPr>
          <w:rFonts w:hint="eastAsia" w:ascii="仿宋_GB2312" w:hAnsi="宋体"/>
          <w:szCs w:val="32"/>
        </w:rPr>
        <w:t>485.02</w:t>
      </w:r>
      <w:r>
        <w:rPr>
          <w:rFonts w:hint="eastAsia" w:ascii="仿宋_GB2312"/>
          <w:kern w:val="0"/>
          <w:szCs w:val="32"/>
        </w:rPr>
        <w:t>万元，占本年支出合计的100%。与 2017 年相比，财政拨款支出</w:t>
      </w:r>
      <w:r>
        <w:rPr>
          <w:rFonts w:hint="eastAsia" w:ascii="仿宋_GB2312" w:hAnsi="宋体"/>
          <w:szCs w:val="32"/>
        </w:rPr>
        <w:t>增加373.94</w:t>
      </w:r>
      <w:r>
        <w:rPr>
          <w:rFonts w:hint="eastAsia" w:ascii="仿宋_GB2312"/>
          <w:kern w:val="0"/>
          <w:szCs w:val="32"/>
        </w:rPr>
        <w:t>万元，增加336.64%。主要原因是</w:t>
      </w:r>
      <w:r>
        <w:rPr>
          <w:rFonts w:hint="eastAsia" w:ascii="仿宋_GB2312" w:hAnsi="宋体"/>
          <w:szCs w:val="32"/>
        </w:rPr>
        <w:t>2017年成立本单位，2018年全力推进了智慧渌口的建设。</w:t>
      </w:r>
    </w:p>
    <w:p>
      <w:pPr>
        <w:widowControl/>
        <w:ind w:firstLine="640"/>
        <w:rPr>
          <w:rFonts w:hint="eastAsia" w:ascii="仿宋_GB2312" w:hAnsi="宋体"/>
          <w:kern w:val="0"/>
          <w:szCs w:val="32"/>
        </w:rPr>
      </w:pPr>
      <w:r>
        <w:rPr>
          <w:rFonts w:hint="eastAsia" w:ascii="仿宋_GB2312" w:hAnsi="宋体"/>
          <w:kern w:val="0"/>
          <w:szCs w:val="32"/>
        </w:rPr>
        <w:t>（二）财政拨款支出决算结构情况。</w:t>
      </w:r>
    </w:p>
    <w:p>
      <w:pPr>
        <w:widowControl/>
        <w:ind w:firstLine="640"/>
        <w:rPr>
          <w:kern w:val="0"/>
          <w:szCs w:val="32"/>
        </w:rPr>
      </w:pPr>
      <w:r>
        <w:rPr>
          <w:rFonts w:hint="eastAsia" w:ascii="仿宋_GB2312"/>
          <w:kern w:val="0"/>
          <w:szCs w:val="32"/>
        </w:rPr>
        <w:t>2018 年度财政拨款支出</w:t>
      </w:r>
      <w:r>
        <w:rPr>
          <w:rFonts w:hint="eastAsia" w:ascii="仿宋_GB2312" w:hAnsi="宋体"/>
          <w:szCs w:val="32"/>
        </w:rPr>
        <w:t>485.02</w:t>
      </w:r>
      <w:r>
        <w:rPr>
          <w:rFonts w:hint="eastAsia" w:ascii="仿宋_GB2312"/>
          <w:kern w:val="0"/>
          <w:szCs w:val="32"/>
        </w:rPr>
        <w:t>万元，主要用于以下方面： 一般公共服务（类）支出480.75万元，占99.12%；外交（类）支出0万元，占0%； 教育（类）支出0万元，占0%； 科学技术（类）支出0万元，占0%； 社会保障和就业（类）支出0万元，占0%； 住房保障（类）支出4.27万元，占0.88%;文化体育与传媒（类）支出0万元,医疗卫生与计划生育（类）医疗卫生与计划生育（类）支出0万元， 农林水（类）支出0万元，三类合计占0%。</w:t>
      </w:r>
    </w:p>
    <w:p>
      <w:pPr>
        <w:widowControl/>
        <w:ind w:firstLine="640"/>
        <w:rPr>
          <w:rFonts w:hint="eastAsia" w:ascii="仿宋_GB2312" w:hAnsi="宋体"/>
          <w:bCs/>
          <w:kern w:val="0"/>
          <w:szCs w:val="32"/>
        </w:rPr>
      </w:pPr>
      <w:r>
        <w:rPr>
          <w:rFonts w:hint="eastAsia" w:ascii="仿宋_GB2312" w:hAnsi="宋体"/>
          <w:bCs/>
          <w:kern w:val="0"/>
          <w:szCs w:val="32"/>
        </w:rPr>
        <w:t>（三）财政拨款支出决算具体情况。</w:t>
      </w:r>
    </w:p>
    <w:p>
      <w:pPr>
        <w:widowControl/>
        <w:ind w:firstLine="640"/>
        <w:rPr>
          <w:rFonts w:hint="eastAsia" w:ascii="仿宋_GB2312"/>
          <w:kern w:val="0"/>
          <w:szCs w:val="32"/>
        </w:rPr>
      </w:pPr>
      <w:r>
        <w:rPr>
          <w:rFonts w:hint="eastAsia" w:ascii="仿宋_GB2312"/>
          <w:kern w:val="0"/>
          <w:szCs w:val="32"/>
        </w:rPr>
        <w:t>2018 年度财政拨款支出年初预算为117.48万元，支出决算为 485.02万元，比年初预算增加</w:t>
      </w:r>
      <w:r>
        <w:rPr>
          <w:rFonts w:hint="eastAsia" w:ascii="仿宋_GB2312" w:hAnsi="宋体"/>
          <w:szCs w:val="32"/>
        </w:rPr>
        <w:t>367.54</w:t>
      </w:r>
      <w:r>
        <w:rPr>
          <w:rFonts w:hint="eastAsia" w:ascii="仿宋_GB2312"/>
          <w:kern w:val="0"/>
          <w:szCs w:val="32"/>
        </w:rPr>
        <w:t>万元，完成年初预算的412.85%。其中：</w:t>
      </w:r>
    </w:p>
    <w:p>
      <w:pPr>
        <w:widowControl/>
        <w:ind w:firstLine="640"/>
        <w:rPr>
          <w:rFonts w:hint="eastAsia" w:ascii="仿宋_GB2312"/>
          <w:kern w:val="0"/>
          <w:szCs w:val="32"/>
        </w:rPr>
      </w:pPr>
      <w:r>
        <w:rPr>
          <w:rFonts w:hint="eastAsia" w:ascii="仿宋_GB2312"/>
          <w:kern w:val="0"/>
          <w:szCs w:val="32"/>
        </w:rPr>
        <w:t>1.一般公共服务（类）政府办公厅（室）及相关机构事务（款）  其他政府办公厅（室）及相关机构事务支出（项）年初预算为113.21万元，支出决算为480.75万元，比年初预算增加</w:t>
      </w:r>
      <w:r>
        <w:rPr>
          <w:rFonts w:hint="eastAsia" w:ascii="仿宋_GB2312" w:hAnsi="宋体"/>
          <w:szCs w:val="32"/>
        </w:rPr>
        <w:t>367.54</w:t>
      </w:r>
      <w:r>
        <w:rPr>
          <w:rFonts w:hint="eastAsia" w:ascii="仿宋_GB2312"/>
          <w:kern w:val="0"/>
          <w:szCs w:val="32"/>
        </w:rPr>
        <w:t>万元，完成年初预算的424.65%。决算数大于预算数的主要原因是</w:t>
      </w:r>
      <w:r>
        <w:rPr>
          <w:rFonts w:hint="eastAsia" w:ascii="仿宋_GB2312" w:hAnsi="宋体"/>
          <w:szCs w:val="32"/>
        </w:rPr>
        <w:t>2017年成立本单位，2018年全力推进了智慧渌口的建设，</w:t>
      </w:r>
      <w:r>
        <w:rPr>
          <w:rFonts w:hint="eastAsia" w:ascii="仿宋_GB2312" w:hAnsi="仿宋"/>
          <w:szCs w:val="32"/>
        </w:rPr>
        <w:t>年中财政追加预算。</w:t>
      </w:r>
    </w:p>
    <w:p>
      <w:pPr>
        <w:widowControl/>
        <w:ind w:firstLine="640"/>
        <w:rPr>
          <w:rFonts w:hint="eastAsia" w:ascii="仿宋_GB2312" w:hAnsi="宋体"/>
          <w:b/>
          <w:bCs/>
          <w:kern w:val="0"/>
          <w:szCs w:val="32"/>
        </w:rPr>
      </w:pPr>
      <w:r>
        <w:rPr>
          <w:rFonts w:hint="eastAsia" w:ascii="仿宋_GB2312" w:hAnsi="仿宋"/>
          <w:szCs w:val="32"/>
        </w:rPr>
        <w:t>2.住房保障支出（类）住房改革支出（款）住房公积金（项）年初预算数为4.27万元，决算数为4.27万元，比年初预算数增加0万元。与预算持平。</w:t>
      </w:r>
    </w:p>
    <w:p>
      <w:pPr>
        <w:widowControl/>
        <w:ind w:firstLine="640"/>
        <w:rPr>
          <w:rFonts w:hint="eastAsia"/>
          <w:bCs/>
          <w:kern w:val="0"/>
          <w:szCs w:val="32"/>
        </w:rPr>
      </w:pPr>
      <w:r>
        <w:rPr>
          <w:rFonts w:hint="eastAsia"/>
          <w:bCs/>
          <w:kern w:val="0"/>
          <w:szCs w:val="32"/>
        </w:rPr>
        <w:t>六、一般公共预算财政拨款基本支出决算情况说明</w:t>
      </w:r>
    </w:p>
    <w:p>
      <w:pPr>
        <w:widowControl/>
        <w:ind w:firstLine="640"/>
        <w:rPr>
          <w:rFonts w:hint="eastAsia" w:ascii="仿宋_GB2312"/>
          <w:kern w:val="0"/>
          <w:szCs w:val="32"/>
        </w:rPr>
      </w:pPr>
      <w:r>
        <w:rPr>
          <w:rFonts w:hint="eastAsia" w:ascii="仿宋_GB2312"/>
          <w:kern w:val="0"/>
          <w:szCs w:val="32"/>
        </w:rPr>
        <w:t>2018 年度财政拨款基本支出 485.02万元，其中：人员经费</w:t>
      </w:r>
      <w:r>
        <w:rPr>
          <w:rFonts w:hint="eastAsia" w:ascii="仿宋_GB2312" w:hAnsi="宋体"/>
          <w:szCs w:val="32"/>
        </w:rPr>
        <w:t>148.28</w:t>
      </w:r>
      <w:r>
        <w:rPr>
          <w:rFonts w:hint="eastAsia" w:ascii="仿宋_GB2312"/>
          <w:kern w:val="0"/>
          <w:szCs w:val="32"/>
        </w:rPr>
        <w:t>万元，占基本支出的</w:t>
      </w:r>
      <w:r>
        <w:rPr>
          <w:rFonts w:hint="eastAsia" w:ascii="仿宋_GB2312" w:hAnsi="宋体"/>
          <w:szCs w:val="32"/>
        </w:rPr>
        <w:t>30.57</w:t>
      </w:r>
      <w:r>
        <w:rPr>
          <w:rFonts w:hint="eastAsia" w:ascii="仿宋_GB2312"/>
          <w:kern w:val="0"/>
          <w:szCs w:val="32"/>
        </w:rPr>
        <w:t>%，主要包括基本工资、津贴补贴、奖金、伙食补助费、绩效工资、机关事业单位基本养老保险缴费、职业年金缴费、职工基本医疗保险缴费、住房公积金、其他社会保障缴费、其他工资福利支出；公用经费</w:t>
      </w:r>
      <w:r>
        <w:rPr>
          <w:rFonts w:hint="eastAsia" w:ascii="仿宋_GB2312" w:hAnsi="宋体"/>
          <w:szCs w:val="32"/>
        </w:rPr>
        <w:t>336.73</w:t>
      </w:r>
      <w:r>
        <w:rPr>
          <w:rFonts w:hint="eastAsia" w:ascii="仿宋_GB2312"/>
          <w:kern w:val="0"/>
          <w:szCs w:val="32"/>
        </w:rPr>
        <w:t>万元，占基本支出的</w:t>
      </w:r>
      <w:r>
        <w:rPr>
          <w:rFonts w:hint="eastAsia" w:ascii="仿宋_GB2312" w:hAnsi="宋体"/>
          <w:szCs w:val="32"/>
        </w:rPr>
        <w:t>69.43</w:t>
      </w:r>
      <w:r>
        <w:rPr>
          <w:rFonts w:hint="eastAsia" w:ascii="仿宋_GB2312"/>
          <w:kern w:val="0"/>
          <w:szCs w:val="32"/>
        </w:rPr>
        <w:t xml:space="preserve"> %，主要包括办公费、印刷费、咨询费、水费、电费、物业管理费、差旅费、培训费、公务接待费、劳务费、委托业务费、工会经费、福利费、公务用车运行维护费。</w:t>
      </w:r>
    </w:p>
    <w:p>
      <w:pPr>
        <w:widowControl/>
        <w:ind w:firstLine="640"/>
        <w:rPr>
          <w:rFonts w:hint="eastAsia"/>
          <w:bCs/>
          <w:kern w:val="0"/>
          <w:szCs w:val="32"/>
        </w:rPr>
      </w:pPr>
      <w:r>
        <w:rPr>
          <w:rFonts w:hint="eastAsia"/>
          <w:bCs/>
          <w:kern w:val="0"/>
          <w:szCs w:val="32"/>
        </w:rPr>
        <w:t>七、一般公共预算财政拨款</w:t>
      </w:r>
      <w:r>
        <w:rPr>
          <w:bCs/>
          <w:kern w:val="0"/>
          <w:szCs w:val="32"/>
        </w:rPr>
        <w:t>“</w:t>
      </w:r>
      <w:r>
        <w:rPr>
          <w:rFonts w:hint="eastAsia"/>
          <w:bCs/>
          <w:kern w:val="0"/>
          <w:szCs w:val="32"/>
        </w:rPr>
        <w:t>三公</w:t>
      </w:r>
      <w:r>
        <w:rPr>
          <w:bCs/>
          <w:kern w:val="0"/>
          <w:szCs w:val="32"/>
        </w:rPr>
        <w:t>”</w:t>
      </w:r>
      <w:r>
        <w:rPr>
          <w:rFonts w:hint="eastAsia"/>
          <w:bCs/>
          <w:kern w:val="0"/>
          <w:szCs w:val="32"/>
        </w:rPr>
        <w:t>经费支出情况决算情况说明</w:t>
      </w:r>
    </w:p>
    <w:p>
      <w:pPr>
        <w:pStyle w:val="6"/>
        <w:spacing w:before="0" w:beforeAutospacing="0" w:after="0" w:afterAutospacing="0" w:line="450" w:lineRule="atLeast"/>
        <w:ind w:firstLine="640" w:firstLineChars="200"/>
        <w:rPr>
          <w:rFonts w:hint="eastAsia" w:ascii="仿宋_GB2312" w:eastAsia="仿宋_GB2312"/>
          <w:sz w:val="32"/>
          <w:szCs w:val="32"/>
        </w:rPr>
      </w:pPr>
      <w:r>
        <w:rPr>
          <w:rFonts w:hint="eastAsia" w:ascii="仿宋_GB2312" w:eastAsia="仿宋_GB2312"/>
          <w:bCs/>
          <w:sz w:val="32"/>
          <w:szCs w:val="32"/>
        </w:rPr>
        <w:t>（一）“三公”经费财政拨款支出决算总体情况说明。</w:t>
      </w:r>
    </w:p>
    <w:p>
      <w:pPr>
        <w:pStyle w:val="6"/>
        <w:spacing w:before="0" w:beforeAutospacing="0" w:after="0" w:afterAutospacing="0" w:line="450" w:lineRule="atLeast"/>
        <w:ind w:firstLine="640" w:firstLineChars="200"/>
        <w:rPr>
          <w:rFonts w:hint="eastAsia" w:ascii="仿宋_GB2312" w:hAnsi="仿宋" w:eastAsia="仿宋_GB2312"/>
          <w:sz w:val="32"/>
          <w:szCs w:val="32"/>
        </w:rPr>
      </w:pPr>
      <w:r>
        <w:rPr>
          <w:rFonts w:hint="eastAsia" w:ascii="仿宋_GB2312" w:eastAsia="仿宋_GB2312"/>
          <w:sz w:val="32"/>
          <w:szCs w:val="32"/>
        </w:rPr>
        <w:t>“三公”经费总额1.73 万元，年初预算18万元，相比减少</w:t>
      </w:r>
      <w:r>
        <w:rPr>
          <w:rFonts w:hint="eastAsia" w:ascii="仿宋_GB2312" w:eastAsia="仿宋_GB2312" w:cs="方正仿宋_GBK"/>
          <w:sz w:val="32"/>
          <w:szCs w:val="32"/>
        </w:rPr>
        <w:t>16.27</w:t>
      </w:r>
      <w:r>
        <w:rPr>
          <w:rFonts w:hint="eastAsia" w:ascii="仿宋_GB2312" w:eastAsia="仿宋_GB2312"/>
          <w:sz w:val="32"/>
          <w:szCs w:val="32"/>
        </w:rPr>
        <w:t>万元，完成预算的9.61%，原因是</w:t>
      </w:r>
      <w:r>
        <w:rPr>
          <w:rFonts w:hint="eastAsia" w:ascii="仿宋_GB2312" w:eastAsia="仿宋_GB2312" w:cs="方正仿宋_GBK"/>
          <w:sz w:val="32"/>
          <w:szCs w:val="32"/>
        </w:rPr>
        <w:t>外来单位参观、学习接待由对口部门接待，本单位并未发生接待费用，只负责参观讲解的接待</w:t>
      </w:r>
      <w:r>
        <w:rPr>
          <w:rFonts w:hint="eastAsia" w:ascii="仿宋_GB2312" w:eastAsia="仿宋_GB2312"/>
          <w:sz w:val="32"/>
          <w:szCs w:val="32"/>
        </w:rPr>
        <w:t>。其中：因公出国（境）费0万元，年初预算0万元，相比增加/减少0万元，</w:t>
      </w:r>
      <w:r>
        <w:rPr>
          <w:rFonts w:hint="eastAsia" w:ascii="仿宋_GB2312" w:hAnsi="仿宋" w:eastAsia="仿宋_GB2312"/>
          <w:sz w:val="32"/>
          <w:szCs w:val="32"/>
        </w:rPr>
        <w:t>原因无此项预算</w:t>
      </w:r>
      <w:r>
        <w:rPr>
          <w:rFonts w:hint="eastAsia" w:ascii="仿宋_GB2312" w:eastAsia="仿宋_GB2312"/>
          <w:sz w:val="32"/>
          <w:szCs w:val="32"/>
        </w:rPr>
        <w:t>；公务接待费0.69万元，年初预算18万元，相比减少17.31万元，原因</w:t>
      </w:r>
      <w:r>
        <w:rPr>
          <w:rFonts w:hint="eastAsia" w:ascii="仿宋_GB2312" w:eastAsia="仿宋_GB2312" w:cs="方正仿宋_GBK"/>
          <w:sz w:val="32"/>
          <w:szCs w:val="32"/>
        </w:rPr>
        <w:t>外来单位参观、学习接待由对口部门接待，本单位并未发生接待费用，只负责参观讲解的接待</w:t>
      </w:r>
      <w:r>
        <w:rPr>
          <w:rFonts w:hint="eastAsia" w:ascii="仿宋_GB2312" w:eastAsia="仿宋_GB2312"/>
          <w:sz w:val="32"/>
          <w:szCs w:val="32"/>
        </w:rPr>
        <w:t>；公务用车购置费0万元，年初预算0万元，相比增加/减少0万元，原因</w:t>
      </w:r>
      <w:r>
        <w:rPr>
          <w:rFonts w:hint="eastAsia" w:ascii="仿宋_GB2312" w:hAnsi="仿宋" w:eastAsia="仿宋_GB2312"/>
          <w:sz w:val="32"/>
          <w:szCs w:val="32"/>
        </w:rPr>
        <w:t>无此项预算</w:t>
      </w:r>
      <w:r>
        <w:rPr>
          <w:rFonts w:hint="eastAsia" w:ascii="仿宋_GB2312" w:eastAsia="仿宋_GB2312"/>
          <w:sz w:val="32"/>
          <w:szCs w:val="32"/>
        </w:rPr>
        <w:t>；公务用车运行维护费1.03万元，年初预算0万元，相比增加1.03万元，原因</w:t>
      </w:r>
      <w:r>
        <w:rPr>
          <w:rFonts w:hint="eastAsia" w:ascii="仿宋_GB2312" w:eastAsia="仿宋_GB2312" w:cs="方正仿宋_GBK"/>
          <w:sz w:val="32"/>
          <w:szCs w:val="32"/>
        </w:rPr>
        <w:t>公车办调拨了一台公务用车</w:t>
      </w:r>
      <w:r>
        <w:rPr>
          <w:rFonts w:hint="eastAsia" w:ascii="仿宋_GB2312" w:eastAsia="仿宋_GB2312"/>
          <w:sz w:val="32"/>
          <w:szCs w:val="32"/>
        </w:rPr>
        <w:t>。</w:t>
      </w:r>
    </w:p>
    <w:p>
      <w:pPr>
        <w:widowControl/>
        <w:ind w:firstLine="800" w:firstLineChars="250"/>
        <w:rPr>
          <w:rFonts w:hint="eastAsia" w:ascii="仿宋_GB2312"/>
          <w:bCs/>
          <w:kern w:val="0"/>
          <w:szCs w:val="32"/>
        </w:rPr>
      </w:pPr>
      <w:r>
        <w:rPr>
          <w:rFonts w:hint="eastAsia" w:ascii="仿宋_GB2312"/>
          <w:bCs/>
          <w:kern w:val="0"/>
          <w:szCs w:val="32"/>
        </w:rPr>
        <w:t>（二）“三公”经费财政拨款支出决算具体情况说明。</w:t>
      </w:r>
    </w:p>
    <w:p>
      <w:pPr>
        <w:widowControl/>
        <w:ind w:firstLine="640"/>
        <w:rPr>
          <w:rFonts w:hint="eastAsia" w:ascii="仿宋_GB2312"/>
          <w:bCs/>
          <w:kern w:val="0"/>
          <w:szCs w:val="32"/>
        </w:rPr>
      </w:pPr>
      <w:r>
        <w:rPr>
          <w:rFonts w:hint="eastAsia" w:ascii="仿宋_GB2312"/>
          <w:bCs/>
          <w:kern w:val="0"/>
          <w:szCs w:val="32"/>
        </w:rPr>
        <w:t>2018年度“三公”经费财政拨款支出决算中，因公出国（境）费支出决算0万元，占0%；公务用车购置</w:t>
      </w:r>
      <w:r>
        <w:rPr>
          <w:rFonts w:hint="eastAsia" w:ascii="仿宋_GB2312"/>
          <w:bCs/>
          <w:kern w:val="0"/>
          <w:szCs w:val="32"/>
          <w:lang w:eastAsia="zh-CN"/>
        </w:rPr>
        <w:t>费</w:t>
      </w:r>
      <w:r>
        <w:rPr>
          <w:rFonts w:hint="eastAsia" w:ascii="仿宋_GB2312"/>
          <w:bCs/>
          <w:kern w:val="0"/>
          <w:szCs w:val="32"/>
          <w:lang w:val="en-US" w:eastAsia="zh-CN"/>
        </w:rPr>
        <w:t>0万元，占0%；</w:t>
      </w:r>
      <w:r>
        <w:rPr>
          <w:rFonts w:hint="eastAsia" w:ascii="仿宋_GB2312"/>
          <w:bCs/>
          <w:kern w:val="0"/>
          <w:szCs w:val="32"/>
        </w:rPr>
        <w:t>公务用车</w:t>
      </w:r>
      <w:r>
        <w:rPr>
          <w:rFonts w:hint="eastAsia" w:ascii="仿宋_GB2312"/>
          <w:bCs/>
          <w:kern w:val="0"/>
          <w:szCs w:val="32"/>
        </w:rPr>
        <w:t>运行费支出决算1.03万元，占59.88%；公务接待费支出决算0.69万元，占40.12%。具体情况如下：</w:t>
      </w:r>
    </w:p>
    <w:p>
      <w:pPr>
        <w:widowControl/>
        <w:ind w:firstLine="640"/>
        <w:rPr>
          <w:rFonts w:hint="eastAsia" w:ascii="仿宋_GB2312" w:hAnsi="仿宋"/>
          <w:szCs w:val="32"/>
        </w:rPr>
      </w:pPr>
      <w:r>
        <w:rPr>
          <w:rFonts w:hint="eastAsia" w:ascii="仿宋_GB2312"/>
          <w:kern w:val="0"/>
          <w:szCs w:val="32"/>
        </w:rPr>
        <w:t>1.</w:t>
      </w:r>
      <w:r>
        <w:rPr>
          <w:rFonts w:hint="eastAsia" w:ascii="仿宋_GB2312"/>
          <w:bCs/>
          <w:kern w:val="0"/>
          <w:szCs w:val="32"/>
        </w:rPr>
        <w:t>因公出国（境）费年初预算为0万元，支出决算为0万元，完成年初预算的0%，</w:t>
      </w:r>
      <w:r>
        <w:rPr>
          <w:rFonts w:hint="eastAsia" w:ascii="仿宋_GB2312" w:hAnsi="仿宋"/>
          <w:szCs w:val="32"/>
        </w:rPr>
        <w:t>因公出国（境）费0万元，因公出国（境）团组数为0，批次为0，人数为0。</w:t>
      </w:r>
    </w:p>
    <w:p>
      <w:pPr>
        <w:widowControl/>
        <w:ind w:firstLine="640"/>
        <w:rPr>
          <w:rFonts w:hint="eastAsia" w:ascii="仿宋_GB2312"/>
          <w:bCs/>
          <w:kern w:val="0"/>
          <w:szCs w:val="32"/>
        </w:rPr>
      </w:pPr>
      <w:r>
        <w:rPr>
          <w:rFonts w:hint="eastAsia" w:ascii="仿宋_GB2312"/>
          <w:kern w:val="0"/>
          <w:szCs w:val="32"/>
        </w:rPr>
        <w:t>2.</w:t>
      </w:r>
      <w:r>
        <w:rPr>
          <w:rFonts w:hint="eastAsia" w:ascii="仿宋_GB2312"/>
          <w:bCs/>
          <w:kern w:val="0"/>
          <w:szCs w:val="32"/>
        </w:rPr>
        <w:t>公务用车购置及运行费年初预算0万元，支出决算为1.03万元，</w:t>
      </w:r>
      <w:r>
        <w:rPr>
          <w:rFonts w:hint="eastAsia" w:ascii="仿宋_GB2312"/>
          <w:kern w:val="0"/>
          <w:szCs w:val="32"/>
        </w:rPr>
        <w:t>主要是</w:t>
      </w:r>
      <w:r>
        <w:rPr>
          <w:rFonts w:hint="eastAsia" w:ascii="仿宋_GB2312" w:hAnsi="宋体" w:cs="方正仿宋_GBK"/>
          <w:szCs w:val="32"/>
        </w:rPr>
        <w:t>公车办调拨了一台公务用车。</w:t>
      </w:r>
      <w:r>
        <w:rPr>
          <w:rFonts w:hint="eastAsia" w:ascii="仿宋_GB2312"/>
          <w:kern w:val="0"/>
          <w:szCs w:val="32"/>
        </w:rPr>
        <w:t>其中：</w:t>
      </w:r>
      <w:r>
        <w:rPr>
          <w:rFonts w:hint="eastAsia" w:ascii="仿宋_GB2312"/>
          <w:bCs/>
          <w:kern w:val="0"/>
          <w:szCs w:val="32"/>
        </w:rPr>
        <w:t>公务用车购置支出0万元。本单位更新公务用车1辆。</w:t>
      </w:r>
    </w:p>
    <w:p>
      <w:pPr>
        <w:widowControl/>
        <w:ind w:firstLine="640"/>
        <w:rPr>
          <w:rFonts w:hint="eastAsia" w:ascii="仿宋_GB2312"/>
          <w:bCs/>
          <w:kern w:val="0"/>
          <w:szCs w:val="32"/>
        </w:rPr>
      </w:pPr>
      <w:r>
        <w:rPr>
          <w:rFonts w:hint="eastAsia" w:ascii="仿宋_GB2312"/>
          <w:bCs/>
          <w:kern w:val="0"/>
          <w:szCs w:val="32"/>
        </w:rPr>
        <w:t>公务用车运行支出1.03万元。</w:t>
      </w:r>
      <w:r>
        <w:rPr>
          <w:rFonts w:hint="eastAsia" w:ascii="仿宋_GB2312"/>
          <w:kern w:val="0"/>
          <w:szCs w:val="32"/>
        </w:rPr>
        <w:t>主要是按规定保留的公务用车的燃料费、维修费、过桥过路费、保险费等支出。</w:t>
      </w:r>
      <w:r>
        <w:rPr>
          <w:rFonts w:hint="eastAsia" w:ascii="仿宋_GB2312"/>
          <w:bCs/>
          <w:kern w:val="0"/>
          <w:szCs w:val="32"/>
        </w:rPr>
        <w:t>截至2018年12月31日，机关财政拨款的公务用车保有量为1辆。</w:t>
      </w:r>
    </w:p>
    <w:p>
      <w:pPr>
        <w:widowControl/>
        <w:ind w:firstLine="640"/>
        <w:rPr>
          <w:rFonts w:hint="eastAsia" w:ascii="仿宋_GB2312"/>
          <w:kern w:val="0"/>
          <w:szCs w:val="32"/>
        </w:rPr>
      </w:pPr>
      <w:r>
        <w:rPr>
          <w:rFonts w:hint="eastAsia" w:ascii="仿宋_GB2312"/>
          <w:kern w:val="0"/>
          <w:szCs w:val="32"/>
        </w:rPr>
        <w:t>3.</w:t>
      </w:r>
      <w:r>
        <w:rPr>
          <w:rFonts w:hint="eastAsia" w:ascii="仿宋_GB2312"/>
          <w:bCs/>
          <w:kern w:val="0"/>
          <w:szCs w:val="32"/>
        </w:rPr>
        <w:t>公务接待费年初预算为18万元，支出决算为0.69万元，完成年初预算的3.83%，</w:t>
      </w:r>
      <w:r>
        <w:rPr>
          <w:rFonts w:hint="eastAsia" w:ascii="仿宋_GB2312"/>
          <w:kern w:val="0"/>
          <w:szCs w:val="32"/>
        </w:rPr>
        <w:t>主要是积极贯彻落实中央关于</w:t>
      </w:r>
    </w:p>
    <w:p>
      <w:pPr>
        <w:widowControl/>
        <w:ind w:firstLine="0" w:firstLineChars="0"/>
        <w:rPr>
          <w:rFonts w:hint="eastAsia" w:ascii="仿宋_GB2312"/>
          <w:kern w:val="0"/>
          <w:szCs w:val="32"/>
        </w:rPr>
      </w:pPr>
      <w:r>
        <w:rPr>
          <w:rFonts w:hint="eastAsia" w:ascii="仿宋_GB2312"/>
          <w:kern w:val="0"/>
          <w:szCs w:val="32"/>
        </w:rPr>
        <w:t>厉行节约的要求，从严控制公务接待行为。其中：外宾接待支出0万元。主要用于境外交流接待支出。本单位2018年共接待国（境）外来访团组0个、来访外宾0人次（不包括陪同人员）。其他</w:t>
      </w:r>
      <w:r>
        <w:rPr>
          <w:rFonts w:hint="eastAsia" w:ascii="仿宋_GB2312"/>
          <w:bCs/>
          <w:kern w:val="0"/>
          <w:szCs w:val="32"/>
        </w:rPr>
        <w:t>国内公务接待支出0.69万元</w:t>
      </w:r>
      <w:r>
        <w:rPr>
          <w:rFonts w:hint="eastAsia" w:ascii="仿宋_GB2312"/>
          <w:kern w:val="0"/>
          <w:szCs w:val="32"/>
        </w:rPr>
        <w:t>。主要用于单位建设过程中工作用餐发生的接待支出。</w:t>
      </w:r>
      <w:r>
        <w:rPr>
          <w:rFonts w:hint="eastAsia" w:ascii="仿宋_GB2312" w:hAnsi="仿宋"/>
          <w:szCs w:val="32"/>
        </w:rPr>
        <w:t>共接待44批次175人</w:t>
      </w:r>
      <w:r>
        <w:rPr>
          <w:rFonts w:hint="eastAsia" w:ascii="仿宋_GB2312"/>
          <w:bCs/>
          <w:kern w:val="0"/>
          <w:szCs w:val="32"/>
        </w:rPr>
        <w:t>。</w:t>
      </w:r>
    </w:p>
    <w:p>
      <w:pPr>
        <w:widowControl/>
        <w:ind w:firstLine="640"/>
        <w:rPr>
          <w:rFonts w:hint="eastAsia"/>
          <w:bCs/>
          <w:kern w:val="0"/>
          <w:szCs w:val="32"/>
        </w:rPr>
      </w:pPr>
      <w:r>
        <w:rPr>
          <w:rFonts w:hint="eastAsia"/>
          <w:bCs/>
          <w:kern w:val="0"/>
          <w:szCs w:val="32"/>
        </w:rPr>
        <w:t>八、政府性基金预算收入支出决算情况说明</w:t>
      </w:r>
    </w:p>
    <w:p>
      <w:pPr>
        <w:widowControl/>
        <w:ind w:firstLine="640"/>
        <w:rPr>
          <w:rFonts w:hint="eastAsia" w:ascii="仿宋_GB2312"/>
          <w:bCs/>
          <w:kern w:val="0"/>
          <w:szCs w:val="32"/>
        </w:rPr>
      </w:pPr>
      <w:r>
        <w:rPr>
          <w:rFonts w:hint="eastAsia" w:ascii="仿宋_GB2312" w:hAnsi="宋体"/>
          <w:kern w:val="0"/>
          <w:szCs w:val="32"/>
        </w:rPr>
        <w:t>本单位无政府性基金收支。</w:t>
      </w:r>
    </w:p>
    <w:p>
      <w:pPr>
        <w:widowControl/>
        <w:ind w:firstLine="640"/>
        <w:rPr>
          <w:rFonts w:hint="eastAsia"/>
          <w:bCs/>
          <w:kern w:val="0"/>
          <w:szCs w:val="32"/>
        </w:rPr>
      </w:pPr>
      <w:r>
        <w:rPr>
          <w:rFonts w:hint="eastAsia"/>
          <w:bCs/>
          <w:kern w:val="0"/>
          <w:szCs w:val="32"/>
        </w:rPr>
        <w:t>九、预算绩效情况说明</w:t>
      </w:r>
    </w:p>
    <w:p>
      <w:pPr>
        <w:widowControl/>
        <w:spacing w:line="555" w:lineRule="atLeast"/>
        <w:ind w:firstLine="720" w:firstLineChars="0"/>
        <w:jc w:val="left"/>
        <w:rPr>
          <w:rFonts w:hint="eastAsia" w:ascii="仿宋_GB2312" w:hAnsi="微软雅黑" w:cs="宋体"/>
          <w:kern w:val="0"/>
          <w:szCs w:val="32"/>
        </w:rPr>
      </w:pPr>
      <w:r>
        <w:rPr>
          <w:rFonts w:hint="eastAsia" w:ascii="仿宋_GB2312" w:hAnsi="仿宋" w:cs="宋体"/>
          <w:bCs/>
          <w:kern w:val="0"/>
          <w:szCs w:val="32"/>
        </w:rPr>
        <w:t>（一）预算绩效管理工作开展情况。</w:t>
      </w:r>
    </w:p>
    <w:p>
      <w:pPr>
        <w:widowControl/>
        <w:spacing w:line="555" w:lineRule="atLeast"/>
        <w:ind w:firstLine="645" w:firstLineChars="0"/>
        <w:jc w:val="left"/>
        <w:rPr>
          <w:rFonts w:hint="eastAsia" w:ascii="仿宋_GB2312" w:hAnsi="微软雅黑" w:cs="宋体"/>
          <w:kern w:val="0"/>
          <w:szCs w:val="32"/>
        </w:rPr>
      </w:pPr>
      <w:r>
        <w:rPr>
          <w:rFonts w:hint="eastAsia" w:ascii="仿宋_GB2312" w:hAnsi="仿宋" w:cs="宋体"/>
          <w:kern w:val="0"/>
          <w:szCs w:val="32"/>
        </w:rPr>
        <w:t>2018年单位各项工作取得了明显成效：协调各方，积极作为，智慧渌口有力推进；规范管理，提高效率，网格治理不断深化；规范制度，优化服务，热线工作成效明显等。本部门整体支出和项目支出实行绩效目标管理，纳入2018年部门整体支出绩效目标的金额为485.02万元。其中，基本支出485.02万元,项目支出0万元。</w:t>
      </w:r>
    </w:p>
    <w:p>
      <w:pPr>
        <w:widowControl/>
        <w:spacing w:line="555" w:lineRule="atLeast"/>
        <w:ind w:firstLine="645" w:firstLineChars="0"/>
        <w:jc w:val="left"/>
        <w:rPr>
          <w:rFonts w:hint="eastAsia" w:ascii="仿宋_GB2312" w:hAnsi="微软雅黑" w:cs="宋体"/>
          <w:kern w:val="0"/>
          <w:szCs w:val="32"/>
        </w:rPr>
      </w:pPr>
      <w:r>
        <w:rPr>
          <w:rFonts w:hint="eastAsia" w:ascii="仿宋_GB2312" w:hAnsi="仿宋" w:cs="宋体"/>
          <w:bCs/>
          <w:kern w:val="0"/>
          <w:szCs w:val="32"/>
        </w:rPr>
        <w:t>（二）部门决算中项目绩效自评结果。</w:t>
      </w:r>
    </w:p>
    <w:p>
      <w:pPr>
        <w:widowControl/>
        <w:spacing w:line="555" w:lineRule="atLeast"/>
        <w:ind w:firstLine="645" w:firstLineChars="0"/>
        <w:jc w:val="left"/>
        <w:rPr>
          <w:rFonts w:hint="eastAsia" w:ascii="仿宋_GB2312" w:hAnsi="微软雅黑" w:cs="宋体"/>
          <w:kern w:val="0"/>
          <w:szCs w:val="32"/>
        </w:rPr>
      </w:pPr>
      <w:r>
        <w:rPr>
          <w:rFonts w:hint="eastAsia" w:ascii="仿宋_GB2312" w:hAnsi="仿宋" w:cs="宋体"/>
          <w:bCs/>
          <w:kern w:val="0"/>
          <w:szCs w:val="32"/>
        </w:rPr>
        <w:t>1、整体绩效评价报告</w:t>
      </w:r>
    </w:p>
    <w:p>
      <w:pPr>
        <w:widowControl/>
        <w:spacing w:line="555" w:lineRule="atLeast"/>
        <w:ind w:firstLine="645" w:firstLineChars="0"/>
        <w:jc w:val="left"/>
        <w:rPr>
          <w:rFonts w:hint="eastAsia" w:ascii="仿宋_GB2312" w:hAnsi="微软雅黑" w:cs="宋体"/>
          <w:kern w:val="0"/>
          <w:szCs w:val="32"/>
        </w:rPr>
      </w:pPr>
      <w:r>
        <w:rPr>
          <w:rFonts w:hint="eastAsia" w:ascii="仿宋_GB2312" w:hAnsi="仿宋" w:cs="宋体"/>
          <w:kern w:val="0"/>
          <w:szCs w:val="32"/>
        </w:rPr>
        <w:t>部门整体支出年度绩效情况：一是三公经费比年初预算增减率-90.39%，比上年决算增减率63.21%；二是部门整体支出按进度支出；三是部门预决算和三公经费预决算按要求公开。</w:t>
      </w:r>
    </w:p>
    <w:p>
      <w:pPr>
        <w:widowControl/>
        <w:spacing w:line="555" w:lineRule="atLeast"/>
        <w:ind w:firstLine="645" w:firstLineChars="0"/>
        <w:jc w:val="left"/>
        <w:rPr>
          <w:rFonts w:hint="eastAsia" w:ascii="仿宋_GB2312" w:hAnsi="微软雅黑" w:cs="宋体"/>
          <w:kern w:val="0"/>
          <w:szCs w:val="32"/>
        </w:rPr>
      </w:pPr>
      <w:r>
        <w:rPr>
          <w:rFonts w:hint="eastAsia" w:ascii="仿宋_GB2312" w:hAnsi="仿宋" w:cs="宋体"/>
          <w:bCs/>
          <w:kern w:val="0"/>
          <w:szCs w:val="32"/>
        </w:rPr>
        <w:t>2、项目绩效评价报告</w:t>
      </w:r>
    </w:p>
    <w:p>
      <w:pPr>
        <w:widowControl/>
        <w:spacing w:line="450" w:lineRule="atLeast"/>
        <w:ind w:firstLine="720" w:firstLineChars="0"/>
        <w:jc w:val="left"/>
        <w:rPr>
          <w:rFonts w:hint="eastAsia" w:ascii="仿宋_GB2312" w:hAnsi="仿宋" w:cs="宋体"/>
          <w:kern w:val="0"/>
          <w:szCs w:val="32"/>
        </w:rPr>
      </w:pPr>
      <w:r>
        <w:rPr>
          <w:rFonts w:hint="eastAsia" w:ascii="仿宋_GB2312" w:hAnsi="仿宋" w:cs="宋体"/>
          <w:kern w:val="0"/>
          <w:szCs w:val="32"/>
        </w:rPr>
        <w:t>本单位无项目支出。</w:t>
      </w:r>
    </w:p>
    <w:p>
      <w:pPr>
        <w:widowControl/>
        <w:spacing w:line="450" w:lineRule="atLeast"/>
        <w:ind w:firstLine="720" w:firstLineChars="0"/>
        <w:jc w:val="left"/>
        <w:rPr>
          <w:rFonts w:hint="eastAsia" w:ascii="仿宋_GB2312"/>
          <w:bCs/>
          <w:kern w:val="0"/>
          <w:szCs w:val="32"/>
        </w:rPr>
      </w:pPr>
      <w:r>
        <w:rPr>
          <w:rFonts w:hint="eastAsia" w:ascii="仿宋_GB2312"/>
          <w:bCs/>
          <w:kern w:val="0"/>
          <w:szCs w:val="32"/>
        </w:rPr>
        <w:t>十、其他重要事项的情况说明</w:t>
      </w:r>
    </w:p>
    <w:p>
      <w:pPr>
        <w:autoSpaceDE w:val="0"/>
        <w:autoSpaceDN w:val="0"/>
        <w:adjustRightInd w:val="0"/>
        <w:ind w:firstLine="640"/>
        <w:rPr>
          <w:rFonts w:hint="eastAsia" w:ascii="仿宋_GB2312"/>
          <w:kern w:val="0"/>
          <w:szCs w:val="32"/>
        </w:rPr>
      </w:pPr>
      <w:r>
        <w:rPr>
          <w:rFonts w:hint="eastAsia" w:ascii="仿宋_GB2312"/>
          <w:kern w:val="0"/>
          <w:szCs w:val="32"/>
        </w:rPr>
        <w:t>（一）机关运行经费支出情况。本部门2018年度机关运行经费支出</w:t>
      </w:r>
      <w:r>
        <w:rPr>
          <w:rFonts w:hint="eastAsia" w:ascii="仿宋_GB2312" w:hAnsi="宋体"/>
          <w:szCs w:val="32"/>
        </w:rPr>
        <w:t>336.73</w:t>
      </w:r>
      <w:r>
        <w:rPr>
          <w:rFonts w:hint="eastAsia" w:ascii="仿宋_GB2312"/>
          <w:kern w:val="0"/>
          <w:szCs w:val="32"/>
        </w:rPr>
        <w:t>万元，比年初预算数增加</w:t>
      </w:r>
      <w:r>
        <w:rPr>
          <w:rFonts w:hint="eastAsia" w:ascii="仿宋_GB2312" w:hAnsi="宋体"/>
          <w:szCs w:val="32"/>
        </w:rPr>
        <w:t>328.73</w:t>
      </w:r>
      <w:r>
        <w:rPr>
          <w:rFonts w:hint="eastAsia" w:ascii="仿宋_GB2312"/>
          <w:kern w:val="0"/>
          <w:szCs w:val="32"/>
        </w:rPr>
        <w:t>万元，主要原因是：</w:t>
      </w:r>
      <w:r>
        <w:rPr>
          <w:rFonts w:hint="eastAsia" w:ascii="仿宋_GB2312" w:hAnsi="宋体"/>
          <w:szCs w:val="32"/>
        </w:rPr>
        <w:t>2017年成立本单位，2018年全力推进了智慧渌口的建设。</w:t>
      </w:r>
    </w:p>
    <w:p>
      <w:pPr>
        <w:autoSpaceDE w:val="0"/>
        <w:autoSpaceDN w:val="0"/>
        <w:adjustRightInd w:val="0"/>
        <w:ind w:firstLine="640"/>
        <w:rPr>
          <w:rFonts w:hint="eastAsia" w:ascii="仿宋_GB2312"/>
          <w:kern w:val="0"/>
          <w:szCs w:val="32"/>
        </w:rPr>
      </w:pPr>
      <w:r>
        <w:rPr>
          <w:rFonts w:hint="eastAsia" w:ascii="仿宋_GB2312"/>
          <w:kern w:val="0"/>
          <w:szCs w:val="32"/>
        </w:rPr>
        <w:t>（二）政府采购支出情况。本部门2018 年度政府采购支出总额</w:t>
      </w:r>
      <w:r>
        <w:rPr>
          <w:rFonts w:hint="eastAsia" w:ascii="仿宋_GB2312" w:hAnsi="宋体" w:cs="仿宋"/>
          <w:bCs/>
          <w:szCs w:val="32"/>
        </w:rPr>
        <w:t>482.57</w:t>
      </w:r>
      <w:r>
        <w:rPr>
          <w:rFonts w:hint="eastAsia" w:ascii="仿宋_GB2312"/>
          <w:kern w:val="0"/>
          <w:szCs w:val="32"/>
        </w:rPr>
        <w:t>万元，其中：政府采购货物支出0万元、政府采购工程支出0万元、政府采购服务支出</w:t>
      </w:r>
      <w:r>
        <w:rPr>
          <w:rFonts w:hint="eastAsia" w:ascii="仿宋_GB2312" w:hAnsi="宋体" w:cs="仿宋"/>
          <w:bCs/>
          <w:szCs w:val="32"/>
        </w:rPr>
        <w:t>482.57</w:t>
      </w:r>
      <w:r>
        <w:rPr>
          <w:rFonts w:hint="eastAsia" w:ascii="仿宋_GB2312"/>
          <w:kern w:val="0"/>
          <w:szCs w:val="32"/>
        </w:rPr>
        <w:t>万元，占政府采购支出金额的100%。</w:t>
      </w:r>
    </w:p>
    <w:p>
      <w:pPr>
        <w:autoSpaceDE w:val="0"/>
        <w:autoSpaceDN w:val="0"/>
        <w:adjustRightInd w:val="0"/>
        <w:ind w:firstLine="800" w:firstLineChars="250"/>
        <w:rPr>
          <w:rFonts w:hint="eastAsia" w:ascii="仿宋_GB2312"/>
          <w:kern w:val="0"/>
          <w:szCs w:val="32"/>
        </w:rPr>
      </w:pPr>
      <w:r>
        <w:rPr>
          <w:rFonts w:hint="eastAsia" w:ascii="仿宋_GB2312"/>
          <w:kern w:val="0"/>
          <w:szCs w:val="32"/>
        </w:rPr>
        <w:t>（三）国有资产占用情况。截至2018年12 月31 日，本部门共有车辆1辆，其中，部级领导干部用车0辆、一般公务用车1辆、一般执法执勤用车0辆、特种专业技术用车0 辆、其他用车0辆；单位价值50 万元以上通用设备0台（套），单价100 万元以上专用设备0台（套）。</w:t>
      </w:r>
    </w:p>
    <w:p>
      <w:pPr>
        <w:autoSpaceDE w:val="0"/>
        <w:autoSpaceDN w:val="0"/>
        <w:adjustRightInd w:val="0"/>
        <w:ind w:firstLine="800" w:firstLineChars="250"/>
        <w:rPr>
          <w:rFonts w:hint="eastAsia" w:ascii="仿宋_GB2312"/>
          <w:kern w:val="0"/>
          <w:szCs w:val="32"/>
        </w:rPr>
      </w:pPr>
      <w:r>
        <w:rPr>
          <w:rFonts w:hint="eastAsia" w:ascii="仿宋_GB2312"/>
          <w:kern w:val="0"/>
          <w:szCs w:val="32"/>
        </w:rPr>
        <w:t>（四）其他情况说明。本单位无门户网站，仅在政府门户网站预决算公开专栏挂网公开，特此说明。</w:t>
      </w:r>
    </w:p>
    <w:p>
      <w:pPr>
        <w:autoSpaceDE w:val="0"/>
        <w:autoSpaceDN w:val="0"/>
        <w:adjustRightInd w:val="0"/>
        <w:ind w:firstLine="800" w:firstLineChars="250"/>
        <w:rPr>
          <w:rFonts w:hint="eastAsia" w:eastAsia="黑体"/>
          <w:bCs/>
          <w:kern w:val="0"/>
          <w:szCs w:val="32"/>
        </w:rPr>
      </w:pPr>
      <w:r>
        <w:rPr>
          <w:rFonts w:hint="eastAsia" w:eastAsia="黑体"/>
          <w:bCs/>
          <w:kern w:val="0"/>
          <w:szCs w:val="32"/>
        </w:rPr>
        <w:t>第四部分</w:t>
      </w:r>
      <w:r>
        <w:rPr>
          <w:rFonts w:eastAsia="黑体"/>
          <w:bCs/>
          <w:kern w:val="0"/>
          <w:szCs w:val="32"/>
        </w:rPr>
        <w:t xml:space="preserve">  </w:t>
      </w:r>
      <w:r>
        <w:rPr>
          <w:rFonts w:hint="eastAsia" w:eastAsia="黑体"/>
          <w:bCs/>
          <w:kern w:val="0"/>
          <w:szCs w:val="32"/>
        </w:rPr>
        <w:t>名词</w:t>
      </w:r>
      <w:bookmarkStart w:id="0" w:name="_GoBack"/>
      <w:bookmarkEnd w:id="0"/>
      <w:r>
        <w:rPr>
          <w:rFonts w:hint="eastAsia" w:eastAsia="黑体"/>
          <w:bCs/>
          <w:kern w:val="0"/>
          <w:szCs w:val="32"/>
        </w:rPr>
        <w:t>解释</w:t>
      </w:r>
    </w:p>
    <w:p>
      <w:pPr>
        <w:widowControl/>
        <w:ind w:firstLine="640"/>
        <w:jc w:val="left"/>
        <w:rPr>
          <w:color w:val="000000"/>
          <w:szCs w:val="32"/>
        </w:rPr>
      </w:pPr>
      <w:r>
        <w:rPr>
          <w:rFonts w:hint="eastAsia"/>
          <w:color w:val="000000"/>
          <w:szCs w:val="32"/>
        </w:rPr>
        <w:t>一、财政拨款收入：指单位从同级财政部门取得的财政预算资金。</w:t>
      </w:r>
    </w:p>
    <w:p>
      <w:pPr>
        <w:widowControl/>
        <w:ind w:firstLine="640"/>
        <w:jc w:val="left"/>
        <w:rPr>
          <w:color w:val="000000"/>
          <w:szCs w:val="32"/>
        </w:rPr>
      </w:pPr>
      <w:r>
        <w:rPr>
          <w:rFonts w:hint="eastAsia"/>
          <w:color w:val="000000"/>
          <w:szCs w:val="32"/>
        </w:rPr>
        <w:t>二、事业收入：指事业单位开展专业业务活动及辅助活动取得的收入。</w:t>
      </w:r>
    </w:p>
    <w:p>
      <w:pPr>
        <w:widowControl/>
        <w:ind w:firstLine="640"/>
        <w:jc w:val="left"/>
        <w:rPr>
          <w:color w:val="000000"/>
          <w:szCs w:val="32"/>
        </w:rPr>
      </w:pPr>
      <w:r>
        <w:rPr>
          <w:rFonts w:hint="eastAsia"/>
          <w:color w:val="000000"/>
          <w:szCs w:val="32"/>
        </w:rPr>
        <w:t>三、经营收入：指事业单位在专业业务活动及其辅助活动之外开展非独立核算经营活动取得的收入。</w:t>
      </w:r>
    </w:p>
    <w:p>
      <w:pPr>
        <w:widowControl/>
        <w:ind w:firstLine="640"/>
        <w:jc w:val="left"/>
        <w:rPr>
          <w:color w:val="000000"/>
          <w:szCs w:val="32"/>
        </w:rPr>
      </w:pPr>
      <w:r>
        <w:rPr>
          <w:rFonts w:hint="eastAsia"/>
          <w:color w:val="000000"/>
          <w:szCs w:val="32"/>
        </w:rPr>
        <w:t>四、其他收入：指单位取得的除上述收入以外的各项收入。</w:t>
      </w:r>
    </w:p>
    <w:p>
      <w:pPr>
        <w:widowControl/>
        <w:ind w:firstLine="640"/>
        <w:jc w:val="left"/>
        <w:rPr>
          <w:color w:val="000000"/>
          <w:szCs w:val="32"/>
        </w:rPr>
      </w:pPr>
      <w:r>
        <w:rPr>
          <w:rFonts w:hint="eastAsia"/>
          <w:color w:val="000000"/>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ind w:firstLine="800" w:firstLineChars="250"/>
        <w:rPr>
          <w:color w:val="FF0000"/>
          <w:kern w:val="0"/>
          <w:szCs w:val="32"/>
        </w:rPr>
      </w:pPr>
      <w:r>
        <w:rPr>
          <w:rFonts w:hint="eastAsia"/>
          <w:color w:val="000000"/>
          <w:szCs w:val="32"/>
        </w:rPr>
        <w:t>六、年初结转和结余：指单位以前年度尚未完成、结转到本年按有关规定继续使用的资金。</w:t>
      </w:r>
    </w:p>
    <w:p>
      <w:pPr>
        <w:widowControl/>
        <w:ind w:firstLine="0" w:firstLineChars="0"/>
        <w:rPr>
          <w:b/>
          <w:bCs/>
          <w:kern w:val="0"/>
          <w:szCs w:val="32"/>
        </w:rPr>
      </w:pPr>
    </w:p>
    <w:p>
      <w:pPr>
        <w:widowControl/>
        <w:ind w:firstLine="0" w:firstLineChars="0"/>
        <w:rPr>
          <w:b/>
          <w:bCs/>
          <w:kern w:val="0"/>
          <w:szCs w:val="32"/>
        </w:rPr>
      </w:pPr>
    </w:p>
    <w:p>
      <w:pPr>
        <w:widowControl/>
        <w:ind w:firstLine="0" w:firstLineChars="0"/>
        <w:rPr>
          <w:b/>
          <w:bCs/>
          <w:kern w:val="0"/>
          <w:szCs w:val="32"/>
        </w:rPr>
      </w:pPr>
    </w:p>
    <w:p>
      <w:pPr>
        <w:widowControl/>
        <w:ind w:firstLine="0" w:firstLineChars="0"/>
        <w:rPr>
          <w:b/>
          <w:bCs/>
          <w:kern w:val="0"/>
          <w:szCs w:val="32"/>
        </w:rPr>
      </w:pPr>
    </w:p>
    <w:p>
      <w:pPr>
        <w:widowControl/>
        <w:ind w:firstLine="0" w:firstLineChars="0"/>
        <w:rPr>
          <w:b/>
          <w:bCs/>
          <w:kern w:val="0"/>
          <w:szCs w:val="32"/>
        </w:rPr>
      </w:pPr>
    </w:p>
    <w:p>
      <w:pPr>
        <w:widowControl/>
        <w:ind w:firstLine="0" w:firstLineChars="0"/>
        <w:rPr>
          <w:b/>
          <w:bCs/>
          <w:kern w:val="0"/>
          <w:szCs w:val="32"/>
        </w:rPr>
      </w:pPr>
    </w:p>
    <w:p>
      <w:pPr>
        <w:widowControl/>
        <w:ind w:firstLine="0" w:firstLineChars="0"/>
        <w:rPr>
          <w:b/>
          <w:bCs/>
          <w:kern w:val="0"/>
          <w:szCs w:val="32"/>
        </w:rPr>
      </w:pPr>
    </w:p>
    <w:p>
      <w:pPr>
        <w:widowControl/>
        <w:ind w:firstLine="0" w:firstLineChars="0"/>
        <w:rPr>
          <w:b/>
          <w:bCs/>
          <w:kern w:val="0"/>
          <w:szCs w:val="32"/>
        </w:rPr>
      </w:pPr>
    </w:p>
    <w:p>
      <w:pPr>
        <w:autoSpaceDE w:val="0"/>
        <w:autoSpaceDN w:val="0"/>
        <w:adjustRightInd w:val="0"/>
        <w:ind w:firstLine="0" w:firstLineChars="0"/>
        <w:rPr>
          <w:color w:val="FF0000"/>
          <w:kern w:val="0"/>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80E0000" w:usb2="00000000" w:usb3="00000000" w:csb0="00040000" w:csb1="00000000"/>
  </w:font>
  <w:font w:name="方正小标宋_GBK">
    <w:altName w:val="微软雅黑"/>
    <w:panose1 w:val="03000509000000000000"/>
    <w:charset w:val="86"/>
    <w:family w:val="script"/>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jc w:val="center"/>
      <w:rPr>
        <w:sz w:val="28"/>
      </w:rPr>
    </w:pPr>
    <w:r>
      <w:rPr>
        <w:sz w:val="28"/>
      </w:rPr>
      <w:fldChar w:fldCharType="begin"/>
    </w:r>
    <w:r>
      <w:rPr>
        <w:sz w:val="28"/>
      </w:rPr>
      <w:instrText xml:space="preserve"> PAGE   \* MERGEFORMAT </w:instrText>
    </w:r>
    <w:r>
      <w:rPr>
        <w:sz w:val="28"/>
      </w:rPr>
      <w:fldChar w:fldCharType="separate"/>
    </w:r>
    <w:r>
      <w:rPr>
        <w:sz w:val="28"/>
        <w:lang w:val="zh-CN"/>
      </w:rPr>
      <w:t>-</w:t>
    </w:r>
    <w:r>
      <w:rPr>
        <w:sz w:val="28"/>
        <w:lang/>
      </w:rPr>
      <w:t xml:space="preserve"> 17 -</w:t>
    </w:r>
    <w:r>
      <w:rPr>
        <w:sz w:val="28"/>
      </w:rPr>
      <w:fldChar w:fldCharType="end"/>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7A8"/>
    <w:rsid w:val="000C4E61"/>
    <w:rsid w:val="000E6DF4"/>
    <w:rsid w:val="00100BA5"/>
    <w:rsid w:val="00130DE2"/>
    <w:rsid w:val="001A3C85"/>
    <w:rsid w:val="001F5B11"/>
    <w:rsid w:val="00217F27"/>
    <w:rsid w:val="00234FD6"/>
    <w:rsid w:val="00255E10"/>
    <w:rsid w:val="002B3A3A"/>
    <w:rsid w:val="002C36EA"/>
    <w:rsid w:val="0034583F"/>
    <w:rsid w:val="003637A8"/>
    <w:rsid w:val="00393F86"/>
    <w:rsid w:val="00396AE5"/>
    <w:rsid w:val="003E3887"/>
    <w:rsid w:val="00445276"/>
    <w:rsid w:val="004778C5"/>
    <w:rsid w:val="004B6033"/>
    <w:rsid w:val="004D0E1C"/>
    <w:rsid w:val="005E1838"/>
    <w:rsid w:val="00605147"/>
    <w:rsid w:val="00680760"/>
    <w:rsid w:val="00684496"/>
    <w:rsid w:val="006878D6"/>
    <w:rsid w:val="00690EAE"/>
    <w:rsid w:val="006A2EDC"/>
    <w:rsid w:val="006C57EE"/>
    <w:rsid w:val="006D358B"/>
    <w:rsid w:val="006D5825"/>
    <w:rsid w:val="006E6657"/>
    <w:rsid w:val="006F3ADD"/>
    <w:rsid w:val="00724942"/>
    <w:rsid w:val="0075054C"/>
    <w:rsid w:val="00764030"/>
    <w:rsid w:val="007F53D0"/>
    <w:rsid w:val="008147F1"/>
    <w:rsid w:val="00864E20"/>
    <w:rsid w:val="00865655"/>
    <w:rsid w:val="008C6D3F"/>
    <w:rsid w:val="008F6826"/>
    <w:rsid w:val="0091558B"/>
    <w:rsid w:val="00957AC2"/>
    <w:rsid w:val="009A5CC2"/>
    <w:rsid w:val="009B3879"/>
    <w:rsid w:val="009E766A"/>
    <w:rsid w:val="00A05C8F"/>
    <w:rsid w:val="00A23B92"/>
    <w:rsid w:val="00A510A6"/>
    <w:rsid w:val="00AA1FA7"/>
    <w:rsid w:val="00AA2072"/>
    <w:rsid w:val="00AB12DE"/>
    <w:rsid w:val="00AE6273"/>
    <w:rsid w:val="00AF22A7"/>
    <w:rsid w:val="00B1562E"/>
    <w:rsid w:val="00B812BF"/>
    <w:rsid w:val="00B92A3A"/>
    <w:rsid w:val="00C0282A"/>
    <w:rsid w:val="00C22070"/>
    <w:rsid w:val="00C474B9"/>
    <w:rsid w:val="00C50944"/>
    <w:rsid w:val="00C522E2"/>
    <w:rsid w:val="00C74374"/>
    <w:rsid w:val="00CB3D4A"/>
    <w:rsid w:val="00D21669"/>
    <w:rsid w:val="00D47C6D"/>
    <w:rsid w:val="00DB699C"/>
    <w:rsid w:val="00DD3601"/>
    <w:rsid w:val="00DE372F"/>
    <w:rsid w:val="00E04CB4"/>
    <w:rsid w:val="00E06E26"/>
    <w:rsid w:val="00E3638A"/>
    <w:rsid w:val="00E4547E"/>
    <w:rsid w:val="00E73618"/>
    <w:rsid w:val="00E740D0"/>
    <w:rsid w:val="00E75630"/>
    <w:rsid w:val="00E777F0"/>
    <w:rsid w:val="00F01A01"/>
    <w:rsid w:val="00F07817"/>
    <w:rsid w:val="00F254B4"/>
    <w:rsid w:val="00F67A3F"/>
    <w:rsid w:val="00F72E12"/>
    <w:rsid w:val="0B263DFE"/>
    <w:rsid w:val="1DD9403F"/>
    <w:rsid w:val="258852B1"/>
    <w:rsid w:val="34D95F57"/>
    <w:rsid w:val="4E4C63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eastAsia="仿宋_GB2312"/>
      <w:kern w:val="2"/>
      <w:sz w:val="32"/>
      <w:szCs w:val="22"/>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alloon Text"/>
    <w:basedOn w:val="1"/>
    <w:link w:val="13"/>
    <w:uiPriority w:val="0"/>
    <w:pPr>
      <w:spacing w:line="240" w:lineRule="auto"/>
    </w:pPr>
    <w:rPr>
      <w:sz w:val="18"/>
      <w:szCs w:val="18"/>
    </w:rPr>
  </w:style>
  <w:style w:type="paragraph" w:styleId="4">
    <w:name w:val="footer"/>
    <w:basedOn w:val="1"/>
    <w:link w:val="17"/>
    <w:uiPriority w:val="99"/>
    <w:pPr>
      <w:tabs>
        <w:tab w:val="center" w:pos="4153"/>
        <w:tab w:val="right" w:pos="8306"/>
      </w:tabs>
      <w:snapToGrid w:val="0"/>
      <w:jc w:val="left"/>
    </w:pPr>
    <w:rPr>
      <w:rFonts w:ascii="Calibri" w:hAnsi="Calibri" w:eastAsia="宋体"/>
      <w:kern w:val="0"/>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6">
    <w:name w:val="Normal (Web)"/>
    <w:basedOn w:val="1"/>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7">
    <w:name w:val="annotation subject"/>
    <w:basedOn w:val="2"/>
    <w:next w:val="2"/>
    <w:link w:val="14"/>
    <w:uiPriority w:val="0"/>
    <w:rPr>
      <w:b/>
      <w:bCs/>
    </w:rPr>
  </w:style>
  <w:style w:type="character" w:styleId="10">
    <w:name w:val="Strong"/>
    <w:basedOn w:val="9"/>
    <w:qFormat/>
    <w:uiPriority w:val="22"/>
    <w:rPr>
      <w:b/>
      <w:bCs/>
    </w:rPr>
  </w:style>
  <w:style w:type="character" w:styleId="11">
    <w:name w:val="annotation reference"/>
    <w:uiPriority w:val="0"/>
    <w:rPr>
      <w:sz w:val="21"/>
      <w:szCs w:val="21"/>
    </w:rPr>
  </w:style>
  <w:style w:type="paragraph" w:customStyle="1" w:styleId="12">
    <w:name w:val="List Paragraph"/>
    <w:basedOn w:val="1"/>
    <w:uiPriority w:val="0"/>
    <w:pPr>
      <w:ind w:firstLine="420"/>
    </w:pPr>
  </w:style>
  <w:style w:type="character" w:customStyle="1" w:styleId="13">
    <w:name w:val="批注框文本 Char"/>
    <w:link w:val="3"/>
    <w:uiPriority w:val="0"/>
    <w:rPr>
      <w:rFonts w:eastAsia="仿宋_GB2312"/>
      <w:kern w:val="2"/>
      <w:sz w:val="18"/>
      <w:szCs w:val="18"/>
    </w:rPr>
  </w:style>
  <w:style w:type="character" w:customStyle="1" w:styleId="14">
    <w:name w:val="批注主题 Char"/>
    <w:link w:val="7"/>
    <w:uiPriority w:val="0"/>
    <w:rPr>
      <w:rFonts w:eastAsia="仿宋_GB2312"/>
      <w:b/>
      <w:bCs/>
      <w:kern w:val="2"/>
      <w:sz w:val="32"/>
      <w:szCs w:val="22"/>
    </w:rPr>
  </w:style>
  <w:style w:type="character" w:customStyle="1" w:styleId="15">
    <w:name w:val="页眉 Char"/>
    <w:link w:val="5"/>
    <w:locked/>
    <w:uiPriority w:val="0"/>
    <w:rPr>
      <w:rFonts w:ascii="Calibri" w:hAnsi="Calibri" w:eastAsia="宋体"/>
      <w:sz w:val="18"/>
      <w:szCs w:val="18"/>
      <w:lang w:val="en-US" w:eastAsia="zh-CN" w:bidi="ar-SA"/>
    </w:rPr>
  </w:style>
  <w:style w:type="character" w:customStyle="1" w:styleId="16">
    <w:name w:val="批注文字 Char"/>
    <w:link w:val="2"/>
    <w:uiPriority w:val="0"/>
    <w:rPr>
      <w:rFonts w:eastAsia="仿宋_GB2312"/>
      <w:kern w:val="2"/>
      <w:sz w:val="32"/>
      <w:szCs w:val="22"/>
    </w:rPr>
  </w:style>
  <w:style w:type="character" w:customStyle="1" w:styleId="17">
    <w:name w:val="页脚 Char"/>
    <w:link w:val="4"/>
    <w:locked/>
    <w:uiPriority w:val="99"/>
    <w:rPr>
      <w:rFonts w:ascii="Calibri" w:hAnsi="Calibri"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706</Words>
  <Characters>4026</Characters>
  <Lines>33</Lines>
  <Paragraphs>9</Paragraphs>
  <TotalTime>1</TotalTime>
  <ScaleCrop>false</ScaleCrop>
  <LinksUpToDate>false</LinksUpToDate>
  <CharactersWithSpaces>4723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2019-12-04T06:45:00Z</dcterms:created>
  <dc:creator>AutoBVT</dc:creator>
  <cp:lastModifiedBy>Administrator</cp:lastModifiedBy>
  <cp:lastPrinted>2019-12-03T01:58:00Z</cp:lastPrinted>
  <dcterms:modified xsi:type="dcterms:W3CDTF">2019-12-14T06:49:47Z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