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rPr>
          <w:rFonts w:eastAsia="仿宋_GB2312"/>
          <w:sz w:val="30"/>
          <w:szCs w:val="30"/>
          <w:u w:val="single"/>
        </w:rPr>
      </w:pPr>
      <w:r>
        <w:rPr>
          <w:rFonts w:eastAsia="黑体"/>
          <w:sz w:val="30"/>
          <w:szCs w:val="30"/>
        </w:rPr>
        <w:t>附件1</w:t>
      </w:r>
    </w:p>
    <w:p>
      <w:pPr>
        <w:adjustRightInd w:val="0"/>
        <w:spacing w:line="560" w:lineRule="exact"/>
        <w:ind w:right="641"/>
        <w:jc w:val="center"/>
        <w:rPr>
          <w:rFonts w:hint="eastAsia" w:eastAsia="方正小标宋简体"/>
          <w:sz w:val="36"/>
          <w:szCs w:val="36"/>
          <w:lang w:eastAsia="zh-CN"/>
        </w:rPr>
      </w:pPr>
      <w:r>
        <w:rPr>
          <w:rFonts w:hint="eastAsia" w:eastAsia="方正小标宋简体"/>
          <w:sz w:val="36"/>
          <w:szCs w:val="36"/>
          <w:lang w:eastAsia="zh-CN"/>
        </w:rPr>
        <w:t>炎陵县畜牧水产事务中心</w:t>
      </w:r>
    </w:p>
    <w:p>
      <w:pPr>
        <w:adjustRightInd w:val="0"/>
        <w:spacing w:line="560" w:lineRule="exact"/>
        <w:ind w:right="641"/>
        <w:jc w:val="center"/>
        <w:rPr>
          <w:rFonts w:eastAsia="方正小标宋简体"/>
          <w:sz w:val="36"/>
          <w:szCs w:val="36"/>
        </w:rPr>
      </w:pPr>
      <w:r>
        <w:rPr>
          <w:rFonts w:hint="eastAsia" w:eastAsia="方正小标宋简体"/>
          <w:sz w:val="36"/>
          <w:szCs w:val="36"/>
        </w:rPr>
        <w:t>201</w:t>
      </w:r>
      <w:r>
        <w:rPr>
          <w:rFonts w:hint="eastAsia" w:eastAsia="方正小标宋简体"/>
          <w:sz w:val="36"/>
          <w:szCs w:val="36"/>
          <w:lang w:val="en-US" w:eastAsia="zh-CN"/>
        </w:rPr>
        <w:t>8</w:t>
      </w:r>
      <w:r>
        <w:rPr>
          <w:rFonts w:hint="eastAsia" w:eastAsia="方正小标宋简体"/>
          <w:sz w:val="36"/>
          <w:szCs w:val="36"/>
        </w:rPr>
        <w:t>年度</w:t>
      </w:r>
      <w:r>
        <w:rPr>
          <w:rFonts w:hint="eastAsia" w:eastAsia="方正小标宋简体"/>
          <w:sz w:val="36"/>
          <w:szCs w:val="36"/>
          <w:lang w:eastAsia="zh-CN"/>
        </w:rPr>
        <w:t>畜禽水产品质量安全监管经费支出</w:t>
      </w:r>
      <w:bookmarkStart w:id="0" w:name="_GoBack"/>
      <w:bookmarkEnd w:id="0"/>
      <w:r>
        <w:rPr>
          <w:rFonts w:eastAsia="方正小标宋简体"/>
          <w:sz w:val="36"/>
          <w:szCs w:val="36"/>
        </w:rPr>
        <w:t>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（一）项目单位基本情况。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部门职责：炎陵县畜牧水产事务中心主要负责执行国家有关畜牧业法律、法规和方针政策；研究拟定全县畜牧水产业发展战略、中长期发展规划和年度计划，并组织实施；负责全县重大动物疫病的预防、控制和扑灭；负责全县动物防疫、动物及动物产品的检疫监督管理工作、兽药管理、种畜禽管理、饲料管理、水产行业等执法工作；负责全县畜禽良种的引进、繁育推广和种畜禽场的审报、监督管理工作；负责全县畜牧兽医新技术、新成果引进推广，开展科研、培训、学术交流工作；承办县委、县政府交办的其它事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机构设置：根据上述职责，炎陵县畜牧水产事务中心内设办公室等</w:t>
      </w:r>
      <w:r>
        <w:rPr>
          <w:rFonts w:hint="eastAsia" w:ascii="仿宋_GB2312" w:hAnsi="仿宋_GB2312" w:eastAsia="仿宋_GB2312" w:cs="仿宋_GB2312"/>
          <w:sz w:val="32"/>
          <w:szCs w:val="32"/>
          <w:lang w:val="en-US" w:eastAsia="zh-CN"/>
        </w:rPr>
        <w:t>7个股室，实有下属二级机构12个。</w:t>
      </w:r>
      <w:r>
        <w:rPr>
          <w:rFonts w:hint="eastAsia" w:ascii="仿宋_GB2312" w:hAnsi="仿宋_GB2312" w:eastAsia="仿宋_GB2312" w:cs="仿宋_GB2312"/>
          <w:sz w:val="32"/>
          <w:szCs w:val="32"/>
          <w:lang w:eastAsia="zh-CN"/>
        </w:rPr>
        <w:t>属于财政全额拨款的一级预算单位，执行事业单位财务会计制度，截至</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12月</w:t>
      </w:r>
      <w:r>
        <w:rPr>
          <w:rFonts w:hint="eastAsia" w:ascii="仿宋_GB2312" w:hAnsi="仿宋_GB2312" w:eastAsia="仿宋_GB2312" w:cs="仿宋_GB2312"/>
          <w:sz w:val="32"/>
          <w:szCs w:val="32"/>
          <w:lang w:eastAsia="zh-CN"/>
        </w:rPr>
        <w:t>底，人员编制</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lang w:eastAsia="zh-CN"/>
        </w:rPr>
        <w:t>人（行政编</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人、全额事业编</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lang w:eastAsia="zh-CN"/>
        </w:rPr>
        <w:t>人、自收自支事业</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人），实有在</w:t>
      </w:r>
      <w:r>
        <w:rPr>
          <w:rFonts w:hint="eastAsia" w:ascii="仿宋_GB2312" w:hAnsi="仿宋_GB2312" w:eastAsia="仿宋_GB2312" w:cs="仿宋_GB2312"/>
          <w:sz w:val="32"/>
          <w:szCs w:val="32"/>
        </w:rPr>
        <w:t>职人员</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eastAsia="仿宋_GB2312"/>
          <w:sz w:val="32"/>
          <w:szCs w:val="32"/>
          <w:lang w:eastAsia="zh-CN"/>
        </w:rPr>
      </w:pPr>
      <w:r>
        <w:rPr>
          <w:rFonts w:eastAsia="仿宋_GB2312"/>
          <w:sz w:val="32"/>
          <w:szCs w:val="32"/>
        </w:rPr>
        <w:t>（二）项目基本情况简介</w:t>
      </w:r>
      <w:r>
        <w:rPr>
          <w:rFonts w:hint="eastAsia"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畜禽水产品质量安全监管经费是建立健全畜禽水产品质量安全监管体系，杜绝生产、销售和使用“瘦肉精”等违禁物品的违法行为，保证全县畜禽水产品质量安全的重要保障。</w:t>
      </w:r>
    </w:p>
    <w:p>
      <w:pPr>
        <w:numPr>
          <w:ilvl w:val="0"/>
          <w:numId w:val="1"/>
        </w:numPr>
        <w:adjustRightInd w:val="0"/>
        <w:snapToGrid w:val="0"/>
        <w:spacing w:line="560" w:lineRule="exact"/>
        <w:ind w:firstLine="640" w:firstLineChars="200"/>
        <w:outlineLvl w:val="0"/>
        <w:rPr>
          <w:rFonts w:eastAsia="黑体"/>
          <w:sz w:val="32"/>
          <w:szCs w:val="32"/>
        </w:rPr>
      </w:pPr>
      <w:r>
        <w:rPr>
          <w:rFonts w:eastAsia="黑体"/>
          <w:sz w:val="32"/>
          <w:szCs w:val="32"/>
        </w:rPr>
        <w:t>项目资金使用及管理情况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2018年度县本级预算畜禽水产品质量安全监管经费10万元，主要用于全县畜禽水产品质量安全监管开支。实际执行开支1.16万元，主要用于畜禽水产质量安全工作开支。</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畜禽水产品质量安全监管全年进行，确保全县畜禽水产品的质量安全。</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实现畜禽水产品产地监测合格率在98%以上、例行监测合格率达到97%以上，“瘦肉精”监测合格率达到99%以上，确保不发生重大畜禽水产品事件。</w:t>
      </w:r>
    </w:p>
    <w:p>
      <w:pPr>
        <w:adjustRightInd w:val="0"/>
        <w:snapToGrid w:val="0"/>
        <w:spacing w:line="560" w:lineRule="exact"/>
        <w:ind w:firstLine="640" w:firstLineChars="200"/>
        <w:outlineLvl w:val="0"/>
        <w:rPr>
          <w:rFonts w:hint="eastAsia" w:eastAsia="黑体"/>
          <w:sz w:val="32"/>
          <w:szCs w:val="32"/>
          <w:lang w:eastAsia="zh-CN"/>
        </w:rPr>
      </w:pPr>
      <w:r>
        <w:rPr>
          <w:rFonts w:hint="eastAsia" w:eastAsia="黑体"/>
          <w:sz w:val="32"/>
          <w:szCs w:val="32"/>
          <w:lang w:eastAsia="zh-CN"/>
        </w:rPr>
        <w:t>五</w:t>
      </w:r>
      <w:r>
        <w:rPr>
          <w:rFonts w:eastAsia="黑体"/>
          <w:sz w:val="32"/>
          <w:szCs w:val="32"/>
        </w:rPr>
        <w:t>、</w:t>
      </w:r>
      <w:r>
        <w:rPr>
          <w:rFonts w:hint="eastAsia" w:eastAsia="黑体"/>
          <w:sz w:val="32"/>
          <w:szCs w:val="32"/>
          <w:lang w:eastAsia="zh-CN"/>
        </w:rPr>
        <w:t>下一步工作打算</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抓安全生产与产品质量安全监管。进一步提高养殖户的安全生产意识与主体责任意识，抓好养殖业投入品与屠宰监管及动物卫生监督等安全生产监管，确保不发生安全生产责任事故与畜禽水产品质量安全事故。</w:t>
      </w:r>
    </w:p>
    <w:p>
      <w:pPr>
        <w:adjustRightInd w:val="0"/>
        <w:snapToGrid w:val="0"/>
        <w:spacing w:line="560" w:lineRule="exact"/>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炎陵县畜牧水产事务中心</w:t>
      </w:r>
    </w:p>
    <w:p>
      <w:pPr>
        <w:adjustRightInd w:val="0"/>
        <w:snapToGrid w:val="0"/>
        <w:spacing w:line="560" w:lineRule="exact"/>
        <w:ind w:firstLine="640" w:firstLineChars="200"/>
        <w:jc w:val="right"/>
        <w:rPr>
          <w:rFonts w:eastAsia="仿宋_GB2312"/>
          <w:sz w:val="32"/>
          <w:szCs w:val="32"/>
        </w:rPr>
      </w:pPr>
      <w:r>
        <w:rPr>
          <w:rFonts w:hint="eastAsia" w:ascii="仿宋_GB2312" w:hAnsi="仿宋_GB2312" w:eastAsia="仿宋_GB2312" w:cs="仿宋_GB2312"/>
          <w:sz w:val="32"/>
          <w:szCs w:val="32"/>
          <w:lang w:val="en-US" w:eastAsia="zh-CN"/>
        </w:rPr>
        <w:t>2019年7月23日</w:t>
      </w:r>
    </w:p>
    <w:p>
      <w:pPr>
        <w:adjustRightInd w:val="0"/>
        <w:snapToGrid w:val="0"/>
        <w:spacing w:line="560" w:lineRule="exact"/>
        <w:outlineLvl w:val="0"/>
        <w:rPr>
          <w:rFonts w:hint="eastAsia" w:ascii="仿宋_GB2312" w:hAnsi="仿宋_GB2312" w:eastAsia="仿宋_GB2312" w:cs="仿宋_GB2312"/>
          <w:sz w:val="32"/>
          <w:szCs w:val="32"/>
          <w:lang w:val="en-US" w:eastAsia="zh-CN"/>
        </w:rPr>
      </w:pPr>
    </w:p>
    <w:p/>
    <w:tbl>
      <w:tblPr>
        <w:tblStyle w:val="2"/>
        <w:tblW w:w="9076" w:type="dxa"/>
        <w:tblInd w:w="-346" w:type="dxa"/>
        <w:tblLayout w:type="fixed"/>
        <w:tblCellMar>
          <w:top w:w="0" w:type="dxa"/>
          <w:left w:w="0" w:type="dxa"/>
          <w:bottom w:w="0" w:type="dxa"/>
          <w:right w:w="0" w:type="dxa"/>
        </w:tblCellMar>
      </w:tblPr>
      <w:tblGrid>
        <w:gridCol w:w="854"/>
        <w:gridCol w:w="887"/>
        <w:gridCol w:w="1213"/>
        <w:gridCol w:w="1697"/>
        <w:gridCol w:w="960"/>
        <w:gridCol w:w="1080"/>
        <w:gridCol w:w="735"/>
        <w:gridCol w:w="1650"/>
      </w:tblGrid>
      <w:tr>
        <w:tblPrEx>
          <w:tblLayout w:type="fixed"/>
          <w:tblCellMar>
            <w:top w:w="0" w:type="dxa"/>
            <w:left w:w="0" w:type="dxa"/>
            <w:bottom w:w="0" w:type="dxa"/>
            <w:right w:w="0" w:type="dxa"/>
          </w:tblCellMar>
        </w:tblPrEx>
        <w:trPr>
          <w:trHeight w:val="1395" w:hRule="atLeast"/>
        </w:trPr>
        <w:tc>
          <w:tcPr>
            <w:tcW w:w="9076"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Ansi="黑体" w:eastAsia="黑体"/>
                <w:kern w:val="0"/>
                <w:sz w:val="28"/>
                <w:szCs w:val="28"/>
              </w:rPr>
              <w:t>附件</w:t>
            </w:r>
            <w:r>
              <w:rPr>
                <w:rFonts w:eastAsia="黑体"/>
                <w:kern w:val="0"/>
                <w:sz w:val="28"/>
                <w:szCs w:val="28"/>
              </w:rPr>
              <w:t>2</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2640" w:firstLineChars="600"/>
              <w:jc w:val="both"/>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 xml:space="preserve">绩效目标自评表 </w:t>
            </w:r>
          </w:p>
        </w:tc>
      </w:tr>
      <w:tr>
        <w:tblPrEx>
          <w:tblLayout w:type="fixed"/>
          <w:tblCellMar>
            <w:top w:w="0" w:type="dxa"/>
            <w:left w:w="0" w:type="dxa"/>
            <w:bottom w:w="0" w:type="dxa"/>
            <w:right w:w="0" w:type="dxa"/>
          </w:tblCellMar>
        </w:tblPrEx>
        <w:trPr>
          <w:trHeight w:val="260" w:hRule="atLeast"/>
        </w:trPr>
        <w:tc>
          <w:tcPr>
            <w:tcW w:w="9076"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（2018年度）</w:t>
            </w:r>
          </w:p>
        </w:tc>
      </w:tr>
      <w:tr>
        <w:tblPrEx>
          <w:tblLayout w:type="fixed"/>
          <w:tblCellMar>
            <w:top w:w="0" w:type="dxa"/>
            <w:left w:w="0" w:type="dxa"/>
            <w:bottom w:w="0" w:type="dxa"/>
            <w:right w:w="0" w:type="dxa"/>
          </w:tblCellMar>
        </w:tblPrEx>
        <w:trPr>
          <w:trHeight w:val="227" w:hRule="atLeast"/>
        </w:trPr>
        <w:tc>
          <w:tcPr>
            <w:tcW w:w="29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畜禽水产品质量安全监管经费</w:t>
            </w:r>
          </w:p>
        </w:tc>
        <w:tc>
          <w:tcPr>
            <w:tcW w:w="1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eastAsia="zh-CN"/>
              </w:rPr>
              <w:t>颜酃</w:t>
            </w:r>
            <w:r>
              <w:rPr>
                <w:rFonts w:hint="eastAsia" w:ascii="宋体" w:hAnsi="宋体" w:cs="宋体"/>
                <w:i w:val="0"/>
                <w:color w:val="000000"/>
                <w:sz w:val="20"/>
                <w:szCs w:val="20"/>
                <w:u w:val="none"/>
                <w:lang w:val="en-US" w:eastAsia="zh-CN"/>
              </w:rPr>
              <w:t>13574239852</w:t>
            </w:r>
          </w:p>
        </w:tc>
      </w:tr>
      <w:tr>
        <w:tblPrEx>
          <w:tblLayout w:type="fixed"/>
          <w:tblCellMar>
            <w:top w:w="0" w:type="dxa"/>
            <w:left w:w="0" w:type="dxa"/>
            <w:bottom w:w="0" w:type="dxa"/>
            <w:right w:w="0" w:type="dxa"/>
          </w:tblCellMar>
        </w:tblPrEx>
        <w:trPr>
          <w:trHeight w:val="180" w:hRule="atLeast"/>
        </w:trPr>
        <w:tc>
          <w:tcPr>
            <w:tcW w:w="29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炎陵县畜牧水产事务中心</w:t>
            </w:r>
          </w:p>
        </w:tc>
        <w:tc>
          <w:tcPr>
            <w:tcW w:w="1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炎陵县畜牧水产事务中心</w:t>
            </w:r>
          </w:p>
        </w:tc>
      </w:tr>
      <w:tr>
        <w:tblPrEx>
          <w:tblLayout w:type="fixed"/>
          <w:tblCellMar>
            <w:top w:w="0" w:type="dxa"/>
            <w:left w:w="0" w:type="dxa"/>
            <w:bottom w:w="0" w:type="dxa"/>
            <w:right w:w="0" w:type="dxa"/>
          </w:tblCellMar>
        </w:tblPrEx>
        <w:trPr>
          <w:trHeight w:val="500" w:hRule="atLeast"/>
        </w:trPr>
        <w:tc>
          <w:tcPr>
            <w:tcW w:w="2954"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资金情况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1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Layout w:type="fixed"/>
          <w:tblCellMar>
            <w:top w:w="0" w:type="dxa"/>
            <w:left w:w="0" w:type="dxa"/>
            <w:bottom w:w="0" w:type="dxa"/>
            <w:right w:w="0" w:type="dxa"/>
          </w:tblCellMar>
        </w:tblPrEx>
        <w:trPr>
          <w:trHeight w:val="270" w:hRule="atLeast"/>
        </w:trPr>
        <w:tc>
          <w:tcPr>
            <w:tcW w:w="2954" w:type="dxa"/>
            <w:gridSpan w:val="3"/>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w:t>
            </w:r>
          </w:p>
        </w:tc>
        <w:tc>
          <w:tcPr>
            <w:tcW w:w="1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1.16</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10.16%</w:t>
            </w:r>
          </w:p>
        </w:tc>
      </w:tr>
      <w:tr>
        <w:tblPrEx>
          <w:tblLayout w:type="fixed"/>
          <w:tblCellMar>
            <w:top w:w="0" w:type="dxa"/>
            <w:left w:w="0" w:type="dxa"/>
            <w:bottom w:w="0" w:type="dxa"/>
            <w:right w:w="0" w:type="dxa"/>
          </w:tblCellMar>
        </w:tblPrEx>
        <w:trPr>
          <w:trHeight w:val="270" w:hRule="atLeast"/>
        </w:trPr>
        <w:tc>
          <w:tcPr>
            <w:tcW w:w="2954" w:type="dxa"/>
            <w:gridSpan w:val="3"/>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其中：本年财政拨款</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w:t>
            </w:r>
          </w:p>
        </w:tc>
        <w:tc>
          <w:tcPr>
            <w:tcW w:w="1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1.16</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10.16%</w:t>
            </w:r>
          </w:p>
        </w:tc>
      </w:tr>
      <w:tr>
        <w:tblPrEx>
          <w:tblLayout w:type="fixed"/>
          <w:tblCellMar>
            <w:top w:w="0" w:type="dxa"/>
            <w:left w:w="0" w:type="dxa"/>
            <w:bottom w:w="0" w:type="dxa"/>
            <w:right w:w="0" w:type="dxa"/>
          </w:tblCellMar>
        </w:tblPrEx>
        <w:trPr>
          <w:trHeight w:val="227" w:hRule="atLeast"/>
        </w:trPr>
        <w:tc>
          <w:tcPr>
            <w:tcW w:w="2954"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70" w:hRule="atLeast"/>
        </w:trPr>
        <w:tc>
          <w:tcPr>
            <w:tcW w:w="8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75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年度总体目标完成情况综述</w:t>
            </w:r>
          </w:p>
        </w:tc>
      </w:tr>
      <w:tr>
        <w:tblPrEx>
          <w:tblLayout w:type="fixed"/>
          <w:tblCellMar>
            <w:top w:w="0" w:type="dxa"/>
            <w:left w:w="0" w:type="dxa"/>
            <w:bottom w:w="0" w:type="dxa"/>
            <w:right w:w="0" w:type="dxa"/>
          </w:tblCellMar>
        </w:tblPrEx>
        <w:trPr>
          <w:trHeight w:val="305"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475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65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全年实际值</w:t>
            </w:r>
          </w:p>
        </w:tc>
        <w:tc>
          <w:tcPr>
            <w:tcW w:w="16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r>
      <w:tr>
        <w:tblPrEx>
          <w:tblLayout w:type="fixed"/>
          <w:tblCellMar>
            <w:top w:w="0" w:type="dxa"/>
            <w:left w:w="0" w:type="dxa"/>
            <w:bottom w:w="0" w:type="dxa"/>
            <w:right w:w="0" w:type="dxa"/>
          </w:tblCellMar>
        </w:tblPrEx>
        <w:trPr>
          <w:trHeight w:val="383"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265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65"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检测样品数量</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5000</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5000</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kern w:val="0"/>
                <w:sz w:val="18"/>
                <w:szCs w:val="18"/>
              </w:rPr>
              <w:t>畜禽水产品产地监测合格率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8</w:t>
            </w:r>
            <w:r>
              <w:rPr>
                <w:rFonts w:hint="eastAsia" w:ascii="宋体" w:hAnsi="宋体" w:eastAsia="宋体" w:cs="宋体"/>
                <w:i w:val="0"/>
                <w:color w:val="000000"/>
                <w:kern w:val="0"/>
                <w:sz w:val="20"/>
                <w:szCs w:val="20"/>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98</w:t>
            </w:r>
            <w:r>
              <w:rPr>
                <w:rFonts w:hint="eastAsia" w:ascii="宋体" w:hAnsi="宋体" w:eastAsia="宋体" w:cs="宋体"/>
                <w:i w:val="0"/>
                <w:color w:val="000000"/>
                <w:kern w:val="0"/>
                <w:sz w:val="20"/>
                <w:szCs w:val="20"/>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全年我县所有规定动物的产地检疫、屠宰检疫</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1年</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9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kern w:val="0"/>
                <w:sz w:val="18"/>
                <w:szCs w:val="18"/>
                <w:lang w:eastAsia="zh-CN"/>
              </w:rPr>
              <w:t>“瘦肉精”快速检测试剂盒</w:t>
            </w:r>
            <w:r>
              <w:rPr>
                <w:rFonts w:hint="eastAsia"/>
                <w:kern w:val="0"/>
                <w:sz w:val="18"/>
                <w:szCs w:val="18"/>
                <w:lang w:val="en-US" w:eastAsia="zh-CN"/>
              </w:rPr>
              <w:t>7.5万、日常监管所抽样品检测经费1万、监管人员工作经费1.5万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10万</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1.16万元</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财政统筹收回</w:t>
            </w: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畜禽水产品质量安全不发生事故保障率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畜禽水产品质量安全检测覆盖率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可持续效益指标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保障我县畜禽水产品质量安全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1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社会公益或服务对象满意度指标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养殖、屠宰环节满意度</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bl>
    <w:p/>
    <w:p>
      <w:pPr>
        <w:sectPr>
          <w:pgSz w:w="11906" w:h="16838"/>
          <w:pgMar w:top="1440" w:right="1800" w:bottom="1440" w:left="1800" w:header="851" w:footer="992" w:gutter="0"/>
          <w:pgNumType w:fmt="numberInDash"/>
          <w:cols w:space="720" w:num="1"/>
          <w:titlePg/>
          <w:docGrid w:type="lines" w:linePitch="312" w:charSpace="0"/>
        </w:sectPr>
      </w:pPr>
    </w:p>
    <w:tbl>
      <w:tblPr>
        <w:tblStyle w:val="2"/>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Layout w:type="fixed"/>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lang w:eastAsia="zh-CN"/>
              </w:rPr>
            </w:pPr>
            <w:r>
              <w:rPr>
                <w:rFonts w:hAnsi="黑体" w:eastAsia="黑体"/>
                <w:kern w:val="0"/>
                <w:sz w:val="28"/>
                <w:szCs w:val="28"/>
              </w:rPr>
              <w:t>附件</w:t>
            </w:r>
            <w:r>
              <w:rPr>
                <w:rFonts w:hint="eastAsia" w:eastAsia="黑体"/>
                <w:kern w:val="0"/>
                <w:sz w:val="28"/>
                <w:szCs w:val="28"/>
                <w:lang w:val="en-US" w:eastAsia="zh-CN"/>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Layout w:type="fixed"/>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Layout w:type="fixed"/>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0</w:t>
            </w:r>
            <w:r>
              <w:rPr>
                <w:rFonts w:hAnsi="宋体"/>
                <w:kern w:val="0"/>
                <w:sz w:val="24"/>
              </w:rPr>
              <w:t>　</w:t>
            </w:r>
          </w:p>
        </w:tc>
      </w:tr>
      <w:tr>
        <w:tblPrEx>
          <w:tblLayout w:type="fixed"/>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Layout w:type="fixed"/>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Layout w:type="fixed"/>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Ansi="宋体"/>
                <w:kern w:val="0"/>
                <w:sz w:val="24"/>
              </w:rPr>
              <w:t>　</w:t>
            </w:r>
            <w:r>
              <w:rPr>
                <w:rFonts w:hint="eastAsia" w:hAnsi="宋体"/>
                <w:kern w:val="0"/>
                <w:sz w:val="24"/>
                <w:lang w:val="en-US" w:eastAsia="zh-CN"/>
              </w:rPr>
              <w:t>10</w:t>
            </w:r>
          </w:p>
        </w:tc>
      </w:tr>
      <w:tr>
        <w:tblPrEx>
          <w:tblLayout w:type="fixed"/>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Ansi="宋体"/>
                <w:kern w:val="0"/>
                <w:sz w:val="24"/>
              </w:rPr>
              <w:t>　</w:t>
            </w:r>
            <w:r>
              <w:rPr>
                <w:rFonts w:hint="eastAsia" w:hAnsi="宋体"/>
                <w:kern w:val="0"/>
                <w:sz w:val="24"/>
                <w:lang w:val="en-US" w:eastAsia="zh-CN"/>
              </w:rPr>
              <w:t>5</w:t>
            </w:r>
          </w:p>
        </w:tc>
      </w:tr>
      <w:tr>
        <w:tblPrEx>
          <w:tblLayout w:type="fixed"/>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Layout w:type="fixed"/>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95</w:t>
            </w:r>
            <w:r>
              <w:rPr>
                <w:rFonts w:hAnsi="宋体"/>
                <w:kern w:val="0"/>
                <w:sz w:val="24"/>
              </w:rPr>
              <w:t>　</w:t>
            </w:r>
          </w:p>
        </w:tc>
      </w:tr>
    </w:tbl>
    <w:p/>
    <w:p/>
    <w:sectPr>
      <w:pgSz w:w="16838" w:h="11906" w:orient="landscape"/>
      <w:pgMar w:top="1701" w:right="1440" w:bottom="1474"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2CD44"/>
    <w:multiLevelType w:val="singleLevel"/>
    <w:tmpl w:val="9992CD4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349D6"/>
    <w:rsid w:val="125F1B52"/>
    <w:rsid w:val="1F730D2C"/>
    <w:rsid w:val="22BF1C0E"/>
    <w:rsid w:val="38E624B2"/>
    <w:rsid w:val="61334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2019-07-25T09:33:00Z</dcterms:created>
  <dc:creator>sin1423710463</dc:creator>
  <cp:lastModifiedBy>sin1423710463</cp:lastModifiedBy>
  <dcterms:modified xsi:type="dcterms:W3CDTF">2019-09-05T07:46:36Z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