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附件1</w:t>
      </w:r>
    </w:p>
    <w:p>
      <w:pPr>
        <w:adjustRightInd w:val="0"/>
        <w:spacing w:line="560" w:lineRule="exact"/>
        <w:ind w:right="641"/>
        <w:jc w:val="both"/>
        <w:rPr>
          <w:rFonts w:hint="default" w:ascii="Times New Roman" w:hAnsi="Times New Roman" w:eastAsia="方正小标宋简体" w:cs="Times New Roman"/>
          <w:kern w:val="0"/>
          <w:sz w:val="44"/>
          <w:szCs w:val="44"/>
          <w:lang w:val="en-US" w:eastAsia="zh-CN"/>
        </w:rPr>
      </w:pPr>
    </w:p>
    <w:p>
      <w:pPr>
        <w:adjustRightInd w:val="0"/>
        <w:spacing w:line="560" w:lineRule="exact"/>
        <w:ind w:right="641"/>
        <w:jc w:val="center"/>
        <w:rPr>
          <w:rFonts w:hint="default" w:ascii="Times New Roman" w:hAnsi="Times New Roman" w:eastAsia="方正小标宋简体" w:cs="Times New Roman"/>
          <w:kern w:val="0"/>
          <w:sz w:val="44"/>
          <w:szCs w:val="44"/>
          <w:lang w:val="en-US" w:eastAsia="zh-CN"/>
        </w:rPr>
      </w:pPr>
      <w:r>
        <w:rPr>
          <w:rFonts w:hint="default" w:ascii="Times New Roman" w:hAnsi="Times New Roman" w:eastAsia="方正小标宋简体" w:cs="Times New Roman"/>
          <w:kern w:val="0"/>
          <w:sz w:val="44"/>
          <w:szCs w:val="44"/>
          <w:lang w:val="en-US" w:eastAsia="zh-CN"/>
        </w:rPr>
        <w:t>湖南省首届农民丰收节炎陵县</w:t>
      </w:r>
    </w:p>
    <w:p>
      <w:pPr>
        <w:adjustRightInd w:val="0"/>
        <w:spacing w:line="560" w:lineRule="exact"/>
        <w:ind w:left="4158" w:leftChars="304" w:right="641" w:hanging="3520" w:hangingChars="800"/>
        <w:jc w:val="center"/>
        <w:rPr>
          <w:rFonts w:hint="default" w:ascii="Times New Roman" w:hAnsi="Times New Roman" w:eastAsia="方正小标宋简体" w:cs="Times New Roman"/>
          <w:kern w:val="0"/>
          <w:sz w:val="44"/>
          <w:szCs w:val="44"/>
          <w:lang w:val="en-US" w:eastAsia="zh-CN"/>
        </w:rPr>
      </w:pPr>
      <w:r>
        <w:rPr>
          <w:rFonts w:hint="default" w:ascii="Times New Roman" w:hAnsi="Times New Roman" w:eastAsia="方正小标宋简体" w:cs="Times New Roman"/>
          <w:kern w:val="0"/>
          <w:sz w:val="44"/>
          <w:szCs w:val="44"/>
          <w:lang w:val="en-US" w:eastAsia="zh-CN"/>
        </w:rPr>
        <w:t>分会场预算绩效报告</w:t>
      </w:r>
    </w:p>
    <w:p>
      <w:pPr>
        <w:adjustRightInd w:val="0"/>
        <w:spacing w:line="560" w:lineRule="exact"/>
        <w:ind w:left="4158" w:leftChars="304" w:right="641" w:hanging="3520" w:hangingChars="800"/>
        <w:rPr>
          <w:rFonts w:hint="default" w:ascii="Times New Roman" w:hAnsi="Times New Roman" w:eastAsia="方正小标宋简体" w:cs="Times New Roman"/>
          <w:kern w:val="0"/>
          <w:sz w:val="44"/>
          <w:szCs w:val="44"/>
          <w:lang w:val="en-US" w:eastAsia="zh-CN"/>
        </w:rPr>
      </w:pPr>
    </w:p>
    <w:p>
      <w:pPr>
        <w:adjustRightInd w:val="0"/>
        <w:snapToGrid w:val="0"/>
        <w:spacing w:line="560" w:lineRule="exact"/>
        <w:ind w:firstLine="640" w:firstLineChars="200"/>
        <w:outlineLvl w:val="0"/>
        <w:rPr>
          <w:rFonts w:hint="default" w:ascii="Times New Roman" w:hAnsi="Times New Roman" w:eastAsia="黑体" w:cs="Times New Roman"/>
          <w:sz w:val="36"/>
          <w:szCs w:val="36"/>
        </w:rPr>
      </w:pPr>
      <w:r>
        <w:rPr>
          <w:rFonts w:hint="default" w:ascii="Times New Roman" w:hAnsi="Times New Roman" w:eastAsia="黑体" w:cs="Times New Roman"/>
          <w:sz w:val="32"/>
          <w:szCs w:val="32"/>
        </w:rPr>
        <w:t>一、项目概况</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leftChars="200" w:right="0" w:rightChars="0"/>
        <w:outlineLvl w:val="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（一）</w:t>
      </w:r>
      <w:r>
        <w:rPr>
          <w:rFonts w:hint="default" w:ascii="Times New Roman" w:hAnsi="Times New Roman" w:eastAsia="楷体_GB2312" w:cs="Times New Roman"/>
          <w:b w:val="0"/>
          <w:bCs w:val="0"/>
          <w:sz w:val="32"/>
          <w:szCs w:val="32"/>
        </w:rPr>
        <w:t>项目单位基本情况</w:t>
      </w:r>
    </w:p>
    <w:p>
      <w:pPr>
        <w:keepNext w:val="0"/>
        <w:keepLines w:val="0"/>
        <w:pageBreakBefore w:val="0"/>
        <w:tabs>
          <w:tab w:val="left" w:pos="505"/>
        </w:tabs>
        <w:kinsoku/>
        <w:wordWrap/>
        <w:overflowPunct/>
        <w:topLinePunct w:val="0"/>
        <w:autoSpaceDE/>
        <w:autoSpaceDN/>
        <w:bidi w:val="0"/>
        <w:adjustRightInd/>
        <w:snapToGrid/>
        <w:spacing w:before="0" w:beforeLines="0" w:after="0" w:afterLines="0" w:line="540" w:lineRule="exact"/>
        <w:ind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项目单位</w:t>
      </w:r>
      <w:r>
        <w:rPr>
          <w:rFonts w:hint="default" w:ascii="Times New Roman" w:hAnsi="Times New Roman" w:eastAsia="仿宋_GB2312" w:cs="Times New Roman"/>
          <w:sz w:val="32"/>
          <w:szCs w:val="32"/>
          <w:lang w:eastAsia="zh-CN"/>
        </w:rPr>
        <w:t>即炎陵</w:t>
      </w:r>
      <w:r>
        <w:rPr>
          <w:rFonts w:hint="default" w:ascii="Times New Roman" w:hAnsi="Times New Roman" w:eastAsia="仿宋_GB2312" w:cs="Times New Roman"/>
          <w:sz w:val="32"/>
          <w:szCs w:val="32"/>
        </w:rPr>
        <w:t>县农业</w:t>
      </w:r>
      <w:r>
        <w:rPr>
          <w:rFonts w:hint="default" w:ascii="Times New Roman" w:hAnsi="Times New Roman" w:eastAsia="仿宋_GB2312" w:cs="Times New Roman"/>
          <w:sz w:val="32"/>
          <w:szCs w:val="32"/>
          <w:lang w:eastAsia="zh-CN"/>
        </w:rPr>
        <w:t>农村</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县财政全额拨款行政事业单位，具有独立法人资格，法人代表</w:t>
      </w:r>
      <w:r>
        <w:rPr>
          <w:rFonts w:hint="default" w:ascii="Times New Roman" w:hAnsi="Times New Roman" w:eastAsia="仿宋_GB2312" w:cs="Times New Roman"/>
          <w:sz w:val="32"/>
          <w:szCs w:val="32"/>
          <w:lang w:eastAsia="zh-CN"/>
        </w:rPr>
        <w:t>张爱军</w:t>
      </w:r>
      <w:r>
        <w:rPr>
          <w:rFonts w:hint="default" w:ascii="Times New Roman" w:hAnsi="Times New Roman" w:eastAsia="仿宋_GB2312" w:cs="Times New Roman"/>
          <w:sz w:val="32"/>
          <w:szCs w:val="32"/>
        </w:rPr>
        <w:t>。下设农技推广站、粮油作物站、经济作物站、植保站、土壤肥料站、</w:t>
      </w:r>
      <w:r>
        <w:rPr>
          <w:rFonts w:hint="default" w:ascii="Times New Roman" w:hAnsi="Times New Roman" w:eastAsia="仿宋_GB2312" w:cs="Times New Roman"/>
          <w:sz w:val="32"/>
          <w:szCs w:val="32"/>
          <w:lang w:eastAsia="zh-CN"/>
        </w:rPr>
        <w:t>农环</w:t>
      </w:r>
      <w:r>
        <w:rPr>
          <w:rFonts w:hint="default" w:ascii="Times New Roman" w:hAnsi="Times New Roman" w:eastAsia="仿宋_GB2312" w:cs="Times New Roman"/>
          <w:sz w:val="32"/>
          <w:szCs w:val="32"/>
        </w:rPr>
        <w:t>站、科教站</w:t>
      </w:r>
      <w:r>
        <w:rPr>
          <w:rFonts w:hint="default" w:ascii="Times New Roman" w:hAnsi="Times New Roman" w:eastAsia="仿宋_GB2312" w:cs="Times New Roman"/>
          <w:sz w:val="32"/>
          <w:szCs w:val="32"/>
          <w:lang w:eastAsia="zh-CN"/>
        </w:rPr>
        <w:t>、质检中心</w:t>
      </w:r>
      <w:r>
        <w:rPr>
          <w:rFonts w:hint="default" w:ascii="Times New Roman" w:hAnsi="Times New Roman" w:eastAsia="仿宋_GB2312" w:cs="Times New Roman"/>
          <w:sz w:val="32"/>
          <w:szCs w:val="32"/>
        </w:rPr>
        <w:t>等业务单位，主要从事农业新技术、新品种、新成果推广与服务。所属技术人员都是大中专院校的专业毕业生，长期从事基层农业技术推广</w:t>
      </w:r>
      <w:r>
        <w:rPr>
          <w:rFonts w:hint="default" w:ascii="Times New Roman" w:hAnsi="Times New Roman" w:eastAsia="仿宋_GB2312" w:cs="Times New Roman"/>
          <w:sz w:val="32"/>
          <w:szCs w:val="32"/>
          <w:lang w:eastAsia="zh-CN"/>
        </w:rPr>
        <w:t>和服务</w:t>
      </w:r>
      <w:r>
        <w:rPr>
          <w:rFonts w:hint="default" w:ascii="Times New Roman" w:hAnsi="Times New Roman" w:eastAsia="仿宋_GB2312" w:cs="Times New Roman"/>
          <w:sz w:val="32"/>
          <w:szCs w:val="32"/>
        </w:rPr>
        <w:t>工作，具有良好的农技推广理论基础和丰富的实践经验。</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leftChars="200" w:right="0" w:rightChars="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（二）</w:t>
      </w:r>
      <w:r>
        <w:rPr>
          <w:rFonts w:hint="default" w:ascii="Times New Roman" w:hAnsi="Times New Roman" w:eastAsia="楷体_GB2312" w:cs="Times New Roman"/>
          <w:b w:val="0"/>
          <w:bCs w:val="0"/>
          <w:sz w:val="32"/>
          <w:szCs w:val="32"/>
        </w:rPr>
        <w:t>项目基本情况简介</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TW" w:eastAsia="zh-TW"/>
        </w:rPr>
        <w:t>按照农业农村部的总体布署</w:t>
      </w:r>
      <w:r>
        <w:rPr>
          <w:rFonts w:hint="default" w:ascii="Times New Roman" w:hAnsi="Times New Roman" w:eastAsia="仿宋_GB2312" w:cs="Times New Roman"/>
          <w:sz w:val="32"/>
          <w:szCs w:val="32"/>
          <w:lang w:val="zh-TW"/>
        </w:rPr>
        <w:t>和</w:t>
      </w:r>
      <w:r>
        <w:rPr>
          <w:rFonts w:hint="default" w:ascii="Times New Roman" w:hAnsi="Times New Roman" w:eastAsia="仿宋_GB2312" w:cs="Times New Roman"/>
          <w:sz w:val="32"/>
          <w:szCs w:val="32"/>
          <w:lang w:val="zh-TW" w:eastAsia="zh-TW"/>
        </w:rPr>
        <w:t>省委</w:t>
      </w:r>
      <w:r>
        <w:rPr>
          <w:rFonts w:hint="default" w:ascii="Times New Roman" w:hAnsi="Times New Roman" w:eastAsia="仿宋_GB2312" w:cs="Times New Roman"/>
          <w:sz w:val="32"/>
          <w:szCs w:val="32"/>
          <w:lang w:val="zh-TW"/>
        </w:rPr>
        <w:t>、</w:t>
      </w:r>
      <w:r>
        <w:rPr>
          <w:rFonts w:hint="default" w:ascii="Times New Roman" w:hAnsi="Times New Roman" w:eastAsia="仿宋_GB2312" w:cs="Times New Roman"/>
          <w:sz w:val="32"/>
          <w:szCs w:val="32"/>
          <w:lang w:val="zh-TW" w:eastAsia="zh-TW"/>
        </w:rPr>
        <w:t>省政府的统一安排，2018年湖南省首届农民丰收节活动在全省设立6个</w:t>
      </w:r>
      <w:r>
        <w:rPr>
          <w:rFonts w:hint="default" w:ascii="Times New Roman" w:hAnsi="Times New Roman" w:eastAsia="仿宋_GB2312" w:cs="Times New Roman"/>
          <w:sz w:val="32"/>
          <w:szCs w:val="32"/>
          <w:lang w:val="zh-TW"/>
        </w:rPr>
        <w:t>分会场。</w:t>
      </w:r>
      <w:r>
        <w:rPr>
          <w:rFonts w:hint="default" w:ascii="Times New Roman" w:hAnsi="Times New Roman" w:eastAsia="仿宋_GB2312" w:cs="Times New Roman"/>
          <w:sz w:val="32"/>
          <w:szCs w:val="32"/>
          <w:lang w:val="zh-TW" w:eastAsia="zh-TW"/>
        </w:rPr>
        <w:t>我县为分会场之一</w:t>
      </w:r>
      <w:r>
        <w:rPr>
          <w:rFonts w:hint="default" w:ascii="Times New Roman" w:hAnsi="Times New Roman" w:eastAsia="仿宋_GB2312" w:cs="Times New Roman"/>
          <w:sz w:val="32"/>
          <w:szCs w:val="32"/>
          <w:lang w:val="zh-TW"/>
        </w:rPr>
        <w:t>，主办单位明确为株洲市人民政府，承办单位为炎陵县人民政府和市农业委员会</w:t>
      </w:r>
      <w:r>
        <w:rPr>
          <w:rFonts w:hint="default" w:ascii="Times New Roman" w:hAnsi="Times New Roman" w:eastAsia="仿宋_GB2312" w:cs="Times New Roman"/>
          <w:sz w:val="32"/>
          <w:szCs w:val="32"/>
          <w:lang w:val="zh-TW" w:eastAsia="zh-CN"/>
        </w:rPr>
        <w:t>。</w:t>
      </w:r>
    </w:p>
    <w:p>
      <w:pPr>
        <w:adjustRightInd w:val="0"/>
        <w:snapToGrid w:val="0"/>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二、项目资金使用及管理情况</w:t>
      </w:r>
    </w:p>
    <w:p>
      <w:pPr>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（一）项目资金（包括财政资金、自筹资金等）</w:t>
      </w:r>
      <w:r>
        <w:rPr>
          <w:rFonts w:hint="default" w:ascii="Times New Roman" w:hAnsi="Times New Roman" w:eastAsia="仿宋_GB2312" w:cs="Times New Roman"/>
          <w:sz w:val="32"/>
          <w:szCs w:val="32"/>
          <w:lang w:eastAsia="zh-CN"/>
        </w:rPr>
        <w:t>这次活动共开支</w:t>
      </w:r>
      <w:r>
        <w:rPr>
          <w:rFonts w:hint="default" w:ascii="Times New Roman" w:hAnsi="Times New Roman" w:eastAsia="仿宋_GB2312" w:cs="Times New Roman"/>
          <w:sz w:val="32"/>
          <w:szCs w:val="32"/>
          <w:lang w:val="en-US" w:eastAsia="zh-CN"/>
        </w:rPr>
        <w:t>30.5448万元，市财政补助20万元，县本级财政补助10.5448万元，活动于2018年9月完工，两块资金30.5448万元，都于2019年1月拨入。</w:t>
      </w:r>
    </w:p>
    <w:p>
      <w:pPr>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（二）项目资金（主要是指财政资金）</w:t>
      </w:r>
      <w:r>
        <w:rPr>
          <w:rFonts w:hint="default" w:ascii="Times New Roman" w:hAnsi="Times New Roman" w:eastAsia="仿宋_GB2312" w:cs="Times New Roman"/>
          <w:sz w:val="32"/>
          <w:szCs w:val="32"/>
          <w:lang w:eastAsia="zh-CN"/>
        </w:rPr>
        <w:t>这次活动县本级财政的</w:t>
      </w:r>
      <w:r>
        <w:rPr>
          <w:rFonts w:hint="default" w:ascii="Times New Roman" w:hAnsi="Times New Roman" w:eastAsia="仿宋_GB2312" w:cs="Times New Roman"/>
          <w:sz w:val="32"/>
          <w:szCs w:val="32"/>
          <w:lang w:val="en-US" w:eastAsia="zh-CN"/>
        </w:rPr>
        <w:t>10.54485万元，主要用于三大块，其中①祈福仪式30319.5元；②活动节目演出61545元③租车及志愿者费用13584元。</w:t>
      </w:r>
    </w:p>
    <w:p>
      <w:pPr>
        <w:keepNext w:val="0"/>
        <w:keepLines w:val="0"/>
        <w:pageBreakBefore w:val="0"/>
        <w:kinsoku/>
        <w:wordWrap/>
        <w:overflowPunct/>
        <w:topLinePunct w:val="0"/>
        <w:autoSpaceDE/>
        <w:autoSpaceDN/>
        <w:bidi w:val="0"/>
        <w:spacing w:line="540" w:lineRule="exact"/>
        <w:ind w:right="0" w:righ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（三）项目资金管理情况分析</w:t>
      </w:r>
      <w:r>
        <w:rPr>
          <w:rFonts w:hint="default" w:ascii="Times New Roman" w:hAnsi="Times New Roman" w:eastAsia="仿宋_GB2312" w:cs="Times New Roman"/>
          <w:sz w:val="32"/>
          <w:szCs w:val="32"/>
          <w:lang w:val="en-US" w:eastAsia="zh-CN"/>
        </w:rPr>
        <w:t xml:space="preserve"> </w:t>
      </w:r>
    </w:p>
    <w:p>
      <w:pPr>
        <w:keepNext w:val="0"/>
        <w:keepLines w:val="0"/>
        <w:pageBreakBefore w:val="0"/>
        <w:kinsoku/>
        <w:wordWrap/>
        <w:overflowPunct/>
        <w:topLinePunct w:val="0"/>
        <w:autoSpaceDE/>
        <w:autoSpaceDN/>
        <w:bidi w:val="0"/>
        <w:spacing w:line="540" w:lineRule="exact"/>
        <w:ind w:right="0" w:rightChars="0"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eastAsia="zh-CN"/>
        </w:rPr>
        <w:t>该项目资金使用，</w:t>
      </w:r>
      <w:r>
        <w:rPr>
          <w:rFonts w:hint="default" w:ascii="Times New Roman" w:hAnsi="Times New Roman" w:eastAsia="仿宋_GB2312" w:cs="Times New Roman"/>
          <w:kern w:val="0"/>
          <w:sz w:val="32"/>
          <w:szCs w:val="32"/>
        </w:rPr>
        <w:t>严格</w:t>
      </w:r>
      <w:r>
        <w:rPr>
          <w:rFonts w:hint="default" w:ascii="Times New Roman" w:hAnsi="Times New Roman" w:eastAsia="仿宋_GB2312" w:cs="Times New Roman"/>
          <w:kern w:val="0"/>
          <w:sz w:val="32"/>
          <w:szCs w:val="32"/>
          <w:lang w:eastAsia="zh-CN"/>
        </w:rPr>
        <w:t>执</w:t>
      </w:r>
      <w:r>
        <w:rPr>
          <w:rFonts w:hint="default" w:ascii="Times New Roman" w:hAnsi="Times New Roman" w:eastAsia="仿宋_GB2312" w:cs="Times New Roman"/>
          <w:kern w:val="0"/>
          <w:sz w:val="32"/>
          <w:szCs w:val="32"/>
        </w:rPr>
        <w:t>行财务审批手续，资金使用合理，符合</w:t>
      </w:r>
      <w:r>
        <w:rPr>
          <w:rFonts w:hint="default" w:ascii="Times New Roman" w:hAnsi="Times New Roman" w:eastAsia="仿宋_GB2312" w:cs="Times New Roman"/>
          <w:kern w:val="0"/>
          <w:sz w:val="32"/>
          <w:szCs w:val="32"/>
          <w:lang w:eastAsia="zh-CN"/>
        </w:rPr>
        <w:t>财务</w:t>
      </w:r>
      <w:r>
        <w:rPr>
          <w:rFonts w:hint="default" w:ascii="Times New Roman" w:hAnsi="Times New Roman" w:eastAsia="仿宋_GB2312" w:cs="Times New Roman"/>
          <w:kern w:val="0"/>
          <w:sz w:val="32"/>
          <w:szCs w:val="32"/>
        </w:rPr>
        <w:t>有关规定。</w:t>
      </w:r>
    </w:p>
    <w:p>
      <w:pPr>
        <w:adjustRightInd w:val="0"/>
        <w:snapToGrid w:val="0"/>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三、项目组织实施情况</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TW" w:eastAsia="zh-TW"/>
        </w:rPr>
        <w:t>按照农业农村部的总体布署</w:t>
      </w:r>
      <w:r>
        <w:rPr>
          <w:rFonts w:hint="default" w:ascii="Times New Roman" w:hAnsi="Times New Roman" w:eastAsia="仿宋_GB2312" w:cs="Times New Roman"/>
          <w:sz w:val="32"/>
          <w:szCs w:val="32"/>
          <w:lang w:val="zh-TW"/>
        </w:rPr>
        <w:t>和</w:t>
      </w:r>
      <w:r>
        <w:rPr>
          <w:rFonts w:hint="default" w:ascii="Times New Roman" w:hAnsi="Times New Roman" w:eastAsia="仿宋_GB2312" w:cs="Times New Roman"/>
          <w:sz w:val="32"/>
          <w:szCs w:val="32"/>
          <w:lang w:val="zh-TW" w:eastAsia="zh-TW"/>
        </w:rPr>
        <w:t>省委</w:t>
      </w:r>
      <w:r>
        <w:rPr>
          <w:rFonts w:hint="default" w:ascii="Times New Roman" w:hAnsi="Times New Roman" w:eastAsia="仿宋_GB2312" w:cs="Times New Roman"/>
          <w:sz w:val="32"/>
          <w:szCs w:val="32"/>
          <w:lang w:val="zh-TW"/>
        </w:rPr>
        <w:t>、</w:t>
      </w:r>
      <w:r>
        <w:rPr>
          <w:rFonts w:hint="default" w:ascii="Times New Roman" w:hAnsi="Times New Roman" w:eastAsia="仿宋_GB2312" w:cs="Times New Roman"/>
          <w:sz w:val="32"/>
          <w:szCs w:val="32"/>
          <w:lang w:val="zh-TW" w:eastAsia="zh-TW"/>
        </w:rPr>
        <w:t>省政府的统一安排，2018年湖南省首届农民丰收节活动在全省设立6个</w:t>
      </w:r>
      <w:r>
        <w:rPr>
          <w:rFonts w:hint="default" w:ascii="Times New Roman" w:hAnsi="Times New Roman" w:eastAsia="仿宋_GB2312" w:cs="Times New Roman"/>
          <w:sz w:val="32"/>
          <w:szCs w:val="32"/>
          <w:lang w:val="zh-TW"/>
        </w:rPr>
        <w:t>分会场。</w:t>
      </w:r>
      <w:r>
        <w:rPr>
          <w:rFonts w:hint="default" w:ascii="Times New Roman" w:hAnsi="Times New Roman" w:eastAsia="仿宋_GB2312" w:cs="Times New Roman"/>
          <w:sz w:val="32"/>
          <w:szCs w:val="32"/>
          <w:lang w:val="zh-TW" w:eastAsia="zh-TW"/>
        </w:rPr>
        <w:t>我县为分会场之一</w:t>
      </w:r>
      <w:r>
        <w:rPr>
          <w:rFonts w:hint="default" w:ascii="Times New Roman" w:hAnsi="Times New Roman" w:eastAsia="仿宋_GB2312" w:cs="Times New Roman"/>
          <w:sz w:val="32"/>
          <w:szCs w:val="32"/>
          <w:lang w:val="zh-TW"/>
        </w:rPr>
        <w:t>，主办单位明确为株洲市人民政府，承办单位为炎陵县人民政府和市农业委员会</w:t>
      </w:r>
      <w:r>
        <w:rPr>
          <w:rFonts w:hint="default" w:ascii="Times New Roman" w:hAnsi="Times New Roman" w:eastAsia="仿宋_GB2312" w:cs="Times New Roman"/>
          <w:sz w:val="32"/>
          <w:szCs w:val="32"/>
          <w:lang w:val="zh-TW" w:eastAsia="zh-CN"/>
        </w:rPr>
        <w:t>。</w:t>
      </w:r>
      <w:r>
        <w:rPr>
          <w:rFonts w:hint="default" w:ascii="Times New Roman" w:hAnsi="Times New Roman" w:eastAsia="仿宋_GB2312" w:cs="Times New Roman"/>
          <w:sz w:val="32"/>
          <w:szCs w:val="32"/>
        </w:rPr>
        <w:t>成立“2018首届中国农民丰收节湖南主题活动”炎陵县领导小组。</w:t>
      </w:r>
      <w:r>
        <w:rPr>
          <w:rFonts w:hint="default" w:ascii="Times New Roman" w:hAnsi="Times New Roman" w:eastAsia="仿宋_GB2312" w:cs="Times New Roman"/>
          <w:sz w:val="32"/>
          <w:szCs w:val="32"/>
          <w:lang w:eastAsia="zh-CN"/>
        </w:rPr>
        <w:t>县委书记</w:t>
      </w:r>
      <w:r>
        <w:rPr>
          <w:rFonts w:hint="default" w:ascii="Times New Roman" w:hAnsi="Times New Roman" w:eastAsia="仿宋_GB2312" w:cs="Times New Roman"/>
          <w:sz w:val="32"/>
          <w:szCs w:val="32"/>
        </w:rPr>
        <w:t>黄诗燕</w:t>
      </w:r>
      <w:r>
        <w:rPr>
          <w:rFonts w:hint="default" w:ascii="Times New Roman" w:hAnsi="Times New Roman" w:eastAsia="仿宋_GB2312" w:cs="Times New Roman"/>
          <w:sz w:val="32"/>
          <w:szCs w:val="32"/>
          <w:lang w:eastAsia="zh-CN"/>
        </w:rPr>
        <w:t>担任</w:t>
      </w:r>
      <w:r>
        <w:rPr>
          <w:rFonts w:hint="default" w:ascii="Times New Roman" w:hAnsi="Times New Roman" w:eastAsia="仿宋_GB2312" w:cs="Times New Roman"/>
          <w:sz w:val="32"/>
          <w:szCs w:val="32"/>
        </w:rPr>
        <w:t>顾问</w:t>
      </w:r>
      <w:r>
        <w:rPr>
          <w:rFonts w:hint="default" w:ascii="Times New Roman" w:hAnsi="Times New Roman" w:eastAsia="仿宋_GB2312" w:cs="Times New Roman"/>
          <w:sz w:val="32"/>
          <w:szCs w:val="32"/>
          <w:lang w:eastAsia="zh-CN"/>
        </w:rPr>
        <w:t>，县委副书记、县长</w:t>
      </w:r>
      <w:r>
        <w:rPr>
          <w:rFonts w:hint="default" w:ascii="Times New Roman" w:hAnsi="Times New Roman" w:eastAsia="仿宋_GB2312" w:cs="Times New Roman"/>
          <w:sz w:val="32"/>
          <w:szCs w:val="32"/>
        </w:rPr>
        <w:t>文专文</w:t>
      </w:r>
      <w:r>
        <w:rPr>
          <w:rFonts w:hint="default" w:ascii="Times New Roman" w:hAnsi="Times New Roman" w:eastAsia="仿宋_GB2312" w:cs="Times New Roman"/>
          <w:sz w:val="32"/>
          <w:szCs w:val="32"/>
          <w:lang w:eastAsia="zh-CN"/>
        </w:rPr>
        <w:t>担任</w:t>
      </w:r>
      <w:r>
        <w:rPr>
          <w:rFonts w:hint="default" w:ascii="Times New Roman" w:hAnsi="Times New Roman" w:eastAsia="仿宋_GB2312" w:cs="Times New Roman"/>
          <w:sz w:val="32"/>
          <w:szCs w:val="32"/>
        </w:rPr>
        <w:t>组长</w:t>
      </w:r>
      <w:r>
        <w:rPr>
          <w:rFonts w:hint="default" w:ascii="Times New Roman" w:hAnsi="Times New Roman" w:eastAsia="仿宋_GB2312" w:cs="Times New Roman"/>
          <w:sz w:val="32"/>
          <w:szCs w:val="32"/>
          <w:lang w:eastAsia="zh-CN"/>
        </w:rPr>
        <w:t>，县委副书记</w:t>
      </w:r>
      <w:r>
        <w:rPr>
          <w:rFonts w:hint="default" w:ascii="Times New Roman" w:hAnsi="Times New Roman" w:eastAsia="仿宋_GB2312" w:cs="Times New Roman"/>
          <w:sz w:val="32"/>
          <w:szCs w:val="32"/>
        </w:rPr>
        <w:t>饶祥明</w:t>
      </w:r>
      <w:r>
        <w:rPr>
          <w:rFonts w:hint="default" w:ascii="Times New Roman" w:hAnsi="Times New Roman" w:eastAsia="仿宋_GB2312" w:cs="Times New Roman"/>
          <w:sz w:val="32"/>
          <w:szCs w:val="32"/>
          <w:lang w:eastAsia="zh-CN"/>
        </w:rPr>
        <w:t>担任</w:t>
      </w:r>
      <w:r>
        <w:rPr>
          <w:rFonts w:hint="default" w:ascii="Times New Roman" w:hAnsi="Times New Roman" w:eastAsia="仿宋_GB2312" w:cs="Times New Roman"/>
          <w:sz w:val="32"/>
          <w:szCs w:val="32"/>
        </w:rPr>
        <w:t>常务副组长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领导小组下设综合组、现场组、宣传报道组、后勤接待组、市容市貌组、交通和安保组6个工作组，综合组设在县农业局</w:t>
      </w:r>
      <w:r>
        <w:rPr>
          <w:rFonts w:hint="default" w:ascii="Times New Roman" w:hAnsi="Times New Roman" w:eastAsia="仿宋_GB2312" w:cs="Times New Roman"/>
          <w:sz w:val="32"/>
          <w:szCs w:val="32"/>
          <w:lang w:eastAsia="zh-CN"/>
        </w:rPr>
        <w:t>，具体负责活动的组织实施。</w:t>
      </w:r>
    </w:p>
    <w:p>
      <w:pPr>
        <w:adjustRightInd w:val="0"/>
        <w:snapToGrid w:val="0"/>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四、项目绩效情况</w:t>
      </w:r>
    </w:p>
    <w:p>
      <w:pPr>
        <w:spacing w:line="560" w:lineRule="exact"/>
        <w:ind w:firstLine="640" w:firstLineChars="200"/>
        <w:rPr>
          <w:rFonts w:hint="default" w:ascii="Times New Roman" w:hAnsi="Times New Roman" w:eastAsia="仿宋_GB2312" w:cs="Times New Roman"/>
          <w:sz w:val="32"/>
          <w:szCs w:val="32"/>
          <w:lang w:val="zh-TW" w:eastAsia="zh-CN"/>
        </w:rPr>
      </w:pPr>
      <w:r>
        <w:rPr>
          <w:rFonts w:hint="default" w:ascii="Times New Roman" w:hAnsi="Times New Roman" w:eastAsia="仿宋_GB2312" w:cs="Times New Roman"/>
          <w:sz w:val="32"/>
          <w:szCs w:val="32"/>
        </w:rPr>
        <w:t>活动以“稻花香里祈福丰年”为题，庄重且鲜活地表达农民群众对丰收与美好生活的憧憬与期许。活动以炎帝农耕文化为核心，通过不同文化艺术形式，全方位展示农村喜获丰收的新面貌</w:t>
      </w:r>
      <w:r>
        <w:rPr>
          <w:rFonts w:hint="default" w:ascii="Times New Roman" w:hAnsi="Times New Roman" w:eastAsia="仿宋_GB2312" w:cs="Times New Roman"/>
          <w:sz w:val="32"/>
          <w:szCs w:val="32"/>
          <w:lang w:eastAsia="zh-CN"/>
        </w:rPr>
        <w:t>，弘扬炎帝精神，传承农耕文明，传递重农崇农价值取向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来自单位、乡镇、农民代表近</w:t>
      </w:r>
      <w:r>
        <w:rPr>
          <w:rFonts w:hint="default" w:ascii="Times New Roman" w:hAnsi="Times New Roman" w:eastAsia="仿宋_GB2312" w:cs="Times New Roman"/>
          <w:sz w:val="32"/>
          <w:szCs w:val="32"/>
          <w:lang w:val="en-US" w:eastAsia="zh-CN"/>
        </w:rPr>
        <w:t>2000人来到了</w:t>
      </w:r>
      <w:r>
        <w:rPr>
          <w:rFonts w:hint="default" w:ascii="Times New Roman" w:hAnsi="Times New Roman" w:eastAsia="仿宋_GB2312" w:cs="Times New Roman"/>
          <w:sz w:val="32"/>
          <w:szCs w:val="32"/>
          <w:lang w:eastAsia="zh-CN"/>
        </w:rPr>
        <w:t>活动现场。</w:t>
      </w:r>
      <w:r>
        <w:rPr>
          <w:rFonts w:hint="default" w:ascii="Times New Roman" w:hAnsi="Times New Roman" w:eastAsia="仿宋_GB2312" w:cs="Times New Roman"/>
          <w:sz w:val="32"/>
          <w:szCs w:val="32"/>
          <w:lang w:val="zh-TW" w:eastAsia="zh-CN"/>
        </w:rPr>
        <w:t>由于市政府高度重视，经各方努力，炎陵县分会场活动已于2018年9月19日在炎帝陵成功举办，既歌咏了丰收，又推介了炎陵农业产业，还宣传了炎陵独特的旅游资源，精彩纷呈，效果良好，得到了省、市领导和社会各界的高度评价。</w:t>
      </w:r>
    </w:p>
    <w:p>
      <w:pPr>
        <w:adjustRightInd w:val="0"/>
        <w:snapToGrid w:val="0"/>
        <w:spacing w:line="560" w:lineRule="exact"/>
        <w:ind w:firstLine="640" w:firstLineChars="200"/>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lang w:eastAsia="zh-CN"/>
        </w:rPr>
        <w:t>下一步工作思路</w:t>
      </w:r>
    </w:p>
    <w:p>
      <w:pPr>
        <w:spacing w:line="560" w:lineRule="exact"/>
        <w:ind w:firstLine="640" w:firstLineChars="200"/>
        <w:rPr>
          <w:rFonts w:hint="default" w:ascii="Times New Roman" w:hAnsi="Times New Roman" w:eastAsia="仿宋_GB2312" w:cs="Times New Roman"/>
          <w:sz w:val="32"/>
          <w:szCs w:val="32"/>
          <w:lang w:val="zh-TW" w:eastAsia="zh-CN"/>
        </w:rPr>
      </w:pPr>
      <w:r>
        <w:rPr>
          <w:rFonts w:hint="default" w:ascii="Times New Roman" w:hAnsi="Times New Roman" w:eastAsia="仿宋_GB2312" w:cs="Times New Roman"/>
          <w:sz w:val="32"/>
          <w:szCs w:val="32"/>
          <w:lang w:val="zh-TW" w:eastAsia="zh-CN"/>
        </w:rPr>
        <w:t>动员各方力量广泛开展一年一度庆丰收活动，共同推动形成新时代农民庆丰收习俗。充分发挥各地各部门指导作用，不断丰富节日活动形式和内容。充分发挥群团组织独特优势和作用，不断增强全民参与的广泛性。发挥优秀传统民俗文化资源优势，促进丰收节与传统庆丰收活动融合发展。深入开展全方位宣传，不断提升节日的社会认知度和影响力。加强新闻宣传策划，唱响新时代主旋律。做好全媒体宣传，形成强大宣传声势。加强农耕文化保护与传承，推动乡村文化振兴。加大青少年教育力度，让中国农民丰收节植根子孙后代。组织引导青少年积极参加丰收节庆活动，鼓励和倡导学校组织开展适合中小学生特点的主题实践活动，在体验乡村中感恩党和祖国、热爱农业、尊重农民，提升青少年的文化自信和民族自豪感。</w:t>
      </w:r>
    </w:p>
    <w:p>
      <w:pPr>
        <w:spacing w:line="560" w:lineRule="exact"/>
        <w:rPr>
          <w:rFonts w:hint="default" w:ascii="Times New Roman" w:hAnsi="Times New Roman" w:eastAsia="仿宋" w:cs="Times New Roman"/>
          <w:sz w:val="32"/>
          <w:szCs w:val="32"/>
          <w:lang w:val="zh-TW" w:eastAsia="zh-CN"/>
        </w:rPr>
      </w:pPr>
    </w:p>
    <w:p>
      <w:pPr>
        <w:spacing w:line="560" w:lineRule="exact"/>
        <w:ind w:firstLine="640" w:firstLineChars="200"/>
        <w:rPr>
          <w:rFonts w:hint="default" w:ascii="Times New Roman" w:hAnsi="Times New Roman" w:eastAsia="仿宋" w:cs="Times New Roman"/>
          <w:sz w:val="32"/>
          <w:szCs w:val="32"/>
          <w:lang w:val="zh-TW" w:eastAsia="zh-CN"/>
        </w:rPr>
      </w:pPr>
    </w:p>
    <w:p>
      <w:pPr>
        <w:spacing w:line="560" w:lineRule="exact"/>
        <w:ind w:firstLine="640" w:firstLineChars="200"/>
        <w:rPr>
          <w:rFonts w:hint="default" w:ascii="Times New Roman" w:hAnsi="Times New Roman" w:eastAsia="仿宋" w:cs="Times New Roman"/>
          <w:sz w:val="32"/>
          <w:szCs w:val="32"/>
          <w:lang w:val="zh-TW" w:eastAsia="zh-CN"/>
        </w:rPr>
      </w:pPr>
    </w:p>
    <w:p>
      <w:pPr>
        <w:spacing w:line="560" w:lineRule="exact"/>
        <w:ind w:firstLine="640" w:firstLineChars="200"/>
        <w:rPr>
          <w:rFonts w:hint="default" w:ascii="Times New Roman" w:hAnsi="Times New Roman" w:eastAsia="仿宋" w:cs="Times New Roman"/>
          <w:sz w:val="32"/>
          <w:szCs w:val="32"/>
          <w:lang w:val="zh-TW" w:eastAsia="zh-CN"/>
        </w:rPr>
      </w:pPr>
    </w:p>
    <w:p>
      <w:pPr>
        <w:spacing w:line="560" w:lineRule="exact"/>
        <w:ind w:firstLine="640" w:firstLineChars="200"/>
        <w:rPr>
          <w:rFonts w:hint="default" w:ascii="Times New Roman" w:hAnsi="Times New Roman" w:eastAsia="仿宋" w:cs="Times New Roman"/>
          <w:sz w:val="32"/>
          <w:szCs w:val="32"/>
          <w:lang w:val="zh-TW" w:eastAsia="zh-CN"/>
        </w:rPr>
      </w:pPr>
    </w:p>
    <w:p>
      <w:pPr>
        <w:spacing w:line="560" w:lineRule="exact"/>
        <w:ind w:firstLine="640" w:firstLineChars="200"/>
        <w:rPr>
          <w:rFonts w:hint="default" w:ascii="Times New Roman" w:hAnsi="Times New Roman" w:eastAsia="仿宋" w:cs="Times New Roman"/>
          <w:sz w:val="32"/>
          <w:szCs w:val="32"/>
          <w:lang w:val="zh-TW" w:eastAsia="zh-CN"/>
        </w:rPr>
      </w:pPr>
    </w:p>
    <w:p>
      <w:pPr>
        <w:spacing w:line="560" w:lineRule="exact"/>
        <w:ind w:firstLine="640" w:firstLineChars="200"/>
        <w:rPr>
          <w:rFonts w:hint="default" w:ascii="Times New Roman" w:hAnsi="Times New Roman" w:eastAsia="仿宋" w:cs="Times New Roman"/>
          <w:sz w:val="32"/>
          <w:szCs w:val="32"/>
          <w:lang w:val="zh-TW" w:eastAsia="zh-CN"/>
        </w:rPr>
      </w:pPr>
    </w:p>
    <w:tbl>
      <w:tblPr>
        <w:tblStyle w:val="5"/>
        <w:tblW w:w="9076" w:type="dxa"/>
        <w:tblInd w:w="-346" w:type="dxa"/>
        <w:tblLayout w:type="fixed"/>
        <w:tblCellMar>
          <w:top w:w="0" w:type="dxa"/>
          <w:left w:w="0" w:type="dxa"/>
          <w:bottom w:w="0" w:type="dxa"/>
          <w:right w:w="0" w:type="dxa"/>
        </w:tblCellMar>
      </w:tblPr>
      <w:tblGrid>
        <w:gridCol w:w="854"/>
        <w:gridCol w:w="887"/>
        <w:gridCol w:w="1213"/>
        <w:gridCol w:w="1697"/>
        <w:gridCol w:w="960"/>
        <w:gridCol w:w="1080"/>
        <w:gridCol w:w="735"/>
        <w:gridCol w:w="1650"/>
      </w:tblGrid>
      <w:tr>
        <w:tblPrEx>
          <w:tblLayout w:type="fixed"/>
          <w:tblCellMar>
            <w:top w:w="0" w:type="dxa"/>
            <w:left w:w="0" w:type="dxa"/>
            <w:bottom w:w="0" w:type="dxa"/>
            <w:right w:w="0" w:type="dxa"/>
          </w:tblCellMar>
        </w:tblPrEx>
        <w:trPr>
          <w:trHeight w:val="825" w:hRule="atLeast"/>
        </w:trPr>
        <w:tc>
          <w:tcPr>
            <w:tcW w:w="9076" w:type="dxa"/>
            <w:gridSpan w:val="8"/>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小标宋简体" w:cs="Times New Roman"/>
                <w:i w:val="0"/>
                <w:color w:val="000000"/>
                <w:kern w:val="0"/>
                <w:sz w:val="44"/>
                <w:szCs w:val="44"/>
                <w:u w:val="none"/>
                <w:lang w:val="en-US" w:eastAsia="zh-CN" w:bidi="ar"/>
              </w:rPr>
            </w:pPr>
            <w:r>
              <w:rPr>
                <w:rFonts w:hint="default" w:ascii="Times New Roman" w:hAnsi="Times New Roman" w:eastAsia="黑体" w:cs="Times New Roman"/>
                <w:kern w:val="0"/>
                <w:sz w:val="28"/>
                <w:szCs w:val="28"/>
              </w:rPr>
              <w:t>附件</w:t>
            </w:r>
            <w:r>
              <w:rPr>
                <w:rFonts w:hint="default" w:ascii="Times New Roman" w:hAnsi="Times New Roman" w:eastAsia="黑体" w:cs="Times New Roman"/>
                <w:kern w:val="0"/>
                <w:sz w:val="28"/>
                <w:szCs w:val="28"/>
              </w:rPr>
              <w:t>2</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2640" w:firstLineChars="600"/>
              <w:jc w:val="both"/>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000000"/>
                <w:kern w:val="0"/>
                <w:sz w:val="44"/>
                <w:szCs w:val="44"/>
                <w:u w:val="none"/>
                <w:lang w:val="en-US" w:eastAsia="zh-CN" w:bidi="ar"/>
              </w:rPr>
              <w:t xml:space="preserve">绩效目标自评表 </w:t>
            </w:r>
          </w:p>
        </w:tc>
      </w:tr>
      <w:tr>
        <w:tblPrEx>
          <w:tblLayout w:type="fixed"/>
          <w:tblCellMar>
            <w:top w:w="0" w:type="dxa"/>
            <w:left w:w="0" w:type="dxa"/>
            <w:bottom w:w="0" w:type="dxa"/>
            <w:right w:w="0" w:type="dxa"/>
          </w:tblCellMar>
        </w:tblPrEx>
        <w:trPr>
          <w:trHeight w:val="260" w:hRule="atLeast"/>
        </w:trPr>
        <w:tc>
          <w:tcPr>
            <w:tcW w:w="9076" w:type="dxa"/>
            <w:gridSpan w:val="8"/>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（2018年度）</w:t>
            </w:r>
          </w:p>
        </w:tc>
      </w:tr>
      <w:tr>
        <w:tblPrEx>
          <w:tblLayout w:type="fixed"/>
          <w:tblCellMar>
            <w:top w:w="0" w:type="dxa"/>
            <w:left w:w="0" w:type="dxa"/>
            <w:bottom w:w="0" w:type="dxa"/>
            <w:right w:w="0" w:type="dxa"/>
          </w:tblCellMar>
        </w:tblPrEx>
        <w:trPr>
          <w:trHeight w:val="227" w:hRule="atLeast"/>
        </w:trPr>
        <w:tc>
          <w:tcPr>
            <w:tcW w:w="295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项目名称</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eastAsia="zh-CN"/>
              </w:rPr>
            </w:pPr>
            <w:r>
              <w:rPr>
                <w:rFonts w:hint="default" w:ascii="Times New Roman" w:hAnsi="Times New Roman" w:cs="Times New Roman"/>
                <w:i w:val="0"/>
                <w:color w:val="000000"/>
                <w:sz w:val="20"/>
                <w:szCs w:val="20"/>
                <w:u w:val="none"/>
                <w:lang w:eastAsia="zh-CN"/>
              </w:rPr>
              <w:t>湖南省首届农民丰收节炎陵分会场活动</w:t>
            </w:r>
          </w:p>
        </w:tc>
        <w:tc>
          <w:tcPr>
            <w:tcW w:w="1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项目负责人及电话</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180" w:hRule="atLeast"/>
        </w:trPr>
        <w:tc>
          <w:tcPr>
            <w:tcW w:w="295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主管部门</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lang w:eastAsia="zh-CN"/>
              </w:rPr>
            </w:pPr>
            <w:r>
              <w:rPr>
                <w:rFonts w:hint="default" w:ascii="Times New Roman" w:hAnsi="Times New Roman" w:cs="Times New Roman"/>
                <w:i w:val="0"/>
                <w:color w:val="000000"/>
                <w:sz w:val="20"/>
                <w:szCs w:val="20"/>
                <w:u w:val="none"/>
                <w:lang w:eastAsia="zh-CN"/>
              </w:rPr>
              <w:t>炎陵县农业农村局</w:t>
            </w:r>
          </w:p>
        </w:tc>
        <w:tc>
          <w:tcPr>
            <w:tcW w:w="1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实施单位</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color w:val="000000"/>
                <w:sz w:val="20"/>
                <w:szCs w:val="20"/>
                <w:u w:val="none"/>
                <w:lang w:eastAsia="zh-CN"/>
              </w:rPr>
            </w:pPr>
            <w:r>
              <w:rPr>
                <w:rFonts w:hint="default" w:ascii="Times New Roman" w:hAnsi="Times New Roman" w:cs="Times New Roman"/>
                <w:i w:val="0"/>
                <w:color w:val="000000"/>
                <w:sz w:val="20"/>
                <w:szCs w:val="20"/>
                <w:u w:val="none"/>
                <w:lang w:eastAsia="zh-CN"/>
              </w:rPr>
              <w:t>炎陵县文化馆等</w:t>
            </w:r>
          </w:p>
        </w:tc>
      </w:tr>
      <w:tr>
        <w:tblPrEx>
          <w:tblLayout w:type="fixed"/>
          <w:tblCellMar>
            <w:top w:w="0" w:type="dxa"/>
            <w:left w:w="0" w:type="dxa"/>
            <w:bottom w:w="0" w:type="dxa"/>
            <w:right w:w="0" w:type="dxa"/>
          </w:tblCellMar>
        </w:tblPrEx>
        <w:trPr>
          <w:trHeight w:val="500" w:hRule="atLeast"/>
        </w:trPr>
        <w:tc>
          <w:tcPr>
            <w:tcW w:w="2954"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资金情况</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（万元）</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全年预算数（A）</w:t>
            </w:r>
          </w:p>
        </w:tc>
        <w:tc>
          <w:tcPr>
            <w:tcW w:w="1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全年执行数（B）</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执行率（B/A)</w:t>
            </w:r>
          </w:p>
        </w:tc>
      </w:tr>
      <w:tr>
        <w:tblPrEx>
          <w:tblLayout w:type="fixed"/>
          <w:tblCellMar>
            <w:top w:w="0" w:type="dxa"/>
            <w:left w:w="0" w:type="dxa"/>
            <w:bottom w:w="0" w:type="dxa"/>
            <w:right w:w="0" w:type="dxa"/>
          </w:tblCellMar>
        </w:tblPrEx>
        <w:trPr>
          <w:trHeight w:val="270" w:hRule="atLeast"/>
        </w:trPr>
        <w:tc>
          <w:tcPr>
            <w:tcW w:w="2954" w:type="dxa"/>
            <w:gridSpan w:val="3"/>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年度资金总额：</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10.54485</w:t>
            </w:r>
          </w:p>
        </w:tc>
        <w:tc>
          <w:tcPr>
            <w:tcW w:w="1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10.54485</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100%</w:t>
            </w:r>
          </w:p>
        </w:tc>
      </w:tr>
      <w:tr>
        <w:tblPrEx>
          <w:tblLayout w:type="fixed"/>
          <w:tblCellMar>
            <w:top w:w="0" w:type="dxa"/>
            <w:left w:w="0" w:type="dxa"/>
            <w:bottom w:w="0" w:type="dxa"/>
            <w:right w:w="0" w:type="dxa"/>
          </w:tblCellMar>
        </w:tblPrEx>
        <w:trPr>
          <w:trHeight w:val="270" w:hRule="atLeast"/>
        </w:trPr>
        <w:tc>
          <w:tcPr>
            <w:tcW w:w="2954" w:type="dxa"/>
            <w:gridSpan w:val="3"/>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color w:val="000000"/>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其中：本年财政拨款</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10.54485</w:t>
            </w:r>
          </w:p>
        </w:tc>
        <w:tc>
          <w:tcPr>
            <w:tcW w:w="1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2019年拨付10.54485万元</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100%</w:t>
            </w:r>
          </w:p>
        </w:tc>
      </w:tr>
      <w:tr>
        <w:tblPrEx>
          <w:tblLayout w:type="fixed"/>
          <w:tblCellMar>
            <w:top w:w="0" w:type="dxa"/>
            <w:left w:w="0" w:type="dxa"/>
            <w:bottom w:w="0" w:type="dxa"/>
            <w:right w:w="0" w:type="dxa"/>
          </w:tblCellMar>
        </w:tblPrEx>
        <w:trPr>
          <w:trHeight w:val="227" w:hRule="atLeast"/>
        </w:trPr>
        <w:tc>
          <w:tcPr>
            <w:tcW w:w="2954" w:type="dxa"/>
            <w:gridSpan w:val="3"/>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color w:val="000000"/>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其他资金</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0</w:t>
            </w:r>
          </w:p>
        </w:tc>
        <w:tc>
          <w:tcPr>
            <w:tcW w:w="1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70" w:hRule="atLeast"/>
        </w:trPr>
        <w:tc>
          <w:tcPr>
            <w:tcW w:w="8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年度总体目标</w:t>
            </w:r>
          </w:p>
        </w:tc>
        <w:tc>
          <w:tcPr>
            <w:tcW w:w="475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年初设定目标</w:t>
            </w:r>
          </w:p>
        </w:tc>
        <w:tc>
          <w:tcPr>
            <w:tcW w:w="34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年度总体目标完成情况综述</w:t>
            </w:r>
          </w:p>
        </w:tc>
      </w:tr>
      <w:tr>
        <w:tblPrEx>
          <w:tblLayout w:type="fixed"/>
          <w:tblCellMar>
            <w:top w:w="0" w:type="dxa"/>
            <w:left w:w="0" w:type="dxa"/>
            <w:bottom w:w="0" w:type="dxa"/>
            <w:right w:w="0" w:type="dxa"/>
          </w:tblCellMar>
        </w:tblPrEx>
        <w:trPr>
          <w:trHeight w:val="305"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475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eastAsia="zh-CN"/>
              </w:rPr>
            </w:pPr>
            <w:r>
              <w:rPr>
                <w:rFonts w:hint="default" w:ascii="Times New Roman" w:hAnsi="Times New Roman" w:cs="Times New Roman"/>
                <w:i w:val="0"/>
                <w:color w:val="000000"/>
                <w:sz w:val="20"/>
                <w:szCs w:val="20"/>
                <w:u w:val="none"/>
                <w:lang w:eastAsia="zh-CN"/>
              </w:rPr>
              <w:t>完成湖南省首届农民丰收节炎陵县分会场</w:t>
            </w:r>
          </w:p>
        </w:tc>
        <w:tc>
          <w:tcPr>
            <w:tcW w:w="34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sz w:val="20"/>
                <w:szCs w:val="20"/>
                <w:u w:val="none"/>
                <w:lang w:eastAsia="zh-CN"/>
              </w:rPr>
              <w:t>圆满完成湖南省首届农民丰收节炎陵县分会场受邀参加主会场表演</w:t>
            </w:r>
          </w:p>
        </w:tc>
      </w:tr>
      <w:tr>
        <w:tblPrEx>
          <w:tblLayout w:type="fixed"/>
          <w:tblCellMar>
            <w:top w:w="0" w:type="dxa"/>
            <w:left w:w="0" w:type="dxa"/>
            <w:bottom w:w="0" w:type="dxa"/>
            <w:right w:w="0" w:type="dxa"/>
          </w:tblCellMar>
        </w:tblPrEx>
        <w:trPr>
          <w:trHeight w:val="240" w:hRule="atLeast"/>
        </w:trPr>
        <w:tc>
          <w:tcPr>
            <w:tcW w:w="8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绩效指标</w:t>
            </w: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一级指标</w:t>
            </w: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二级指标</w:t>
            </w:r>
          </w:p>
        </w:tc>
        <w:tc>
          <w:tcPr>
            <w:tcW w:w="265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三级指标</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年度指标值</w:t>
            </w:r>
          </w:p>
        </w:tc>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全年实际值</w:t>
            </w:r>
          </w:p>
        </w:tc>
        <w:tc>
          <w:tcPr>
            <w:tcW w:w="16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未完成原因及拟采取的改进措施</w:t>
            </w:r>
          </w:p>
        </w:tc>
      </w:tr>
      <w:tr>
        <w:tblPrEx>
          <w:tblLayout w:type="fixed"/>
          <w:tblCellMar>
            <w:top w:w="0" w:type="dxa"/>
            <w:left w:w="0" w:type="dxa"/>
            <w:bottom w:w="0" w:type="dxa"/>
            <w:right w:w="0" w:type="dxa"/>
          </w:tblCellMar>
        </w:tblPrEx>
        <w:trPr>
          <w:trHeight w:val="312"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265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37"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产出指标</w:t>
            </w: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数量指标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eastAsia="zh-CN"/>
              </w:rPr>
            </w:pPr>
            <w:r>
              <w:rPr>
                <w:rFonts w:hint="default" w:ascii="Times New Roman" w:hAnsi="Times New Roman" w:cs="Times New Roman"/>
                <w:i w:val="0"/>
                <w:color w:val="000000"/>
                <w:sz w:val="20"/>
                <w:szCs w:val="20"/>
                <w:u w:val="none"/>
                <w:lang w:eastAsia="zh-CN"/>
              </w:rPr>
              <w:t>参加炎陵县分会场活动</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1个</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1个</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eastAsia="zh-CN"/>
              </w:rPr>
            </w:pPr>
            <w:r>
              <w:rPr>
                <w:rFonts w:hint="default" w:ascii="Times New Roman" w:hAnsi="Times New Roman" w:cs="Times New Roman"/>
                <w:i w:val="0"/>
                <w:color w:val="000000"/>
                <w:sz w:val="20"/>
                <w:szCs w:val="20"/>
                <w:u w:val="none"/>
                <w:lang w:eastAsia="zh-CN"/>
              </w:rPr>
              <w:t>参加主会场活动</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1次</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1次</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质量指标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eastAsia="zh-CN"/>
              </w:rPr>
            </w:pPr>
            <w:r>
              <w:rPr>
                <w:rFonts w:hint="default" w:ascii="Times New Roman" w:hAnsi="Times New Roman" w:cs="Times New Roman"/>
                <w:i w:val="0"/>
                <w:color w:val="000000"/>
                <w:sz w:val="20"/>
                <w:szCs w:val="20"/>
                <w:u w:val="none"/>
                <w:lang w:eastAsia="zh-CN"/>
              </w:rPr>
              <w:t>表演成功好评率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100</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100</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147"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时效指标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2018年9月19日举办</w:t>
            </w:r>
            <w:r>
              <w:rPr>
                <w:rFonts w:hint="default" w:ascii="Times New Roman" w:hAnsi="Times New Roman" w:cs="Times New Roman"/>
                <w:i w:val="0"/>
                <w:color w:val="000000"/>
                <w:sz w:val="20"/>
                <w:szCs w:val="20"/>
                <w:u w:val="none"/>
                <w:lang w:val="en-US" w:eastAsia="zh-CN"/>
              </w:rPr>
              <w:t>分会场</w:t>
            </w:r>
            <w:r>
              <w:rPr>
                <w:rFonts w:hint="default" w:ascii="Times New Roman" w:hAnsi="Times New Roman" w:eastAsia="宋体" w:cs="Times New Roman"/>
                <w:i w:val="0"/>
                <w:color w:val="000000"/>
                <w:sz w:val="20"/>
                <w:szCs w:val="20"/>
                <w:u w:val="none"/>
                <w:lang w:val="en-US" w:eastAsia="zh-CN"/>
              </w:rPr>
              <w:t>活动</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100</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100</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192"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val="en-US" w:eastAsia="zh-CN"/>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lang w:val="en-US" w:eastAsia="zh-CN"/>
              </w:rPr>
            </w:pP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192"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成本指标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sz w:val="20"/>
                <w:szCs w:val="20"/>
                <w:lang w:val="en-US" w:eastAsia="zh-CN"/>
              </w:rPr>
              <w:t>祈福仪式</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30319.5元</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30319.5元</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sz w:val="20"/>
                <w:szCs w:val="20"/>
                <w:lang w:val="en-US" w:eastAsia="zh-CN"/>
              </w:rPr>
              <w:t>活动节目演出</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61545元</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61545元</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cs="Times New Roman" w:eastAsiaTheme="minorEastAsia"/>
                <w:i w:val="0"/>
                <w:color w:val="000000"/>
                <w:sz w:val="20"/>
                <w:szCs w:val="20"/>
                <w:u w:val="none"/>
              </w:rPr>
            </w:pPr>
            <w:r>
              <w:rPr>
                <w:rFonts w:hint="default" w:ascii="Times New Roman" w:hAnsi="Times New Roman" w:cs="Times New Roman" w:eastAsiaTheme="minorEastAsia"/>
                <w:sz w:val="20"/>
                <w:szCs w:val="20"/>
                <w:lang w:val="en-US" w:eastAsia="zh-CN"/>
              </w:rPr>
              <w:t>租车及志愿者费用</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13584元</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13584元</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162"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经济效益指标</w:t>
            </w:r>
          </w:p>
        </w:tc>
        <w:tc>
          <w:tcPr>
            <w:tcW w:w="1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经济效益指标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社会效益指标</w:t>
            </w:r>
          </w:p>
        </w:tc>
        <w:tc>
          <w:tcPr>
            <w:tcW w:w="2657"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lang w:val="en-US" w:eastAsia="zh-CN"/>
              </w:rPr>
              <w:t>2.</w:t>
            </w:r>
            <w:r>
              <w:rPr>
                <w:rFonts w:hint="default" w:ascii="Times New Roman" w:hAnsi="Times New Roman" w:eastAsia="宋体" w:cs="Times New Roman"/>
                <w:i w:val="0"/>
                <w:color w:val="000000"/>
                <w:sz w:val="20"/>
                <w:szCs w:val="20"/>
                <w:u w:val="none"/>
                <w:lang w:val="zh-TW" w:eastAsia="zh-CN"/>
              </w:rPr>
              <w:t>分会场活动已于2018年9月19日在炎帝陵成功举办，既歌咏了丰收，又推介了炎陵农业产业，还宣传了炎陵独特的旅游资源，精彩纷呈，效果良好，得到了省、市领导和社会各界的高度评价。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100%</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100%</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2657"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83"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2657"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生态效益指标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可持续影响指标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eastAsia="zh-CN"/>
              </w:rPr>
            </w:pPr>
            <w:r>
              <w:rPr>
                <w:rFonts w:hint="default" w:ascii="Times New Roman" w:hAnsi="Times New Roman" w:cs="Times New Roman"/>
                <w:i w:val="0"/>
                <w:color w:val="000000"/>
                <w:sz w:val="20"/>
                <w:szCs w:val="20"/>
                <w:u w:val="none"/>
                <w:lang w:eastAsia="zh-CN"/>
              </w:rPr>
              <w:t>对炎陵县农业、旅游的宣传度</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3年</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3年</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37"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12"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满意度指标</w:t>
            </w: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服务对象满意度指标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lang w:eastAsia="zh-CN"/>
              </w:rPr>
            </w:pPr>
            <w:r>
              <w:rPr>
                <w:rFonts w:hint="default" w:ascii="Times New Roman" w:hAnsi="Times New Roman" w:cs="Times New Roman"/>
                <w:i w:val="0"/>
                <w:color w:val="000000"/>
                <w:sz w:val="20"/>
                <w:szCs w:val="20"/>
                <w:u w:val="none"/>
                <w:lang w:eastAsia="zh-CN"/>
              </w:rPr>
              <w:t>社会各界满意度</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95%</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95%</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color w:val="000000"/>
                <w:sz w:val="20"/>
                <w:szCs w:val="20"/>
                <w:u w:val="none"/>
              </w:rPr>
            </w:pPr>
          </w:p>
        </w:tc>
      </w:tr>
    </w:tbl>
    <w:p>
      <w:pPr>
        <w:rPr>
          <w:rFonts w:hint="default" w:ascii="Times New Roman" w:hAnsi="Times New Roman" w:cs="Times New Roman"/>
        </w:rPr>
        <w:sectPr>
          <w:pgSz w:w="11906" w:h="16838"/>
          <w:pgMar w:top="1440" w:right="1800" w:bottom="1440" w:left="1800" w:header="851" w:footer="992" w:gutter="0"/>
          <w:pgNumType w:fmt="numberInDash"/>
          <w:cols w:space="0" w:num="1"/>
          <w:titlePg/>
          <w:rtlGutter w:val="0"/>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tbl>
      <w:tblPr>
        <w:tblStyle w:val="5"/>
        <w:tblW w:w="15185" w:type="dxa"/>
        <w:tblInd w:w="-252" w:type="dxa"/>
        <w:tblLayout w:type="fixed"/>
        <w:tblCellMar>
          <w:top w:w="0" w:type="dxa"/>
          <w:left w:w="108" w:type="dxa"/>
          <w:bottom w:w="0" w:type="dxa"/>
          <w:right w:w="108" w:type="dxa"/>
        </w:tblCellMar>
      </w:tblPr>
      <w:tblGrid>
        <w:gridCol w:w="1225"/>
        <w:gridCol w:w="1160"/>
        <w:gridCol w:w="1035"/>
        <w:gridCol w:w="625"/>
        <w:gridCol w:w="4460"/>
        <w:gridCol w:w="5600"/>
        <w:gridCol w:w="1080"/>
      </w:tblGrid>
      <w:tr>
        <w:tblPrEx>
          <w:tblLayout w:type="fixed"/>
          <w:tblCellMar>
            <w:top w:w="0" w:type="dxa"/>
            <w:left w:w="108" w:type="dxa"/>
            <w:bottom w:w="0" w:type="dxa"/>
            <w:right w:w="108" w:type="dxa"/>
          </w:tblCellMar>
        </w:tblPrEx>
        <w:trPr>
          <w:trHeight w:val="855" w:hRule="atLeast"/>
          <w:tblHeader/>
        </w:trPr>
        <w:tc>
          <w:tcPr>
            <w:tcW w:w="15185" w:type="dxa"/>
            <w:gridSpan w:val="7"/>
            <w:tcBorders>
              <w:top w:val="nil"/>
              <w:left w:val="nil"/>
              <w:bottom w:val="nil"/>
              <w:right w:val="nil"/>
            </w:tcBorders>
            <w:vAlign w:val="center"/>
          </w:tcPr>
          <w:p>
            <w:pPr>
              <w:widowControl/>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项目支出绩效评价共性指标</w:t>
            </w:r>
          </w:p>
        </w:tc>
      </w:tr>
      <w:tr>
        <w:tblPrEx>
          <w:tblLayout w:type="fixed"/>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一级指标</w:t>
            </w:r>
          </w:p>
        </w:tc>
        <w:tc>
          <w:tcPr>
            <w:tcW w:w="116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二级指标</w:t>
            </w:r>
          </w:p>
        </w:tc>
        <w:tc>
          <w:tcPr>
            <w:tcW w:w="103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三级指标</w:t>
            </w:r>
          </w:p>
        </w:tc>
        <w:tc>
          <w:tcPr>
            <w:tcW w:w="6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分值</w:t>
            </w:r>
          </w:p>
        </w:tc>
        <w:tc>
          <w:tcPr>
            <w:tcW w:w="446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指标说明</w:t>
            </w:r>
          </w:p>
        </w:tc>
        <w:tc>
          <w:tcPr>
            <w:tcW w:w="560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评价标准</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自评分</w:t>
            </w:r>
          </w:p>
        </w:tc>
      </w:tr>
      <w:tr>
        <w:tblPrEx>
          <w:tblLayout w:type="fixed"/>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投入（</w:t>
            </w:r>
            <w:r>
              <w:rPr>
                <w:rFonts w:hint="default" w:ascii="Times New Roman" w:hAnsi="Times New Roman" w:cs="Times New Roman"/>
                <w:kern w:val="0"/>
                <w:sz w:val="20"/>
                <w:szCs w:val="20"/>
              </w:rPr>
              <w:t>20</w:t>
            </w:r>
            <w:r>
              <w:rPr>
                <w:rFonts w:hint="default" w:ascii="Times New Roman" w:hAnsi="Times New Roman" w:cs="Times New Roman"/>
                <w:kern w:val="0"/>
                <w:sz w:val="20"/>
                <w:szCs w:val="20"/>
              </w:rPr>
              <w:t>分）</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项目立项（</w:t>
            </w:r>
            <w:r>
              <w:rPr>
                <w:rFonts w:hint="default" w:ascii="Times New Roman" w:hAnsi="Times New Roman" w:cs="Times New Roman"/>
                <w:kern w:val="0"/>
                <w:sz w:val="20"/>
                <w:szCs w:val="20"/>
              </w:rPr>
              <w:t>15</w:t>
            </w:r>
            <w:r>
              <w:rPr>
                <w:rFonts w:hint="default" w:ascii="Times New Roman" w:hAnsi="Times New Roman" w:cs="Times New Roman"/>
                <w:kern w:val="0"/>
                <w:sz w:val="20"/>
                <w:szCs w:val="20"/>
              </w:rPr>
              <w:t>分）</w:t>
            </w:r>
          </w:p>
        </w:tc>
        <w:tc>
          <w:tcPr>
            <w:tcW w:w="103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项目立项规范性</w:t>
            </w:r>
          </w:p>
        </w:tc>
        <w:tc>
          <w:tcPr>
            <w:tcW w:w="62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、项目立项是否符合立项原则、立项重点和申报要求；</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、项目立项符合立项原则、立项重点和申报要求的，各得</w:t>
            </w:r>
            <w:r>
              <w:rPr>
                <w:rFonts w:hint="default" w:ascii="Times New Roman" w:hAnsi="Times New Roman" w:cs="Times New Roman"/>
                <w:kern w:val="0"/>
                <w:sz w:val="20"/>
                <w:szCs w:val="20"/>
              </w:rPr>
              <w:t>1</w:t>
            </w:r>
            <w:r>
              <w:rPr>
                <w:rFonts w:hint="default" w:ascii="Times New Roman" w:hAnsi="Times New Roman" w:cs="Times New Roman"/>
                <w:kern w:val="0"/>
                <w:sz w:val="20"/>
                <w:szCs w:val="20"/>
              </w:rPr>
              <w:t>分，否则不得分，共计</w:t>
            </w:r>
            <w:r>
              <w:rPr>
                <w:rFonts w:hint="default" w:ascii="Times New Roman" w:hAnsi="Times New Roman" w:cs="Times New Roman"/>
                <w:kern w:val="0"/>
                <w:sz w:val="20"/>
                <w:szCs w:val="20"/>
              </w:rPr>
              <w:t>3</w:t>
            </w:r>
            <w:r>
              <w:rPr>
                <w:rFonts w:hint="default" w:ascii="Times New Roman" w:hAnsi="Times New Roman" w:cs="Times New Roman"/>
                <w:kern w:val="0"/>
                <w:sz w:val="20"/>
                <w:szCs w:val="20"/>
              </w:rPr>
              <w:t>分；</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、专家论证和集体决策符合规定的，各得</w:t>
            </w:r>
            <w:r>
              <w:rPr>
                <w:rFonts w:hint="default" w:ascii="Times New Roman" w:hAnsi="Times New Roman" w:cs="Times New Roman"/>
                <w:kern w:val="0"/>
                <w:sz w:val="20"/>
                <w:szCs w:val="20"/>
              </w:rPr>
              <w:t>1</w:t>
            </w:r>
            <w:r>
              <w:rPr>
                <w:rFonts w:hint="default" w:ascii="Times New Roman" w:hAnsi="Times New Roman" w:cs="Times New Roman"/>
                <w:kern w:val="0"/>
                <w:sz w:val="20"/>
                <w:szCs w:val="20"/>
              </w:rPr>
              <w:t>分，否则不得分，共计</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5</w:t>
            </w:r>
            <w:r>
              <w:rPr>
                <w:rFonts w:hint="default" w:ascii="Times New Roman" w:hAnsi="Times New Roman" w:cs="Times New Roman"/>
                <w:kern w:val="0"/>
                <w:sz w:val="24"/>
              </w:rPr>
              <w:t>　</w:t>
            </w:r>
          </w:p>
        </w:tc>
      </w:tr>
      <w:tr>
        <w:tblPrEx>
          <w:tblLayout w:type="fixed"/>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绩效目标合理性</w:t>
            </w:r>
          </w:p>
        </w:tc>
        <w:tc>
          <w:tcPr>
            <w:tcW w:w="62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、项目预期成果目标是否明确具体，依据是否充分与合理；</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、主要实物工作量安排是否科学合理；</w:t>
            </w:r>
            <w:r>
              <w:rPr>
                <w:rFonts w:hint="default" w:ascii="Times New Roman" w:hAnsi="Times New Roman" w:cs="Times New Roman"/>
                <w:kern w:val="0"/>
                <w:sz w:val="20"/>
                <w:szCs w:val="20"/>
              </w:rPr>
              <w:t>3</w:t>
            </w:r>
            <w:r>
              <w:rPr>
                <w:rFonts w:hint="default" w:ascii="Times New Roman" w:hAnsi="Times New Roman" w:cs="Times New Roman"/>
                <w:kern w:val="0"/>
                <w:sz w:val="20"/>
                <w:szCs w:val="20"/>
              </w:rPr>
              <w:t>、总体目标与年度目标设定是否合理。</w:t>
            </w:r>
          </w:p>
        </w:tc>
        <w:tc>
          <w:tcPr>
            <w:tcW w:w="560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、预期目标明确具体，合理可行得</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分；基本可行</w:t>
            </w:r>
            <w:r>
              <w:rPr>
                <w:rFonts w:hint="default" w:ascii="Times New Roman" w:hAnsi="Times New Roman" w:cs="Times New Roman"/>
                <w:kern w:val="0"/>
                <w:sz w:val="20"/>
                <w:szCs w:val="20"/>
              </w:rPr>
              <w:t>1</w:t>
            </w:r>
            <w:r>
              <w:rPr>
                <w:rFonts w:hint="default" w:ascii="Times New Roman" w:hAnsi="Times New Roman" w:cs="Times New Roman"/>
                <w:kern w:val="0"/>
                <w:sz w:val="20"/>
                <w:szCs w:val="20"/>
              </w:rPr>
              <w:t>分，不可行</w:t>
            </w:r>
            <w:r>
              <w:rPr>
                <w:rFonts w:hint="default" w:ascii="Times New Roman" w:hAnsi="Times New Roman" w:cs="Times New Roman"/>
                <w:kern w:val="0"/>
                <w:sz w:val="20"/>
                <w:szCs w:val="20"/>
              </w:rPr>
              <w:t>0</w:t>
            </w:r>
            <w:r>
              <w:rPr>
                <w:rFonts w:hint="default" w:ascii="Times New Roman" w:hAnsi="Times New Roman" w:cs="Times New Roman"/>
                <w:kern w:val="0"/>
                <w:sz w:val="20"/>
                <w:szCs w:val="20"/>
              </w:rPr>
              <w:t>分；</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、工作量安排合理得</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分，基本合理</w:t>
            </w:r>
            <w:r>
              <w:rPr>
                <w:rFonts w:hint="default" w:ascii="Times New Roman" w:hAnsi="Times New Roman" w:cs="Times New Roman"/>
                <w:kern w:val="0"/>
                <w:sz w:val="20"/>
                <w:szCs w:val="20"/>
              </w:rPr>
              <w:t>1</w:t>
            </w:r>
            <w:r>
              <w:rPr>
                <w:rFonts w:hint="default" w:ascii="Times New Roman" w:hAnsi="Times New Roman" w:cs="Times New Roman"/>
                <w:kern w:val="0"/>
                <w:sz w:val="20"/>
                <w:szCs w:val="20"/>
              </w:rPr>
              <w:t>分，不合理</w:t>
            </w:r>
            <w:r>
              <w:rPr>
                <w:rFonts w:hint="default" w:ascii="Times New Roman" w:hAnsi="Times New Roman" w:cs="Times New Roman"/>
                <w:kern w:val="0"/>
                <w:sz w:val="20"/>
                <w:szCs w:val="20"/>
              </w:rPr>
              <w:t>0</w:t>
            </w:r>
            <w:r>
              <w:rPr>
                <w:rFonts w:hint="default" w:ascii="Times New Roman" w:hAnsi="Times New Roman" w:cs="Times New Roman"/>
                <w:kern w:val="0"/>
                <w:sz w:val="20"/>
                <w:szCs w:val="20"/>
              </w:rPr>
              <w:t>分；</w:t>
            </w:r>
            <w:r>
              <w:rPr>
                <w:rFonts w:hint="default" w:ascii="Times New Roman" w:hAnsi="Times New Roman" w:cs="Times New Roman"/>
                <w:kern w:val="0"/>
                <w:sz w:val="20"/>
                <w:szCs w:val="20"/>
              </w:rPr>
              <w:t>3</w:t>
            </w:r>
            <w:r>
              <w:rPr>
                <w:rFonts w:hint="default" w:ascii="Times New Roman" w:hAnsi="Times New Roman" w:cs="Times New Roman"/>
                <w:kern w:val="0"/>
                <w:sz w:val="20"/>
                <w:szCs w:val="20"/>
              </w:rPr>
              <w:t>、项目总体目标和年度目标设定合理合理得</w:t>
            </w:r>
            <w:r>
              <w:rPr>
                <w:rFonts w:hint="default" w:ascii="Times New Roman" w:hAnsi="Times New Roman" w:cs="Times New Roman"/>
                <w:kern w:val="0"/>
                <w:sz w:val="20"/>
                <w:szCs w:val="20"/>
              </w:rPr>
              <w:t>1</w:t>
            </w:r>
            <w:r>
              <w:rPr>
                <w:rFonts w:hint="default" w:ascii="Times New Roman" w:hAnsi="Times New Roman" w:cs="Times New Roman"/>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5</w:t>
            </w:r>
            <w:r>
              <w:rPr>
                <w:rFonts w:hint="default" w:ascii="Times New Roman" w:hAnsi="Times New Roman" w:cs="Times New Roman"/>
                <w:kern w:val="0"/>
                <w:sz w:val="24"/>
              </w:rPr>
              <w:t>　</w:t>
            </w:r>
          </w:p>
        </w:tc>
      </w:tr>
      <w:tr>
        <w:tblPrEx>
          <w:tblLayout w:type="fixed"/>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项目设计合理性</w:t>
            </w:r>
          </w:p>
        </w:tc>
        <w:tc>
          <w:tcPr>
            <w:tcW w:w="62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、设计依据是否充分，与立项论证意见是否有机结合；</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、操作方案是否可行，工作部署是否科学；</w:t>
            </w:r>
            <w:r>
              <w:rPr>
                <w:rFonts w:hint="default" w:ascii="Times New Roman" w:hAnsi="Times New Roman" w:cs="Times New Roman"/>
                <w:kern w:val="0"/>
                <w:sz w:val="20"/>
                <w:szCs w:val="20"/>
              </w:rPr>
              <w:t>3</w:t>
            </w:r>
            <w:r>
              <w:rPr>
                <w:rFonts w:hint="default" w:ascii="Times New Roman" w:hAnsi="Times New Roman" w:cs="Times New Roman"/>
                <w:kern w:val="0"/>
                <w:sz w:val="20"/>
                <w:szCs w:val="20"/>
              </w:rPr>
              <w:t>、主要实物工作量安排是否合理；</w:t>
            </w:r>
            <w:r>
              <w:rPr>
                <w:rFonts w:hint="default" w:ascii="Times New Roman" w:hAnsi="Times New Roman" w:cs="Times New Roman"/>
                <w:kern w:val="0"/>
                <w:sz w:val="20"/>
                <w:szCs w:val="20"/>
              </w:rPr>
              <w:t>4</w:t>
            </w:r>
            <w:r>
              <w:rPr>
                <w:rFonts w:hint="default" w:ascii="Times New Roman" w:hAnsi="Times New Roman" w:cs="Times New Roman"/>
                <w:kern w:val="0"/>
                <w:sz w:val="20"/>
                <w:szCs w:val="20"/>
              </w:rPr>
              <w:t>、项目经费预算是否合理可行。</w:t>
            </w:r>
          </w:p>
        </w:tc>
        <w:tc>
          <w:tcPr>
            <w:tcW w:w="560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、设计依据充分，并与立项论证意见有机结合，得</w:t>
            </w:r>
            <w:r>
              <w:rPr>
                <w:rFonts w:hint="default" w:ascii="Times New Roman" w:hAnsi="Times New Roman" w:cs="Times New Roman"/>
                <w:kern w:val="0"/>
                <w:sz w:val="20"/>
                <w:szCs w:val="20"/>
              </w:rPr>
              <w:t>1</w:t>
            </w:r>
            <w:r>
              <w:rPr>
                <w:rFonts w:hint="default" w:ascii="Times New Roman" w:hAnsi="Times New Roman" w:cs="Times New Roman"/>
                <w:kern w:val="0"/>
                <w:sz w:val="20"/>
                <w:szCs w:val="20"/>
              </w:rPr>
              <w:t>分，否则扣</w:t>
            </w:r>
            <w:r>
              <w:rPr>
                <w:rFonts w:hint="default" w:ascii="Times New Roman" w:hAnsi="Times New Roman" w:cs="Times New Roman"/>
                <w:kern w:val="0"/>
                <w:sz w:val="20"/>
                <w:szCs w:val="20"/>
              </w:rPr>
              <w:t>0.5-1</w:t>
            </w:r>
            <w:r>
              <w:rPr>
                <w:rFonts w:hint="default" w:ascii="Times New Roman" w:hAnsi="Times New Roman" w:cs="Times New Roman"/>
                <w:kern w:val="0"/>
                <w:sz w:val="20"/>
                <w:szCs w:val="20"/>
              </w:rPr>
              <w:t>分；</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、操作方案是否可行，工作部署科学，得</w:t>
            </w:r>
            <w:r>
              <w:rPr>
                <w:rFonts w:hint="default" w:ascii="Times New Roman" w:hAnsi="Times New Roman" w:cs="Times New Roman"/>
                <w:kern w:val="0"/>
                <w:sz w:val="20"/>
                <w:szCs w:val="20"/>
              </w:rPr>
              <w:t>1</w:t>
            </w:r>
            <w:r>
              <w:rPr>
                <w:rFonts w:hint="default" w:ascii="Times New Roman" w:hAnsi="Times New Roman" w:cs="Times New Roman"/>
                <w:kern w:val="0"/>
                <w:sz w:val="20"/>
                <w:szCs w:val="20"/>
              </w:rPr>
              <w:t>分，否则扣</w:t>
            </w:r>
            <w:r>
              <w:rPr>
                <w:rFonts w:hint="default" w:ascii="Times New Roman" w:hAnsi="Times New Roman" w:cs="Times New Roman"/>
                <w:kern w:val="0"/>
                <w:sz w:val="20"/>
                <w:szCs w:val="20"/>
              </w:rPr>
              <w:t>0.5-1</w:t>
            </w:r>
            <w:r>
              <w:rPr>
                <w:rFonts w:hint="default" w:ascii="Times New Roman" w:hAnsi="Times New Roman" w:cs="Times New Roman"/>
                <w:kern w:val="0"/>
                <w:sz w:val="20"/>
                <w:szCs w:val="20"/>
              </w:rPr>
              <w:t>分；</w:t>
            </w:r>
            <w:r>
              <w:rPr>
                <w:rFonts w:hint="default" w:ascii="Times New Roman" w:hAnsi="Times New Roman" w:cs="Times New Roman"/>
                <w:kern w:val="0"/>
                <w:sz w:val="20"/>
                <w:szCs w:val="20"/>
              </w:rPr>
              <w:t>3</w:t>
            </w:r>
            <w:r>
              <w:rPr>
                <w:rFonts w:hint="default" w:ascii="Times New Roman" w:hAnsi="Times New Roman" w:cs="Times New Roman"/>
                <w:kern w:val="0"/>
                <w:sz w:val="20"/>
                <w:szCs w:val="20"/>
              </w:rPr>
              <w:t>、主要实物工作量安排合理，得</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分，否则扣</w:t>
            </w:r>
            <w:r>
              <w:rPr>
                <w:rFonts w:hint="default" w:ascii="Times New Roman" w:hAnsi="Times New Roman" w:cs="Times New Roman"/>
                <w:kern w:val="0"/>
                <w:sz w:val="20"/>
                <w:szCs w:val="20"/>
              </w:rPr>
              <w:t>0.5-1</w:t>
            </w:r>
            <w:r>
              <w:rPr>
                <w:rFonts w:hint="default" w:ascii="Times New Roman" w:hAnsi="Times New Roman" w:cs="Times New Roman"/>
                <w:kern w:val="0"/>
                <w:sz w:val="20"/>
                <w:szCs w:val="20"/>
              </w:rPr>
              <w:t>分；</w:t>
            </w:r>
            <w:r>
              <w:rPr>
                <w:rFonts w:hint="default" w:ascii="Times New Roman" w:hAnsi="Times New Roman" w:cs="Times New Roman"/>
                <w:kern w:val="0"/>
                <w:sz w:val="20"/>
                <w:szCs w:val="20"/>
              </w:rPr>
              <w:t>4</w:t>
            </w:r>
            <w:r>
              <w:rPr>
                <w:rFonts w:hint="default" w:ascii="Times New Roman" w:hAnsi="Times New Roman" w:cs="Times New Roman"/>
                <w:kern w:val="0"/>
                <w:sz w:val="20"/>
                <w:szCs w:val="20"/>
              </w:rPr>
              <w:t>、项目经费预算合理可行</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得</w:t>
            </w:r>
            <w:r>
              <w:rPr>
                <w:rFonts w:hint="default" w:ascii="Times New Roman" w:hAnsi="Times New Roman" w:cs="Times New Roman"/>
                <w:kern w:val="0"/>
                <w:sz w:val="20"/>
                <w:szCs w:val="20"/>
              </w:rPr>
              <w:t>1</w:t>
            </w:r>
            <w:r>
              <w:rPr>
                <w:rFonts w:hint="default" w:ascii="Times New Roman" w:hAnsi="Times New Roman" w:cs="Times New Roman"/>
                <w:kern w:val="0"/>
                <w:sz w:val="20"/>
                <w:szCs w:val="20"/>
              </w:rPr>
              <w:t>分，否则扣</w:t>
            </w:r>
            <w:r>
              <w:rPr>
                <w:rFonts w:hint="default" w:ascii="Times New Roman" w:hAnsi="Times New Roman" w:cs="Times New Roman"/>
                <w:kern w:val="0"/>
                <w:sz w:val="20"/>
                <w:szCs w:val="20"/>
              </w:rPr>
              <w:t>0.5-1</w:t>
            </w:r>
            <w:r>
              <w:rPr>
                <w:rFonts w:hint="default" w:ascii="Times New Roman" w:hAnsi="Times New Roman" w:cs="Times New Roman"/>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5</w:t>
            </w:r>
            <w:r>
              <w:rPr>
                <w:rFonts w:hint="default" w:ascii="Times New Roman" w:hAnsi="Times New Roman" w:cs="Times New Roman"/>
                <w:kern w:val="0"/>
                <w:sz w:val="24"/>
              </w:rPr>
              <w:t>　</w:t>
            </w:r>
          </w:p>
        </w:tc>
      </w:tr>
      <w:tr>
        <w:tblPrEx>
          <w:tblLayout w:type="fixed"/>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资金落实（</w:t>
            </w:r>
            <w:r>
              <w:rPr>
                <w:rFonts w:hint="default" w:ascii="Times New Roman" w:hAnsi="Times New Roman" w:cs="Times New Roman"/>
                <w:kern w:val="0"/>
                <w:sz w:val="20"/>
                <w:szCs w:val="20"/>
              </w:rPr>
              <w:t>5</w:t>
            </w:r>
            <w:r>
              <w:rPr>
                <w:rFonts w:hint="default" w:ascii="Times New Roman" w:hAnsi="Times New Roman" w:cs="Times New Roman"/>
                <w:kern w:val="0"/>
                <w:sz w:val="20"/>
                <w:szCs w:val="20"/>
              </w:rPr>
              <w:t>分）</w:t>
            </w:r>
          </w:p>
        </w:tc>
        <w:tc>
          <w:tcPr>
            <w:tcW w:w="103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资金到位率</w:t>
            </w:r>
          </w:p>
        </w:tc>
        <w:tc>
          <w:tcPr>
            <w:tcW w:w="62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实际到位资金</w:t>
            </w:r>
            <w:r>
              <w:rPr>
                <w:rFonts w:hint="default" w:ascii="Times New Roman" w:hAnsi="Times New Roman" w:cs="Times New Roman"/>
                <w:kern w:val="0"/>
                <w:sz w:val="20"/>
                <w:szCs w:val="20"/>
              </w:rPr>
              <w:t>/</w:t>
            </w:r>
            <w:r>
              <w:rPr>
                <w:rFonts w:hint="default" w:ascii="Times New Roman" w:hAnsi="Times New Roman" w:cs="Times New Roman"/>
                <w:kern w:val="0"/>
                <w:sz w:val="20"/>
                <w:szCs w:val="20"/>
              </w:rPr>
              <w:t>计划投入资金</w:t>
            </w:r>
            <w:r>
              <w:rPr>
                <w:rFonts w:hint="default" w:ascii="Times New Roman" w:hAnsi="Times New Roman" w:cs="Times New Roman"/>
                <w:kern w:val="0"/>
                <w:sz w:val="20"/>
                <w:szCs w:val="20"/>
              </w:rPr>
              <w:t>*100%</w:t>
            </w:r>
          </w:p>
        </w:tc>
        <w:tc>
          <w:tcPr>
            <w:tcW w:w="560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以预算文件为准，专项资金和配套资金全部到位得</w:t>
            </w:r>
            <w:r>
              <w:rPr>
                <w:rFonts w:hint="default" w:ascii="Times New Roman" w:hAnsi="Times New Roman" w:cs="Times New Roman"/>
                <w:kern w:val="0"/>
                <w:sz w:val="20"/>
                <w:szCs w:val="20"/>
              </w:rPr>
              <w:t>3</w:t>
            </w:r>
            <w:r>
              <w:rPr>
                <w:rFonts w:hint="default" w:ascii="Times New Roman" w:hAnsi="Times New Roman" w:cs="Times New Roman"/>
                <w:kern w:val="0"/>
                <w:sz w:val="20"/>
                <w:szCs w:val="20"/>
              </w:rPr>
              <w:t>分，资金到位率每降低</w:t>
            </w:r>
            <w:r>
              <w:rPr>
                <w:rFonts w:hint="default" w:ascii="Times New Roman" w:hAnsi="Times New Roman" w:cs="Times New Roman"/>
                <w:kern w:val="0"/>
                <w:sz w:val="20"/>
                <w:szCs w:val="20"/>
              </w:rPr>
              <w:t>10%</w:t>
            </w:r>
            <w:r>
              <w:rPr>
                <w:rFonts w:hint="default" w:ascii="Times New Roman" w:hAnsi="Times New Roman" w:cs="Times New Roman"/>
                <w:kern w:val="0"/>
                <w:sz w:val="20"/>
                <w:szCs w:val="20"/>
              </w:rPr>
              <w:t>扣</w:t>
            </w:r>
            <w:r>
              <w:rPr>
                <w:rFonts w:hint="default" w:ascii="Times New Roman" w:hAnsi="Times New Roman" w:cs="Times New Roman"/>
                <w:kern w:val="0"/>
                <w:sz w:val="20"/>
                <w:szCs w:val="20"/>
              </w:rPr>
              <w:t>1</w:t>
            </w:r>
            <w:r>
              <w:rPr>
                <w:rFonts w:hint="default" w:ascii="Times New Roman" w:hAnsi="Times New Roman" w:cs="Times New Roman"/>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kern w:val="0"/>
                <w:sz w:val="24"/>
                <w:lang w:eastAsia="zh-CN"/>
              </w:rPr>
            </w:pPr>
            <w:r>
              <w:rPr>
                <w:rFonts w:hint="default" w:ascii="Times New Roman" w:hAnsi="Times New Roman" w:cs="Times New Roman"/>
                <w:kern w:val="0"/>
                <w:sz w:val="24"/>
                <w:lang w:val="en-US" w:eastAsia="zh-CN"/>
              </w:rPr>
              <w:t>3</w:t>
            </w:r>
          </w:p>
        </w:tc>
      </w:tr>
      <w:tr>
        <w:tblPrEx>
          <w:tblLayout w:type="fixed"/>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到位及时率</w:t>
            </w:r>
          </w:p>
        </w:tc>
        <w:tc>
          <w:tcPr>
            <w:tcW w:w="62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以预算文件日期为准，资金在</w:t>
            </w:r>
            <w:r>
              <w:rPr>
                <w:rFonts w:hint="default" w:ascii="Times New Roman" w:hAnsi="Times New Roman" w:cs="Times New Roman"/>
                <w:kern w:val="0"/>
                <w:sz w:val="20"/>
                <w:szCs w:val="20"/>
              </w:rPr>
              <w:t>1</w:t>
            </w:r>
            <w:r>
              <w:rPr>
                <w:rFonts w:hint="default" w:ascii="Times New Roman" w:hAnsi="Times New Roman" w:cs="Times New Roman"/>
                <w:kern w:val="0"/>
                <w:sz w:val="20"/>
                <w:szCs w:val="20"/>
              </w:rPr>
              <w:t>个月内到位得</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分，资金每推迟</w:t>
            </w:r>
            <w:r>
              <w:rPr>
                <w:rFonts w:hint="default" w:ascii="Times New Roman" w:hAnsi="Times New Roman" w:cs="Times New Roman"/>
                <w:kern w:val="0"/>
                <w:sz w:val="20"/>
                <w:szCs w:val="20"/>
              </w:rPr>
              <w:t>1</w:t>
            </w:r>
            <w:r>
              <w:rPr>
                <w:rFonts w:hint="default" w:ascii="Times New Roman" w:hAnsi="Times New Roman" w:cs="Times New Roman"/>
                <w:kern w:val="0"/>
                <w:sz w:val="20"/>
                <w:szCs w:val="20"/>
              </w:rPr>
              <w:t>个月份扣</w:t>
            </w:r>
            <w:r>
              <w:rPr>
                <w:rFonts w:hint="default" w:ascii="Times New Roman" w:hAnsi="Times New Roman" w:cs="Times New Roman"/>
                <w:kern w:val="0"/>
                <w:sz w:val="20"/>
                <w:szCs w:val="20"/>
              </w:rPr>
              <w:t>1</w:t>
            </w:r>
            <w:r>
              <w:rPr>
                <w:rFonts w:hint="default" w:ascii="Times New Roman" w:hAnsi="Times New Roman" w:cs="Times New Roman"/>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lang w:val="en-US" w:eastAsia="zh-CN"/>
              </w:rPr>
              <w:t>1</w:t>
            </w:r>
            <w:r>
              <w:rPr>
                <w:rFonts w:hint="default" w:ascii="Times New Roman" w:hAnsi="Times New Roman" w:cs="Times New Roman"/>
                <w:kern w:val="0"/>
                <w:sz w:val="24"/>
              </w:rPr>
              <w:t>　</w:t>
            </w:r>
          </w:p>
        </w:tc>
      </w:tr>
      <w:tr>
        <w:tblPrEx>
          <w:tblLayout w:type="fixed"/>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过程</w:t>
            </w:r>
          </w:p>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w:t>
            </w:r>
            <w:r>
              <w:rPr>
                <w:rFonts w:hint="default" w:ascii="Times New Roman" w:hAnsi="Times New Roman" w:cs="Times New Roman"/>
                <w:kern w:val="0"/>
                <w:sz w:val="20"/>
                <w:szCs w:val="20"/>
              </w:rPr>
              <w:t>30</w:t>
            </w:r>
            <w:r>
              <w:rPr>
                <w:rFonts w:hint="default" w:ascii="Times New Roman" w:hAnsi="Times New Roman" w:cs="Times New Roman"/>
                <w:kern w:val="0"/>
                <w:sz w:val="20"/>
                <w:szCs w:val="20"/>
              </w:rPr>
              <w:t>分）</w:t>
            </w:r>
          </w:p>
          <w:p>
            <w:pPr>
              <w:jc w:val="center"/>
              <w:rPr>
                <w:rFonts w:hint="default" w:ascii="Times New Roman" w:hAnsi="Times New Roman" w:cs="Times New Roman"/>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业务管理（</w:t>
            </w:r>
            <w:r>
              <w:rPr>
                <w:rFonts w:hint="default" w:ascii="Times New Roman" w:hAnsi="Times New Roman" w:cs="Times New Roman"/>
                <w:kern w:val="0"/>
                <w:sz w:val="20"/>
                <w:szCs w:val="20"/>
              </w:rPr>
              <w:t>10</w:t>
            </w:r>
            <w:r>
              <w:rPr>
                <w:rFonts w:hint="default" w:ascii="Times New Roman" w:hAnsi="Times New Roman" w:cs="Times New Roman"/>
                <w:kern w:val="0"/>
                <w:sz w:val="20"/>
                <w:szCs w:val="20"/>
              </w:rPr>
              <w:t>分）</w:t>
            </w:r>
          </w:p>
        </w:tc>
        <w:tc>
          <w:tcPr>
            <w:tcW w:w="103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、是否已制定或具有相应的业务管理制度；</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、业务管理制度是否完整健全。</w:t>
            </w:r>
          </w:p>
        </w:tc>
        <w:tc>
          <w:tcPr>
            <w:tcW w:w="560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、制定相应业务管理制度的，得</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分；</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、业务管理制度完整健全的，得</w:t>
            </w:r>
            <w:r>
              <w:rPr>
                <w:rFonts w:hint="default" w:ascii="Times New Roman" w:hAnsi="Times New Roman" w:cs="Times New Roman"/>
                <w:kern w:val="0"/>
                <w:sz w:val="20"/>
                <w:szCs w:val="20"/>
              </w:rPr>
              <w:t>1</w:t>
            </w:r>
            <w:r>
              <w:rPr>
                <w:rFonts w:hint="default" w:ascii="Times New Roman" w:hAnsi="Times New Roman" w:cs="Times New Roman"/>
                <w:kern w:val="0"/>
                <w:sz w:val="20"/>
                <w:szCs w:val="20"/>
              </w:rPr>
              <w:t>分。</w:t>
            </w:r>
            <w:r>
              <w:rPr>
                <w:rFonts w:hint="default" w:ascii="Times New Roman" w:hAnsi="Times New Roman" w:cs="Times New Roman"/>
                <w:kern w:val="0"/>
                <w:sz w:val="20"/>
                <w:szCs w:val="20"/>
              </w:rPr>
              <w:t>1</w:t>
            </w:r>
            <w:r>
              <w:rPr>
                <w:rFonts w:hint="default" w:ascii="Times New Roman" w:hAnsi="Times New Roman" w:cs="Times New Roman"/>
                <w:kern w:val="0"/>
                <w:sz w:val="20"/>
                <w:szCs w:val="20"/>
              </w:rPr>
              <w:t>、是，得</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分，否则得</w:t>
            </w:r>
            <w:r>
              <w:rPr>
                <w:rFonts w:hint="default" w:ascii="Times New Roman" w:hAnsi="Times New Roman" w:cs="Times New Roman"/>
                <w:kern w:val="0"/>
                <w:sz w:val="20"/>
                <w:szCs w:val="20"/>
              </w:rPr>
              <w:t>0</w:t>
            </w:r>
            <w:r>
              <w:rPr>
                <w:rFonts w:hint="default" w:ascii="Times New Roman" w:hAnsi="Times New Roman" w:cs="Times New Roman"/>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3</w:t>
            </w:r>
            <w:r>
              <w:rPr>
                <w:rFonts w:hint="default" w:ascii="Times New Roman" w:hAnsi="Times New Roman" w:cs="Times New Roman"/>
                <w:kern w:val="0"/>
                <w:sz w:val="24"/>
              </w:rPr>
              <w:t>　</w:t>
            </w:r>
          </w:p>
        </w:tc>
      </w:tr>
      <w:tr>
        <w:tblPrEx>
          <w:tblLayout w:type="fixed"/>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制度执行有效性</w:t>
            </w:r>
          </w:p>
        </w:tc>
        <w:tc>
          <w:tcPr>
            <w:tcW w:w="62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、是否遵守相关法律法规和业务管理规定；</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、项目调整及支出调整手续是否完备；</w:t>
            </w:r>
            <w:r>
              <w:rPr>
                <w:rFonts w:hint="default" w:ascii="Times New Roman" w:hAnsi="Times New Roman" w:cs="Times New Roman"/>
                <w:kern w:val="0"/>
                <w:sz w:val="20"/>
                <w:szCs w:val="20"/>
              </w:rPr>
              <w:t>3</w:t>
            </w:r>
            <w:r>
              <w:rPr>
                <w:rFonts w:hint="default" w:ascii="Times New Roman" w:hAnsi="Times New Roman" w:cs="Times New Roman"/>
                <w:kern w:val="0"/>
                <w:sz w:val="20"/>
                <w:szCs w:val="20"/>
              </w:rPr>
              <w:t>、项目合同书、验收报告、技术鉴定等资料是否齐全并及时归档。</w:t>
            </w:r>
            <w:r>
              <w:rPr>
                <w:rFonts w:hint="default" w:ascii="Times New Roman" w:hAnsi="Times New Roman" w:cs="Times New Roman"/>
                <w:kern w:val="0"/>
                <w:sz w:val="20"/>
                <w:szCs w:val="20"/>
              </w:rPr>
              <w:t>4</w:t>
            </w:r>
            <w:r>
              <w:rPr>
                <w:rFonts w:hint="default" w:ascii="Times New Roman" w:hAnsi="Times New Roman" w:cs="Times New Roman"/>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、是，得</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分，否则得</w:t>
            </w:r>
            <w:r>
              <w:rPr>
                <w:rFonts w:hint="default" w:ascii="Times New Roman" w:hAnsi="Times New Roman" w:cs="Times New Roman"/>
                <w:kern w:val="0"/>
                <w:sz w:val="20"/>
                <w:szCs w:val="20"/>
              </w:rPr>
              <w:t>0</w:t>
            </w:r>
            <w:r>
              <w:rPr>
                <w:rFonts w:hint="default" w:ascii="Times New Roman" w:hAnsi="Times New Roman" w:cs="Times New Roman"/>
                <w:kern w:val="0"/>
                <w:sz w:val="20"/>
                <w:szCs w:val="20"/>
              </w:rPr>
              <w:t>分；</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、手续完备的得</w:t>
            </w:r>
            <w:r>
              <w:rPr>
                <w:rFonts w:hint="default" w:ascii="Times New Roman" w:hAnsi="Times New Roman" w:cs="Times New Roman"/>
                <w:kern w:val="0"/>
                <w:sz w:val="20"/>
                <w:szCs w:val="20"/>
              </w:rPr>
              <w:t>1</w:t>
            </w:r>
            <w:r>
              <w:rPr>
                <w:rFonts w:hint="default" w:ascii="Times New Roman" w:hAnsi="Times New Roman" w:cs="Times New Roman"/>
                <w:kern w:val="0"/>
                <w:sz w:val="20"/>
                <w:szCs w:val="20"/>
              </w:rPr>
              <w:t>分，否则得</w:t>
            </w:r>
            <w:r>
              <w:rPr>
                <w:rFonts w:hint="default" w:ascii="Times New Roman" w:hAnsi="Times New Roman" w:cs="Times New Roman"/>
                <w:kern w:val="0"/>
                <w:sz w:val="20"/>
                <w:szCs w:val="20"/>
              </w:rPr>
              <w:t>0</w:t>
            </w:r>
            <w:r>
              <w:rPr>
                <w:rFonts w:hint="default" w:ascii="Times New Roman" w:hAnsi="Times New Roman" w:cs="Times New Roman"/>
                <w:kern w:val="0"/>
                <w:sz w:val="20"/>
                <w:szCs w:val="20"/>
              </w:rPr>
              <w:t>分；</w:t>
            </w:r>
            <w:r>
              <w:rPr>
                <w:rFonts w:hint="default" w:ascii="Times New Roman" w:hAnsi="Times New Roman" w:cs="Times New Roman"/>
                <w:kern w:val="0"/>
                <w:sz w:val="20"/>
                <w:szCs w:val="20"/>
              </w:rPr>
              <w:t>3</w:t>
            </w:r>
            <w:r>
              <w:rPr>
                <w:rFonts w:hint="default" w:ascii="Times New Roman" w:hAnsi="Times New Roman" w:cs="Times New Roman"/>
                <w:kern w:val="0"/>
                <w:sz w:val="20"/>
                <w:szCs w:val="20"/>
              </w:rPr>
              <w:t>、资料齐全及时归档得</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分，否则得</w:t>
            </w:r>
            <w:r>
              <w:rPr>
                <w:rFonts w:hint="default" w:ascii="Times New Roman" w:hAnsi="Times New Roman" w:cs="Times New Roman"/>
                <w:kern w:val="0"/>
                <w:sz w:val="20"/>
                <w:szCs w:val="20"/>
              </w:rPr>
              <w:t>0</w:t>
            </w:r>
            <w:r>
              <w:rPr>
                <w:rFonts w:hint="default" w:ascii="Times New Roman" w:hAnsi="Times New Roman" w:cs="Times New Roman"/>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5</w:t>
            </w:r>
            <w:r>
              <w:rPr>
                <w:rFonts w:hint="default" w:ascii="Times New Roman" w:hAnsi="Times New Roman" w:cs="Times New Roman"/>
                <w:kern w:val="0"/>
                <w:sz w:val="24"/>
              </w:rPr>
              <w:t>　</w:t>
            </w:r>
          </w:p>
        </w:tc>
      </w:tr>
      <w:tr>
        <w:tblPrEx>
          <w:tblLayout w:type="fixed"/>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项目质量可控性</w:t>
            </w:r>
          </w:p>
        </w:tc>
        <w:tc>
          <w:tcPr>
            <w:tcW w:w="62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、是否已制定或具有相应的项目质量要求或标准；</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、是，得</w:t>
            </w:r>
            <w:r>
              <w:rPr>
                <w:rFonts w:hint="default" w:ascii="Times New Roman" w:hAnsi="Times New Roman" w:cs="Times New Roman"/>
                <w:kern w:val="0"/>
                <w:sz w:val="20"/>
                <w:szCs w:val="20"/>
              </w:rPr>
              <w:t>1</w:t>
            </w:r>
            <w:r>
              <w:rPr>
                <w:rFonts w:hint="default" w:ascii="Times New Roman" w:hAnsi="Times New Roman" w:cs="Times New Roman"/>
                <w:kern w:val="0"/>
                <w:sz w:val="20"/>
                <w:szCs w:val="20"/>
              </w:rPr>
              <w:t>分，否则得</w:t>
            </w:r>
            <w:r>
              <w:rPr>
                <w:rFonts w:hint="default" w:ascii="Times New Roman" w:hAnsi="Times New Roman" w:cs="Times New Roman"/>
                <w:kern w:val="0"/>
                <w:sz w:val="20"/>
                <w:szCs w:val="20"/>
              </w:rPr>
              <w:t>0</w:t>
            </w:r>
            <w:r>
              <w:rPr>
                <w:rFonts w:hint="default" w:ascii="Times New Roman" w:hAnsi="Times New Roman" w:cs="Times New Roman"/>
                <w:kern w:val="0"/>
                <w:sz w:val="20"/>
                <w:szCs w:val="20"/>
              </w:rPr>
              <w:t>分；</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、是，得</w:t>
            </w:r>
            <w:r>
              <w:rPr>
                <w:rFonts w:hint="default" w:ascii="Times New Roman" w:hAnsi="Times New Roman" w:cs="Times New Roman"/>
                <w:kern w:val="0"/>
                <w:sz w:val="20"/>
                <w:szCs w:val="20"/>
              </w:rPr>
              <w:t>1</w:t>
            </w:r>
            <w:r>
              <w:rPr>
                <w:rFonts w:hint="default" w:ascii="Times New Roman" w:hAnsi="Times New Roman" w:cs="Times New Roman"/>
                <w:kern w:val="0"/>
                <w:sz w:val="20"/>
                <w:szCs w:val="20"/>
              </w:rPr>
              <w:t>分，否则得</w:t>
            </w:r>
            <w:r>
              <w:rPr>
                <w:rFonts w:hint="default" w:ascii="Times New Roman" w:hAnsi="Times New Roman" w:cs="Times New Roman"/>
                <w:kern w:val="0"/>
                <w:sz w:val="20"/>
                <w:szCs w:val="20"/>
              </w:rPr>
              <w:t>0</w:t>
            </w:r>
            <w:r>
              <w:rPr>
                <w:rFonts w:hint="default" w:ascii="Times New Roman" w:hAnsi="Times New Roman" w:cs="Times New Roman"/>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2</w:t>
            </w:r>
            <w:r>
              <w:rPr>
                <w:rFonts w:hint="default" w:ascii="Times New Roman" w:hAnsi="Times New Roman" w:cs="Times New Roman"/>
                <w:kern w:val="0"/>
                <w:sz w:val="24"/>
              </w:rPr>
              <w:t>　</w:t>
            </w:r>
          </w:p>
        </w:tc>
      </w:tr>
      <w:tr>
        <w:tblPrEx>
          <w:tblLayout w:type="fixed"/>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财务管理（</w:t>
            </w:r>
            <w:r>
              <w:rPr>
                <w:rFonts w:hint="default" w:ascii="Times New Roman" w:hAnsi="Times New Roman" w:cs="Times New Roman"/>
                <w:kern w:val="0"/>
                <w:sz w:val="20"/>
                <w:szCs w:val="20"/>
              </w:rPr>
              <w:t>20</w:t>
            </w:r>
            <w:r>
              <w:rPr>
                <w:rFonts w:hint="default" w:ascii="Times New Roman" w:hAnsi="Times New Roman" w:cs="Times New Roman"/>
                <w:kern w:val="0"/>
                <w:sz w:val="20"/>
                <w:szCs w:val="20"/>
              </w:rPr>
              <w:t>分）</w:t>
            </w:r>
          </w:p>
        </w:tc>
        <w:tc>
          <w:tcPr>
            <w:tcW w:w="103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、是否已制定或具有相应的项目资金管理办法；</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项目承担单位专项资金管理制度健全，内容不违背国家和省级相关制度得</w:t>
            </w:r>
            <w:r>
              <w:rPr>
                <w:rFonts w:hint="default" w:ascii="Times New Roman" w:hAnsi="Times New Roman" w:cs="Times New Roman"/>
                <w:kern w:val="0"/>
                <w:sz w:val="20"/>
                <w:szCs w:val="20"/>
              </w:rPr>
              <w:t>5</w:t>
            </w:r>
            <w:r>
              <w:rPr>
                <w:rFonts w:hint="default" w:ascii="Times New Roman" w:hAnsi="Times New Roman" w:cs="Times New Roman"/>
                <w:kern w:val="0"/>
                <w:sz w:val="20"/>
                <w:szCs w:val="20"/>
              </w:rPr>
              <w:t>分；基本健全得</w:t>
            </w:r>
            <w:r>
              <w:rPr>
                <w:rFonts w:hint="default" w:ascii="Times New Roman" w:hAnsi="Times New Roman" w:cs="Times New Roman"/>
                <w:kern w:val="0"/>
                <w:sz w:val="20"/>
                <w:szCs w:val="20"/>
              </w:rPr>
              <w:t>3</w:t>
            </w:r>
            <w:r>
              <w:rPr>
                <w:rFonts w:hint="default" w:ascii="Times New Roman" w:hAnsi="Times New Roman" w:cs="Times New Roman"/>
                <w:kern w:val="0"/>
                <w:sz w:val="20"/>
                <w:szCs w:val="20"/>
              </w:rPr>
              <w:t>分；没有制度得</w:t>
            </w:r>
            <w:r>
              <w:rPr>
                <w:rFonts w:hint="default" w:ascii="Times New Roman" w:hAnsi="Times New Roman" w:cs="Times New Roman"/>
                <w:kern w:val="0"/>
                <w:sz w:val="20"/>
                <w:szCs w:val="20"/>
              </w:rPr>
              <w:t>0</w:t>
            </w:r>
            <w:r>
              <w:rPr>
                <w:rFonts w:hint="default" w:ascii="Times New Roman" w:hAnsi="Times New Roman" w:cs="Times New Roman"/>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5</w:t>
            </w:r>
            <w:r>
              <w:rPr>
                <w:rFonts w:hint="default" w:ascii="Times New Roman" w:hAnsi="Times New Roman" w:cs="Times New Roman"/>
                <w:kern w:val="0"/>
                <w:sz w:val="24"/>
              </w:rPr>
              <w:t>　</w:t>
            </w:r>
          </w:p>
        </w:tc>
      </w:tr>
      <w:tr>
        <w:tblPrEx>
          <w:tblLayout w:type="fixed"/>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资金使用合规性</w:t>
            </w:r>
          </w:p>
        </w:tc>
        <w:tc>
          <w:tcPr>
            <w:tcW w:w="62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、是否符合国家财经法规和财务管理制度以及有关专项资金管理办法的规定；</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、资金的拨付是否有完整的审批程序和手续；</w:t>
            </w:r>
            <w:r>
              <w:rPr>
                <w:rFonts w:hint="default" w:ascii="Times New Roman" w:hAnsi="Times New Roman" w:cs="Times New Roman"/>
                <w:kern w:val="0"/>
                <w:sz w:val="20"/>
                <w:szCs w:val="20"/>
              </w:rPr>
              <w:t>3</w:t>
            </w:r>
            <w:r>
              <w:rPr>
                <w:rFonts w:hint="default" w:ascii="Times New Roman" w:hAnsi="Times New Roman" w:cs="Times New Roman"/>
                <w:kern w:val="0"/>
                <w:sz w:val="20"/>
                <w:szCs w:val="20"/>
              </w:rPr>
              <w:t>、项目的重大开支是否经过评估认证；</w:t>
            </w:r>
            <w:r>
              <w:rPr>
                <w:rFonts w:hint="default" w:ascii="Times New Roman" w:hAnsi="Times New Roman" w:cs="Times New Roman"/>
                <w:kern w:val="0"/>
                <w:sz w:val="20"/>
                <w:szCs w:val="20"/>
              </w:rPr>
              <w:t>4</w:t>
            </w:r>
            <w:r>
              <w:rPr>
                <w:rFonts w:hint="default" w:ascii="Times New Roman" w:hAnsi="Times New Roman" w:cs="Times New Roman"/>
                <w:kern w:val="0"/>
                <w:sz w:val="20"/>
                <w:szCs w:val="20"/>
              </w:rPr>
              <w:t>、是否符合预算批复或合同规定的用途；</w:t>
            </w:r>
            <w:r>
              <w:rPr>
                <w:rFonts w:hint="default" w:ascii="Times New Roman" w:hAnsi="Times New Roman" w:cs="Times New Roman"/>
                <w:kern w:val="0"/>
                <w:sz w:val="20"/>
                <w:szCs w:val="20"/>
              </w:rPr>
              <w:t>5</w:t>
            </w:r>
            <w:r>
              <w:rPr>
                <w:rFonts w:hint="default" w:ascii="Times New Roman" w:hAnsi="Times New Roman" w:cs="Times New Roman"/>
                <w:kern w:val="0"/>
                <w:sz w:val="20"/>
                <w:szCs w:val="20"/>
              </w:rPr>
              <w:t>、是否存在截留、挤占、挪用、虚列支出等情况。</w:t>
            </w:r>
          </w:p>
        </w:tc>
        <w:tc>
          <w:tcPr>
            <w:tcW w:w="560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、有专项资金管理办法得</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分，无专项资金管理办法但有相关财务管理制度得</w:t>
            </w:r>
            <w:r>
              <w:rPr>
                <w:rFonts w:hint="default" w:ascii="Times New Roman" w:hAnsi="Times New Roman" w:cs="Times New Roman"/>
                <w:kern w:val="0"/>
                <w:sz w:val="20"/>
                <w:szCs w:val="20"/>
              </w:rPr>
              <w:t>1</w:t>
            </w:r>
            <w:r>
              <w:rPr>
                <w:rFonts w:hint="default" w:ascii="Times New Roman" w:hAnsi="Times New Roman" w:cs="Times New Roman"/>
                <w:kern w:val="0"/>
                <w:sz w:val="20"/>
                <w:szCs w:val="20"/>
              </w:rPr>
              <w:t>分，否则不得分；</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、有完整审批程序得</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分，否则不得分；</w:t>
            </w:r>
            <w:r>
              <w:rPr>
                <w:rFonts w:hint="default" w:ascii="Times New Roman" w:hAnsi="Times New Roman" w:cs="Times New Roman"/>
                <w:kern w:val="0"/>
                <w:sz w:val="20"/>
                <w:szCs w:val="20"/>
              </w:rPr>
              <w:t>3</w:t>
            </w:r>
            <w:r>
              <w:rPr>
                <w:rFonts w:hint="default" w:ascii="Times New Roman" w:hAnsi="Times New Roman" w:cs="Times New Roman"/>
                <w:kern w:val="0"/>
                <w:sz w:val="20"/>
                <w:szCs w:val="20"/>
              </w:rPr>
              <w:t>、是，得</w:t>
            </w:r>
            <w:r>
              <w:rPr>
                <w:rFonts w:hint="default" w:ascii="Times New Roman" w:hAnsi="Times New Roman" w:cs="Times New Roman"/>
                <w:kern w:val="0"/>
                <w:sz w:val="20"/>
                <w:szCs w:val="20"/>
              </w:rPr>
              <w:t xml:space="preserve">2 </w:t>
            </w:r>
            <w:r>
              <w:rPr>
                <w:rFonts w:hint="default" w:ascii="Times New Roman" w:hAnsi="Times New Roman" w:cs="Times New Roman"/>
                <w:kern w:val="0"/>
                <w:sz w:val="20"/>
                <w:szCs w:val="20"/>
              </w:rPr>
              <w:t>分，否则不得分；</w:t>
            </w:r>
            <w:r>
              <w:rPr>
                <w:rFonts w:hint="default" w:ascii="Times New Roman" w:hAnsi="Times New Roman" w:cs="Times New Roman"/>
                <w:kern w:val="0"/>
                <w:sz w:val="20"/>
                <w:szCs w:val="20"/>
              </w:rPr>
              <w:t>4</w:t>
            </w:r>
            <w:r>
              <w:rPr>
                <w:rFonts w:hint="default" w:ascii="Times New Roman" w:hAnsi="Times New Roman" w:cs="Times New Roman"/>
                <w:kern w:val="0"/>
                <w:sz w:val="20"/>
                <w:szCs w:val="20"/>
              </w:rPr>
              <w:t>、是，得</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分，否则不得分；</w:t>
            </w:r>
            <w:r>
              <w:rPr>
                <w:rFonts w:hint="default" w:ascii="Times New Roman" w:hAnsi="Times New Roman" w:cs="Times New Roman"/>
                <w:kern w:val="0"/>
                <w:sz w:val="20"/>
                <w:szCs w:val="20"/>
              </w:rPr>
              <w:t>5</w:t>
            </w:r>
            <w:r>
              <w:rPr>
                <w:rFonts w:hint="default" w:ascii="Times New Roman" w:hAnsi="Times New Roman" w:cs="Times New Roman"/>
                <w:kern w:val="0"/>
                <w:sz w:val="20"/>
                <w:szCs w:val="20"/>
              </w:rPr>
              <w:t>、每发现所列任何一种情况扣</w:t>
            </w:r>
            <w:r>
              <w:rPr>
                <w:rFonts w:hint="default" w:ascii="Times New Roman" w:hAnsi="Times New Roman" w:cs="Times New Roman"/>
                <w:kern w:val="0"/>
                <w:sz w:val="20"/>
                <w:szCs w:val="20"/>
              </w:rPr>
              <w:t>1</w:t>
            </w:r>
            <w:r>
              <w:rPr>
                <w:rFonts w:hint="default" w:ascii="Times New Roman" w:hAnsi="Times New Roman" w:cs="Times New Roman"/>
                <w:kern w:val="0"/>
                <w:sz w:val="20"/>
                <w:szCs w:val="20"/>
              </w:rPr>
              <w:t>分，</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分扣完为止。</w:t>
            </w:r>
          </w:p>
        </w:tc>
        <w:tc>
          <w:tcPr>
            <w:tcW w:w="10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10</w:t>
            </w:r>
            <w:r>
              <w:rPr>
                <w:rFonts w:hint="default" w:ascii="Times New Roman" w:hAnsi="Times New Roman" w:cs="Times New Roman"/>
                <w:kern w:val="0"/>
                <w:sz w:val="24"/>
              </w:rPr>
              <w:t>　</w:t>
            </w:r>
          </w:p>
        </w:tc>
      </w:tr>
      <w:tr>
        <w:tblPrEx>
          <w:tblLayout w:type="fixed"/>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财务监控有效性</w:t>
            </w:r>
          </w:p>
        </w:tc>
        <w:tc>
          <w:tcPr>
            <w:tcW w:w="62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、是否已制定或具有相应的监控机制；</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、有，得</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分，否则不得分；</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、是，得</w:t>
            </w:r>
            <w:r>
              <w:rPr>
                <w:rFonts w:hint="default" w:ascii="Times New Roman" w:hAnsi="Times New Roman" w:cs="Times New Roman"/>
                <w:kern w:val="0"/>
                <w:sz w:val="20"/>
                <w:szCs w:val="20"/>
              </w:rPr>
              <w:t>3</w:t>
            </w:r>
            <w:r>
              <w:rPr>
                <w:rFonts w:hint="default" w:ascii="Times New Roman" w:hAnsi="Times New Roman" w:cs="Times New Roman"/>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5</w:t>
            </w:r>
            <w:r>
              <w:rPr>
                <w:rFonts w:hint="default" w:ascii="Times New Roman" w:hAnsi="Times New Roman" w:cs="Times New Roman"/>
                <w:kern w:val="0"/>
                <w:sz w:val="24"/>
              </w:rPr>
              <w:t>　</w:t>
            </w:r>
          </w:p>
        </w:tc>
      </w:tr>
      <w:tr>
        <w:tblPrEx>
          <w:tblLayout w:type="fixed"/>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产出</w:t>
            </w:r>
          </w:p>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w:t>
            </w:r>
            <w:r>
              <w:rPr>
                <w:rFonts w:hint="default" w:ascii="Times New Roman" w:hAnsi="Times New Roman" w:cs="Times New Roman"/>
                <w:kern w:val="0"/>
                <w:sz w:val="20"/>
                <w:szCs w:val="20"/>
              </w:rPr>
              <w:t>50</w:t>
            </w:r>
            <w:r>
              <w:rPr>
                <w:rFonts w:hint="default" w:ascii="Times New Roman" w:hAnsi="Times New Roman" w:cs="Times New Roman"/>
                <w:kern w:val="0"/>
                <w:sz w:val="20"/>
                <w:szCs w:val="20"/>
              </w:rPr>
              <w:t>分</w:t>
            </w:r>
            <w:r>
              <w:rPr>
                <w:rFonts w:hint="default" w:ascii="Times New Roman" w:hAnsi="Times New Roman" w:cs="Times New Roman"/>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项目产出（</w:t>
            </w:r>
            <w:r>
              <w:rPr>
                <w:rFonts w:hint="default" w:ascii="Times New Roman" w:hAnsi="Times New Roman" w:cs="Times New Roman"/>
                <w:kern w:val="0"/>
                <w:sz w:val="20"/>
                <w:szCs w:val="20"/>
              </w:rPr>
              <w:t>25</w:t>
            </w:r>
            <w:r>
              <w:rPr>
                <w:rFonts w:hint="default" w:ascii="Times New Roman" w:hAnsi="Times New Roman" w:cs="Times New Roman"/>
                <w:kern w:val="0"/>
                <w:sz w:val="20"/>
                <w:szCs w:val="20"/>
              </w:rPr>
              <w:t>分）</w:t>
            </w:r>
          </w:p>
        </w:tc>
        <w:tc>
          <w:tcPr>
            <w:tcW w:w="103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主要工作量完成率</w:t>
            </w:r>
          </w:p>
        </w:tc>
        <w:tc>
          <w:tcPr>
            <w:tcW w:w="62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按设计、预算要求完成工作量得</w:t>
            </w:r>
            <w:r>
              <w:rPr>
                <w:rFonts w:hint="default" w:ascii="Times New Roman" w:hAnsi="Times New Roman" w:cs="Times New Roman"/>
                <w:kern w:val="0"/>
                <w:sz w:val="20"/>
                <w:szCs w:val="20"/>
              </w:rPr>
              <w:t>10</w:t>
            </w:r>
            <w:r>
              <w:rPr>
                <w:rFonts w:hint="default" w:ascii="Times New Roman" w:hAnsi="Times New Roman" w:cs="Times New Roman"/>
                <w:kern w:val="0"/>
                <w:sz w:val="20"/>
                <w:szCs w:val="20"/>
              </w:rPr>
              <w:t>分，没达到设计、预算的工作量要求扣</w:t>
            </w:r>
            <w:r>
              <w:rPr>
                <w:rFonts w:hint="default" w:ascii="Times New Roman" w:hAnsi="Times New Roman" w:cs="Times New Roman"/>
                <w:kern w:val="0"/>
                <w:sz w:val="20"/>
                <w:szCs w:val="20"/>
              </w:rPr>
              <w:t>1-10</w:t>
            </w:r>
            <w:r>
              <w:rPr>
                <w:rFonts w:hint="default" w:ascii="Times New Roman" w:hAnsi="Times New Roman" w:cs="Times New Roman"/>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10</w:t>
            </w:r>
            <w:r>
              <w:rPr>
                <w:rFonts w:hint="default" w:ascii="Times New Roman" w:hAnsi="Times New Roman" w:cs="Times New Roman"/>
                <w:kern w:val="0"/>
                <w:sz w:val="24"/>
              </w:rPr>
              <w:t>　</w:t>
            </w:r>
          </w:p>
        </w:tc>
      </w:tr>
      <w:tr>
        <w:tblPrEx>
          <w:tblLayout w:type="fixed"/>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完成</w:t>
            </w:r>
          </w:p>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以预算文件下达为工作量完成的起始时间，工作量完成进度与时间进度同步得</w:t>
            </w:r>
            <w:r>
              <w:rPr>
                <w:rFonts w:hint="default" w:ascii="Times New Roman" w:hAnsi="Times New Roman" w:cs="Times New Roman"/>
                <w:kern w:val="0"/>
                <w:sz w:val="20"/>
                <w:szCs w:val="20"/>
              </w:rPr>
              <w:t>5</w:t>
            </w:r>
            <w:r>
              <w:rPr>
                <w:rFonts w:hint="default" w:ascii="Times New Roman" w:hAnsi="Times New Roman" w:cs="Times New Roman"/>
                <w:kern w:val="0"/>
                <w:sz w:val="20"/>
                <w:szCs w:val="20"/>
              </w:rPr>
              <w:t>分，不同步扣</w:t>
            </w:r>
            <w:r>
              <w:rPr>
                <w:rFonts w:hint="default" w:ascii="Times New Roman" w:hAnsi="Times New Roman" w:cs="Times New Roman"/>
                <w:kern w:val="0"/>
                <w:sz w:val="20"/>
                <w:szCs w:val="20"/>
              </w:rPr>
              <w:t>1-5</w:t>
            </w:r>
            <w:r>
              <w:rPr>
                <w:rFonts w:hint="default" w:ascii="Times New Roman" w:hAnsi="Times New Roman" w:cs="Times New Roman"/>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5</w:t>
            </w:r>
            <w:r>
              <w:rPr>
                <w:rFonts w:hint="default" w:ascii="Times New Roman" w:hAnsi="Times New Roman" w:cs="Times New Roman"/>
                <w:kern w:val="0"/>
                <w:sz w:val="24"/>
              </w:rPr>
              <w:t>　</w:t>
            </w:r>
          </w:p>
        </w:tc>
      </w:tr>
      <w:tr>
        <w:tblPrEx>
          <w:tblLayout w:type="fixed"/>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工作质量达标率</w:t>
            </w:r>
          </w:p>
        </w:tc>
        <w:tc>
          <w:tcPr>
            <w:tcW w:w="62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、项目验收质量优良得</w:t>
            </w:r>
            <w:r>
              <w:rPr>
                <w:rFonts w:hint="default" w:ascii="Times New Roman" w:hAnsi="Times New Roman" w:cs="Times New Roman"/>
                <w:kern w:val="0"/>
                <w:sz w:val="20"/>
                <w:szCs w:val="20"/>
              </w:rPr>
              <w:t>4-5</w:t>
            </w:r>
            <w:r>
              <w:rPr>
                <w:rFonts w:hint="default" w:ascii="Times New Roman" w:hAnsi="Times New Roman" w:cs="Times New Roman"/>
                <w:kern w:val="0"/>
                <w:sz w:val="20"/>
                <w:szCs w:val="20"/>
              </w:rPr>
              <w:t>分；</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、项目验收质量合格得</w:t>
            </w:r>
            <w:r>
              <w:rPr>
                <w:rFonts w:hint="default" w:ascii="Times New Roman" w:hAnsi="Times New Roman" w:cs="Times New Roman"/>
                <w:kern w:val="0"/>
                <w:sz w:val="20"/>
                <w:szCs w:val="20"/>
              </w:rPr>
              <w:t>3-4</w:t>
            </w:r>
            <w:r>
              <w:rPr>
                <w:rFonts w:hint="default" w:ascii="Times New Roman" w:hAnsi="Times New Roman" w:cs="Times New Roman"/>
                <w:kern w:val="0"/>
                <w:sz w:val="20"/>
                <w:szCs w:val="20"/>
              </w:rPr>
              <w:t>分；</w:t>
            </w:r>
            <w:r>
              <w:rPr>
                <w:rFonts w:hint="default" w:ascii="Times New Roman" w:hAnsi="Times New Roman" w:cs="Times New Roman"/>
                <w:kern w:val="0"/>
                <w:sz w:val="20"/>
                <w:szCs w:val="20"/>
              </w:rPr>
              <w:t>3</w:t>
            </w:r>
            <w:r>
              <w:rPr>
                <w:rFonts w:hint="default" w:ascii="Times New Roman" w:hAnsi="Times New Roman" w:cs="Times New Roman"/>
                <w:kern w:val="0"/>
                <w:sz w:val="20"/>
                <w:szCs w:val="20"/>
              </w:rPr>
              <w:t>、项目验收质量不合格得</w:t>
            </w:r>
            <w:r>
              <w:rPr>
                <w:rFonts w:hint="default" w:ascii="Times New Roman" w:hAnsi="Times New Roman" w:cs="Times New Roman"/>
                <w:kern w:val="0"/>
                <w:sz w:val="20"/>
                <w:szCs w:val="20"/>
              </w:rPr>
              <w:t>0</w:t>
            </w:r>
            <w:r>
              <w:rPr>
                <w:rFonts w:hint="default" w:ascii="Times New Roman" w:hAnsi="Times New Roman" w:cs="Times New Roman"/>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5</w:t>
            </w:r>
            <w:r>
              <w:rPr>
                <w:rFonts w:hint="default" w:ascii="Times New Roman" w:hAnsi="Times New Roman" w:cs="Times New Roman"/>
                <w:kern w:val="0"/>
                <w:sz w:val="24"/>
              </w:rPr>
              <w:t>　</w:t>
            </w:r>
          </w:p>
        </w:tc>
      </w:tr>
      <w:tr>
        <w:tblPrEx>
          <w:tblLayout w:type="fixed"/>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成本</w:t>
            </w:r>
          </w:p>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节约率</w:t>
            </w:r>
          </w:p>
        </w:tc>
        <w:tc>
          <w:tcPr>
            <w:tcW w:w="62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、评价项目是否出现超支现象；</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、有无工作量报废引起的成本支出。</w:t>
            </w:r>
          </w:p>
        </w:tc>
        <w:tc>
          <w:tcPr>
            <w:tcW w:w="560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t>、出现超支现象扣</w:t>
            </w:r>
            <w:r>
              <w:rPr>
                <w:rFonts w:hint="default" w:ascii="Times New Roman" w:hAnsi="Times New Roman" w:cs="Times New Roman"/>
                <w:kern w:val="0"/>
                <w:sz w:val="20"/>
                <w:szCs w:val="20"/>
              </w:rPr>
              <w:t>3</w:t>
            </w:r>
            <w:r>
              <w:rPr>
                <w:rFonts w:hint="default" w:ascii="Times New Roman" w:hAnsi="Times New Roman" w:cs="Times New Roman"/>
                <w:kern w:val="0"/>
                <w:sz w:val="20"/>
                <w:szCs w:val="20"/>
              </w:rPr>
              <w:t>分，否则不扣分；</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、有所列情况扣</w:t>
            </w:r>
            <w:r>
              <w:rPr>
                <w:rFonts w:hint="default" w:ascii="Times New Roman" w:hAnsi="Times New Roman" w:cs="Times New Roman"/>
                <w:kern w:val="0"/>
                <w:sz w:val="20"/>
                <w:szCs w:val="20"/>
              </w:rPr>
              <w:t>2</w:t>
            </w:r>
            <w:r>
              <w:rPr>
                <w:rFonts w:hint="default" w:ascii="Times New Roman" w:hAnsi="Times New Roman" w:cs="Times New Roman"/>
                <w:kern w:val="0"/>
                <w:sz w:val="20"/>
                <w:szCs w:val="20"/>
              </w:rPr>
              <w:t>分，否则不扣分。</w:t>
            </w:r>
          </w:p>
        </w:tc>
        <w:tc>
          <w:tcPr>
            <w:tcW w:w="10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5</w:t>
            </w:r>
            <w:r>
              <w:rPr>
                <w:rFonts w:hint="default" w:ascii="Times New Roman" w:hAnsi="Times New Roman" w:cs="Times New Roman"/>
                <w:kern w:val="0"/>
                <w:sz w:val="24"/>
              </w:rPr>
              <w:t>　</w:t>
            </w:r>
          </w:p>
        </w:tc>
      </w:tr>
      <w:tr>
        <w:tblPrEx>
          <w:tblLayout w:type="fixed"/>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项目效益（</w:t>
            </w:r>
            <w:r>
              <w:rPr>
                <w:rFonts w:hint="default" w:ascii="Times New Roman" w:hAnsi="Times New Roman" w:cs="Times New Roman"/>
                <w:kern w:val="0"/>
                <w:sz w:val="20"/>
                <w:szCs w:val="20"/>
              </w:rPr>
              <w:t>25</w:t>
            </w:r>
            <w:r>
              <w:rPr>
                <w:rFonts w:hint="default" w:ascii="Times New Roman" w:hAnsi="Times New Roman" w:cs="Times New Roman"/>
                <w:kern w:val="0"/>
                <w:sz w:val="20"/>
                <w:szCs w:val="20"/>
              </w:rPr>
              <w:t>分）</w:t>
            </w:r>
          </w:p>
        </w:tc>
        <w:tc>
          <w:tcPr>
            <w:tcW w:w="103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社会效益</w:t>
            </w:r>
          </w:p>
        </w:tc>
        <w:tc>
          <w:tcPr>
            <w:tcW w:w="62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15</w:t>
            </w:r>
          </w:p>
        </w:tc>
        <w:tc>
          <w:tcPr>
            <w:tcW w:w="446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未来能有效有助于改善城市的人居环境，改变城市形象，提升城市品位得</w:t>
            </w:r>
            <w:r>
              <w:rPr>
                <w:rFonts w:hint="default" w:ascii="Times New Roman" w:hAnsi="Times New Roman" w:cs="Times New Roman"/>
                <w:kern w:val="0"/>
                <w:sz w:val="20"/>
                <w:szCs w:val="20"/>
              </w:rPr>
              <w:t>12-15</w:t>
            </w:r>
            <w:r>
              <w:rPr>
                <w:rFonts w:hint="default" w:ascii="Times New Roman" w:hAnsi="Times New Roman" w:cs="Times New Roman"/>
                <w:kern w:val="0"/>
                <w:sz w:val="20"/>
                <w:szCs w:val="20"/>
              </w:rPr>
              <w:t>分，其它情形扣</w:t>
            </w:r>
            <w:r>
              <w:rPr>
                <w:rFonts w:hint="default" w:ascii="Times New Roman" w:hAnsi="Times New Roman" w:cs="Times New Roman"/>
                <w:kern w:val="0"/>
                <w:sz w:val="20"/>
                <w:szCs w:val="20"/>
              </w:rPr>
              <w:t>1-15</w:t>
            </w:r>
            <w:r>
              <w:rPr>
                <w:rFonts w:hint="default" w:ascii="Times New Roman" w:hAnsi="Times New Roman" w:cs="Times New Roman"/>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15</w:t>
            </w:r>
            <w:r>
              <w:rPr>
                <w:rFonts w:hint="default" w:ascii="Times New Roman" w:hAnsi="Times New Roman" w:cs="Times New Roman"/>
                <w:kern w:val="0"/>
                <w:sz w:val="24"/>
              </w:rPr>
              <w:t>　</w:t>
            </w:r>
          </w:p>
        </w:tc>
      </w:tr>
      <w:tr>
        <w:tblPrEx>
          <w:tblLayout w:type="fixed"/>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可持续影响</w:t>
            </w:r>
          </w:p>
        </w:tc>
        <w:tc>
          <w:tcPr>
            <w:tcW w:w="62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项目实施后，有可持续潜力，代表未来行业的发展方向得</w:t>
            </w:r>
            <w:r>
              <w:rPr>
                <w:rFonts w:hint="default" w:ascii="Times New Roman" w:hAnsi="Times New Roman" w:cs="Times New Roman"/>
                <w:kern w:val="0"/>
                <w:sz w:val="20"/>
                <w:szCs w:val="20"/>
              </w:rPr>
              <w:t>10</w:t>
            </w:r>
            <w:r>
              <w:rPr>
                <w:rFonts w:hint="default" w:ascii="Times New Roman" w:hAnsi="Times New Roman" w:cs="Times New Roman"/>
                <w:kern w:val="0"/>
                <w:sz w:val="20"/>
                <w:szCs w:val="20"/>
              </w:rPr>
              <w:t>分，其它情况扣</w:t>
            </w:r>
            <w:r>
              <w:rPr>
                <w:rFonts w:hint="default" w:ascii="Times New Roman" w:hAnsi="Times New Roman" w:cs="Times New Roman"/>
                <w:kern w:val="0"/>
                <w:sz w:val="20"/>
                <w:szCs w:val="20"/>
              </w:rPr>
              <w:t>1-10</w:t>
            </w:r>
            <w:r>
              <w:rPr>
                <w:rFonts w:hint="default" w:ascii="Times New Roman" w:hAnsi="Times New Roman" w:cs="Times New Roman"/>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10</w:t>
            </w:r>
            <w:r>
              <w:rPr>
                <w:rFonts w:hint="default" w:ascii="Times New Roman" w:hAnsi="Times New Roman" w:cs="Times New Roman"/>
                <w:kern w:val="0"/>
                <w:sz w:val="24"/>
              </w:rPr>
              <w:t>　</w:t>
            </w:r>
          </w:p>
        </w:tc>
      </w:tr>
      <w:tr>
        <w:tblPrEx>
          <w:tblLayout w:type="fixed"/>
          <w:tblCellMar>
            <w:top w:w="0" w:type="dxa"/>
            <w:left w:w="108" w:type="dxa"/>
            <w:bottom w:w="0" w:type="dxa"/>
            <w:right w:w="108" w:type="dxa"/>
          </w:tblCellMar>
        </w:tblPrEx>
        <w:trPr>
          <w:trHeight w:val="660" w:hRule="atLeast"/>
        </w:trPr>
        <w:tc>
          <w:tcPr>
            <w:tcW w:w="34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合计</w:t>
            </w:r>
          </w:p>
        </w:tc>
        <w:tc>
          <w:tcPr>
            <w:tcW w:w="62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100</w:t>
            </w:r>
          </w:p>
        </w:tc>
        <w:tc>
          <w:tcPr>
            <w:tcW w:w="446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560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08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rPr>
            </w:pPr>
            <w:r>
              <w:rPr>
                <w:rFonts w:hint="default" w:ascii="Times New Roman" w:hAnsi="Times New Roman" w:cs="Times New Roman"/>
                <w:kern w:val="0"/>
                <w:sz w:val="24"/>
              </w:rPr>
              <w:t>99</w:t>
            </w:r>
            <w:r>
              <w:rPr>
                <w:rFonts w:hint="default" w:ascii="Times New Roman" w:hAnsi="Times New Roman" w:cs="Times New Roman"/>
                <w:kern w:val="0"/>
                <w:sz w:val="24"/>
              </w:rPr>
              <w:t>　</w:t>
            </w: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bookmarkStart w:id="0" w:name="_GoBack"/>
      <w:bookmarkEnd w:id="0"/>
    </w:p>
    <w:sectPr>
      <w:pgSz w:w="16838" w:h="11906" w:orient="landscape"/>
      <w:pgMar w:top="1803" w:right="1440" w:bottom="1803" w:left="1440" w:header="851" w:footer="992" w:gutter="0"/>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F05A8"/>
    <w:rsid w:val="0FB137D4"/>
    <w:rsid w:val="107F5342"/>
    <w:rsid w:val="15773087"/>
    <w:rsid w:val="18EF05A8"/>
    <w:rsid w:val="1C8D289C"/>
    <w:rsid w:val="30A914B1"/>
    <w:rsid w:val="557077B5"/>
    <w:rsid w:val="5AF162E3"/>
    <w:rsid w:val="728A3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link w:val="7"/>
    <w:semiHidden/>
    <w:qFormat/>
    <w:uiPriority w:val="0"/>
    <w:rPr>
      <w:rFonts w:ascii="Verdana" w:hAnsi="Verdana" w:eastAsia="仿宋_GB2312"/>
      <w:kern w:val="0"/>
      <w:sz w:val="28"/>
      <w:szCs w:val="20"/>
      <w:lang w:eastAsia="en-US"/>
    </w:rPr>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7"/>
      </w:tabs>
      <w:snapToGrid w:val="0"/>
      <w:jc w:val="center"/>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cs="宋体"/>
      <w:kern w:val="0"/>
      <w:sz w:val="24"/>
      <w:lang w:bidi="ar-SA"/>
    </w:rPr>
  </w:style>
  <w:style w:type="paragraph" w:customStyle="1" w:styleId="7">
    <w:name w:val="_Style 3"/>
    <w:basedOn w:val="1"/>
    <w:link w:val="6"/>
    <w:qFormat/>
    <w:uiPriority w:val="0"/>
    <w:pPr>
      <w:widowControl/>
      <w:jc w:val="left"/>
    </w:pPr>
    <w:rPr>
      <w:rFonts w:ascii="Verdana" w:hAnsi="Verdana" w:eastAsia="仿宋_GB2312"/>
      <w:kern w:val="0"/>
      <w:sz w:val="28"/>
      <w:szCs w:val="20"/>
      <w:lang w:eastAsia="en-US"/>
    </w:rPr>
  </w:style>
  <w:style w:type="character" w:styleId="8">
    <w:name w:val="Strong"/>
    <w:basedOn w:val="6"/>
    <w:qFormat/>
    <w:uiPriority w:val="0"/>
    <w:rPr>
      <w:b/>
    </w:rPr>
  </w:style>
  <w:style w:type="character" w:styleId="9">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2019-07-31T03:15:00Z</dcterms:created>
  <dc:creator>一米阳光</dc:creator>
  <cp:lastModifiedBy>310</cp:lastModifiedBy>
  <dcterms:modified xsi:type="dcterms:W3CDTF">2019-10-09T08:41:44Z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