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hint="eastAsia" w:ascii="宋体" w:hAnsi="宋体" w:eastAsia="宋体" w:cs="宋体"/>
          <w:b w:val="0"/>
          <w:bCs w:val="0"/>
          <w:sz w:val="36"/>
          <w:szCs w:val="36"/>
          <w:lang w:eastAsia="zh-CN"/>
        </w:rPr>
      </w:pPr>
      <w:r>
        <w:rPr>
          <w:rFonts w:hint="eastAsia" w:ascii="宋体" w:hAnsi="宋体" w:eastAsia="宋体" w:cs="宋体"/>
          <w:b w:val="0"/>
          <w:bCs w:val="0"/>
          <w:sz w:val="36"/>
          <w:szCs w:val="36"/>
        </w:rPr>
        <w:t>2018年度</w:t>
      </w:r>
      <w:r>
        <w:rPr>
          <w:rFonts w:hint="eastAsia" w:ascii="宋体" w:hAnsi="宋体" w:eastAsia="宋体" w:cs="宋体"/>
          <w:b w:val="0"/>
          <w:bCs w:val="0"/>
          <w:sz w:val="36"/>
          <w:szCs w:val="36"/>
          <w:lang w:eastAsia="zh-CN"/>
        </w:rPr>
        <w:t>县本级病虫害防治控制工作经费</w:t>
      </w:r>
    </w:p>
    <w:p>
      <w:pPr>
        <w:adjustRightInd w:val="0"/>
        <w:spacing w:line="560" w:lineRule="exact"/>
        <w:ind w:right="641"/>
        <w:jc w:val="center"/>
        <w:rPr>
          <w:rFonts w:hint="eastAsia" w:ascii="宋体" w:hAnsi="宋体" w:eastAsia="宋体" w:cs="宋体"/>
          <w:sz w:val="36"/>
          <w:szCs w:val="36"/>
        </w:rPr>
      </w:pPr>
      <w:r>
        <w:rPr>
          <w:rFonts w:hint="eastAsia" w:ascii="宋体" w:hAnsi="宋体" w:eastAsia="宋体" w:cs="宋体"/>
          <w:sz w:val="36"/>
          <w:szCs w:val="36"/>
        </w:rPr>
        <w:t>预算支出绩效报告</w:t>
      </w:r>
    </w:p>
    <w:p>
      <w:pPr>
        <w:adjustRightInd w:val="0"/>
        <w:spacing w:line="560" w:lineRule="exact"/>
        <w:ind w:right="641"/>
        <w:rPr>
          <w:rFonts w:eastAsia="仿宋_GB2312"/>
          <w:sz w:val="32"/>
          <w:szCs w:val="32"/>
        </w:rPr>
      </w:pPr>
    </w:p>
    <w:p>
      <w:pPr>
        <w:adjustRightInd w:val="0"/>
        <w:snapToGrid w:val="0"/>
        <w:spacing w:line="560" w:lineRule="exact"/>
        <w:ind w:firstLine="560" w:firstLineChars="200"/>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一、项目概况</w:t>
      </w:r>
    </w:p>
    <w:p>
      <w:pPr>
        <w:adjustRightInd w:val="0"/>
        <w:snapToGrid w:val="0"/>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（一）项目单位基本情况。</w:t>
      </w:r>
    </w:p>
    <w:p>
      <w:pPr>
        <w:adjustRightInd w:val="0"/>
        <w:snapToGrid w:val="0"/>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000000"/>
          <w:spacing w:val="0"/>
          <w:sz w:val="28"/>
          <w:szCs w:val="28"/>
          <w:shd w:val="clear" w:fill="FFFFFF"/>
          <w:lang w:val="en-US" w:eastAsia="zh-CN"/>
        </w:rPr>
        <w:t>炎陵县植保站是农业农村局一个股级部门，主要从事以下工作：1、负责农作物</w:t>
      </w:r>
      <w:r>
        <w:rPr>
          <w:rFonts w:hint="eastAsia" w:asciiTheme="minorEastAsia" w:hAnsiTheme="minorEastAsia" w:eastAsiaTheme="minorEastAsia" w:cstheme="minorEastAsia"/>
          <w:i w:val="0"/>
          <w:caps w:val="0"/>
          <w:color w:val="000000"/>
          <w:spacing w:val="0"/>
          <w:sz w:val="28"/>
          <w:szCs w:val="28"/>
          <w:shd w:val="clear" w:fill="FFFFFF"/>
        </w:rPr>
        <w:t>病虫草害的预测预报和防治技术的指导工作，控制病虫草害的蔓延。2.负责种植业的检疫工作。3.负责试验、示范、推广新农药、新技术等工作。4.负责对基层植保队伍的技术培训、指导、服务工作。5.承办局交办的其他事项。</w:t>
      </w:r>
    </w:p>
    <w:p>
      <w:pPr>
        <w:numPr>
          <w:ilvl w:val="0"/>
          <w:numId w:val="1"/>
        </w:numPr>
        <w:adjustRightInd w:val="0"/>
        <w:snapToGrid w:val="0"/>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项目基本情况简介</w:t>
      </w:r>
      <w:r>
        <w:rPr>
          <w:rFonts w:hint="eastAsia" w:asciiTheme="minorEastAsia" w:hAnsiTheme="minorEastAsia" w:eastAsiaTheme="minorEastAsia" w:cstheme="minorEastAsia"/>
          <w:sz w:val="28"/>
          <w:szCs w:val="28"/>
          <w:lang w:eastAsia="zh-CN"/>
        </w:rPr>
        <w:t>。</w:t>
      </w:r>
    </w:p>
    <w:p>
      <w:pPr>
        <w:numPr>
          <w:ilvl w:val="0"/>
          <w:numId w:val="0"/>
        </w:numPr>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Cs/>
          <w:sz w:val="28"/>
          <w:szCs w:val="28"/>
          <w:lang w:eastAsia="zh-CN"/>
        </w:rPr>
        <w:t>根据</w:t>
      </w:r>
      <w:r>
        <w:rPr>
          <w:rFonts w:hint="eastAsia" w:asciiTheme="minorEastAsia" w:hAnsiTheme="minorEastAsia" w:eastAsiaTheme="minorEastAsia" w:cstheme="minorEastAsia"/>
          <w:bCs/>
          <w:sz w:val="28"/>
          <w:szCs w:val="28"/>
          <w:lang w:val="en-US" w:eastAsia="zh-CN"/>
        </w:rPr>
        <w:t>《湖南省掌握保护条例》和《植物检疫条例》的要求，结合湖南省植保站有关要求和我县实际情况，</w:t>
      </w:r>
      <w:r>
        <w:rPr>
          <w:rFonts w:hint="eastAsia" w:asciiTheme="minorEastAsia" w:hAnsiTheme="minorEastAsia" w:eastAsiaTheme="minorEastAsia" w:cstheme="minorEastAsia"/>
          <w:sz w:val="28"/>
          <w:szCs w:val="28"/>
        </w:rPr>
        <w:t>2018年里，植保工作植保站的工作紧紧围绕 “预防为主，综合防治”的方针，牢固树立 “绿色植保，公共植保”的理念，确保农业生产、农产品质量和生态环境安全。确保重大农作物病虫害不大面积暴发成灾，水稻病虫危害总体损失率控制在5%以内，单病虫危害损失率控制在3%以内</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组织开展水稻等病虫害防控新技术示范和农民培训，大力推广高效低毒环境友好型农药，提高科学安全用药水平，带动农民提高病虫防治水平</w:t>
      </w:r>
      <w:r>
        <w:rPr>
          <w:rFonts w:hint="eastAsia" w:asciiTheme="minorEastAsia" w:hAnsiTheme="minorEastAsia" w:eastAsiaTheme="minorEastAsia" w:cstheme="minorEastAsia"/>
          <w:sz w:val="28"/>
          <w:szCs w:val="28"/>
          <w:lang w:eastAsia="zh-CN"/>
        </w:rPr>
        <w:t>。</w:t>
      </w:r>
    </w:p>
    <w:p>
      <w:pPr>
        <w:adjustRightInd w:val="0"/>
        <w:snapToGrid w:val="0"/>
        <w:spacing w:line="560" w:lineRule="exact"/>
        <w:ind w:firstLine="560" w:firstLineChars="200"/>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二、项目资金使用及管理情况</w:t>
      </w:r>
    </w:p>
    <w:p>
      <w:pPr>
        <w:numPr>
          <w:ilvl w:val="0"/>
          <w:numId w:val="0"/>
        </w:numPr>
        <w:shd w:val="solid" w:color="FFFFFF" w:fill="auto"/>
        <w:autoSpaceDN w:val="0"/>
        <w:spacing w:line="56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Cs/>
          <w:sz w:val="28"/>
          <w:szCs w:val="28"/>
          <w:lang w:val="en-US" w:eastAsia="zh-CN"/>
        </w:rPr>
        <w:t>病虫害防治控制工作经费申报金额5万元，根据年初制定的项目实施方案主要用于以下方面：</w:t>
      </w:r>
      <w:r>
        <w:rPr>
          <w:rFonts w:hint="eastAsia" w:asciiTheme="minorEastAsia" w:hAnsiTheme="minorEastAsia" w:eastAsiaTheme="minorEastAsia" w:cstheme="minorEastAsia"/>
          <w:color w:val="333333"/>
          <w:sz w:val="28"/>
          <w:szCs w:val="28"/>
          <w:shd w:val="clear" w:color="auto" w:fill="FFFFFF"/>
        </w:rPr>
        <w:t>农作物</w:t>
      </w:r>
      <w:r>
        <w:rPr>
          <w:rFonts w:hint="eastAsia" w:asciiTheme="minorEastAsia" w:hAnsiTheme="minorEastAsia" w:eastAsiaTheme="minorEastAsia" w:cstheme="minorEastAsia"/>
          <w:sz w:val="28"/>
          <w:szCs w:val="28"/>
        </w:rPr>
        <w:t>重大病虫监测预警工作及技术指导</w:t>
      </w:r>
      <w:r>
        <w:rPr>
          <w:rFonts w:hint="eastAsia" w:asciiTheme="minorEastAsia" w:hAnsiTheme="minorEastAsia" w:eastAsiaTheme="minorEastAsia" w:cstheme="minorEastAsia"/>
          <w:sz w:val="28"/>
          <w:szCs w:val="28"/>
          <w:lang w:val="en-US" w:eastAsia="zh-CN"/>
        </w:rPr>
        <w:t>3万元，突发柑橘黄龙病防控、</w:t>
      </w:r>
      <w:r>
        <w:rPr>
          <w:rFonts w:hint="eastAsia" w:asciiTheme="minorEastAsia" w:hAnsiTheme="minorEastAsia" w:eastAsiaTheme="minorEastAsia" w:cstheme="minorEastAsia"/>
          <w:sz w:val="28"/>
          <w:szCs w:val="28"/>
        </w:rPr>
        <w:t>技术培训及资料费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植保</w:t>
      </w:r>
      <w:r>
        <w:rPr>
          <w:rFonts w:hint="eastAsia" w:asciiTheme="minorEastAsia" w:hAnsiTheme="minorEastAsia" w:eastAsiaTheme="minorEastAsia" w:cstheme="minorEastAsia"/>
          <w:sz w:val="28"/>
          <w:szCs w:val="28"/>
          <w:lang w:eastAsia="zh-CN"/>
        </w:rPr>
        <w:t>人员</w:t>
      </w:r>
      <w:r>
        <w:rPr>
          <w:rFonts w:hint="eastAsia" w:asciiTheme="minorEastAsia" w:hAnsiTheme="minorEastAsia" w:eastAsiaTheme="minorEastAsia" w:cstheme="minorEastAsia"/>
          <w:sz w:val="28"/>
          <w:szCs w:val="28"/>
        </w:rPr>
        <w:t>相关</w:t>
      </w:r>
      <w:r>
        <w:rPr>
          <w:rFonts w:hint="eastAsia" w:asciiTheme="minorEastAsia" w:hAnsiTheme="minorEastAsia" w:eastAsiaTheme="minorEastAsia" w:cstheme="minorEastAsia"/>
          <w:sz w:val="28"/>
          <w:szCs w:val="28"/>
          <w:lang w:eastAsia="zh-CN"/>
        </w:rPr>
        <w:t>培训</w:t>
      </w:r>
      <w:r>
        <w:rPr>
          <w:rFonts w:hint="eastAsia" w:asciiTheme="minorEastAsia" w:hAnsiTheme="minorEastAsia" w:eastAsiaTheme="minorEastAsia" w:cstheme="minorEastAsia"/>
          <w:sz w:val="28"/>
          <w:szCs w:val="28"/>
        </w:rPr>
        <w:t>等</w:t>
      </w:r>
      <w:r>
        <w:rPr>
          <w:rFonts w:hint="eastAsia" w:asciiTheme="minorEastAsia" w:hAnsiTheme="minorEastAsia" w:eastAsiaTheme="minorEastAsia" w:cstheme="minorEastAsia"/>
          <w:sz w:val="28"/>
          <w:szCs w:val="28"/>
          <w:lang w:val="en-US" w:eastAsia="zh-CN"/>
        </w:rPr>
        <w:t>2万元。</w:t>
      </w:r>
      <w:r>
        <w:rPr>
          <w:rFonts w:hint="eastAsia" w:asciiTheme="minorEastAsia" w:hAnsiTheme="minorEastAsia" w:eastAsiaTheme="minorEastAsia" w:cstheme="minorEastAsia"/>
          <w:kern w:val="0"/>
          <w:sz w:val="28"/>
          <w:szCs w:val="28"/>
          <w:lang w:val="en-US" w:eastAsia="zh-CN"/>
        </w:rPr>
        <w:t>2018年县财政实际拨付项目资金1万元。</w:t>
      </w:r>
      <w:r>
        <w:rPr>
          <w:rFonts w:hint="eastAsia" w:asciiTheme="minorEastAsia" w:hAnsiTheme="minorEastAsia" w:eastAsiaTheme="minorEastAsia" w:cstheme="minorEastAsia"/>
          <w:kern w:val="0"/>
          <w:sz w:val="28"/>
          <w:szCs w:val="28"/>
        </w:rPr>
        <w:t>该建设项目制定了项目资金实施方案、财务管理制度，实行专账、专人管理，严格规范财务审批手续，资金使用合理，做到了专款专用，符合国家有关规定。</w:t>
      </w:r>
    </w:p>
    <w:p>
      <w:pPr>
        <w:numPr>
          <w:ilvl w:val="0"/>
          <w:numId w:val="2"/>
        </w:numPr>
        <w:adjustRightInd w:val="0"/>
        <w:snapToGrid w:val="0"/>
        <w:spacing w:line="560" w:lineRule="exact"/>
        <w:ind w:firstLine="560" w:firstLineChars="200"/>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项目组织实施情况</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2018年里，植保工作主要做了以下方面事情：</w:t>
      </w: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rPr>
        <w:t>加强水稻等重大病虫监测预警工作</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color w:val="000000"/>
          <w:kern w:val="0"/>
          <w:sz w:val="28"/>
          <w:szCs w:val="28"/>
        </w:rPr>
        <w:t>做好水稻、主要经济作物病虫害系统监测，对稻飞虱、稻纵卷叶螟、二化螟、纹枯病、稻瘟病、稻曲病、南方水稻黑条矮缩病、稻水象甲等水稻重大病虫害开展系统监测和普查，做好虫情会商，及时准确发布病虫发生和防治技术信息，及时为专业化统防统治服务组织和广大农民提供病虫信息和防治技术服务。一方面</w:t>
      </w:r>
      <w:r>
        <w:rPr>
          <w:rFonts w:hint="eastAsia" w:asciiTheme="minorEastAsia" w:hAnsiTheme="minorEastAsia" w:eastAsiaTheme="minorEastAsia" w:cstheme="minorEastAsia"/>
          <w:sz w:val="28"/>
          <w:szCs w:val="28"/>
        </w:rPr>
        <w:t>每周1、3、5定期搞好田间调查，定时准确向市站、省站做好电子版汇报，并根据田间病虫害的发生情况及时制定防治措施、印发病虫情报</w:t>
      </w:r>
      <w:r>
        <w:rPr>
          <w:rFonts w:hint="eastAsia" w:asciiTheme="minorEastAsia" w:hAnsiTheme="minorEastAsia" w:eastAsiaTheme="minorEastAsia" w:cstheme="minorEastAsia"/>
          <w:sz w:val="28"/>
          <w:szCs w:val="28"/>
          <w:lang w:val="en-US" w:eastAsia="zh-CN"/>
        </w:rPr>
        <w:t>9期</w:t>
      </w:r>
      <w:r>
        <w:rPr>
          <w:rFonts w:hint="eastAsia" w:asciiTheme="minorEastAsia" w:hAnsiTheme="minorEastAsia" w:eastAsiaTheme="minorEastAsia" w:cstheme="minorEastAsia"/>
          <w:sz w:val="28"/>
          <w:szCs w:val="28"/>
        </w:rPr>
        <w:t>；另一方面，</w:t>
      </w:r>
      <w:r>
        <w:rPr>
          <w:rFonts w:hint="eastAsia" w:asciiTheme="minorEastAsia" w:hAnsiTheme="minorEastAsia" w:eastAsiaTheme="minorEastAsia" w:cstheme="minorEastAsia"/>
          <w:bCs/>
          <w:sz w:val="28"/>
          <w:szCs w:val="28"/>
        </w:rPr>
        <w:t>最大限度搞好测报设施使用和维护。增设3个灯诱测报点（其中2个水稻、1个水果）</w:t>
      </w:r>
      <w:r>
        <w:rPr>
          <w:rFonts w:hint="eastAsia" w:asciiTheme="minorEastAsia" w:hAnsiTheme="minorEastAsia" w:eastAsiaTheme="minorEastAsia" w:cstheme="minorEastAsia"/>
          <w:sz w:val="28"/>
          <w:szCs w:val="28"/>
        </w:rPr>
        <w:t>，增设4个调查点（其中水稻3个、黄桃1个）</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b w:val="0"/>
          <w:bCs/>
          <w:sz w:val="28"/>
          <w:szCs w:val="28"/>
        </w:rPr>
        <w:t>抓好农作物重大病虫害大面积防控和应急防控</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sz w:val="28"/>
          <w:szCs w:val="28"/>
        </w:rPr>
        <w:t>科学制定水稻病虫防控方案，指导大面积防治，确保重大农作物病虫害不大面积暴发成灾，水稻病虫危害总体损失率控制在5%以内，单病虫危害损失率控制在3%以内；组织做好稻飞虱、稻纵卷叶螟、稻瘟病与南方水稻黑条矮缩病等迁飞性、流行性病虫害的应急防治；组织开展水稻等病虫害防控新技术示范和农民培训，大力推广高效低毒环境友好型农药，提高科学安全用药水平，带动农民提高病虫防治水平。</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b w:val="0"/>
          <w:bCs/>
          <w:sz w:val="28"/>
          <w:szCs w:val="28"/>
        </w:rPr>
        <w:t>依法开展植物检疫执法检查和宣传</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sz w:val="28"/>
          <w:szCs w:val="28"/>
        </w:rPr>
        <w:t>定期联合局农业执法大队对农作物种子经销商，进行植物检疫执法检查，发现经销商未按《植物检疫条例》的要求，在调运农作物种苗时开具植物检疫证书，责令他们向种苗供应方所要植物检疫证书，以确保我县的农业生产安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在全国植物检疫平台上,每月认真、及时、准确地填写了检疫月报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为了深入宣传贯彻《植物检疫条例》等法律法规，在全县营造良好的农业植物检疫工作氛围，逐步形成“检打联动，联防联控”的工作局面，进一步提高农业植物检疫工作水平，根据省市植保植检站的要求，</w:t>
      </w:r>
      <w:r>
        <w:rPr>
          <w:rFonts w:hint="eastAsia" w:asciiTheme="minorEastAsia" w:hAnsiTheme="minorEastAsia" w:eastAsiaTheme="minorEastAsia" w:cstheme="minorEastAsia"/>
          <w:color w:val="333333"/>
          <w:sz w:val="28"/>
          <w:szCs w:val="28"/>
          <w:shd w:val="clear" w:color="auto" w:fill="FFFFFF"/>
        </w:rPr>
        <w:t>我站联合</w:t>
      </w:r>
      <w:r>
        <w:rPr>
          <w:rFonts w:hint="eastAsia" w:asciiTheme="minorEastAsia" w:hAnsiTheme="minorEastAsia" w:eastAsiaTheme="minorEastAsia" w:cstheme="minorEastAsia"/>
          <w:sz w:val="28"/>
          <w:szCs w:val="28"/>
        </w:rPr>
        <w:t>农业执法大队、粮油站</w:t>
      </w:r>
      <w:r>
        <w:rPr>
          <w:rFonts w:hint="eastAsia" w:asciiTheme="minorEastAsia" w:hAnsiTheme="minorEastAsia" w:eastAsiaTheme="minorEastAsia" w:cstheme="minorEastAsia"/>
          <w:color w:val="333333"/>
          <w:sz w:val="28"/>
          <w:szCs w:val="28"/>
          <w:shd w:val="clear" w:color="auto" w:fill="FFFFFF"/>
        </w:rPr>
        <w:t>在全县范围内组织开展“植物检疫宣传周”系列活动。重点走访了水果、蔬菜、水稻种子、蔬菜种子批发点以及种子种苗繁育地、特色水果黄桃批发点，派出植物检疫宣传车，开展巡回宣传咨询活动12次，并借助炎陵视台，炎陵农技报等媒体加强宣传。为农民群众和种子经营业户介绍植物检疫法规知识和产地检疫、调运检疫及市场检疫办事注意事项，发放了《植物检疫知识问答》、《产地检疫办事指南》、《调运检疫办事指南》等资料</w:t>
      </w:r>
      <w:r>
        <w:rPr>
          <w:rFonts w:hint="eastAsia" w:asciiTheme="minorEastAsia" w:hAnsiTheme="minorEastAsia" w:eastAsiaTheme="minorEastAsia" w:cstheme="minorEastAsia"/>
          <w:color w:val="333333"/>
          <w:sz w:val="28"/>
          <w:szCs w:val="28"/>
          <w:shd w:val="clear" w:color="auto" w:fill="FFFFFF"/>
          <w:lang w:eastAsia="zh-CN"/>
        </w:rPr>
        <w:t>。</w:t>
      </w:r>
    </w:p>
    <w:p>
      <w:pPr>
        <w:adjustRightInd w:val="0"/>
        <w:snapToGrid w:val="0"/>
        <w:spacing w:line="560" w:lineRule="exact"/>
        <w:ind w:firstLine="560" w:firstLineChars="200"/>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四、项目绩效情况</w:t>
      </w:r>
    </w:p>
    <w:p>
      <w:pPr>
        <w:widowControl/>
        <w:tabs>
          <w:tab w:val="left" w:pos="360"/>
        </w:tabs>
        <w:spacing w:line="5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虽然资金有限，但通过不懈努力，通过省、市植保站给予技术和资金上的支持，2018年里，</w:t>
      </w:r>
      <w:r>
        <w:rPr>
          <w:rFonts w:hint="eastAsia" w:asciiTheme="minorEastAsia" w:hAnsiTheme="minorEastAsia" w:eastAsiaTheme="minorEastAsia" w:cstheme="minorEastAsia"/>
          <w:sz w:val="28"/>
          <w:szCs w:val="28"/>
        </w:rPr>
        <w:t>科学制定</w:t>
      </w:r>
      <w:r>
        <w:rPr>
          <w:rFonts w:hint="eastAsia" w:asciiTheme="minorEastAsia" w:hAnsiTheme="minorEastAsia" w:eastAsiaTheme="minorEastAsia" w:cstheme="minorEastAsia"/>
          <w:sz w:val="28"/>
          <w:szCs w:val="28"/>
          <w:lang w:eastAsia="zh-CN"/>
        </w:rPr>
        <w:t>了农作物</w:t>
      </w:r>
      <w:r>
        <w:rPr>
          <w:rFonts w:hint="eastAsia" w:asciiTheme="minorEastAsia" w:hAnsiTheme="minorEastAsia" w:eastAsiaTheme="minorEastAsia" w:cstheme="minorEastAsia"/>
          <w:sz w:val="28"/>
          <w:szCs w:val="28"/>
        </w:rPr>
        <w:t>病虫防控方案，指导大面积防治，确保重大农作物病虫害不大面积暴发成灾，病虫危害总体损失率控制在5%以内，单病虫危害损失率控制在3%以内；组织做好稻飞虱、稻纵卷叶螟、稻瘟病与南方水稻黑条矮缩病等迁飞性、流行性病虫害的应急防治；组织开展水稻等病虫害防控新技术示范和农民培训，大力推广高效低毒环境友好型农药，提高科学安全用药水平，带动农民提高病虫防治水平。</w:t>
      </w:r>
    </w:p>
    <w:p>
      <w:pPr>
        <w:adjustRightInd w:val="0"/>
        <w:snapToGrid w:val="0"/>
        <w:spacing w:line="560" w:lineRule="exact"/>
        <w:ind w:firstLine="560" w:firstLineChars="200"/>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五、其他需要说明的问题</w:t>
      </w:r>
    </w:p>
    <w:p>
      <w:pPr>
        <w:adjustRightInd w:val="0"/>
        <w:snapToGrid w:val="0"/>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（一）后续工作计划。</w:t>
      </w:r>
    </w:p>
    <w:p>
      <w:pPr>
        <w:adjustRightInd w:val="0"/>
        <w:snapToGrid w:val="0"/>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植保工作</w:t>
      </w:r>
      <w:r>
        <w:rPr>
          <w:rFonts w:hint="eastAsia" w:asciiTheme="minorEastAsia" w:hAnsiTheme="minorEastAsia" w:eastAsiaTheme="minorEastAsia" w:cstheme="minorEastAsia"/>
          <w:sz w:val="28"/>
          <w:szCs w:val="28"/>
          <w:lang w:eastAsia="zh-CN"/>
        </w:rPr>
        <w:t>继续</w:t>
      </w:r>
      <w:r>
        <w:rPr>
          <w:rFonts w:hint="eastAsia" w:asciiTheme="minorEastAsia" w:hAnsiTheme="minorEastAsia" w:eastAsiaTheme="minorEastAsia" w:cstheme="minorEastAsia"/>
          <w:sz w:val="28"/>
          <w:szCs w:val="28"/>
        </w:rPr>
        <w:t>紧紧围绕 “预防为主，综合防治”的方针，牢固树立 “绿色植保，公共植保”的理念，确保农业生产、农产品质量和生态环境安全。确保重大农作物病虫害不大面积暴发成灾，水稻病虫危害总体损失率控制在5%以内，单病虫危害损失率控制在3%以内</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组织开展水稻等病虫害防控新技术示范和农民培训，大力推广高效低毒环境友好型农药，提高科学安全用药水平，带动农民提高病虫防治水平</w:t>
      </w:r>
      <w:r>
        <w:rPr>
          <w:rFonts w:hint="eastAsia" w:asciiTheme="minorEastAsia" w:hAnsiTheme="minorEastAsia" w:eastAsiaTheme="minorEastAsia" w:cstheme="minorEastAsia"/>
          <w:sz w:val="28"/>
          <w:szCs w:val="28"/>
          <w:lang w:eastAsia="zh-CN"/>
        </w:rPr>
        <w:t>。搞好全县病虫预测预报和防治工作，大力发展病虫害绿色防控的应用推广和病虫害专业化统防统治，为我县农业生产保驾护航。</w:t>
      </w:r>
    </w:p>
    <w:p>
      <w:pPr>
        <w:numPr>
          <w:ilvl w:val="0"/>
          <w:numId w:val="3"/>
        </w:numPr>
        <w:adjustRightInd w:val="0"/>
        <w:snapToGrid w:val="0"/>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主要经验做法、存在的问题和建议。</w:t>
      </w:r>
    </w:p>
    <w:p>
      <w:pPr>
        <w:numPr>
          <w:ilvl w:val="0"/>
          <w:numId w:val="0"/>
        </w:numPr>
        <w:adjustRightInd w:val="0"/>
        <w:snapToGrid w:val="0"/>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全县植保工作是个复杂而繁重的工作，加上炎陵县种植结构复杂，病虫害发生情况复杂。目前植保站人员配备只有</w:t>
      </w:r>
      <w:r>
        <w:rPr>
          <w:rFonts w:hint="eastAsia" w:asciiTheme="minorEastAsia" w:hAnsiTheme="minorEastAsia" w:eastAsiaTheme="minorEastAsia" w:cstheme="minorEastAsia"/>
          <w:sz w:val="28"/>
          <w:szCs w:val="28"/>
          <w:lang w:val="en-US" w:eastAsia="zh-CN"/>
        </w:rPr>
        <w:t>2人，技术人员1人，无法适应炎陵县农业生产需要</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另外资金紧张，无法开展工作。</w:t>
      </w:r>
    </w:p>
    <w:p>
      <w:pPr>
        <w:numPr>
          <w:ilvl w:val="0"/>
          <w:numId w:val="0"/>
        </w:numPr>
        <w:adjustRightInd w:val="0"/>
        <w:snapToGrid w:val="0"/>
        <w:spacing w:line="560" w:lineRule="exact"/>
        <w:ind w:firstLine="640" w:firstLineChars="200"/>
        <w:rPr>
          <w:rFonts w:hint="eastAsia" w:eastAsia="仿宋_GB2312"/>
          <w:sz w:val="32"/>
          <w:szCs w:val="32"/>
          <w:lang w:eastAsia="zh-CN"/>
        </w:rPr>
      </w:pPr>
    </w:p>
    <w:p>
      <w:pPr>
        <w:numPr>
          <w:ilvl w:val="0"/>
          <w:numId w:val="0"/>
        </w:numPr>
        <w:adjustRightInd w:val="0"/>
        <w:snapToGrid w:val="0"/>
        <w:spacing w:line="560" w:lineRule="exact"/>
        <w:ind w:firstLine="640" w:firstLineChars="200"/>
        <w:rPr>
          <w:rFonts w:hint="eastAsia" w:eastAsia="仿宋_GB2312"/>
          <w:sz w:val="32"/>
          <w:szCs w:val="32"/>
          <w:lang w:eastAsia="zh-CN"/>
        </w:rPr>
      </w:pPr>
    </w:p>
    <w:p>
      <w:pPr>
        <w:numPr>
          <w:ilvl w:val="0"/>
          <w:numId w:val="0"/>
        </w:numPr>
        <w:adjustRightInd w:val="0"/>
        <w:snapToGrid w:val="0"/>
        <w:spacing w:line="560" w:lineRule="exact"/>
        <w:ind w:firstLine="640" w:firstLineChars="200"/>
        <w:rPr>
          <w:rFonts w:hint="eastAsia" w:eastAsia="仿宋_GB2312"/>
          <w:sz w:val="32"/>
          <w:szCs w:val="32"/>
          <w:lang w:eastAsia="zh-CN"/>
        </w:rPr>
      </w:pPr>
    </w:p>
    <w:p>
      <w:pPr>
        <w:numPr>
          <w:ilvl w:val="0"/>
          <w:numId w:val="0"/>
        </w:numPr>
        <w:adjustRightInd w:val="0"/>
        <w:snapToGrid w:val="0"/>
        <w:spacing w:line="560" w:lineRule="exact"/>
        <w:ind w:firstLine="640" w:firstLineChars="200"/>
        <w:rPr>
          <w:rFonts w:hint="eastAsia" w:eastAsia="仿宋_GB2312"/>
          <w:sz w:val="32"/>
          <w:szCs w:val="32"/>
          <w:lang w:eastAsia="zh-CN"/>
        </w:rPr>
      </w:pPr>
    </w:p>
    <w:p>
      <w:pPr>
        <w:numPr>
          <w:ilvl w:val="0"/>
          <w:numId w:val="0"/>
        </w:numPr>
        <w:adjustRightInd w:val="0"/>
        <w:snapToGrid w:val="0"/>
        <w:spacing w:line="560" w:lineRule="exact"/>
        <w:ind w:firstLine="640" w:firstLineChars="200"/>
        <w:rPr>
          <w:rFonts w:hint="eastAsia" w:eastAsia="仿宋_GB2312"/>
          <w:sz w:val="32"/>
          <w:szCs w:val="32"/>
          <w:lang w:eastAsia="zh-CN"/>
        </w:rPr>
      </w:pPr>
    </w:p>
    <w:p>
      <w:pPr>
        <w:numPr>
          <w:ilvl w:val="0"/>
          <w:numId w:val="0"/>
        </w:numPr>
        <w:adjustRightInd w:val="0"/>
        <w:snapToGrid w:val="0"/>
        <w:spacing w:line="560" w:lineRule="exact"/>
        <w:ind w:firstLine="640" w:firstLineChars="200"/>
        <w:rPr>
          <w:rFonts w:hint="eastAsia" w:eastAsia="仿宋_GB2312"/>
          <w:sz w:val="32"/>
          <w:szCs w:val="32"/>
          <w:lang w:eastAsia="zh-CN"/>
        </w:rPr>
      </w:pPr>
    </w:p>
    <w:p>
      <w:pPr>
        <w:numPr>
          <w:ilvl w:val="0"/>
          <w:numId w:val="0"/>
        </w:numPr>
        <w:adjustRightInd w:val="0"/>
        <w:snapToGrid w:val="0"/>
        <w:spacing w:line="560" w:lineRule="exact"/>
        <w:ind w:firstLine="640" w:firstLineChars="200"/>
        <w:rPr>
          <w:rFonts w:hint="eastAsia" w:eastAsia="仿宋_GB2312"/>
          <w:sz w:val="32"/>
          <w:szCs w:val="32"/>
          <w:lang w:eastAsia="zh-CN"/>
        </w:rPr>
      </w:pPr>
    </w:p>
    <w:p>
      <w:pPr>
        <w:numPr>
          <w:ilvl w:val="0"/>
          <w:numId w:val="0"/>
        </w:numPr>
        <w:adjustRightInd w:val="0"/>
        <w:snapToGrid w:val="0"/>
        <w:spacing w:line="560" w:lineRule="exact"/>
        <w:ind w:firstLine="640" w:firstLineChars="200"/>
        <w:rPr>
          <w:rFonts w:hint="eastAsia" w:eastAsia="仿宋_GB2312"/>
          <w:sz w:val="32"/>
          <w:szCs w:val="32"/>
          <w:lang w:eastAsia="zh-CN"/>
        </w:rPr>
      </w:pPr>
    </w:p>
    <w:p>
      <w:pPr>
        <w:numPr>
          <w:ilvl w:val="0"/>
          <w:numId w:val="0"/>
        </w:numPr>
        <w:adjustRightInd w:val="0"/>
        <w:snapToGrid w:val="0"/>
        <w:spacing w:line="560" w:lineRule="exact"/>
        <w:ind w:firstLine="640" w:firstLineChars="200"/>
        <w:rPr>
          <w:rFonts w:hint="eastAsia" w:eastAsia="仿宋_GB2312"/>
          <w:sz w:val="32"/>
          <w:szCs w:val="32"/>
          <w:lang w:eastAsia="zh-CN"/>
        </w:rPr>
      </w:pPr>
    </w:p>
    <w:p>
      <w:pPr>
        <w:numPr>
          <w:ilvl w:val="0"/>
          <w:numId w:val="0"/>
        </w:numPr>
        <w:adjustRightInd w:val="0"/>
        <w:snapToGrid w:val="0"/>
        <w:spacing w:line="560" w:lineRule="exact"/>
        <w:ind w:firstLine="640" w:firstLineChars="200"/>
        <w:rPr>
          <w:rFonts w:hint="eastAsia" w:eastAsia="仿宋_GB2312"/>
          <w:sz w:val="32"/>
          <w:szCs w:val="32"/>
          <w:lang w:eastAsia="zh-CN"/>
        </w:rPr>
      </w:pPr>
    </w:p>
    <w:p>
      <w:pPr>
        <w:numPr>
          <w:ilvl w:val="0"/>
          <w:numId w:val="0"/>
        </w:numPr>
        <w:adjustRightInd w:val="0"/>
        <w:snapToGrid w:val="0"/>
        <w:spacing w:line="560" w:lineRule="exact"/>
        <w:ind w:firstLine="640" w:firstLineChars="200"/>
        <w:rPr>
          <w:rFonts w:hint="eastAsia" w:eastAsia="仿宋_GB2312"/>
          <w:sz w:val="32"/>
          <w:szCs w:val="32"/>
          <w:lang w:eastAsia="zh-CN"/>
        </w:rPr>
      </w:pPr>
    </w:p>
    <w:p>
      <w:pPr>
        <w:numPr>
          <w:ilvl w:val="0"/>
          <w:numId w:val="0"/>
        </w:numPr>
        <w:adjustRightInd w:val="0"/>
        <w:snapToGrid w:val="0"/>
        <w:spacing w:line="560" w:lineRule="exact"/>
        <w:ind w:firstLine="640" w:firstLineChars="200"/>
        <w:rPr>
          <w:rFonts w:hint="eastAsia" w:eastAsia="仿宋_GB2312"/>
          <w:sz w:val="32"/>
          <w:szCs w:val="32"/>
          <w:lang w:eastAsia="zh-CN"/>
        </w:rPr>
      </w:pPr>
    </w:p>
    <w:p>
      <w:pPr>
        <w:numPr>
          <w:ilvl w:val="0"/>
          <w:numId w:val="0"/>
        </w:numPr>
        <w:adjustRightInd w:val="0"/>
        <w:snapToGrid w:val="0"/>
        <w:spacing w:line="560" w:lineRule="exact"/>
        <w:ind w:firstLine="640" w:firstLineChars="200"/>
        <w:rPr>
          <w:rFonts w:hint="eastAsia" w:eastAsia="仿宋_GB2312"/>
          <w:sz w:val="32"/>
          <w:szCs w:val="32"/>
          <w:lang w:eastAsia="zh-CN"/>
        </w:rPr>
      </w:pPr>
    </w:p>
    <w:p>
      <w:pPr>
        <w:numPr>
          <w:ilvl w:val="0"/>
          <w:numId w:val="0"/>
        </w:numPr>
        <w:adjustRightInd w:val="0"/>
        <w:snapToGrid w:val="0"/>
        <w:spacing w:line="560" w:lineRule="exact"/>
        <w:ind w:firstLine="640" w:firstLineChars="200"/>
        <w:rPr>
          <w:rFonts w:hint="eastAsia" w:eastAsia="仿宋_GB2312"/>
          <w:sz w:val="32"/>
          <w:szCs w:val="32"/>
          <w:lang w:eastAsia="zh-CN"/>
        </w:rPr>
      </w:pPr>
    </w:p>
    <w:tbl>
      <w:tblPr>
        <w:tblStyle w:val="2"/>
        <w:tblW w:w="9076" w:type="dxa"/>
        <w:tblInd w:w="-346" w:type="dxa"/>
        <w:tblLayout w:type="fixed"/>
        <w:tblCellMar>
          <w:top w:w="0" w:type="dxa"/>
          <w:left w:w="0" w:type="dxa"/>
          <w:bottom w:w="0" w:type="dxa"/>
          <w:right w:w="0" w:type="dxa"/>
        </w:tblCellMar>
      </w:tblPr>
      <w:tblGrid>
        <w:gridCol w:w="854"/>
        <w:gridCol w:w="887"/>
        <w:gridCol w:w="1213"/>
        <w:gridCol w:w="1697"/>
        <w:gridCol w:w="876"/>
        <w:gridCol w:w="1164"/>
        <w:gridCol w:w="735"/>
        <w:gridCol w:w="216"/>
        <w:gridCol w:w="1434"/>
      </w:tblGrid>
      <w:tr>
        <w:tblPrEx>
          <w:tblLayout w:type="fixed"/>
          <w:tblCellMar>
            <w:top w:w="0" w:type="dxa"/>
            <w:left w:w="0" w:type="dxa"/>
            <w:bottom w:w="0" w:type="dxa"/>
            <w:right w:w="0" w:type="dxa"/>
          </w:tblCellMar>
        </w:tblPrEx>
        <w:trPr>
          <w:trHeight w:val="680" w:hRule="atLeast"/>
        </w:trPr>
        <w:tc>
          <w:tcPr>
            <w:tcW w:w="9076" w:type="dxa"/>
            <w:gridSpan w:val="9"/>
            <w:tcBorders>
              <w:top w:val="nil"/>
              <w:left w:val="nil"/>
              <w:bottom w:val="nil"/>
              <w:right w:val="nil"/>
            </w:tcBorders>
            <w:noWrap w:val="0"/>
            <w:tcMar>
              <w:top w:w="15" w:type="dxa"/>
              <w:left w:w="15" w:type="dxa"/>
              <w:right w:w="15" w:type="dxa"/>
            </w:tcMar>
            <w:vAlign w:val="center"/>
          </w:tcPr>
          <w:p>
            <w:pPr>
              <w:widowControl/>
              <w:spacing w:line="320" w:lineRule="exact"/>
              <w:textAlignment w:val="center"/>
              <w:rPr>
                <w:rFonts w:hint="eastAsia" w:ascii="方正小标宋简体" w:hAnsi="方正小标宋简体" w:eastAsia="方正小标宋简体" w:cs="方正小标宋简体"/>
                <w:color w:val="000000"/>
                <w:kern w:val="0"/>
                <w:sz w:val="44"/>
                <w:szCs w:val="44"/>
                <w:lang w:bidi="ar"/>
              </w:rPr>
            </w:pPr>
            <w:r>
              <w:rPr>
                <w:rFonts w:hAnsi="黑体" w:eastAsia="黑体"/>
                <w:kern w:val="0"/>
                <w:sz w:val="28"/>
                <w:szCs w:val="28"/>
              </w:rPr>
              <w:t>附件</w:t>
            </w:r>
            <w:r>
              <w:rPr>
                <w:rFonts w:eastAsia="黑体"/>
                <w:kern w:val="0"/>
                <w:sz w:val="28"/>
                <w:szCs w:val="28"/>
              </w:rPr>
              <w:t>2</w:t>
            </w:r>
          </w:p>
          <w:p>
            <w:pPr>
              <w:widowControl/>
              <w:spacing w:line="480" w:lineRule="exact"/>
              <w:ind w:firstLine="2640" w:firstLineChars="600"/>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bidi="ar"/>
              </w:rPr>
              <w:t xml:space="preserve">绩效目标自评表 </w:t>
            </w:r>
          </w:p>
        </w:tc>
      </w:tr>
      <w:tr>
        <w:tblPrEx>
          <w:tblLayout w:type="fixed"/>
          <w:tblCellMar>
            <w:top w:w="0" w:type="dxa"/>
            <w:left w:w="0" w:type="dxa"/>
            <w:bottom w:w="0" w:type="dxa"/>
            <w:right w:w="0" w:type="dxa"/>
          </w:tblCellMar>
        </w:tblPrEx>
        <w:trPr>
          <w:trHeight w:val="90" w:hRule="atLeast"/>
        </w:trPr>
        <w:tc>
          <w:tcPr>
            <w:tcW w:w="9076" w:type="dxa"/>
            <w:gridSpan w:val="9"/>
            <w:tcBorders>
              <w:top w:val="nil"/>
              <w:left w:val="nil"/>
              <w:bottom w:val="nil"/>
              <w:right w:val="nil"/>
            </w:tcBorders>
            <w:noWrap w:val="0"/>
            <w:tcMar>
              <w:top w:w="15" w:type="dxa"/>
              <w:left w:w="15" w:type="dxa"/>
              <w:right w:w="15" w:type="dxa"/>
            </w:tcMar>
            <w:vAlign w:val="center"/>
          </w:tcPr>
          <w:p>
            <w:pPr>
              <w:widowControl/>
              <w:spacing w:line="32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（2018年度）</w:t>
            </w:r>
          </w:p>
        </w:tc>
      </w:tr>
      <w:tr>
        <w:tblPrEx>
          <w:tblLayout w:type="fixed"/>
          <w:tblCellMar>
            <w:top w:w="0" w:type="dxa"/>
            <w:left w:w="0" w:type="dxa"/>
            <w:bottom w:w="0" w:type="dxa"/>
            <w:right w:w="0" w:type="dxa"/>
          </w:tblCellMar>
        </w:tblPrEx>
        <w:trPr>
          <w:trHeight w:val="227" w:hRule="atLeast"/>
        </w:trPr>
        <w:tc>
          <w:tcPr>
            <w:tcW w:w="29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r>
              <w:rPr>
                <w:rFonts w:hint="eastAsia" w:ascii="宋体" w:hAnsi="宋体" w:cs="宋体"/>
                <w:color w:val="000000"/>
                <w:sz w:val="20"/>
                <w:szCs w:val="20"/>
              </w:rPr>
              <w:t xml:space="preserve">部门整体支出绩效综合评价报告表  </w:t>
            </w:r>
          </w:p>
        </w:tc>
        <w:tc>
          <w:tcPr>
            <w:tcW w:w="18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项目负责人及电话</w:t>
            </w:r>
          </w:p>
        </w:tc>
        <w:tc>
          <w:tcPr>
            <w:tcW w:w="16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r>
              <w:rPr>
                <w:rFonts w:hint="eastAsia" w:ascii="宋体" w:hAnsi="宋体" w:cs="宋体"/>
                <w:color w:val="000000"/>
                <w:sz w:val="20"/>
                <w:szCs w:val="20"/>
              </w:rPr>
              <w:t>夏永华13975320863</w:t>
            </w:r>
          </w:p>
        </w:tc>
      </w:tr>
      <w:tr>
        <w:tblPrEx>
          <w:tblLayout w:type="fixed"/>
          <w:tblCellMar>
            <w:top w:w="0" w:type="dxa"/>
            <w:left w:w="0" w:type="dxa"/>
            <w:bottom w:w="0" w:type="dxa"/>
            <w:right w:w="0" w:type="dxa"/>
          </w:tblCellMar>
        </w:tblPrEx>
        <w:trPr>
          <w:trHeight w:val="180" w:hRule="atLeast"/>
        </w:trPr>
        <w:tc>
          <w:tcPr>
            <w:tcW w:w="29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主管部门</w:t>
            </w: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18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实施单位</w:t>
            </w:r>
          </w:p>
        </w:tc>
        <w:tc>
          <w:tcPr>
            <w:tcW w:w="16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500" w:hRule="atLeast"/>
        </w:trPr>
        <w:tc>
          <w:tcPr>
            <w:tcW w:w="2954"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资金情况</w:t>
            </w:r>
          </w:p>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（万元）</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全年预算数（A）</w:t>
            </w:r>
          </w:p>
        </w:tc>
        <w:tc>
          <w:tcPr>
            <w:tcW w:w="21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全年执行数（B）</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执行率（B/A)</w:t>
            </w:r>
          </w:p>
        </w:tc>
      </w:tr>
      <w:tr>
        <w:tblPrEx>
          <w:tblLayout w:type="fixed"/>
          <w:tblCellMar>
            <w:top w:w="0" w:type="dxa"/>
            <w:left w:w="0" w:type="dxa"/>
            <w:bottom w:w="0" w:type="dxa"/>
            <w:right w:w="0" w:type="dxa"/>
          </w:tblCellMar>
        </w:tblPrEx>
        <w:trPr>
          <w:trHeight w:val="270" w:hRule="atLeast"/>
        </w:trPr>
        <w:tc>
          <w:tcPr>
            <w:tcW w:w="2954" w:type="dxa"/>
            <w:gridSpan w:val="3"/>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年度资金总额：</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r>
              <w:rPr>
                <w:rFonts w:hint="eastAsia" w:ascii="宋体" w:hAnsi="宋体" w:cs="宋体"/>
                <w:color w:val="000000"/>
                <w:sz w:val="20"/>
                <w:szCs w:val="20"/>
              </w:rPr>
              <w:t>5万元</w:t>
            </w:r>
          </w:p>
        </w:tc>
        <w:tc>
          <w:tcPr>
            <w:tcW w:w="21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1</w:t>
            </w:r>
            <w:r>
              <w:rPr>
                <w:rFonts w:hint="eastAsia" w:ascii="宋体" w:hAnsi="宋体" w:cs="宋体"/>
                <w:color w:val="000000"/>
                <w:sz w:val="20"/>
                <w:szCs w:val="20"/>
                <w:lang w:eastAsia="zh-CN"/>
              </w:rPr>
              <w:t>万元</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ind w:firstLine="400" w:firstLineChars="200"/>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w:t>
            </w:r>
          </w:p>
        </w:tc>
      </w:tr>
      <w:tr>
        <w:tblPrEx>
          <w:tblLayout w:type="fixed"/>
          <w:tblCellMar>
            <w:top w:w="0" w:type="dxa"/>
            <w:left w:w="0" w:type="dxa"/>
            <w:bottom w:w="0" w:type="dxa"/>
            <w:right w:w="0" w:type="dxa"/>
          </w:tblCellMar>
        </w:tblPrEx>
        <w:trPr>
          <w:trHeight w:val="480" w:hRule="atLeast"/>
        </w:trPr>
        <w:tc>
          <w:tcPr>
            <w:tcW w:w="2954" w:type="dxa"/>
            <w:gridSpan w:val="3"/>
            <w:vMerge w:val="continue"/>
            <w:tcBorders>
              <w:left w:val="single" w:color="000000" w:sz="4" w:space="0"/>
              <w:right w:val="single" w:color="000000" w:sz="4" w:space="0"/>
            </w:tcBorders>
            <w:noWrap w:val="0"/>
            <w:tcMar>
              <w:top w:w="15" w:type="dxa"/>
              <w:left w:w="15" w:type="dxa"/>
              <w:right w:w="15" w:type="dxa"/>
            </w:tcMar>
            <w:vAlign w:val="center"/>
          </w:tcPr>
          <w:p>
            <w:pPr>
              <w:spacing w:line="280" w:lineRule="exact"/>
              <w:rPr>
                <w:rFonts w:hint="eastAsia" w:ascii="宋体" w:hAnsi="宋体" w:cs="宋体"/>
                <w:color w:val="000000"/>
                <w:sz w:val="22"/>
                <w:szCs w:val="22"/>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其中：本年财政拨款</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r>
              <w:rPr>
                <w:rFonts w:hint="eastAsia" w:ascii="宋体" w:hAnsi="宋体" w:cs="宋体"/>
                <w:color w:val="000000"/>
                <w:sz w:val="20"/>
                <w:szCs w:val="20"/>
                <w:lang w:val="en-US" w:eastAsia="zh-CN"/>
              </w:rPr>
              <w:t>5</w:t>
            </w:r>
            <w:r>
              <w:rPr>
                <w:rFonts w:hint="eastAsia" w:ascii="宋体" w:hAnsi="宋体" w:cs="宋体"/>
                <w:color w:val="000000"/>
                <w:sz w:val="20"/>
                <w:szCs w:val="20"/>
              </w:rPr>
              <w:t>万元</w:t>
            </w:r>
          </w:p>
        </w:tc>
        <w:tc>
          <w:tcPr>
            <w:tcW w:w="21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1万元(财政收回指标4万元）</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ind w:firstLine="400" w:firstLineChars="200"/>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w:t>
            </w:r>
          </w:p>
        </w:tc>
      </w:tr>
      <w:tr>
        <w:tblPrEx>
          <w:tblLayout w:type="fixed"/>
          <w:tblCellMar>
            <w:top w:w="0" w:type="dxa"/>
            <w:left w:w="0" w:type="dxa"/>
            <w:bottom w:w="0" w:type="dxa"/>
            <w:right w:w="0" w:type="dxa"/>
          </w:tblCellMar>
        </w:tblPrEx>
        <w:trPr>
          <w:trHeight w:val="227" w:hRule="atLeast"/>
        </w:trPr>
        <w:tc>
          <w:tcPr>
            <w:tcW w:w="2954"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rPr>
                <w:rFonts w:hint="eastAsia" w:ascii="宋体" w:hAnsi="宋体" w:cs="宋体"/>
                <w:color w:val="000000"/>
                <w:sz w:val="22"/>
                <w:szCs w:val="22"/>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其他资金</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1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70" w:hRule="atLeast"/>
        </w:trPr>
        <w:tc>
          <w:tcPr>
            <w:tcW w:w="8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年度总体目标</w:t>
            </w:r>
          </w:p>
        </w:tc>
        <w:tc>
          <w:tcPr>
            <w:tcW w:w="467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年初设定目标</w:t>
            </w:r>
          </w:p>
        </w:tc>
        <w:tc>
          <w:tcPr>
            <w:tcW w:w="35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年度总体目标完成情况综述</w:t>
            </w:r>
          </w:p>
        </w:tc>
      </w:tr>
      <w:tr>
        <w:tblPrEx>
          <w:tblLayout w:type="fixed"/>
          <w:tblCellMar>
            <w:top w:w="0" w:type="dxa"/>
            <w:left w:w="0" w:type="dxa"/>
            <w:bottom w:w="0" w:type="dxa"/>
            <w:right w:w="0" w:type="dxa"/>
          </w:tblCellMar>
        </w:tblPrEx>
        <w:trPr>
          <w:trHeight w:val="305"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467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确保将病虫危为害的总体损失控制在5%以内；确保没有连片5亩病虫为害绝收，单个病虫损失在3%以下；</w:t>
            </w:r>
            <w:r>
              <w:rPr>
                <w:rFonts w:hint="eastAsia" w:asciiTheme="minorEastAsia" w:hAnsiTheme="minorEastAsia" w:eastAsiaTheme="minorEastAsia" w:cstheme="minorEastAsia"/>
                <w:sz w:val="18"/>
                <w:szCs w:val="18"/>
              </w:rPr>
              <w:t>大力推广高效低毒环境友好型农药，提高科学安全用药水平，带动农民提高病虫防治水平。</w:t>
            </w:r>
          </w:p>
        </w:tc>
        <w:tc>
          <w:tcPr>
            <w:tcW w:w="35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tabs>
                <w:tab w:val="left" w:pos="360"/>
              </w:tabs>
              <w:kinsoku/>
              <w:wordWrap/>
              <w:overflowPunct/>
              <w:topLinePunct w:val="0"/>
              <w:autoSpaceDE/>
              <w:autoSpaceDN/>
              <w:bidi w:val="0"/>
              <w:adjustRightInd/>
              <w:snapToGrid/>
              <w:spacing w:line="240" w:lineRule="atLeast"/>
              <w:ind w:firstLine="400" w:firstLineChars="200"/>
              <w:jc w:val="left"/>
              <w:textAlignment w:val="auto"/>
              <w:rPr>
                <w:rFonts w:hint="eastAsia" w:asciiTheme="minorEastAsia" w:hAnsiTheme="minorEastAsia" w:eastAsiaTheme="minorEastAsia" w:cstheme="minorEastAsia"/>
                <w:sz w:val="18"/>
                <w:szCs w:val="18"/>
              </w:rPr>
            </w:pPr>
            <w:r>
              <w:rPr>
                <w:rFonts w:hint="eastAsia" w:ascii="宋体" w:hAnsi="宋体" w:cs="宋体"/>
                <w:color w:val="000000"/>
                <w:sz w:val="20"/>
                <w:szCs w:val="20"/>
                <w:lang w:eastAsia="zh-CN"/>
              </w:rPr>
              <w:t>通过项目的实施，</w:t>
            </w:r>
            <w:r>
              <w:rPr>
                <w:rFonts w:hint="eastAsia" w:asciiTheme="minorEastAsia" w:hAnsiTheme="minorEastAsia" w:eastAsiaTheme="minorEastAsia" w:cstheme="minorEastAsia"/>
                <w:sz w:val="18"/>
                <w:szCs w:val="18"/>
              </w:rPr>
              <w:t>科学制定</w:t>
            </w:r>
            <w:r>
              <w:rPr>
                <w:rFonts w:hint="eastAsia" w:asciiTheme="minorEastAsia" w:hAnsiTheme="minorEastAsia" w:eastAsiaTheme="minorEastAsia" w:cstheme="minorEastAsia"/>
                <w:sz w:val="18"/>
                <w:szCs w:val="18"/>
                <w:lang w:eastAsia="zh-CN"/>
              </w:rPr>
              <w:t>了农作物</w:t>
            </w:r>
            <w:r>
              <w:rPr>
                <w:rFonts w:hint="eastAsia" w:asciiTheme="minorEastAsia" w:hAnsiTheme="minorEastAsia" w:eastAsiaTheme="minorEastAsia" w:cstheme="minorEastAsia"/>
                <w:sz w:val="18"/>
                <w:szCs w:val="18"/>
              </w:rPr>
              <w:t>病虫防控方案，指导大面积防治，确保重大农作物病虫害不大面积暴发成灾，病虫危害总体损失率控制在5%以内，单病虫危害损失率控制在3%以内；组织做好迁飞性、流行性病虫害的应急防治；组织开展水稻等病虫害防控新技术示范和农民培训，大力推广高效低毒环境友好型农药，提高科学安全用药水平，带动农民提高病虫防治水平。</w:t>
            </w:r>
          </w:p>
          <w:p>
            <w:pPr>
              <w:spacing w:line="280" w:lineRule="exact"/>
              <w:jc w:val="center"/>
              <w:rPr>
                <w:rFonts w:hint="eastAsia" w:ascii="宋体" w:hAnsi="宋体" w:eastAsia="宋体" w:cs="宋体"/>
                <w:color w:val="000000"/>
                <w:sz w:val="20"/>
                <w:szCs w:val="20"/>
                <w:lang w:eastAsia="zh-CN"/>
              </w:rPr>
            </w:pPr>
          </w:p>
        </w:tc>
      </w:tr>
      <w:tr>
        <w:tblPrEx>
          <w:tblLayout w:type="fixed"/>
          <w:tblCellMar>
            <w:top w:w="0" w:type="dxa"/>
            <w:left w:w="0" w:type="dxa"/>
            <w:bottom w:w="0" w:type="dxa"/>
            <w:right w:w="0" w:type="dxa"/>
          </w:tblCellMar>
        </w:tblPrEx>
        <w:trPr>
          <w:trHeight w:val="280" w:hRule="atLeast"/>
        </w:trPr>
        <w:tc>
          <w:tcPr>
            <w:tcW w:w="8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一级指标</w:t>
            </w: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二级指标</w:t>
            </w:r>
          </w:p>
        </w:tc>
        <w:tc>
          <w:tcPr>
            <w:tcW w:w="257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11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年度指标值</w:t>
            </w:r>
          </w:p>
        </w:tc>
        <w:tc>
          <w:tcPr>
            <w:tcW w:w="95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全年实际值</w:t>
            </w:r>
          </w:p>
        </w:tc>
        <w:tc>
          <w:tcPr>
            <w:tcW w:w="14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未完成原因及拟采取的改进措施</w:t>
            </w:r>
          </w:p>
        </w:tc>
      </w:tr>
      <w:tr>
        <w:tblPrEx>
          <w:tblLayout w:type="fixed"/>
          <w:tblCellMar>
            <w:top w:w="0" w:type="dxa"/>
            <w:left w:w="0" w:type="dxa"/>
            <w:bottom w:w="0" w:type="dxa"/>
            <w:right w:w="0" w:type="dxa"/>
          </w:tblCellMar>
        </w:tblPrEx>
        <w:trPr>
          <w:trHeight w:val="31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37"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产出指标</w:t>
            </w: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病虫害损失率</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控制在5%</w:t>
            </w:r>
            <w:r>
              <w:rPr>
                <w:rFonts w:hint="eastAsia" w:ascii="宋体" w:hAnsi="宋体" w:cs="宋体"/>
                <w:color w:val="000000"/>
                <w:sz w:val="20"/>
                <w:szCs w:val="20"/>
                <w:lang w:eastAsia="zh-CN"/>
              </w:rPr>
              <w:t>内</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3%以内</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eastAsia="zh-CN"/>
              </w:rPr>
              <w:t>财政收回指标</w:t>
            </w:r>
            <w:r>
              <w:rPr>
                <w:rFonts w:hint="eastAsia" w:ascii="宋体" w:hAnsi="宋体" w:cs="宋体"/>
                <w:color w:val="000000"/>
                <w:sz w:val="20"/>
                <w:szCs w:val="20"/>
                <w:lang w:val="en-US" w:eastAsia="zh-CN"/>
              </w:rPr>
              <w:t>4万元</w:t>
            </w: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both"/>
              <w:rPr>
                <w:rFonts w:hint="eastAsia" w:ascii="宋体" w:hAnsi="宋体" w:eastAsia="宋体" w:cs="宋体"/>
                <w:color w:val="000000"/>
                <w:sz w:val="20"/>
                <w:szCs w:val="20"/>
                <w:lang w:eastAsia="zh-CN"/>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default" w:ascii="宋体" w:hAnsi="宋体" w:eastAsia="宋体" w:cs="宋体"/>
                <w:color w:val="000000"/>
                <w:sz w:val="20"/>
                <w:szCs w:val="20"/>
                <w:lang w:val="en-US" w:eastAsia="zh-CN"/>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default" w:ascii="宋体" w:hAnsi="宋体" w:eastAsia="宋体" w:cs="宋体"/>
                <w:color w:val="000000"/>
                <w:sz w:val="20"/>
                <w:szCs w:val="20"/>
                <w:lang w:val="en-US" w:eastAsia="zh-CN"/>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r>
              <w:rPr>
                <w:rFonts w:hint="eastAsia" w:ascii="宋体" w:hAnsi="宋体" w:cs="宋体"/>
                <w:color w:val="000000"/>
                <w:sz w:val="20"/>
                <w:szCs w:val="20"/>
              </w:rPr>
              <w:t>优质产品</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r>
              <w:rPr>
                <w:rFonts w:hint="eastAsia" w:ascii="宋体" w:hAnsi="宋体" w:cs="宋体"/>
                <w:color w:val="000000"/>
                <w:sz w:val="20"/>
                <w:szCs w:val="20"/>
              </w:rPr>
              <w:t>大于95%</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r>
              <w:rPr>
                <w:rFonts w:hint="eastAsia" w:ascii="宋体" w:hAnsi="宋体" w:cs="宋体"/>
                <w:color w:val="000000"/>
                <w:sz w:val="20"/>
                <w:szCs w:val="20"/>
              </w:rPr>
              <w:t>大于95%</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项目服务时间</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1年</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r>
              <w:rPr>
                <w:rFonts w:hint="eastAsia" w:ascii="宋体" w:hAnsi="宋体" w:cs="宋体"/>
                <w:color w:val="000000"/>
                <w:sz w:val="20"/>
                <w:szCs w:val="20"/>
                <w:lang w:val="en-US" w:eastAsia="zh-CN"/>
              </w:rPr>
              <w:t>1年</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5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19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r>
              <w:rPr>
                <w:rFonts w:hint="eastAsia" w:ascii="宋体" w:hAnsi="宋体" w:cs="宋体"/>
                <w:color w:val="000000"/>
                <w:sz w:val="20"/>
                <w:szCs w:val="20"/>
              </w:rPr>
              <w:t>降低成本</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减少用药次数</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2次</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2-3次</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9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减少用药资金</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880万元</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1100万元</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16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经济效益指标</w:t>
            </w: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经济效益指标</w:t>
            </w: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r>
              <w:rPr>
                <w:rFonts w:hint="eastAsia" w:ascii="宋体" w:hAnsi="宋体" w:cs="宋体"/>
                <w:color w:val="000000"/>
                <w:sz w:val="20"/>
                <w:szCs w:val="20"/>
                <w:lang w:eastAsia="zh-CN"/>
              </w:rPr>
              <w:t>减损增收</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r>
              <w:rPr>
                <w:rFonts w:hint="eastAsia" w:ascii="宋体" w:hAnsi="宋体" w:cs="宋体"/>
                <w:color w:val="000000"/>
                <w:sz w:val="20"/>
                <w:szCs w:val="20"/>
                <w:lang w:val="en-US" w:eastAsia="zh-CN"/>
              </w:rPr>
              <w:t>1104万元</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r>
              <w:rPr>
                <w:rFonts w:hint="eastAsia" w:ascii="宋体" w:hAnsi="宋体" w:cs="宋体"/>
                <w:color w:val="000000"/>
                <w:sz w:val="20"/>
                <w:szCs w:val="20"/>
                <w:lang w:val="en-US" w:eastAsia="zh-CN"/>
              </w:rPr>
              <w:t>1545.6万元</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37"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r>
              <w:rPr>
                <w:rFonts w:hint="eastAsia" w:ascii="宋体" w:hAnsi="宋体" w:cs="宋体"/>
                <w:color w:val="000000"/>
                <w:sz w:val="20"/>
                <w:szCs w:val="20"/>
              </w:rPr>
              <w:t>农民人均增收</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90元</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120元</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eastAsia="宋体" w:cs="宋体"/>
                <w:color w:val="000000"/>
                <w:sz w:val="20"/>
                <w:szCs w:val="20"/>
                <w:lang w:eastAsia="zh-CN"/>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生态效益指标</w:t>
            </w: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农业生态环境</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eastAsia="宋体" w:cs="宋体"/>
                <w:color w:val="000000"/>
                <w:sz w:val="20"/>
                <w:szCs w:val="20"/>
                <w:lang w:eastAsia="zh-CN"/>
              </w:rPr>
            </w:pPr>
            <w:r>
              <w:rPr>
                <w:rFonts w:hint="eastAsia" w:ascii="宋体" w:hAnsi="宋体" w:cs="宋体"/>
                <w:color w:val="000000"/>
                <w:sz w:val="20"/>
                <w:szCs w:val="20"/>
              </w:rPr>
              <w:t xml:space="preserve">     </w:t>
            </w:r>
            <w:r>
              <w:rPr>
                <w:rFonts w:hint="eastAsia" w:ascii="宋体" w:hAnsi="宋体" w:cs="宋体"/>
                <w:color w:val="000000"/>
                <w:sz w:val="20"/>
                <w:szCs w:val="20"/>
                <w:lang w:eastAsia="zh-CN"/>
              </w:rPr>
              <w:t>变好</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变好</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生物多样性</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eastAsia="zh-CN"/>
              </w:rPr>
              <w:t>增</w:t>
            </w:r>
            <w:r>
              <w:rPr>
                <w:rFonts w:hint="eastAsia" w:ascii="宋体" w:hAnsi="宋体" w:cs="宋体"/>
                <w:color w:val="000000"/>
                <w:sz w:val="20"/>
                <w:szCs w:val="20"/>
                <w:lang w:val="en-US" w:eastAsia="zh-CN"/>
              </w:rPr>
              <w:t>20%</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r>
              <w:rPr>
                <w:rFonts w:hint="eastAsia" w:ascii="宋体" w:hAnsi="宋体" w:cs="宋体"/>
                <w:color w:val="000000"/>
                <w:sz w:val="20"/>
                <w:szCs w:val="20"/>
                <w:lang w:eastAsia="zh-CN"/>
              </w:rPr>
              <w:t>增</w:t>
            </w:r>
            <w:r>
              <w:rPr>
                <w:rFonts w:hint="eastAsia" w:ascii="宋体" w:hAnsi="宋体" w:cs="宋体"/>
                <w:color w:val="000000"/>
                <w:sz w:val="20"/>
                <w:szCs w:val="20"/>
                <w:lang w:val="en-US" w:eastAsia="zh-CN"/>
              </w:rPr>
              <w:t>20%</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r>
              <w:rPr>
                <w:rFonts w:hint="eastAsia" w:ascii="宋体" w:hAnsi="宋体" w:cs="宋体"/>
                <w:color w:val="000000"/>
                <w:sz w:val="20"/>
                <w:szCs w:val="20"/>
              </w:rPr>
              <w:t>农药使用</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r>
              <w:rPr>
                <w:rFonts w:hint="eastAsia" w:ascii="宋体" w:hAnsi="宋体" w:cs="宋体"/>
                <w:color w:val="000000"/>
                <w:sz w:val="20"/>
                <w:szCs w:val="20"/>
              </w:rPr>
              <w:t>减少20%</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r>
              <w:rPr>
                <w:rFonts w:hint="eastAsia" w:ascii="宋体" w:hAnsi="宋体" w:cs="宋体"/>
                <w:color w:val="000000"/>
                <w:sz w:val="20"/>
                <w:szCs w:val="20"/>
              </w:rPr>
              <w:t>减少20%</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9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37"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1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满意度指标</w:t>
            </w: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农民满意度</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r>
              <w:rPr>
                <w:rFonts w:hint="eastAsia" w:ascii="宋体" w:hAnsi="宋体" w:cs="宋体"/>
                <w:color w:val="000000"/>
                <w:sz w:val="20"/>
                <w:szCs w:val="20"/>
              </w:rPr>
              <w:t xml:space="preserve">    </w:t>
            </w:r>
            <w:r>
              <w:rPr>
                <w:rFonts w:hint="eastAsia" w:ascii="宋体" w:hAnsi="宋体" w:cs="宋体"/>
                <w:color w:val="000000"/>
                <w:sz w:val="20"/>
                <w:szCs w:val="20"/>
                <w:lang w:val="en-US" w:eastAsia="zh-CN"/>
              </w:rPr>
              <w:t>100%</w:t>
            </w:r>
            <w:r>
              <w:rPr>
                <w:rFonts w:hint="eastAsia" w:ascii="宋体" w:hAnsi="宋体" w:cs="宋体"/>
                <w:color w:val="000000"/>
                <w:sz w:val="20"/>
                <w:szCs w:val="20"/>
              </w:rPr>
              <w:t xml:space="preserve">  </w:t>
            </w: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100%</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spacing w:line="280" w:lineRule="exact"/>
              <w:jc w:val="center"/>
              <w:rPr>
                <w:rFonts w:hint="eastAsia" w:ascii="宋体" w:hAnsi="宋体" w:cs="宋体"/>
                <w:color w:val="000000"/>
                <w:sz w:val="20"/>
                <w:szCs w:val="20"/>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25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9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left"/>
              <w:rPr>
                <w:rFonts w:hint="eastAsia" w:ascii="宋体" w:hAnsi="宋体"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80" w:lineRule="exact"/>
              <w:jc w:val="center"/>
              <w:rPr>
                <w:rFonts w:hint="eastAsia" w:ascii="宋体" w:hAnsi="宋体" w:cs="宋体"/>
                <w:color w:val="000000"/>
                <w:sz w:val="20"/>
                <w:szCs w:val="20"/>
              </w:rPr>
            </w:pPr>
          </w:p>
        </w:tc>
      </w:tr>
    </w:tbl>
    <w:p/>
    <w:p>
      <w:pPr>
        <w:sectPr>
          <w:pgSz w:w="11906" w:h="16838"/>
          <w:pgMar w:top="1440" w:right="1800" w:bottom="1440" w:left="1800" w:header="851" w:footer="992" w:gutter="0"/>
          <w:pgNumType w:fmt="numberInDash"/>
          <w:cols w:space="720" w:num="1"/>
          <w:titlePg/>
          <w:docGrid w:type="lines" w:linePitch="312" w:charSpace="0"/>
        </w:sectPr>
      </w:pPr>
    </w:p>
    <w:tbl>
      <w:tblPr>
        <w:tblStyle w:val="2"/>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Layout w:type="fixed"/>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Layout w:type="fixed"/>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Layout w:type="fixed"/>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Layout w:type="fixed"/>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Layout w:type="fixed"/>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Layout w:type="fixed"/>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Layout w:type="fixed"/>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w:t>
            </w:r>
            <w:bookmarkStart w:id="0" w:name="_GoBack"/>
            <w:bookmarkEnd w:id="0"/>
            <w:r>
              <w:rPr>
                <w:rFonts w:hAnsi="宋体"/>
                <w:kern w:val="0"/>
                <w:sz w:val="20"/>
                <w:szCs w:val="20"/>
              </w:rPr>
              <w:t>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Layout w:type="fixed"/>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100</w:t>
            </w:r>
            <w:r>
              <w:rPr>
                <w:rFonts w:hAnsi="宋体"/>
                <w:kern w:val="0"/>
                <w:sz w:val="24"/>
              </w:rPr>
              <w:t>　</w:t>
            </w:r>
          </w:p>
        </w:tc>
      </w:tr>
    </w:tbl>
    <w:p/>
    <w:p>
      <w:pPr>
        <w:sectPr>
          <w:pgSz w:w="16838" w:h="11906" w:orient="landscape"/>
          <w:pgMar w:top="1800" w:right="1440" w:bottom="1800" w:left="1440" w:header="851" w:footer="992" w:gutter="0"/>
          <w:pgNumType w:fmt="numberInDash"/>
          <w:cols w:space="720" w:num="1"/>
          <w:titlePg/>
          <w:docGrid w:type="lines" w:linePitch="312" w:charSpace="0"/>
        </w:sectPr>
      </w:pPr>
    </w:p>
    <w:p>
      <w:pPr>
        <w:sectPr>
          <w:pgSz w:w="11906" w:h="16838"/>
          <w:pgMar w:top="1440" w:right="1800" w:bottom="1440" w:left="1800" w:header="851" w:footer="992" w:gutter="0"/>
          <w:pgNumType w:fmt="numberInDash"/>
          <w:cols w:space="720" w:num="1"/>
          <w:titlePg/>
          <w:docGrid w:type="lines" w:linePitch="312" w:charSpace="0"/>
        </w:sectPr>
      </w:pPr>
    </w:p>
    <w:p>
      <w:pPr>
        <w:sectPr>
          <w:pgSz w:w="16838" w:h="11906" w:orient="landscape"/>
          <w:pgMar w:top="1800" w:right="1440" w:bottom="1800" w:left="1440" w:header="851" w:footer="992" w:gutter="0"/>
          <w:pgNumType w:fmt="numberInDash"/>
          <w:cols w:space="720" w:num="1"/>
          <w:titlePg/>
          <w:docGrid w:type="lines" w:linePitch="312" w:charSpace="0"/>
        </w:sectPr>
      </w:pPr>
    </w:p>
    <w:p>
      <w:pPr>
        <w:sectPr>
          <w:pgSz w:w="16838" w:h="11906" w:orient="landscape"/>
          <w:pgMar w:top="1800" w:right="1440" w:bottom="1800" w:left="1440" w:header="851" w:footer="992" w:gutter="0"/>
          <w:pgNumType w:fmt="numberInDash"/>
          <w:cols w:space="720" w:num="1"/>
          <w:titlePg/>
          <w:docGrid w:type="lines" w:linePitch="312" w:charSpace="0"/>
        </w:sectPr>
      </w:pPr>
    </w:p>
    <w:p>
      <w:pPr>
        <w:sectPr>
          <w:pgSz w:w="16838" w:h="11906" w:orient="landscape"/>
          <w:pgMar w:top="1800" w:right="1440" w:bottom="1800" w:left="1440" w:header="851" w:footer="992" w:gutter="0"/>
          <w:pgNumType w:fmt="numberInDash"/>
          <w:cols w:space="720" w:num="1"/>
          <w:titlePg/>
          <w:docGrid w:type="lines" w:linePitch="312" w:charSpace="0"/>
        </w:sectPr>
      </w:pPr>
    </w:p>
    <w:p>
      <w:pPr>
        <w:sectPr>
          <w:pgSz w:w="11906" w:h="16838"/>
          <w:pgMar w:top="1440" w:right="1800" w:bottom="1440" w:left="1800" w:header="851" w:footer="992" w:gutter="0"/>
          <w:pgNumType w:fmt="numberInDash"/>
          <w:cols w:space="720" w:num="1"/>
          <w:titlePg/>
          <w:docGrid w:type="lines" w:linePitch="312" w:charSpace="0"/>
        </w:sectPr>
      </w:pPr>
    </w:p>
    <w:p>
      <w:pPr>
        <w:sectPr>
          <w:pgSz w:w="16838" w:h="11906" w:orient="landscape"/>
          <w:pgMar w:top="1800" w:right="1440" w:bottom="1800" w:left="1440" w:header="851" w:footer="992" w:gutter="0"/>
          <w:pgNumType w:fmt="numberInDash"/>
          <w:cols w:space="720" w:num="1"/>
          <w:titlePg/>
          <w:docGrid w:type="lines" w:linePitch="312" w:charSpace="0"/>
        </w:sectPr>
      </w:pPr>
    </w:p>
    <w:p>
      <w:pPr>
        <w:sectPr>
          <w:pgSz w:w="16838" w:h="11906" w:orient="landscape"/>
          <w:pgMar w:top="1800" w:right="1440" w:bottom="1800" w:left="1440" w:header="851" w:footer="992" w:gutter="0"/>
          <w:pgNumType w:fmt="numberInDash"/>
          <w:cols w:space="720" w:num="1"/>
          <w:titlePg/>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12A673"/>
    <w:multiLevelType w:val="singleLevel"/>
    <w:tmpl w:val="9E12A673"/>
    <w:lvl w:ilvl="0" w:tentative="0">
      <w:start w:val="2"/>
      <w:numFmt w:val="chineseCounting"/>
      <w:suff w:val="nothing"/>
      <w:lvlText w:val="（%1）"/>
      <w:lvlJc w:val="left"/>
      <w:rPr>
        <w:rFonts w:hint="eastAsia"/>
      </w:rPr>
    </w:lvl>
  </w:abstractNum>
  <w:abstractNum w:abstractNumId="1">
    <w:nsid w:val="B4E0B3A9"/>
    <w:multiLevelType w:val="singleLevel"/>
    <w:tmpl w:val="B4E0B3A9"/>
    <w:lvl w:ilvl="0" w:tentative="0">
      <w:start w:val="2"/>
      <w:numFmt w:val="chineseCounting"/>
      <w:suff w:val="nothing"/>
      <w:lvlText w:val="（%1）"/>
      <w:lvlJc w:val="left"/>
      <w:rPr>
        <w:rFonts w:hint="eastAsia"/>
      </w:rPr>
    </w:lvl>
  </w:abstractNum>
  <w:abstractNum w:abstractNumId="2">
    <w:nsid w:val="5DE659EA"/>
    <w:multiLevelType w:val="singleLevel"/>
    <w:tmpl w:val="5DE659EA"/>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E37CF"/>
    <w:rsid w:val="0B5A0B12"/>
    <w:rsid w:val="0C995000"/>
    <w:rsid w:val="1F8C5AD6"/>
    <w:rsid w:val="2E327257"/>
    <w:rsid w:val="439507D4"/>
    <w:rsid w:val="5C9E37CF"/>
    <w:rsid w:val="68B41C6A"/>
    <w:rsid w:val="7D6F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2019-07-24T07:20:00Z</dcterms:created>
  <dc:creator>盎然人生</dc:creator>
  <cp:lastModifiedBy>小葫芦</cp:lastModifiedBy>
  <dcterms:modified xsi:type="dcterms:W3CDTF">2019-10-09T08:03:18Z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