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jc w:val="center"/>
        <w:rPr>
          <w:rFonts w:ascii="微软雅黑" w:hAnsi="微软雅黑" w:eastAsia="微软雅黑" w:cs="微软雅黑"/>
          <w:color w:val="666666"/>
          <w:sz w:val="21"/>
          <w:szCs w:val="21"/>
        </w:rPr>
      </w:pPr>
      <w:r>
        <w:rPr>
          <w:rFonts w:ascii="方正小标宋简体" w:hAnsi="方正小标宋简体" w:eastAsia="方正小标宋简体" w:cs="方正小标宋简体"/>
          <w:i w:val="0"/>
          <w:caps w:val="0"/>
          <w:color w:val="666666"/>
          <w:spacing w:val="0"/>
          <w:kern w:val="0"/>
          <w:sz w:val="44"/>
          <w:szCs w:val="44"/>
          <w:bdr w:val="none" w:color="auto" w:sz="0" w:space="0"/>
          <w:shd w:val="clear" w:fill="FFFFFF"/>
          <w:lang w:val="en-US" w:eastAsia="zh-CN" w:bidi="ar"/>
        </w:rPr>
        <w:t>株洲市财政局</w:t>
      </w:r>
      <w:r>
        <w:rPr>
          <w:rFonts w:hint="eastAsia" w:ascii="方正小标宋简体" w:hAnsi="方正小标宋简体" w:eastAsia="方正小标宋简体" w:cs="方正小标宋简体"/>
          <w:i w:val="0"/>
          <w:caps w:val="0"/>
          <w:color w:val="666666"/>
          <w:spacing w:val="0"/>
          <w:kern w:val="0"/>
          <w:sz w:val="44"/>
          <w:szCs w:val="44"/>
          <w:bdr w:val="none" w:color="auto" w:sz="0" w:space="0"/>
          <w:shd w:val="clear" w:fill="FFFFFF"/>
          <w:lang w:val="en-US" w:eastAsia="zh-CN" w:bidi="ar"/>
        </w:rPr>
        <w:t>  株洲市水务局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jc w:val="center"/>
        <w:rPr>
          <w:rFonts w:hint="eastAsia" w:ascii="微软雅黑" w:hAnsi="微软雅黑" w:eastAsia="微软雅黑" w:cs="微软雅黑"/>
          <w:color w:val="666666"/>
          <w:sz w:val="21"/>
          <w:szCs w:val="21"/>
        </w:rPr>
      </w:pPr>
      <w:r>
        <w:rPr>
          <w:rFonts w:hint="eastAsia" w:ascii="方正小标宋简体" w:hAnsi="方正小标宋简体" w:eastAsia="方正小标宋简体" w:cs="方正小标宋简体"/>
          <w:i w:val="0"/>
          <w:caps w:val="0"/>
          <w:color w:val="666666"/>
          <w:spacing w:val="0"/>
          <w:kern w:val="0"/>
          <w:sz w:val="44"/>
          <w:szCs w:val="44"/>
          <w:bdr w:val="none" w:color="auto" w:sz="0" w:space="0"/>
          <w:shd w:val="clear" w:fill="FFFFFF"/>
          <w:lang w:val="en-US" w:eastAsia="zh-CN" w:bidi="ar"/>
        </w:rPr>
        <w:t>关于印发《株洲市农田水利建设专项资金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jc w:val="center"/>
        <w:rPr>
          <w:rFonts w:hint="eastAsia" w:ascii="微软雅黑" w:hAnsi="微软雅黑" w:eastAsia="微软雅黑" w:cs="微软雅黑"/>
          <w:color w:val="666666"/>
          <w:sz w:val="21"/>
          <w:szCs w:val="21"/>
        </w:rPr>
      </w:pPr>
      <w:r>
        <w:rPr>
          <w:rFonts w:hint="eastAsia" w:ascii="方正小标宋简体" w:hAnsi="方正小标宋简体" w:eastAsia="方正小标宋简体" w:cs="方正小标宋简体"/>
          <w:i w:val="0"/>
          <w:caps w:val="0"/>
          <w:color w:val="666666"/>
          <w:spacing w:val="0"/>
          <w:kern w:val="0"/>
          <w:sz w:val="44"/>
          <w:szCs w:val="44"/>
          <w:bdr w:val="none" w:color="auto" w:sz="0" w:space="0"/>
          <w:shd w:val="clear" w:fill="FFFFFF"/>
          <w:lang w:val="en-US" w:eastAsia="zh-CN" w:bidi="ar"/>
        </w:rPr>
        <w:t>管理办法》的通知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jc w:val="left"/>
        <w:rPr>
          <w:rFonts w:hint="eastAsia" w:ascii="微软雅黑" w:hAnsi="微软雅黑" w:eastAsia="微软雅黑" w:cs="微软雅黑"/>
          <w:color w:val="666666"/>
          <w:sz w:val="21"/>
          <w:szCs w:val="21"/>
        </w:rPr>
      </w:pPr>
      <w:r>
        <w:rPr>
          <w:rFonts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jc w:val="left"/>
        <w:rPr>
          <w:rFonts w:hint="eastAsia" w:ascii="微软雅黑" w:hAnsi="微软雅黑" w:eastAsia="微软雅黑" w:cs="微软雅黑"/>
          <w:color w:val="666666"/>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各县市区财政局（财政金融部）、水利（水电、农村工作）局：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27"/>
        <w:jc w:val="left"/>
        <w:rPr>
          <w:rFonts w:hint="eastAsia" w:ascii="微软雅黑" w:hAnsi="微软雅黑" w:eastAsia="微软雅黑" w:cs="微软雅黑"/>
          <w:color w:val="666666"/>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现将《株洲市农田水利建设专项资金管理办法》印发给你们，请遵照执行。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79" w:lineRule="atLeast"/>
        <w:ind w:left="0" w:right="0"/>
        <w:jc w:val="left"/>
        <w:rPr>
          <w:rFonts w:hint="eastAsia" w:ascii="微软雅黑" w:hAnsi="微软雅黑" w:eastAsia="微软雅黑" w:cs="微软雅黑"/>
          <w:color w:val="666666"/>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79" w:lineRule="atLeast"/>
        <w:ind w:left="0" w:right="0"/>
        <w:jc w:val="left"/>
        <w:rPr>
          <w:rFonts w:hint="eastAsia" w:ascii="微软雅黑" w:hAnsi="微软雅黑" w:eastAsia="微软雅黑" w:cs="微软雅黑"/>
          <w:color w:val="666666"/>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79" w:lineRule="atLeast"/>
        <w:ind w:left="0" w:right="0"/>
        <w:jc w:val="left"/>
        <w:rPr>
          <w:rFonts w:hint="eastAsia" w:ascii="微软雅黑" w:hAnsi="微软雅黑" w:eastAsia="微软雅黑" w:cs="微软雅黑"/>
          <w:color w:val="666666"/>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79" w:lineRule="atLeast"/>
        <w:ind w:left="0" w:right="0"/>
        <w:jc w:val="left"/>
        <w:rPr>
          <w:rFonts w:hint="eastAsia" w:ascii="微软雅黑" w:hAnsi="微软雅黑" w:eastAsia="微软雅黑" w:cs="微软雅黑"/>
          <w:color w:val="666666"/>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株洲市财政局                  株洲市水务局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79" w:lineRule="atLeast"/>
        <w:ind w:left="0" w:right="0" w:firstLine="5715"/>
        <w:jc w:val="left"/>
        <w:rPr>
          <w:rFonts w:hint="eastAsia" w:ascii="微软雅黑" w:hAnsi="微软雅黑" w:eastAsia="微软雅黑" w:cs="微软雅黑"/>
          <w:color w:val="666666"/>
          <w:sz w:val="21"/>
          <w:szCs w:val="21"/>
        </w:rPr>
      </w:pPr>
      <w:bookmarkStart w:id="1" w:name="_GoBack"/>
      <w:bookmarkEnd w:id="1"/>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2017</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年</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8</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月</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11</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jc w:val="center"/>
        <w:rPr>
          <w:rFonts w:hint="eastAsia" w:ascii="微软雅黑" w:hAnsi="微软雅黑" w:eastAsia="微软雅黑" w:cs="微软雅黑"/>
          <w:color w:val="666666"/>
          <w:sz w:val="21"/>
          <w:szCs w:val="21"/>
        </w:rPr>
      </w:pPr>
      <w:r>
        <w:rPr>
          <w:rFonts w:hint="eastAsia" w:ascii="方正小标宋简体" w:hAnsi="方正小标宋简体" w:eastAsia="方正小标宋简体" w:cs="方正小标宋简体"/>
          <w:i w:val="0"/>
          <w:caps w:val="0"/>
          <w:color w:val="666666"/>
          <w:spacing w:val="0"/>
          <w:kern w:val="0"/>
          <w:sz w:val="44"/>
          <w:szCs w:val="44"/>
          <w:bdr w:val="none" w:color="auto" w:sz="0" w:space="0"/>
          <w:shd w:val="clear" w:fill="FFFFFF"/>
          <w:lang w:val="en-US" w:eastAsia="zh-CN" w:bidi="ar"/>
        </w:rPr>
        <w:t>株洲市农田水利建设专项资金管理办法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jc w:val="left"/>
        <w:rPr>
          <w:rFonts w:hint="eastAsia" w:ascii="微软雅黑" w:hAnsi="微软雅黑" w:eastAsia="微软雅黑" w:cs="微软雅黑"/>
          <w:color w:val="666666"/>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jc w:val="center"/>
        <w:rPr>
          <w:rFonts w:hint="eastAsia" w:ascii="微软雅黑" w:hAnsi="微软雅黑" w:eastAsia="微软雅黑" w:cs="微软雅黑"/>
          <w:color w:val="666666"/>
          <w:sz w:val="21"/>
          <w:szCs w:val="21"/>
        </w:rPr>
      </w:pPr>
      <w:r>
        <w:rPr>
          <w:rFonts w:ascii="黑体" w:hAnsi="宋体" w:eastAsia="黑体" w:cs="黑体"/>
          <w:i w:val="0"/>
          <w:caps w:val="0"/>
          <w:color w:val="666666"/>
          <w:spacing w:val="0"/>
          <w:kern w:val="0"/>
          <w:sz w:val="32"/>
          <w:szCs w:val="32"/>
          <w:bdr w:val="none" w:color="auto" w:sz="0" w:space="0"/>
          <w:shd w:val="clear" w:fill="FFFFFF"/>
          <w:lang w:val="en-US" w:eastAsia="zh-CN" w:bidi="ar"/>
        </w:rPr>
        <w:t>第一章</w:t>
      </w: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第一条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为规范和加强全市农田水利建设专项资金的管理，明确资金使用范围和审批流程，提高资金使用效益，根据《湖南省小型农田水利条例》，结合我市实际，制定本办法。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第二条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本办法所称农田水利建设专项资金（以下简称“专项资金”）是指市本级预算安排，专项用于我市“五小”水利建设、水库管护、水库大坝安全鉴定、病险水利危重项目等补助资金。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本办法所称“五小”水利建设是指小水库（库容10～100万方）、小山塘（塘容0.05～10万方）、小机埠（单机流量1方/秒以下的）、小渠道（流量1方/秒以下的）、小河坝（拦河引水灌溉流量1方/秒以下的）五类小型水利新建或改造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第三条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专项资金的管理和使用应符合财政预算管理的有关规定，遵循公开、公平、公正和统筹兼顾、突出重点、讲求效益的原则，确保资金使用的规范、安全和高效。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第四条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市财政局负责专项资金计划的预算编制，资金分配方案的审核及资金拨付，对资金使用情况进行监管和绩效评价；市水务局负责专项资金使用方案的制定，组织项目申报和评审，并做好项目实施情况的监管和资金的绩效评价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第五条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专项资金实行管理办法、申报流程、评审公示、分配结果、绩效评价等全过程公开。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jc w:val="center"/>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第二章  经费使用范围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第六条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专项资金使用范围为“五小”水利建设、水库管护、水库大坝安全鉴定、病险水利危重项目补助等四个方面：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（一）“五小”水利建设资金安排实施“以奖代补”政策，对具有防汛抗旱效益而未立项投资的“五小”水利工程新建、改造项目予以补助。县级财政和水利部门落实项目配套资金。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（二）水库管护费主要用于全市2012年水利普查登记注册水库聘请管护员的补助。全市小一型水库总数为60座，暂定每座补助2000元；小二型水库886座，暂定每座补助1000元。县级财政和水利部门落实项目配套资金。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（三）水库大坝安全鉴定费主要用于全市小二型水库大坝安全鉴定的业务委托支出。每年分批鉴定，以利于开展后续设计工作。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（四）病险水利危重项目补助主要对象是各县市区突发应急处险工程、危重急需处置工程、危重项目前期工作等。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jc w:val="center"/>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第三章  申报、分配与拨付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第七条 </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市水务局根据市财政局下达编制下一年预算草案的通知要求，于每年9月底前，向市财政局报送农田水利建设专项资金的预算草案。市财政局应参考上一年度该项资金的预算执行情况、有关支出绩效评价结果和本年度支出预测，按照规定程序征求意见后，再进行预算编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第八条 </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专项资金按预算资金管理办法，遵循逐级申报、公正受理、择优安排、专款专用的原则。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第九条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每年3月底前，由市水务局收集、整理、审核各项目单位申报资料，并制定项目实施方案，会同市财政局对申报项目进行考察，必要时可聘请专家进行评审。市水务局应对实施年度项目进行现场调研或可行性论证，核实项目的真实性并对文件的合规性负责。</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第十条 </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“五小”水利工程建设由各县市区水利局和财政局根据市水务局下达的“以奖代补”项目控制计划，编制本辖区年度项目实施建议计划报送到市水务局。申报的计划有变更，需由市水务局与市财政局共同审批。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第十一条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每年4月份市水务局提出资金使用分配方案，经市财政局审核后，报市政府审批。市财政局根据市政府批准的分配方案下拨资金。考虑到“五小”水利建设项目需避开汛期施工的情况，专项资金分两批进行拨付：4月30日前按因素分配法拨付洮水水库工程管护费、小型水库管护费、病险水利危重项目补助经费，“五小”水利建设资金的60%部分；10月31日前拨付“五小”水利建设资金剩下的40%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第十二条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项目承担单位要严格执行国家有关财政政策和财务规章制度，专项核算、专款专用，并建立完整的项目管理档案。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jc w:val="center"/>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第四章  资金监管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第十三条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市水务局会同市财政局组织对五小水利建设项目进行验收。凡验收合格的予以补助，否则不予补助。专项资金应开展绩效评价，评价结果作为以后年度安排资金的重要依据。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第十四条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按照“谁使用，谁负责”的原则，实行责任追究制度。对在专项经费申报中弄虚作假骗取资金、改变资金用途或滞留挪用专项资金等违反财经纪律的行为，一经查实，按《财政违法行为处罚处分条例》（国务院令〔2005〕第427号）等有关规定进行处理。涉嫌犯罪的，依法移交司法机关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jc w:val="center"/>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第五章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第十五条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本办法由市财政局、市水务局负责解释。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60" w:lineRule="atLeast"/>
        <w:ind w:left="0" w:right="0" w:firstLine="640"/>
        <w:jc w:val="left"/>
        <w:rPr>
          <w:rFonts w:hint="eastAsia" w:ascii="微软雅黑" w:hAnsi="微软雅黑" w:eastAsia="微软雅黑" w:cs="微软雅黑"/>
          <w:color w:val="666666"/>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第十六条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本办法自公布之日起施行。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A6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小谢</cp:lastModifiedBy>
  <dcterms:modified xsi:type="dcterms:W3CDTF">2019-11-20T06:59:08Z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