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36" w:beforeLines="100"/>
        <w:jc w:val="center"/>
        <w:rPr>
          <w:rFonts w:cs="宋体"/>
          <w:b/>
          <w:bCs/>
          <w:sz w:val="72"/>
          <w:szCs w:val="72"/>
          <w:highlight w:val="yellow"/>
        </w:rPr>
      </w:pPr>
    </w:p>
    <w:p>
      <w:pPr>
        <w:spacing w:before="436" w:beforeLines="100"/>
        <w:jc w:val="center"/>
        <w:rPr>
          <w:rFonts w:cs="宋体"/>
          <w:b/>
          <w:bCs/>
          <w:sz w:val="72"/>
          <w:szCs w:val="72"/>
        </w:rPr>
      </w:pPr>
      <w:r>
        <w:rPr>
          <w:rFonts w:hint="eastAsia" w:cs="宋体"/>
          <w:b/>
          <w:bCs/>
          <w:sz w:val="72"/>
          <w:szCs w:val="72"/>
        </w:rPr>
        <w:t>建设项目环境影响报告表</w:t>
      </w:r>
    </w:p>
    <w:p>
      <w:pPr>
        <w:jc w:val="center"/>
        <w:rPr>
          <w:rFonts w:cs="宋体"/>
          <w:b/>
          <w:bCs/>
        </w:rPr>
      </w:pPr>
    </w:p>
    <w:p>
      <w:pPr>
        <w:jc w:val="center"/>
        <w:rPr>
          <w:rFonts w:cs="宋体"/>
        </w:rPr>
      </w:pPr>
    </w:p>
    <w:p>
      <w:pPr>
        <w:jc w:val="center"/>
        <w:rPr>
          <w:rFonts w:cs="宋体"/>
        </w:rPr>
      </w:pPr>
    </w:p>
    <w:p>
      <w:pPr>
        <w:jc w:val="center"/>
        <w:rPr>
          <w:rFonts w:cs="宋体"/>
        </w:rPr>
      </w:pPr>
    </w:p>
    <w:p>
      <w:pPr>
        <w:jc w:val="center"/>
        <w:rPr>
          <w:rFonts w:cs="宋体"/>
        </w:rPr>
      </w:pPr>
    </w:p>
    <w:p>
      <w:pPr>
        <w:jc w:val="center"/>
        <w:rPr>
          <w:rFonts w:cs="宋体"/>
        </w:rPr>
      </w:pPr>
    </w:p>
    <w:p>
      <w:pPr>
        <w:jc w:val="center"/>
        <w:rPr>
          <w:rFonts w:cs="宋体"/>
        </w:rPr>
      </w:pPr>
    </w:p>
    <w:p>
      <w:pPr>
        <w:jc w:val="center"/>
        <w:rPr>
          <w:rFonts w:cs="宋体"/>
        </w:rPr>
      </w:pPr>
    </w:p>
    <w:p>
      <w:pPr>
        <w:jc w:val="right"/>
        <w:rPr>
          <w:rFonts w:cs="宋体"/>
          <w:highlight w:val="yellow"/>
        </w:rPr>
      </w:pPr>
    </w:p>
    <w:p>
      <w:pPr>
        <w:jc w:val="center"/>
        <w:rPr>
          <w:rFonts w:cs="宋体"/>
        </w:rPr>
      </w:pPr>
    </w:p>
    <w:p>
      <w:pPr>
        <w:ind w:left="2859" w:hanging="2859" w:hangingChars="800"/>
        <w:rPr>
          <w:rFonts w:cs="宋体"/>
          <w:sz w:val="34"/>
          <w:u w:val="single"/>
        </w:rPr>
      </w:pPr>
      <w:r>
        <w:rPr>
          <w:rFonts w:hint="eastAsia" w:cs="宋体"/>
          <w:b/>
          <w:bCs/>
          <w:spacing w:val="8"/>
          <w:sz w:val="34"/>
        </w:rPr>
        <w:t>项目名称</w:t>
      </w:r>
      <w:r>
        <w:rPr>
          <w:rFonts w:hint="eastAsia" w:cs="宋体"/>
          <w:sz w:val="34"/>
        </w:rPr>
        <w:t>：</w:t>
      </w:r>
      <w:r>
        <w:rPr>
          <w:rFonts w:hint="eastAsia" w:cs="宋体"/>
          <w:b/>
          <w:bCs/>
          <w:szCs w:val="32"/>
          <w:u w:val="single"/>
        </w:rPr>
        <w:t xml:space="preserve"> </w:t>
      </w:r>
      <w:r>
        <w:rPr>
          <w:rFonts w:hint="eastAsia" w:ascii="Times New Roman" w:hAnsi="Times New Roman" w:cs="宋体"/>
          <w:b/>
          <w:bCs/>
          <w:szCs w:val="32"/>
          <w:u w:val="single"/>
          <w:lang w:eastAsia="zh-CN"/>
        </w:rPr>
        <w:t>株洲市清水塘生态科技新城整体开发</w:t>
      </w:r>
      <w:r>
        <w:rPr>
          <w:rFonts w:hint="eastAsia" w:ascii="Times New Roman" w:hAnsi="Times New Roman" w:cs="宋体"/>
          <w:b/>
          <w:bCs/>
          <w:szCs w:val="32"/>
          <w:u w:val="single"/>
          <w:lang w:val="en-US" w:eastAsia="zh-CN"/>
        </w:rPr>
        <w:t>PPP项目</w:t>
      </w:r>
      <w:r>
        <w:rPr>
          <w:rFonts w:hint="eastAsia" w:ascii="Times New Roman" w:hAnsi="Times New Roman" w:cs="宋体"/>
          <w:b/>
          <w:bCs/>
          <w:szCs w:val="32"/>
          <w:u w:val="single"/>
          <w:lang w:eastAsia="zh-CN"/>
        </w:rPr>
        <w:t>集中配送中心</w:t>
      </w:r>
      <w:r>
        <w:rPr>
          <w:rFonts w:hint="eastAsia" w:ascii="Times New Roman" w:hAnsi="Times New Roman" w:cs="宋体"/>
          <w:b/>
          <w:bCs/>
          <w:szCs w:val="32"/>
          <w:u w:val="single"/>
          <w:lang w:val="en-US" w:eastAsia="zh-CN"/>
        </w:rPr>
        <w:t xml:space="preserve">                        </w:t>
      </w:r>
      <w:r>
        <w:rPr>
          <w:rFonts w:hint="eastAsia" w:cs="宋体"/>
          <w:b/>
          <w:bCs/>
          <w:szCs w:val="32"/>
          <w:u w:val="single"/>
          <w:lang w:val="en-US" w:eastAsia="zh-CN"/>
        </w:rPr>
        <w:t xml:space="preserve">      </w:t>
      </w:r>
      <w:r>
        <w:rPr>
          <w:rFonts w:hint="eastAsia" w:cs="宋体"/>
          <w:b/>
          <w:bCs/>
          <w:szCs w:val="32"/>
          <w:u w:val="single"/>
        </w:rPr>
        <w:t xml:space="preserve"> </w:t>
      </w:r>
    </w:p>
    <w:p>
      <w:pPr>
        <w:ind w:left="1181" w:hanging="1181" w:hangingChars="346"/>
        <w:rPr>
          <w:rFonts w:cs="宋体"/>
          <w:sz w:val="34"/>
        </w:rPr>
      </w:pPr>
      <w:r>
        <w:rPr>
          <w:rFonts w:hint="eastAsia" w:cs="宋体"/>
          <w:b/>
          <w:bCs/>
          <w:sz w:val="34"/>
        </w:rPr>
        <w:t>建设单位（盖章）</w:t>
      </w:r>
      <w:r>
        <w:rPr>
          <w:rFonts w:hint="eastAsia" w:cs="宋体"/>
          <w:sz w:val="34"/>
        </w:rPr>
        <w:t>：</w:t>
      </w:r>
      <w:r>
        <w:rPr>
          <w:rFonts w:hint="eastAsia" w:cs="宋体"/>
          <w:b/>
          <w:bCs/>
          <w:szCs w:val="32"/>
          <w:u w:val="single"/>
        </w:rPr>
        <w:t xml:space="preserve">    </w:t>
      </w:r>
      <w:r>
        <w:rPr>
          <w:rFonts w:hint="eastAsia" w:cs="宋体"/>
          <w:b/>
          <w:bCs/>
          <w:szCs w:val="32"/>
          <w:u w:val="single"/>
          <w:lang w:eastAsia="zh-CN"/>
        </w:rPr>
        <w:t>中交第三航务工程局有限公司</w:t>
      </w:r>
      <w:r>
        <w:rPr>
          <w:rFonts w:hint="eastAsia" w:cs="宋体"/>
          <w:b/>
          <w:bCs/>
          <w:szCs w:val="32"/>
          <w:u w:val="single"/>
        </w:rPr>
        <w:t xml:space="preserve">  </w:t>
      </w:r>
      <w:r>
        <w:rPr>
          <w:rFonts w:hint="eastAsia" w:cs="宋体"/>
          <w:b/>
          <w:bCs/>
          <w:szCs w:val="32"/>
          <w:u w:val="single"/>
          <w:lang w:val="en-US" w:eastAsia="zh-CN"/>
        </w:rPr>
        <w:t xml:space="preserve">  </w:t>
      </w:r>
      <w:r>
        <w:rPr>
          <w:rFonts w:hint="eastAsia" w:cs="宋体"/>
          <w:b/>
          <w:bCs/>
          <w:szCs w:val="32"/>
          <w:u w:val="single"/>
        </w:rPr>
        <w:t xml:space="preserve">    </w:t>
      </w:r>
    </w:p>
    <w:p>
      <w:pPr>
        <w:ind w:left="1176" w:hanging="1176" w:hangingChars="346"/>
        <w:rPr>
          <w:rFonts w:cs="宋体"/>
          <w:sz w:val="34"/>
          <w:u w:val="single"/>
        </w:rPr>
      </w:pPr>
    </w:p>
    <w:p>
      <w:pPr>
        <w:jc w:val="center"/>
        <w:rPr>
          <w:rFonts w:cs="宋体"/>
          <w:b/>
          <w:bCs/>
          <w:sz w:val="34"/>
        </w:rPr>
      </w:pPr>
    </w:p>
    <w:p>
      <w:pPr>
        <w:jc w:val="center"/>
        <w:rPr>
          <w:rFonts w:cs="宋体"/>
          <w:b/>
          <w:bCs/>
          <w:sz w:val="34"/>
        </w:rPr>
      </w:pPr>
    </w:p>
    <w:p>
      <w:pPr>
        <w:jc w:val="center"/>
        <w:rPr>
          <w:rFonts w:cs="宋体"/>
          <w:b/>
          <w:bCs/>
          <w:sz w:val="34"/>
        </w:rPr>
      </w:pPr>
    </w:p>
    <w:p>
      <w:pPr>
        <w:jc w:val="center"/>
        <w:rPr>
          <w:rFonts w:cs="宋体"/>
          <w:b/>
          <w:bCs/>
          <w:sz w:val="34"/>
        </w:rPr>
      </w:pPr>
    </w:p>
    <w:p>
      <w:pPr>
        <w:jc w:val="center"/>
        <w:rPr>
          <w:b/>
          <w:bCs/>
          <w:sz w:val="34"/>
        </w:rPr>
      </w:pPr>
      <w:r>
        <w:rPr>
          <w:b/>
          <w:bCs/>
          <w:sz w:val="34"/>
        </w:rPr>
        <w:t>编制日期：201</w:t>
      </w:r>
      <w:r>
        <w:rPr>
          <w:rFonts w:hint="eastAsia"/>
          <w:b/>
          <w:bCs/>
          <w:sz w:val="34"/>
        </w:rPr>
        <w:t>9</w:t>
      </w:r>
      <w:r>
        <w:rPr>
          <w:b/>
          <w:bCs/>
          <w:sz w:val="34"/>
        </w:rPr>
        <w:t>年</w:t>
      </w:r>
      <w:r>
        <w:rPr>
          <w:rFonts w:hint="eastAsia"/>
          <w:b/>
          <w:bCs/>
          <w:sz w:val="34"/>
          <w:lang w:val="en-US" w:eastAsia="zh-CN"/>
        </w:rPr>
        <w:t>9</w:t>
      </w:r>
      <w:r>
        <w:rPr>
          <w:b/>
          <w:bCs/>
          <w:sz w:val="34"/>
        </w:rPr>
        <w:t>月</w:t>
      </w:r>
    </w:p>
    <w:p>
      <w:pPr>
        <w:jc w:val="center"/>
        <w:rPr>
          <w:b/>
          <w:bCs/>
          <w:sz w:val="34"/>
        </w:rPr>
      </w:pPr>
      <w:r>
        <w:rPr>
          <w:rFonts w:hint="eastAsia"/>
          <w:b/>
          <w:bCs/>
          <w:sz w:val="34"/>
          <w:lang w:eastAsia="zh-CN"/>
        </w:rPr>
        <w:t>生态环境</w:t>
      </w:r>
      <w:r>
        <w:rPr>
          <w:b/>
          <w:bCs/>
          <w:sz w:val="34"/>
        </w:rPr>
        <w:t>部制</w:t>
      </w:r>
    </w:p>
    <w:p>
      <w:pPr>
        <w:jc w:val="center"/>
        <w:rPr>
          <w:rFonts w:cs="宋体"/>
          <w:b/>
          <w:bCs/>
          <w:sz w:val="34"/>
          <w:highlight w:val="yellow"/>
        </w:rPr>
      </w:pPr>
    </w:p>
    <w:p>
      <w:pPr>
        <w:pStyle w:val="4"/>
        <w:ind w:firstLine="723" w:firstLineChars="200"/>
        <w:jc w:val="center"/>
        <w:rPr>
          <w:rFonts w:ascii="Times New Roman" w:cs="宋体"/>
          <w:b/>
          <w:sz w:val="36"/>
          <w:szCs w:val="36"/>
        </w:rPr>
      </w:pPr>
      <w:bookmarkStart w:id="0" w:name="_Toc31681"/>
      <w:r>
        <w:rPr>
          <w:rFonts w:hint="eastAsia" w:ascii="Times New Roman" w:cs="宋体"/>
          <w:b/>
          <w:sz w:val="36"/>
          <w:szCs w:val="36"/>
        </w:rPr>
        <w:t>《建设项目环境影响报告表》编制说明</w:t>
      </w:r>
      <w:bookmarkEnd w:id="0"/>
    </w:p>
    <w:p/>
    <w:p>
      <w:pPr>
        <w:pStyle w:val="21"/>
        <w:spacing w:line="360" w:lineRule="auto"/>
        <w:rPr>
          <w:rFonts w:cs="宋体"/>
          <w:szCs w:val="28"/>
        </w:rPr>
      </w:pPr>
      <w:r>
        <w:rPr>
          <w:rFonts w:hint="eastAsia" w:cs="宋体"/>
          <w:szCs w:val="28"/>
        </w:rPr>
        <w:t>《建设项目环境影响报告表》由具有从事环境影响评价工作资质的单位编制。</w:t>
      </w:r>
    </w:p>
    <w:p>
      <w:pPr>
        <w:spacing w:line="360" w:lineRule="auto"/>
        <w:ind w:firstLine="482"/>
        <w:rPr>
          <w:rFonts w:cs="宋体"/>
          <w:sz w:val="28"/>
          <w:szCs w:val="28"/>
        </w:rPr>
      </w:pPr>
      <w:r>
        <w:rPr>
          <w:rFonts w:hint="eastAsia" w:cs="宋体"/>
          <w:sz w:val="28"/>
          <w:szCs w:val="28"/>
        </w:rPr>
        <w:t>1、项目名称—指项目立项批复时的名称，应不超过30个字(两个英文字段作一个汉字)。</w:t>
      </w:r>
    </w:p>
    <w:p>
      <w:pPr>
        <w:spacing w:line="360" w:lineRule="auto"/>
        <w:ind w:firstLine="482"/>
        <w:rPr>
          <w:rFonts w:cs="宋体"/>
          <w:sz w:val="28"/>
          <w:szCs w:val="28"/>
        </w:rPr>
      </w:pPr>
      <w:r>
        <w:rPr>
          <w:rFonts w:hint="eastAsia" w:cs="宋体"/>
          <w:sz w:val="28"/>
          <w:szCs w:val="28"/>
        </w:rPr>
        <w:t>2、建设地点—指项目所在地详细地址、公路、铁路应填写起止地点。</w:t>
      </w:r>
    </w:p>
    <w:p>
      <w:pPr>
        <w:spacing w:line="360" w:lineRule="auto"/>
        <w:ind w:firstLine="482"/>
        <w:rPr>
          <w:rFonts w:cs="宋体"/>
          <w:sz w:val="28"/>
          <w:szCs w:val="28"/>
        </w:rPr>
      </w:pPr>
      <w:r>
        <w:rPr>
          <w:rFonts w:hint="eastAsia" w:cs="宋体"/>
          <w:sz w:val="28"/>
          <w:szCs w:val="28"/>
        </w:rPr>
        <w:t>3、行业类别—按国标填写。</w:t>
      </w:r>
    </w:p>
    <w:p>
      <w:pPr>
        <w:spacing w:line="360" w:lineRule="auto"/>
        <w:ind w:firstLine="482"/>
        <w:rPr>
          <w:rFonts w:cs="宋体"/>
          <w:sz w:val="28"/>
          <w:szCs w:val="28"/>
        </w:rPr>
      </w:pPr>
      <w:r>
        <w:rPr>
          <w:rFonts w:hint="eastAsia" w:cs="宋体"/>
          <w:sz w:val="28"/>
          <w:szCs w:val="28"/>
        </w:rPr>
        <w:t>4、总投资—指项目投资总额。</w:t>
      </w:r>
    </w:p>
    <w:p>
      <w:pPr>
        <w:spacing w:line="360" w:lineRule="auto"/>
        <w:ind w:firstLine="482"/>
        <w:rPr>
          <w:rFonts w:cs="宋体"/>
          <w:sz w:val="28"/>
          <w:szCs w:val="28"/>
        </w:rPr>
      </w:pPr>
      <w:r>
        <w:rPr>
          <w:rFonts w:hint="eastAsia" w:cs="宋体"/>
          <w:sz w:val="28"/>
          <w:szCs w:val="28"/>
        </w:rPr>
        <w:t>5、主要环境保护目标—指项目区周围一定范围内集中居民住宅区、学校、医院、保护文物、风景名胜区、水源地和生态敏感点等，应尽可能给出保护目标、性质、规模和距厂界距离等。</w:t>
      </w:r>
    </w:p>
    <w:p>
      <w:pPr>
        <w:spacing w:line="360" w:lineRule="auto"/>
        <w:ind w:firstLine="482"/>
        <w:rPr>
          <w:rFonts w:cs="宋体"/>
          <w:sz w:val="28"/>
          <w:szCs w:val="28"/>
        </w:rPr>
      </w:pPr>
      <w:r>
        <w:rPr>
          <w:rFonts w:hint="eastAsia" w:cs="宋体"/>
          <w:sz w:val="28"/>
          <w:szCs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ind w:firstLine="482"/>
        <w:rPr>
          <w:rFonts w:cs="宋体"/>
          <w:sz w:val="28"/>
          <w:szCs w:val="28"/>
        </w:rPr>
      </w:pPr>
      <w:r>
        <w:rPr>
          <w:rFonts w:hint="eastAsia" w:cs="宋体"/>
          <w:sz w:val="28"/>
          <w:szCs w:val="28"/>
        </w:rPr>
        <w:t>7、预审意见—由行业主管部门填写答复意见，无主管部门项目，可不填。</w:t>
      </w:r>
    </w:p>
    <w:p>
      <w:pPr>
        <w:spacing w:line="360" w:lineRule="auto"/>
        <w:ind w:firstLine="482"/>
        <w:rPr>
          <w:rFonts w:hint="eastAsia" w:cs="宋体"/>
          <w:sz w:val="28"/>
          <w:szCs w:val="28"/>
        </w:rPr>
      </w:pPr>
      <w:r>
        <w:rPr>
          <w:rFonts w:hint="eastAsia" w:cs="宋体"/>
          <w:sz w:val="28"/>
          <w:szCs w:val="28"/>
        </w:rPr>
        <w:t>8、审批意见—由负责审批项目的环境保护行政主管部门批复。</w:t>
      </w:r>
    </w:p>
    <w:p>
      <w:pPr>
        <w:rPr>
          <w:rFonts w:hint="eastAsia" w:cs="宋体"/>
          <w:sz w:val="28"/>
          <w:szCs w:val="28"/>
        </w:rPr>
      </w:pPr>
      <w:r>
        <w:rPr>
          <w:rFonts w:hint="eastAsia" w:cs="宋体"/>
          <w:sz w:val="28"/>
          <w:szCs w:val="28"/>
        </w:rPr>
        <w:br w:type="page"/>
      </w:r>
    </w:p>
    <w:p>
      <w:pPr>
        <w:jc w:val="center"/>
        <w:rPr>
          <w:rFonts w:hint="eastAsia" w:ascii="Times New Roman" w:hAnsi="Times New Roman" w:cs="Times New Roman"/>
          <w:b/>
          <w:bCs/>
          <w:sz w:val="28"/>
          <w:szCs w:val="28"/>
        </w:rPr>
      </w:pPr>
      <w:r>
        <w:rPr>
          <w:rFonts w:hint="eastAsia" w:ascii="Times New Roman" w:hAnsi="Times New Roman" w:cs="Times New Roman"/>
          <w:b/>
          <w:bCs/>
          <w:sz w:val="28"/>
          <w:szCs w:val="28"/>
          <w:lang w:eastAsia="zh-CN"/>
        </w:rPr>
        <w:t>株洲市清水塘生态科技新城整体开发</w:t>
      </w:r>
      <w:r>
        <w:rPr>
          <w:rFonts w:hint="eastAsia" w:ascii="Times New Roman" w:hAnsi="Times New Roman" w:cs="Times New Roman"/>
          <w:b/>
          <w:bCs/>
          <w:sz w:val="28"/>
          <w:szCs w:val="28"/>
          <w:lang w:val="en-US" w:eastAsia="zh-CN"/>
        </w:rPr>
        <w:t>PPP项目</w:t>
      </w:r>
      <w:r>
        <w:rPr>
          <w:rFonts w:hint="eastAsia" w:ascii="Times New Roman" w:hAnsi="Times New Roman" w:cs="Times New Roman"/>
          <w:b/>
          <w:bCs/>
          <w:sz w:val="28"/>
          <w:szCs w:val="28"/>
          <w:lang w:eastAsia="zh-CN"/>
        </w:rPr>
        <w:t>集中配送中心</w:t>
      </w:r>
      <w:r>
        <w:rPr>
          <w:rFonts w:hint="eastAsia" w:ascii="Times New Roman" w:hAnsi="Times New Roman" w:cs="Times New Roman"/>
          <w:b/>
          <w:bCs/>
          <w:sz w:val="28"/>
          <w:szCs w:val="28"/>
        </w:rPr>
        <w:t>项目</w:t>
      </w:r>
    </w:p>
    <w:p>
      <w:pPr>
        <w:jc w:val="center"/>
        <w:rPr>
          <w:rFonts w:hint="eastAsia" w:ascii="Times New Roman" w:hAnsi="Times New Roman" w:cs="Times New Roman"/>
          <w:b/>
          <w:bCs/>
          <w:sz w:val="28"/>
          <w:szCs w:val="28"/>
          <w:lang w:eastAsia="zh-CN"/>
        </w:rPr>
      </w:pPr>
      <w:r>
        <w:rPr>
          <w:rFonts w:hint="eastAsia" w:ascii="Times New Roman" w:hAnsi="Times New Roman" w:cs="Times New Roman"/>
          <w:b/>
          <w:bCs/>
          <w:sz w:val="28"/>
          <w:szCs w:val="28"/>
          <w:lang w:eastAsia="zh-CN"/>
        </w:rPr>
        <w:t>修改说明</w:t>
      </w:r>
    </w:p>
    <w:tbl>
      <w:tblPr>
        <w:tblStyle w:val="44"/>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5813"/>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4" w:type="dxa"/>
            <w:noWrap w:val="0"/>
            <w:vAlign w:val="center"/>
          </w:tcPr>
          <w:p>
            <w:pPr>
              <w:spacing w:line="240" w:lineRule="auto"/>
              <w:jc w:val="center"/>
              <w:rPr>
                <w:rFonts w:hint="default" w:ascii="Times New Roman" w:hAnsi="Times New Roman" w:cs="Times New Roman"/>
                <w:sz w:val="21"/>
                <w:szCs w:val="21"/>
                <w:highlight w:val="none"/>
                <w:vertAlign w:val="baseline"/>
                <w:lang w:eastAsia="zh-CN"/>
              </w:rPr>
            </w:pPr>
            <w:r>
              <w:rPr>
                <w:rFonts w:hint="default" w:ascii="Times New Roman" w:hAnsi="Times New Roman" w:cs="Times New Roman"/>
                <w:sz w:val="21"/>
                <w:szCs w:val="21"/>
                <w:highlight w:val="none"/>
                <w:vertAlign w:val="baseline"/>
                <w:lang w:eastAsia="zh-CN"/>
              </w:rPr>
              <w:t>序号</w:t>
            </w:r>
          </w:p>
        </w:tc>
        <w:tc>
          <w:tcPr>
            <w:tcW w:w="5813" w:type="dxa"/>
            <w:noWrap w:val="0"/>
            <w:vAlign w:val="center"/>
          </w:tcPr>
          <w:p>
            <w:pPr>
              <w:spacing w:line="240" w:lineRule="auto"/>
              <w:jc w:val="center"/>
              <w:rPr>
                <w:rFonts w:hint="default" w:ascii="Times New Roman" w:hAnsi="Times New Roman" w:cs="Times New Roman"/>
                <w:sz w:val="21"/>
                <w:szCs w:val="21"/>
                <w:highlight w:val="none"/>
                <w:vertAlign w:val="baseline"/>
                <w:lang w:eastAsia="zh-CN"/>
              </w:rPr>
            </w:pPr>
            <w:r>
              <w:rPr>
                <w:rFonts w:hint="default" w:ascii="Times New Roman" w:hAnsi="Times New Roman" w:cs="Times New Roman"/>
                <w:sz w:val="21"/>
                <w:szCs w:val="21"/>
                <w:highlight w:val="none"/>
                <w:vertAlign w:val="baseline"/>
                <w:lang w:eastAsia="zh-CN"/>
              </w:rPr>
              <w:t>专家组意见</w:t>
            </w:r>
          </w:p>
        </w:tc>
        <w:tc>
          <w:tcPr>
            <w:tcW w:w="2354" w:type="dxa"/>
            <w:noWrap w:val="0"/>
            <w:vAlign w:val="center"/>
          </w:tcPr>
          <w:p>
            <w:pPr>
              <w:spacing w:line="240" w:lineRule="auto"/>
              <w:jc w:val="center"/>
              <w:rPr>
                <w:rFonts w:hint="default" w:ascii="Times New Roman" w:hAnsi="Times New Roman" w:cs="Times New Roman"/>
                <w:sz w:val="21"/>
                <w:szCs w:val="21"/>
                <w:highlight w:val="none"/>
                <w:vertAlign w:val="baseline"/>
                <w:lang w:eastAsia="zh-CN"/>
              </w:rPr>
            </w:pPr>
            <w:r>
              <w:rPr>
                <w:rFonts w:hint="default" w:ascii="Times New Roman" w:hAnsi="Times New Roman" w:cs="Times New Roman"/>
                <w:sz w:val="21"/>
                <w:szCs w:val="21"/>
                <w:highlight w:val="none"/>
                <w:vertAlign w:val="baseline"/>
                <w:lang w:eastAsia="zh-CN"/>
              </w:rPr>
              <w:t>修改说明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4" w:type="dxa"/>
            <w:noWrap w:val="0"/>
            <w:vAlign w:val="center"/>
          </w:tcPr>
          <w:p>
            <w:pPr>
              <w:spacing w:line="240" w:lineRule="auto"/>
              <w:jc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1</w:t>
            </w:r>
          </w:p>
        </w:tc>
        <w:tc>
          <w:tcPr>
            <w:tcW w:w="5813" w:type="dxa"/>
            <w:noWrap w:val="0"/>
            <w:vAlign w:val="center"/>
          </w:tcPr>
          <w:p>
            <w:pPr>
              <w:spacing w:line="240" w:lineRule="auto"/>
              <w:jc w:val="left"/>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补充建设单位的基本情况介绍，说明建设单位与清水塘生态科技新城建设的关系</w:t>
            </w:r>
          </w:p>
        </w:tc>
        <w:tc>
          <w:tcPr>
            <w:tcW w:w="2354" w:type="dxa"/>
            <w:noWrap w:val="0"/>
            <w:vAlign w:val="center"/>
          </w:tcPr>
          <w:p>
            <w:pPr>
              <w:spacing w:line="240" w:lineRule="auto"/>
              <w:jc w:val="center"/>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已补充，见P2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4" w:type="dxa"/>
            <w:noWrap w:val="0"/>
            <w:vAlign w:val="center"/>
          </w:tcPr>
          <w:p>
            <w:pPr>
              <w:spacing w:line="240" w:lineRule="auto"/>
              <w:jc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2</w:t>
            </w:r>
          </w:p>
        </w:tc>
        <w:tc>
          <w:tcPr>
            <w:tcW w:w="58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cs="Times New Roman"/>
                <w:sz w:val="21"/>
                <w:szCs w:val="21"/>
                <w:highlight w:val="none"/>
                <w:vertAlign w:val="baseline"/>
                <w:lang w:eastAsia="zh-CN"/>
              </w:rPr>
            </w:pPr>
            <w:r>
              <w:rPr>
                <w:rFonts w:hint="eastAsia" w:ascii="Times New Roman" w:hAnsi="Times New Roman" w:cs="Times New Roman"/>
                <w:sz w:val="21"/>
                <w:szCs w:val="21"/>
                <w:highlight w:val="none"/>
                <w:vertAlign w:val="baseline"/>
                <w:lang w:val="en-US" w:eastAsia="zh-CN"/>
              </w:rPr>
              <w:t>完善项目建设背景情况介绍，补充当地政府及相关行政部门对项目建设及备案情况介绍，并进一步分析本项目建设的必要性</w:t>
            </w:r>
          </w:p>
        </w:tc>
        <w:tc>
          <w:tcPr>
            <w:tcW w:w="2354" w:type="dxa"/>
            <w:noWrap w:val="0"/>
            <w:vAlign w:val="center"/>
          </w:tcPr>
          <w:p>
            <w:pPr>
              <w:spacing w:line="240" w:lineRule="auto"/>
              <w:jc w:val="center"/>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已补充完善，见P2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4" w:type="dxa"/>
            <w:noWrap w:val="0"/>
            <w:vAlign w:val="center"/>
          </w:tcPr>
          <w:p>
            <w:pPr>
              <w:spacing w:line="240" w:lineRule="auto"/>
              <w:jc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3</w:t>
            </w:r>
          </w:p>
        </w:tc>
        <w:tc>
          <w:tcPr>
            <w:tcW w:w="58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补充项目用地的来源和方式，补充土地利用现状调查，说明是否存在遗留环境问题</w:t>
            </w:r>
          </w:p>
        </w:tc>
        <w:tc>
          <w:tcPr>
            <w:tcW w:w="2354" w:type="dxa"/>
            <w:noWrap w:val="0"/>
            <w:vAlign w:val="center"/>
          </w:tcPr>
          <w:p>
            <w:pPr>
              <w:spacing w:line="240" w:lineRule="auto"/>
              <w:jc w:val="center"/>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已补充完善，见P</w:t>
            </w:r>
            <w:r>
              <w:rPr>
                <w:rFonts w:hint="eastAsia" w:cs="Times New Roman"/>
                <w:sz w:val="21"/>
                <w:szCs w:val="21"/>
                <w:highlight w:val="none"/>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4" w:type="dxa"/>
            <w:noWrap w:val="0"/>
            <w:vAlign w:val="center"/>
          </w:tcPr>
          <w:p>
            <w:pPr>
              <w:spacing w:line="240" w:lineRule="auto"/>
              <w:jc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4</w:t>
            </w:r>
          </w:p>
        </w:tc>
        <w:tc>
          <w:tcPr>
            <w:tcW w:w="58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完善项目基本情况介绍①补充项目的主要建筑物的建设内容；②补充和完善公用工程建设情况；③按项目产品方案何时主要生产设备、主要原辅材料消耗④核实项目总投资⑤补充物料的运输方式和路径。</w:t>
            </w:r>
          </w:p>
        </w:tc>
        <w:tc>
          <w:tcPr>
            <w:tcW w:w="2354" w:type="dxa"/>
            <w:noWrap w:val="0"/>
            <w:vAlign w:val="center"/>
          </w:tcPr>
          <w:p>
            <w:pPr>
              <w:spacing w:line="240" w:lineRule="auto"/>
              <w:jc w:val="center"/>
              <w:rPr>
                <w:rFonts w:hint="default" w:ascii="Times New Roman" w:hAnsi="Times New Roman" w:cs="Times New Roman"/>
                <w:sz w:val="21"/>
                <w:szCs w:val="21"/>
                <w:highlight w:val="none"/>
                <w:vertAlign w:val="baseline"/>
                <w:lang w:val="en-US" w:eastAsia="zh-CN"/>
              </w:rPr>
            </w:pPr>
            <w:r>
              <w:rPr>
                <w:rFonts w:hint="eastAsia" w:cs="Times New Roman"/>
                <w:sz w:val="21"/>
                <w:szCs w:val="21"/>
                <w:highlight w:val="none"/>
                <w:vertAlign w:val="baseline"/>
                <w:lang w:val="en-US" w:eastAsia="zh-CN"/>
              </w:rPr>
              <w:t>已补充完善，详见P7-12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4" w:type="dxa"/>
            <w:noWrap w:val="0"/>
            <w:vAlign w:val="center"/>
          </w:tcPr>
          <w:p>
            <w:pPr>
              <w:spacing w:line="240" w:lineRule="auto"/>
              <w:jc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5</w:t>
            </w:r>
          </w:p>
        </w:tc>
        <w:tc>
          <w:tcPr>
            <w:tcW w:w="58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核实和完善环境空气、声环境保护目标，并分列主要污染源距保护目标的方位和距离</w:t>
            </w:r>
          </w:p>
        </w:tc>
        <w:tc>
          <w:tcPr>
            <w:tcW w:w="2354" w:type="dxa"/>
            <w:noWrap w:val="0"/>
            <w:vAlign w:val="center"/>
          </w:tcPr>
          <w:p>
            <w:pPr>
              <w:spacing w:line="240" w:lineRule="auto"/>
              <w:jc w:val="center"/>
              <w:rPr>
                <w:rFonts w:hint="default" w:ascii="Times New Roman" w:hAnsi="Times New Roman" w:cs="Times New Roman"/>
                <w:sz w:val="21"/>
                <w:szCs w:val="21"/>
                <w:highlight w:val="none"/>
                <w:vertAlign w:val="baseline"/>
                <w:lang w:val="en-US" w:eastAsia="zh-CN"/>
              </w:rPr>
            </w:pPr>
            <w:r>
              <w:rPr>
                <w:rFonts w:hint="eastAsia" w:cs="Times New Roman"/>
                <w:sz w:val="21"/>
                <w:szCs w:val="21"/>
                <w:highlight w:val="none"/>
                <w:vertAlign w:val="baseline"/>
                <w:lang w:val="en-US" w:eastAsia="zh-CN"/>
              </w:rPr>
              <w:t>已补充完善，详见P28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4" w:type="dxa"/>
            <w:noWrap w:val="0"/>
            <w:vAlign w:val="center"/>
          </w:tcPr>
          <w:p>
            <w:pPr>
              <w:spacing w:line="240" w:lineRule="auto"/>
              <w:jc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6</w:t>
            </w:r>
          </w:p>
        </w:tc>
        <w:tc>
          <w:tcPr>
            <w:tcW w:w="58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按生产产品完善生产工艺流程及产污节点</w:t>
            </w:r>
          </w:p>
        </w:tc>
        <w:tc>
          <w:tcPr>
            <w:tcW w:w="2354" w:type="dxa"/>
            <w:noWrap w:val="0"/>
            <w:vAlign w:val="center"/>
          </w:tcPr>
          <w:p>
            <w:pPr>
              <w:spacing w:line="240" w:lineRule="auto"/>
              <w:jc w:val="center"/>
              <w:rPr>
                <w:rFonts w:hint="default" w:ascii="Times New Roman" w:hAnsi="Times New Roman" w:cs="Times New Roman"/>
                <w:sz w:val="21"/>
                <w:szCs w:val="21"/>
                <w:highlight w:val="none"/>
                <w:vertAlign w:val="baseline"/>
                <w:lang w:val="en-US" w:eastAsia="zh-CN"/>
              </w:rPr>
            </w:pPr>
            <w:r>
              <w:rPr>
                <w:rFonts w:hint="eastAsia" w:cs="Times New Roman"/>
                <w:sz w:val="21"/>
                <w:szCs w:val="21"/>
                <w:highlight w:val="none"/>
                <w:vertAlign w:val="baseline"/>
                <w:lang w:val="en-US" w:eastAsia="zh-CN"/>
              </w:rPr>
              <w:t>已补充完善，详见P30-39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4" w:type="dxa"/>
            <w:noWrap w:val="0"/>
            <w:vAlign w:val="center"/>
          </w:tcPr>
          <w:p>
            <w:pPr>
              <w:spacing w:line="240" w:lineRule="auto"/>
              <w:jc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7</w:t>
            </w:r>
          </w:p>
        </w:tc>
        <w:tc>
          <w:tcPr>
            <w:tcW w:w="58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加强施工期的环境影响分析，特别是扬尘和噪声的影响分析，完善污染控制措施要求</w:t>
            </w:r>
          </w:p>
        </w:tc>
        <w:tc>
          <w:tcPr>
            <w:tcW w:w="2354" w:type="dxa"/>
            <w:noWrap w:val="0"/>
            <w:vAlign w:val="center"/>
          </w:tcPr>
          <w:p>
            <w:pPr>
              <w:spacing w:line="240" w:lineRule="auto"/>
              <w:jc w:val="center"/>
              <w:rPr>
                <w:rFonts w:hint="default" w:ascii="Times New Roman" w:hAnsi="Times New Roman" w:cs="Times New Roman"/>
                <w:sz w:val="21"/>
                <w:szCs w:val="21"/>
                <w:highlight w:val="none"/>
                <w:vertAlign w:val="baseline"/>
                <w:lang w:val="en-US" w:eastAsia="zh-CN"/>
              </w:rPr>
            </w:pPr>
            <w:r>
              <w:rPr>
                <w:rFonts w:hint="eastAsia" w:cs="Times New Roman"/>
                <w:sz w:val="21"/>
                <w:szCs w:val="21"/>
                <w:highlight w:val="none"/>
                <w:vertAlign w:val="baseline"/>
                <w:lang w:val="en-US" w:eastAsia="zh-CN"/>
              </w:rPr>
              <w:t>已补充完善，详见P42-84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4" w:type="dxa"/>
            <w:noWrap w:val="0"/>
            <w:vAlign w:val="center"/>
          </w:tcPr>
          <w:p>
            <w:pPr>
              <w:spacing w:line="240" w:lineRule="auto"/>
              <w:jc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8</w:t>
            </w:r>
          </w:p>
        </w:tc>
        <w:tc>
          <w:tcPr>
            <w:tcW w:w="58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安生产产品完善粉尘和沥青烟气、恶臭的收集和处理工艺、规模，要求完善无组织排放和扬尘的控制措施要求，确保达标排放</w:t>
            </w:r>
          </w:p>
        </w:tc>
        <w:tc>
          <w:tcPr>
            <w:tcW w:w="2354" w:type="dxa"/>
            <w:noWrap w:val="0"/>
            <w:vAlign w:val="center"/>
          </w:tcPr>
          <w:p>
            <w:pPr>
              <w:spacing w:line="240" w:lineRule="auto"/>
              <w:jc w:val="center"/>
              <w:rPr>
                <w:rFonts w:hint="default" w:ascii="Times New Roman" w:hAnsi="Times New Roman" w:cs="Times New Roman"/>
                <w:sz w:val="21"/>
                <w:szCs w:val="21"/>
                <w:highlight w:val="none"/>
                <w:vertAlign w:val="baseline"/>
                <w:lang w:val="en-US" w:eastAsia="zh-CN"/>
              </w:rPr>
            </w:pPr>
            <w:r>
              <w:rPr>
                <w:rFonts w:hint="eastAsia" w:cs="Times New Roman"/>
                <w:sz w:val="21"/>
                <w:szCs w:val="21"/>
                <w:highlight w:val="none"/>
                <w:vertAlign w:val="baseline"/>
                <w:lang w:val="en-US" w:eastAsia="zh-CN"/>
              </w:rPr>
              <w:t>已补充完善，详见P70-77，P120-134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4" w:type="dxa"/>
            <w:noWrap w:val="0"/>
            <w:vAlign w:val="center"/>
          </w:tcPr>
          <w:p>
            <w:pPr>
              <w:spacing w:line="240" w:lineRule="auto"/>
              <w:jc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9</w:t>
            </w:r>
          </w:p>
        </w:tc>
        <w:tc>
          <w:tcPr>
            <w:tcW w:w="58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核实生产、生活、清洁的用水量，核实废水的产生量、排放量，完善废水处理措施要求，核实废水经处理达标后的排放去向</w:t>
            </w:r>
          </w:p>
        </w:tc>
        <w:tc>
          <w:tcPr>
            <w:tcW w:w="2354" w:type="dxa"/>
            <w:noWrap w:val="0"/>
            <w:vAlign w:val="center"/>
          </w:tcPr>
          <w:p>
            <w:pPr>
              <w:spacing w:line="240" w:lineRule="auto"/>
              <w:jc w:val="center"/>
              <w:rPr>
                <w:rFonts w:hint="default" w:ascii="Times New Roman" w:hAnsi="Times New Roman" w:cs="Times New Roman"/>
                <w:sz w:val="21"/>
                <w:szCs w:val="21"/>
                <w:highlight w:val="none"/>
                <w:vertAlign w:val="baseline"/>
                <w:lang w:val="en-US" w:eastAsia="zh-CN"/>
              </w:rPr>
            </w:pPr>
            <w:r>
              <w:rPr>
                <w:rFonts w:hint="eastAsia" w:cs="Times New Roman"/>
                <w:sz w:val="21"/>
                <w:szCs w:val="21"/>
                <w:highlight w:val="none"/>
                <w:vertAlign w:val="baseline"/>
                <w:lang w:val="en-US" w:eastAsia="zh-CN"/>
              </w:rPr>
              <w:t>已补充完善，详见P42-84，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4" w:type="dxa"/>
            <w:noWrap w:val="0"/>
            <w:vAlign w:val="center"/>
          </w:tcPr>
          <w:p>
            <w:pPr>
              <w:spacing w:line="240" w:lineRule="auto"/>
              <w:jc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10</w:t>
            </w:r>
          </w:p>
        </w:tc>
        <w:tc>
          <w:tcPr>
            <w:tcW w:w="58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进一步核实生产设备噪声源强，完善降噪措施要求，并分析对环保目标的影响</w:t>
            </w:r>
          </w:p>
        </w:tc>
        <w:tc>
          <w:tcPr>
            <w:tcW w:w="2354" w:type="dxa"/>
            <w:noWrap w:val="0"/>
            <w:vAlign w:val="center"/>
          </w:tcPr>
          <w:p>
            <w:pPr>
              <w:spacing w:line="240" w:lineRule="auto"/>
              <w:jc w:val="center"/>
              <w:rPr>
                <w:rFonts w:hint="default" w:ascii="Times New Roman" w:hAnsi="Times New Roman" w:cs="Times New Roman"/>
                <w:sz w:val="21"/>
                <w:szCs w:val="21"/>
                <w:highlight w:val="none"/>
                <w:vertAlign w:val="baseline"/>
                <w:lang w:val="en-US" w:eastAsia="zh-CN"/>
              </w:rPr>
            </w:pPr>
            <w:r>
              <w:rPr>
                <w:rFonts w:hint="eastAsia" w:cs="Times New Roman"/>
                <w:sz w:val="21"/>
                <w:szCs w:val="21"/>
                <w:highlight w:val="none"/>
                <w:vertAlign w:val="baseline"/>
                <w:lang w:val="en-US" w:eastAsia="zh-CN"/>
              </w:rPr>
              <w:t>已补充完善，详见P42-84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4" w:type="dxa"/>
            <w:noWrap w:val="0"/>
            <w:vAlign w:val="center"/>
          </w:tcPr>
          <w:p>
            <w:pPr>
              <w:spacing w:line="240" w:lineRule="auto"/>
              <w:jc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11</w:t>
            </w:r>
          </w:p>
        </w:tc>
        <w:tc>
          <w:tcPr>
            <w:tcW w:w="58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进一步核实大气防护和卫生防护距离，补充包络图，明确包络图中是否有环保目标</w:t>
            </w:r>
          </w:p>
        </w:tc>
        <w:tc>
          <w:tcPr>
            <w:tcW w:w="2354" w:type="dxa"/>
            <w:noWrap w:val="0"/>
            <w:vAlign w:val="center"/>
          </w:tcPr>
          <w:p>
            <w:pPr>
              <w:spacing w:line="240" w:lineRule="auto"/>
              <w:jc w:val="center"/>
              <w:rPr>
                <w:rFonts w:hint="default" w:ascii="Times New Roman" w:hAnsi="Times New Roman" w:cs="Times New Roman"/>
                <w:sz w:val="21"/>
                <w:szCs w:val="21"/>
                <w:highlight w:val="none"/>
                <w:vertAlign w:val="baseline"/>
                <w:lang w:val="en-US" w:eastAsia="zh-CN"/>
              </w:rPr>
            </w:pPr>
            <w:r>
              <w:rPr>
                <w:rFonts w:hint="eastAsia" w:cs="Times New Roman"/>
                <w:sz w:val="21"/>
                <w:szCs w:val="21"/>
                <w:highlight w:val="none"/>
                <w:vertAlign w:val="baseline"/>
                <w:lang w:val="en-US" w:eastAsia="zh-CN"/>
              </w:rPr>
              <w:t>已补充完善，详见P98-99，P133-135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4" w:type="dxa"/>
            <w:noWrap w:val="0"/>
            <w:vAlign w:val="center"/>
          </w:tcPr>
          <w:p>
            <w:pPr>
              <w:spacing w:line="240" w:lineRule="auto"/>
              <w:jc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12</w:t>
            </w:r>
          </w:p>
        </w:tc>
        <w:tc>
          <w:tcPr>
            <w:tcW w:w="58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加强环境风险分析，补充危化品的储存地点、方式、最大贮存量，并根据危化品的安全储存规范提出建设要求，完善风险控制措施要求</w:t>
            </w:r>
          </w:p>
        </w:tc>
        <w:tc>
          <w:tcPr>
            <w:tcW w:w="2354" w:type="dxa"/>
            <w:noWrap w:val="0"/>
            <w:vAlign w:val="center"/>
          </w:tcPr>
          <w:p>
            <w:pPr>
              <w:spacing w:line="240" w:lineRule="auto"/>
              <w:jc w:val="center"/>
              <w:rPr>
                <w:rFonts w:hint="default" w:ascii="Times New Roman" w:hAnsi="Times New Roman" w:cs="Times New Roman"/>
                <w:sz w:val="21"/>
                <w:szCs w:val="21"/>
                <w:highlight w:val="none"/>
                <w:vertAlign w:val="baseline"/>
                <w:lang w:val="en-US" w:eastAsia="zh-CN"/>
              </w:rPr>
            </w:pPr>
            <w:r>
              <w:rPr>
                <w:rFonts w:hint="eastAsia" w:cs="Times New Roman"/>
                <w:sz w:val="21"/>
                <w:szCs w:val="21"/>
                <w:highlight w:val="none"/>
                <w:vertAlign w:val="baseline"/>
                <w:lang w:val="en-US" w:eastAsia="zh-CN"/>
              </w:rPr>
              <w:t>已补充完善，详见P147-151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4" w:type="dxa"/>
            <w:noWrap w:val="0"/>
            <w:vAlign w:val="center"/>
          </w:tcPr>
          <w:p>
            <w:pPr>
              <w:spacing w:line="240" w:lineRule="auto"/>
              <w:jc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13</w:t>
            </w:r>
          </w:p>
        </w:tc>
        <w:tc>
          <w:tcPr>
            <w:tcW w:w="58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完善平面布置图，核实环保投资，完善项目竣工环保验收一览表</w:t>
            </w:r>
          </w:p>
        </w:tc>
        <w:tc>
          <w:tcPr>
            <w:tcW w:w="2354" w:type="dxa"/>
            <w:noWrap w:val="0"/>
            <w:vAlign w:val="center"/>
          </w:tcPr>
          <w:p>
            <w:pPr>
              <w:spacing w:line="240" w:lineRule="auto"/>
              <w:jc w:val="center"/>
              <w:rPr>
                <w:rFonts w:hint="default" w:ascii="Times New Roman" w:hAnsi="Times New Roman" w:eastAsia="宋体" w:cs="Times New Roman"/>
                <w:sz w:val="21"/>
                <w:szCs w:val="21"/>
                <w:highlight w:val="none"/>
                <w:vertAlign w:val="baseline"/>
                <w:lang w:val="en-US" w:eastAsia="zh-CN"/>
              </w:rPr>
            </w:pPr>
            <w:r>
              <w:rPr>
                <w:rFonts w:hint="eastAsia" w:cs="Times New Roman"/>
                <w:sz w:val="21"/>
                <w:szCs w:val="21"/>
                <w:highlight w:val="none"/>
                <w:vertAlign w:val="baseline"/>
                <w:lang w:val="en-US" w:eastAsia="zh-CN"/>
              </w:rPr>
              <w:t>已补充完善，详见附图2，P152-153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4" w:type="dxa"/>
            <w:noWrap w:val="0"/>
            <w:vAlign w:val="center"/>
          </w:tcPr>
          <w:p>
            <w:pPr>
              <w:spacing w:line="240" w:lineRule="auto"/>
              <w:jc w:val="center"/>
              <w:rPr>
                <w:rFonts w:hint="default" w:ascii="Times New Roman" w:hAnsi="Times New Roman" w:cs="Times New Roman"/>
                <w:sz w:val="21"/>
                <w:szCs w:val="21"/>
                <w:highlight w:val="none"/>
                <w:vertAlign w:val="baseline"/>
                <w:lang w:val="en-US" w:eastAsia="zh-CN"/>
              </w:rPr>
            </w:pPr>
            <w:r>
              <w:rPr>
                <w:rFonts w:hint="eastAsia" w:cs="Times New Roman"/>
                <w:sz w:val="21"/>
                <w:szCs w:val="21"/>
                <w:highlight w:val="none"/>
                <w:vertAlign w:val="baseline"/>
                <w:lang w:val="en-US" w:eastAsia="zh-CN"/>
              </w:rPr>
              <w:t>14</w:t>
            </w:r>
          </w:p>
        </w:tc>
        <w:tc>
          <w:tcPr>
            <w:tcW w:w="58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进一步明确本项目建设使用的时限，补充项目退出后生产场地生态恢复措施要求</w:t>
            </w:r>
          </w:p>
        </w:tc>
        <w:tc>
          <w:tcPr>
            <w:tcW w:w="2354" w:type="dxa"/>
            <w:noWrap w:val="0"/>
            <w:vAlign w:val="center"/>
          </w:tcPr>
          <w:p>
            <w:pPr>
              <w:spacing w:line="240" w:lineRule="auto"/>
              <w:jc w:val="center"/>
              <w:rPr>
                <w:rFonts w:hint="default" w:ascii="Times New Roman" w:hAnsi="Times New Roman" w:eastAsia="宋体" w:cs="Times New Roman"/>
                <w:sz w:val="21"/>
                <w:szCs w:val="21"/>
                <w:highlight w:val="none"/>
                <w:vertAlign w:val="baseline"/>
                <w:lang w:val="en-US" w:eastAsia="zh-CN"/>
              </w:rPr>
            </w:pPr>
            <w:r>
              <w:rPr>
                <w:rFonts w:hint="eastAsia" w:cs="Times New Roman"/>
                <w:sz w:val="21"/>
                <w:szCs w:val="21"/>
                <w:highlight w:val="none"/>
                <w:vertAlign w:val="baseline"/>
                <w:lang w:val="en-US" w:eastAsia="zh-CN"/>
              </w:rPr>
              <w:t>已补充完善，详见P12</w:t>
            </w:r>
          </w:p>
        </w:tc>
      </w:tr>
    </w:tbl>
    <w:p>
      <w:r>
        <w:br w:type="page"/>
      </w:r>
      <w:bookmarkStart w:id="121" w:name="_GoBack"/>
      <w:bookmarkEnd w:id="121"/>
    </w:p>
    <w:sdt>
      <w:sdtPr>
        <w:rPr>
          <w:rFonts w:ascii="宋体" w:hAnsi="宋体" w:eastAsia="宋体" w:cs="Times New Roman"/>
          <w:kern w:val="2"/>
          <w:sz w:val="21"/>
          <w:szCs w:val="24"/>
          <w:lang w:val="en-US" w:eastAsia="zh-CN" w:bidi="ar-SA"/>
        </w:rPr>
        <w:id w:val="147472543"/>
        <w15:color w:val="DBDBDB"/>
        <w:docPartObj>
          <w:docPartGallery w:val="Table of Contents"/>
          <w:docPartUnique/>
        </w:docPartObj>
      </w:sdtPr>
      <w:sdtEndPr>
        <w:rPr>
          <w:rFonts w:hint="eastAsia" w:ascii="Times New Roman" w:hAnsi="Times New Roman" w:eastAsia="宋体" w:cs="宋体"/>
          <w:kern w:val="2"/>
          <w:sz w:val="32"/>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32"/>
            <w:tabs>
              <w:tab w:val="right" w:leader="dot" w:pos="9073"/>
            </w:tabs>
            <w:ind w:left="0" w:leftChars="0" w:firstLine="562" w:firstLineChars="200"/>
          </w:pPr>
          <w:r>
            <w:rPr>
              <w:rFonts w:hint="eastAsia" w:cs="宋体"/>
              <w:b/>
              <w:sz w:val="28"/>
            </w:rPr>
            <w:fldChar w:fldCharType="begin"/>
          </w:r>
          <w:r>
            <w:rPr>
              <w:rFonts w:hint="eastAsia" w:cs="宋体"/>
              <w:b/>
              <w:sz w:val="28"/>
            </w:rPr>
            <w:instrText xml:space="preserve">TOC \o "1-3" \h \u </w:instrText>
          </w:r>
          <w:r>
            <w:rPr>
              <w:rFonts w:hint="eastAsia" w:cs="宋体"/>
              <w:b/>
              <w:sz w:val="28"/>
            </w:rPr>
            <w:fldChar w:fldCharType="separate"/>
          </w:r>
          <w:r>
            <w:rPr>
              <w:rFonts w:hint="eastAsia" w:cs="宋体"/>
            </w:rPr>
            <w:fldChar w:fldCharType="begin"/>
          </w:r>
          <w:r>
            <w:rPr>
              <w:rFonts w:hint="eastAsia" w:cs="宋体"/>
            </w:rPr>
            <w:instrText xml:space="preserve"> HYPERLINK \l _Toc27864 </w:instrText>
          </w:r>
          <w:r>
            <w:rPr>
              <w:rFonts w:hint="eastAsia" w:cs="宋体"/>
            </w:rPr>
            <w:fldChar w:fldCharType="separate"/>
          </w:r>
          <w:r>
            <w:rPr>
              <w:rFonts w:hint="eastAsia" w:cs="宋体"/>
            </w:rPr>
            <w:t>建设项目基本情况</w:t>
          </w:r>
          <w:r>
            <w:tab/>
          </w:r>
          <w:r>
            <w:fldChar w:fldCharType="begin"/>
          </w:r>
          <w:r>
            <w:instrText xml:space="preserve"> PAGEREF _Toc27864 </w:instrText>
          </w:r>
          <w:r>
            <w:fldChar w:fldCharType="separate"/>
          </w:r>
          <w:r>
            <w:t>1</w:t>
          </w:r>
          <w:r>
            <w:fldChar w:fldCharType="end"/>
          </w:r>
          <w:r>
            <w:rPr>
              <w:rFonts w:hint="eastAsia" w:cs="宋体"/>
            </w:rPr>
            <w:fldChar w:fldCharType="end"/>
          </w:r>
        </w:p>
        <w:p>
          <w:pPr>
            <w:pStyle w:val="32"/>
            <w:tabs>
              <w:tab w:val="right" w:leader="dot" w:pos="9073"/>
            </w:tabs>
          </w:pPr>
          <w:r>
            <w:rPr>
              <w:rFonts w:hint="eastAsia" w:cs="宋体"/>
            </w:rPr>
            <w:fldChar w:fldCharType="begin"/>
          </w:r>
          <w:r>
            <w:rPr>
              <w:rFonts w:hint="eastAsia" w:cs="宋体"/>
            </w:rPr>
            <w:instrText xml:space="preserve"> HYPERLINK \l _Toc10174 </w:instrText>
          </w:r>
          <w:r>
            <w:rPr>
              <w:rFonts w:hint="eastAsia" w:cs="宋体"/>
            </w:rPr>
            <w:fldChar w:fldCharType="separate"/>
          </w:r>
          <w:r>
            <w:rPr>
              <w:rFonts w:hint="eastAsia" w:cs="宋体"/>
              <w:bCs/>
            </w:rPr>
            <w:t>建设项目所在地自然社会环境简况</w:t>
          </w:r>
          <w:r>
            <w:tab/>
          </w:r>
          <w:r>
            <w:fldChar w:fldCharType="begin"/>
          </w:r>
          <w:r>
            <w:instrText xml:space="preserve"> PAGEREF _Toc10174 </w:instrText>
          </w:r>
          <w:r>
            <w:fldChar w:fldCharType="separate"/>
          </w:r>
          <w:r>
            <w:t>14</w:t>
          </w:r>
          <w:r>
            <w:fldChar w:fldCharType="end"/>
          </w:r>
          <w:r>
            <w:rPr>
              <w:rFonts w:hint="eastAsia" w:cs="宋体"/>
            </w:rPr>
            <w:fldChar w:fldCharType="end"/>
          </w:r>
        </w:p>
        <w:p>
          <w:pPr>
            <w:pStyle w:val="32"/>
            <w:tabs>
              <w:tab w:val="right" w:leader="dot" w:pos="9073"/>
            </w:tabs>
          </w:pPr>
          <w:r>
            <w:rPr>
              <w:rFonts w:hint="eastAsia" w:cs="宋体"/>
            </w:rPr>
            <w:fldChar w:fldCharType="begin"/>
          </w:r>
          <w:r>
            <w:rPr>
              <w:rFonts w:hint="eastAsia" w:cs="宋体"/>
            </w:rPr>
            <w:instrText xml:space="preserve"> HYPERLINK \l _Toc14461 </w:instrText>
          </w:r>
          <w:r>
            <w:rPr>
              <w:rFonts w:hint="eastAsia" w:cs="宋体"/>
            </w:rPr>
            <w:fldChar w:fldCharType="separate"/>
          </w:r>
          <w:r>
            <w:rPr>
              <w:rFonts w:hint="eastAsia" w:cs="宋体"/>
              <w:bCs/>
            </w:rPr>
            <w:t>环境质量状况</w:t>
          </w:r>
          <w:r>
            <w:tab/>
          </w:r>
          <w:r>
            <w:fldChar w:fldCharType="begin"/>
          </w:r>
          <w:r>
            <w:instrText xml:space="preserve"> PAGEREF _Toc14461 </w:instrText>
          </w:r>
          <w:r>
            <w:fldChar w:fldCharType="separate"/>
          </w:r>
          <w:r>
            <w:t>19</w:t>
          </w:r>
          <w:r>
            <w:fldChar w:fldCharType="end"/>
          </w:r>
          <w:r>
            <w:rPr>
              <w:rFonts w:hint="eastAsia" w:cs="宋体"/>
            </w:rPr>
            <w:fldChar w:fldCharType="end"/>
          </w:r>
        </w:p>
        <w:p>
          <w:pPr>
            <w:pStyle w:val="32"/>
            <w:tabs>
              <w:tab w:val="right" w:leader="dot" w:pos="9073"/>
            </w:tabs>
          </w:pPr>
          <w:r>
            <w:rPr>
              <w:rFonts w:hint="eastAsia" w:cs="宋体"/>
            </w:rPr>
            <w:fldChar w:fldCharType="begin"/>
          </w:r>
          <w:r>
            <w:rPr>
              <w:rFonts w:hint="eastAsia" w:cs="宋体"/>
            </w:rPr>
            <w:instrText xml:space="preserve"> HYPERLINK \l _Toc15901 </w:instrText>
          </w:r>
          <w:r>
            <w:rPr>
              <w:rFonts w:hint="eastAsia" w:cs="宋体"/>
            </w:rPr>
            <w:fldChar w:fldCharType="separate"/>
          </w:r>
          <w:r>
            <w:rPr>
              <w:rFonts w:hint="eastAsia" w:cs="宋体"/>
              <w:bCs/>
            </w:rPr>
            <w:t>评价适用标准</w:t>
          </w:r>
          <w:r>
            <w:tab/>
          </w:r>
          <w:r>
            <w:fldChar w:fldCharType="begin"/>
          </w:r>
          <w:r>
            <w:instrText xml:space="preserve"> PAGEREF _Toc15901 </w:instrText>
          </w:r>
          <w:r>
            <w:fldChar w:fldCharType="separate"/>
          </w:r>
          <w:r>
            <w:t>25</w:t>
          </w:r>
          <w:r>
            <w:fldChar w:fldCharType="end"/>
          </w:r>
          <w:r>
            <w:rPr>
              <w:rFonts w:hint="eastAsia" w:cs="宋体"/>
            </w:rPr>
            <w:fldChar w:fldCharType="end"/>
          </w:r>
        </w:p>
        <w:p>
          <w:pPr>
            <w:pStyle w:val="32"/>
            <w:tabs>
              <w:tab w:val="right" w:leader="dot" w:pos="9073"/>
            </w:tabs>
          </w:pPr>
          <w:r>
            <w:rPr>
              <w:rFonts w:hint="eastAsia" w:cs="宋体"/>
            </w:rPr>
            <w:fldChar w:fldCharType="begin"/>
          </w:r>
          <w:r>
            <w:rPr>
              <w:rFonts w:hint="eastAsia" w:cs="宋体"/>
            </w:rPr>
            <w:instrText xml:space="preserve"> HYPERLINK \l _Toc20760 </w:instrText>
          </w:r>
          <w:r>
            <w:rPr>
              <w:rFonts w:hint="eastAsia" w:cs="宋体"/>
            </w:rPr>
            <w:fldChar w:fldCharType="separate"/>
          </w:r>
          <w:r>
            <w:rPr>
              <w:rFonts w:hint="eastAsia" w:cs="宋体"/>
              <w:bCs/>
            </w:rPr>
            <w:t>建设项目工程分析</w:t>
          </w:r>
          <w:r>
            <w:tab/>
          </w:r>
          <w:r>
            <w:fldChar w:fldCharType="begin"/>
          </w:r>
          <w:r>
            <w:instrText xml:space="preserve"> PAGEREF _Toc20760 </w:instrText>
          </w:r>
          <w:r>
            <w:fldChar w:fldCharType="separate"/>
          </w:r>
          <w:r>
            <w:t>26</w:t>
          </w:r>
          <w:r>
            <w:fldChar w:fldCharType="end"/>
          </w:r>
          <w:r>
            <w:rPr>
              <w:rFonts w:hint="eastAsia" w:cs="宋体"/>
            </w:rPr>
            <w:fldChar w:fldCharType="end"/>
          </w:r>
        </w:p>
        <w:p>
          <w:pPr>
            <w:pStyle w:val="32"/>
            <w:tabs>
              <w:tab w:val="right" w:leader="dot" w:pos="9073"/>
            </w:tabs>
          </w:pPr>
          <w:r>
            <w:rPr>
              <w:rFonts w:hint="eastAsia" w:cs="宋体"/>
            </w:rPr>
            <w:fldChar w:fldCharType="begin"/>
          </w:r>
          <w:r>
            <w:rPr>
              <w:rFonts w:hint="eastAsia" w:cs="宋体"/>
            </w:rPr>
            <w:instrText xml:space="preserve"> HYPERLINK \l _Toc24628 </w:instrText>
          </w:r>
          <w:r>
            <w:rPr>
              <w:rFonts w:hint="eastAsia" w:cs="宋体"/>
            </w:rPr>
            <w:fldChar w:fldCharType="separate"/>
          </w:r>
          <w:r>
            <w:rPr>
              <w:rFonts w:hint="eastAsia" w:cs="宋体"/>
              <w:bCs/>
            </w:rPr>
            <w:t>环境影响分析</w:t>
          </w:r>
          <w:r>
            <w:tab/>
          </w:r>
          <w:r>
            <w:fldChar w:fldCharType="begin"/>
          </w:r>
          <w:r>
            <w:instrText xml:space="preserve"> PAGEREF _Toc24628 </w:instrText>
          </w:r>
          <w:r>
            <w:fldChar w:fldCharType="separate"/>
          </w:r>
          <w:r>
            <w:t>75</w:t>
          </w:r>
          <w:r>
            <w:fldChar w:fldCharType="end"/>
          </w:r>
          <w:r>
            <w:rPr>
              <w:rFonts w:hint="eastAsia" w:cs="宋体"/>
            </w:rPr>
            <w:fldChar w:fldCharType="end"/>
          </w:r>
        </w:p>
        <w:p>
          <w:pPr>
            <w:pStyle w:val="32"/>
            <w:tabs>
              <w:tab w:val="right" w:leader="dot" w:pos="9073"/>
            </w:tabs>
          </w:pPr>
          <w:r>
            <w:rPr>
              <w:rFonts w:hint="eastAsia" w:cs="宋体"/>
            </w:rPr>
            <w:fldChar w:fldCharType="begin"/>
          </w:r>
          <w:r>
            <w:rPr>
              <w:rFonts w:hint="eastAsia" w:cs="宋体"/>
            </w:rPr>
            <w:instrText xml:space="preserve"> HYPERLINK \l _Toc30724 </w:instrText>
          </w:r>
          <w:r>
            <w:rPr>
              <w:rFonts w:hint="eastAsia" w:cs="宋体"/>
            </w:rPr>
            <w:fldChar w:fldCharType="separate"/>
          </w:r>
          <w:r>
            <w:rPr>
              <w:rFonts w:hint="eastAsia" w:cs="宋体"/>
              <w:bCs/>
            </w:rPr>
            <w:t>建设项目拟采取的防治措施及预期治理效果</w:t>
          </w:r>
          <w:r>
            <w:tab/>
          </w:r>
          <w:r>
            <w:fldChar w:fldCharType="begin"/>
          </w:r>
          <w:r>
            <w:instrText xml:space="preserve"> PAGEREF _Toc30724 </w:instrText>
          </w:r>
          <w:r>
            <w:fldChar w:fldCharType="separate"/>
          </w:r>
          <w:r>
            <w:t>141</w:t>
          </w:r>
          <w:r>
            <w:fldChar w:fldCharType="end"/>
          </w:r>
          <w:r>
            <w:rPr>
              <w:rFonts w:hint="eastAsia" w:cs="宋体"/>
            </w:rPr>
            <w:fldChar w:fldCharType="end"/>
          </w:r>
        </w:p>
        <w:p>
          <w:pPr>
            <w:pStyle w:val="32"/>
            <w:tabs>
              <w:tab w:val="right" w:leader="dot" w:pos="9073"/>
            </w:tabs>
          </w:pPr>
          <w:r>
            <w:rPr>
              <w:rFonts w:hint="eastAsia" w:cs="宋体"/>
            </w:rPr>
            <w:fldChar w:fldCharType="begin"/>
          </w:r>
          <w:r>
            <w:rPr>
              <w:rFonts w:hint="eastAsia" w:cs="宋体"/>
            </w:rPr>
            <w:instrText xml:space="preserve"> HYPERLINK \l _Toc7248 </w:instrText>
          </w:r>
          <w:r>
            <w:rPr>
              <w:rFonts w:hint="eastAsia" w:cs="宋体"/>
            </w:rPr>
            <w:fldChar w:fldCharType="separate"/>
          </w:r>
          <w:r>
            <w:rPr>
              <w:rFonts w:hint="eastAsia" w:cs="宋体"/>
              <w:bCs/>
            </w:rPr>
            <w:t>结论与建议</w:t>
          </w:r>
          <w:r>
            <w:tab/>
          </w:r>
          <w:r>
            <w:fldChar w:fldCharType="begin"/>
          </w:r>
          <w:r>
            <w:instrText xml:space="preserve"> PAGEREF _Toc7248 </w:instrText>
          </w:r>
          <w:r>
            <w:fldChar w:fldCharType="separate"/>
          </w:r>
          <w:r>
            <w:t>142</w:t>
          </w:r>
          <w:r>
            <w:fldChar w:fldCharType="end"/>
          </w:r>
          <w:r>
            <w:rPr>
              <w:rFonts w:hint="eastAsia" w:cs="宋体"/>
            </w:rPr>
            <w:fldChar w:fldCharType="end"/>
          </w:r>
        </w:p>
        <w:p>
          <w:pPr>
            <w:jc w:val="left"/>
            <w:outlineLvl w:val="0"/>
            <w:rPr>
              <w:rFonts w:hint="eastAsia" w:cs="宋体"/>
              <w:b/>
              <w:sz w:val="28"/>
            </w:rPr>
            <w:sectPr>
              <w:headerReference r:id="rId3" w:type="default"/>
              <w:footerReference r:id="rId4" w:type="default"/>
              <w:pgSz w:w="11907" w:h="16840"/>
              <w:pgMar w:top="1440" w:right="1417" w:bottom="1440" w:left="1417" w:header="992" w:footer="850" w:gutter="0"/>
              <w:pgBorders>
                <w:top w:val="none" w:sz="0" w:space="0"/>
                <w:left w:val="none" w:sz="0" w:space="0"/>
                <w:bottom w:val="none" w:sz="0" w:space="0"/>
                <w:right w:val="none" w:sz="0" w:space="0"/>
              </w:pgBorders>
              <w:pgNumType w:start="1"/>
              <w:cols w:space="720" w:num="1"/>
              <w:docGrid w:type="lines" w:linePitch="436" w:charSpace="0"/>
            </w:sectPr>
          </w:pPr>
          <w:r>
            <w:rPr>
              <w:rFonts w:hint="eastAsia" w:cs="宋体"/>
            </w:rPr>
            <w:fldChar w:fldCharType="end"/>
          </w:r>
        </w:p>
      </w:sdtContent>
    </w:sdt>
    <w:p>
      <w:pPr>
        <w:jc w:val="left"/>
        <w:outlineLvl w:val="0"/>
        <w:rPr>
          <w:rFonts w:cs="宋体"/>
          <w:b/>
          <w:sz w:val="28"/>
        </w:rPr>
      </w:pPr>
      <w:bookmarkStart w:id="1" w:name="_Toc27864"/>
      <w:r>
        <w:rPr>
          <w:rFonts w:hint="eastAsia" w:cs="宋体"/>
          <w:b/>
          <w:sz w:val="28"/>
        </w:rPr>
        <w:t>建设项目基本情况</w:t>
      </w:r>
      <w:bookmarkEnd w:id="1"/>
    </w:p>
    <w:tbl>
      <w:tblPr>
        <w:tblStyle w:val="43"/>
        <w:tblW w:w="91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2535"/>
        <w:gridCol w:w="225"/>
        <w:gridCol w:w="1193"/>
        <w:gridCol w:w="1276"/>
        <w:gridCol w:w="1297"/>
        <w:gridCol w:w="422"/>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29" w:type="dxa"/>
            <w:vAlign w:val="center"/>
          </w:tcPr>
          <w:p>
            <w:pPr>
              <w:jc w:val="center"/>
              <w:rPr>
                <w:rFonts w:cs="宋体"/>
                <w:color w:val="auto"/>
                <w:sz w:val="24"/>
              </w:rPr>
            </w:pPr>
            <w:r>
              <w:rPr>
                <w:rFonts w:hint="eastAsia" w:cs="宋体"/>
                <w:color w:val="auto"/>
                <w:sz w:val="24"/>
              </w:rPr>
              <w:t>项目名称</w:t>
            </w:r>
          </w:p>
        </w:tc>
        <w:tc>
          <w:tcPr>
            <w:tcW w:w="7757" w:type="dxa"/>
            <w:gridSpan w:val="7"/>
            <w:vAlign w:val="center"/>
          </w:tcPr>
          <w:p>
            <w:pPr>
              <w:jc w:val="center"/>
              <w:rPr>
                <w:rFonts w:hint="eastAsia" w:eastAsia="宋体"/>
                <w:color w:val="auto"/>
                <w:sz w:val="24"/>
                <w:lang w:val="en-US" w:eastAsia="zh-CN"/>
              </w:rPr>
            </w:pPr>
            <w:r>
              <w:rPr>
                <w:rFonts w:hint="eastAsia"/>
                <w:color w:val="auto"/>
                <w:sz w:val="24"/>
                <w:lang w:eastAsia="zh-CN"/>
              </w:rPr>
              <w:t>株洲市清水塘生态科技新城整体开发</w:t>
            </w:r>
            <w:r>
              <w:rPr>
                <w:rFonts w:hint="eastAsia"/>
                <w:color w:val="auto"/>
                <w:sz w:val="24"/>
                <w:lang w:val="en-US" w:eastAsia="zh-CN"/>
              </w:rPr>
              <w:t>PPP项目</w:t>
            </w:r>
            <w:r>
              <w:rPr>
                <w:rFonts w:hint="eastAsia"/>
                <w:color w:val="auto"/>
                <w:sz w:val="24"/>
                <w:lang w:eastAsia="zh-CN"/>
              </w:rPr>
              <w:t>集中配送中心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29" w:type="dxa"/>
            <w:vAlign w:val="center"/>
          </w:tcPr>
          <w:p>
            <w:pPr>
              <w:jc w:val="center"/>
              <w:rPr>
                <w:rFonts w:cs="宋体"/>
                <w:color w:val="auto"/>
                <w:sz w:val="24"/>
              </w:rPr>
            </w:pPr>
            <w:r>
              <w:rPr>
                <w:rFonts w:hint="eastAsia" w:cs="宋体"/>
                <w:color w:val="auto"/>
                <w:sz w:val="24"/>
              </w:rPr>
              <w:t>建设单位</w:t>
            </w:r>
          </w:p>
        </w:tc>
        <w:tc>
          <w:tcPr>
            <w:tcW w:w="7757" w:type="dxa"/>
            <w:gridSpan w:val="7"/>
            <w:vAlign w:val="center"/>
          </w:tcPr>
          <w:p>
            <w:pPr>
              <w:jc w:val="center"/>
              <w:rPr>
                <w:rFonts w:hint="eastAsia" w:eastAsia="宋体"/>
                <w:color w:val="auto"/>
                <w:sz w:val="24"/>
                <w:lang w:eastAsia="zh-CN"/>
              </w:rPr>
            </w:pPr>
            <w:r>
              <w:rPr>
                <w:rFonts w:hint="eastAsia"/>
                <w:color w:val="auto"/>
                <w:sz w:val="24"/>
                <w:lang w:eastAsia="zh-CN"/>
              </w:rPr>
              <w:t>中交第三航务工程局有限公司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29" w:type="dxa"/>
            <w:vAlign w:val="center"/>
          </w:tcPr>
          <w:p>
            <w:pPr>
              <w:jc w:val="center"/>
              <w:rPr>
                <w:rFonts w:cs="宋体"/>
                <w:color w:val="auto"/>
                <w:sz w:val="24"/>
              </w:rPr>
            </w:pPr>
            <w:r>
              <w:rPr>
                <w:rFonts w:hint="eastAsia" w:cs="宋体"/>
                <w:color w:val="auto"/>
                <w:sz w:val="24"/>
              </w:rPr>
              <w:t>法人代表</w:t>
            </w:r>
          </w:p>
        </w:tc>
        <w:tc>
          <w:tcPr>
            <w:tcW w:w="3953" w:type="dxa"/>
            <w:gridSpan w:val="3"/>
            <w:vAlign w:val="center"/>
          </w:tcPr>
          <w:p>
            <w:pPr>
              <w:jc w:val="center"/>
              <w:rPr>
                <w:rFonts w:hint="eastAsia" w:eastAsia="宋体"/>
                <w:color w:val="auto"/>
                <w:sz w:val="24"/>
                <w:highlight w:val="yellow"/>
                <w:lang w:eastAsia="zh-CN"/>
              </w:rPr>
            </w:pPr>
            <w:r>
              <w:rPr>
                <w:rFonts w:hint="eastAsia"/>
                <w:color w:val="auto"/>
                <w:sz w:val="24"/>
                <w:lang w:val="en-US" w:eastAsia="zh-CN"/>
              </w:rPr>
              <w:t>王世峰</w:t>
            </w:r>
          </w:p>
        </w:tc>
        <w:tc>
          <w:tcPr>
            <w:tcW w:w="1276" w:type="dxa"/>
            <w:vAlign w:val="center"/>
          </w:tcPr>
          <w:p>
            <w:pPr>
              <w:jc w:val="center"/>
              <w:rPr>
                <w:color w:val="auto"/>
                <w:sz w:val="24"/>
              </w:rPr>
            </w:pPr>
            <w:r>
              <w:rPr>
                <w:color w:val="auto"/>
                <w:sz w:val="24"/>
              </w:rPr>
              <w:t>联 系 人</w:t>
            </w:r>
          </w:p>
        </w:tc>
        <w:tc>
          <w:tcPr>
            <w:tcW w:w="2528" w:type="dxa"/>
            <w:gridSpan w:val="3"/>
            <w:vAlign w:val="center"/>
          </w:tcPr>
          <w:p>
            <w:pPr>
              <w:jc w:val="center"/>
              <w:rPr>
                <w:rFonts w:hint="eastAsia" w:eastAsia="宋体"/>
                <w:color w:val="auto"/>
                <w:sz w:val="24"/>
                <w:lang w:eastAsia="zh-CN"/>
              </w:rPr>
            </w:pPr>
            <w:r>
              <w:rPr>
                <w:rFonts w:hint="eastAsia"/>
                <w:color w:val="auto"/>
                <w:sz w:val="24"/>
                <w:lang w:eastAsia="zh-CN"/>
              </w:rPr>
              <w:t>徐纪洋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29" w:type="dxa"/>
            <w:vAlign w:val="center"/>
          </w:tcPr>
          <w:p>
            <w:pPr>
              <w:jc w:val="center"/>
              <w:rPr>
                <w:rFonts w:cs="宋体"/>
                <w:color w:val="auto"/>
                <w:sz w:val="24"/>
              </w:rPr>
            </w:pPr>
            <w:r>
              <w:rPr>
                <w:rFonts w:hint="eastAsia" w:cs="宋体"/>
                <w:color w:val="auto"/>
                <w:sz w:val="24"/>
              </w:rPr>
              <w:t>通讯地址</w:t>
            </w:r>
          </w:p>
        </w:tc>
        <w:tc>
          <w:tcPr>
            <w:tcW w:w="7757" w:type="dxa"/>
            <w:gridSpan w:val="7"/>
            <w:vAlign w:val="center"/>
          </w:tcPr>
          <w:p>
            <w:pPr>
              <w:jc w:val="center"/>
              <w:rPr>
                <w:color w:val="auto"/>
                <w:sz w:val="24"/>
                <w:highlight w:val="yellow"/>
              </w:rPr>
            </w:pPr>
            <w:r>
              <w:rPr>
                <w:rFonts w:hint="eastAsia"/>
                <w:color w:val="auto"/>
                <w:sz w:val="24"/>
              </w:rPr>
              <w:t>湖南省株洲市石峰区铜塘湾办事处丁山路</w:t>
            </w:r>
            <w:r>
              <w:rPr>
                <w:color w:val="auto"/>
                <w:sz w:val="24"/>
              </w:rPr>
              <w:t xml:space="preserve">11 </w:t>
            </w:r>
            <w:r>
              <w:rPr>
                <w:rFonts w:hint="eastAsia"/>
                <w:color w:val="auto"/>
                <w:sz w:val="24"/>
              </w:rPr>
              <w:t>号</w:t>
            </w:r>
            <w:r>
              <w:rPr>
                <w:color w:val="auto"/>
                <w:sz w:val="24"/>
              </w:rPr>
              <w:t xml:space="preserve">101 </w:t>
            </w:r>
            <w:r>
              <w:rPr>
                <w:rFonts w:hint="eastAsia"/>
                <w:color w:val="auto"/>
                <w:sz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29" w:type="dxa"/>
            <w:vAlign w:val="center"/>
          </w:tcPr>
          <w:p>
            <w:pPr>
              <w:jc w:val="center"/>
              <w:rPr>
                <w:rFonts w:cs="宋体"/>
                <w:color w:val="auto"/>
                <w:sz w:val="24"/>
              </w:rPr>
            </w:pPr>
            <w:r>
              <w:rPr>
                <w:rFonts w:hint="eastAsia" w:cs="宋体"/>
                <w:color w:val="auto"/>
                <w:sz w:val="24"/>
              </w:rPr>
              <w:t>联系电话</w:t>
            </w:r>
          </w:p>
        </w:tc>
        <w:tc>
          <w:tcPr>
            <w:tcW w:w="2760" w:type="dxa"/>
            <w:gridSpan w:val="2"/>
            <w:vAlign w:val="center"/>
          </w:tcPr>
          <w:p>
            <w:pPr>
              <w:jc w:val="center"/>
              <w:rPr>
                <w:rFonts w:hint="eastAsia" w:eastAsia="宋体"/>
                <w:color w:val="auto"/>
                <w:sz w:val="24"/>
                <w:highlight w:val="yellow"/>
                <w:lang w:eastAsia="zh-CN"/>
              </w:rPr>
            </w:pPr>
            <w:r>
              <w:rPr>
                <w:rFonts w:hint="eastAsia"/>
                <w:color w:val="auto"/>
                <w:sz w:val="24"/>
                <w:lang w:eastAsia="zh-CN"/>
              </w:rPr>
              <w:t>13818105518</w:t>
            </w:r>
          </w:p>
        </w:tc>
        <w:tc>
          <w:tcPr>
            <w:tcW w:w="1193" w:type="dxa"/>
            <w:vAlign w:val="center"/>
          </w:tcPr>
          <w:p>
            <w:pPr>
              <w:jc w:val="center"/>
              <w:rPr>
                <w:color w:val="auto"/>
                <w:sz w:val="24"/>
              </w:rPr>
            </w:pPr>
            <w:r>
              <w:rPr>
                <w:color w:val="auto"/>
                <w:sz w:val="24"/>
              </w:rPr>
              <w:t>传真</w:t>
            </w:r>
          </w:p>
        </w:tc>
        <w:tc>
          <w:tcPr>
            <w:tcW w:w="1276" w:type="dxa"/>
            <w:vAlign w:val="center"/>
          </w:tcPr>
          <w:p>
            <w:pPr>
              <w:jc w:val="center"/>
              <w:rPr>
                <w:color w:val="auto"/>
                <w:sz w:val="24"/>
              </w:rPr>
            </w:pPr>
            <w:r>
              <w:rPr>
                <w:color w:val="auto"/>
                <w:sz w:val="24"/>
              </w:rPr>
              <w:t>/</w:t>
            </w:r>
          </w:p>
        </w:tc>
        <w:tc>
          <w:tcPr>
            <w:tcW w:w="1297" w:type="dxa"/>
            <w:vAlign w:val="center"/>
          </w:tcPr>
          <w:p>
            <w:pPr>
              <w:jc w:val="center"/>
              <w:rPr>
                <w:color w:val="auto"/>
                <w:sz w:val="24"/>
              </w:rPr>
            </w:pPr>
            <w:r>
              <w:rPr>
                <w:color w:val="auto"/>
                <w:sz w:val="24"/>
              </w:rPr>
              <w:t>邮编</w:t>
            </w:r>
          </w:p>
        </w:tc>
        <w:tc>
          <w:tcPr>
            <w:tcW w:w="1231" w:type="dxa"/>
            <w:gridSpan w:val="2"/>
            <w:vAlign w:val="center"/>
          </w:tcPr>
          <w:p>
            <w:pPr>
              <w:jc w:val="left"/>
              <w:rPr>
                <w:color w:val="auto"/>
                <w:sz w:val="24"/>
              </w:rPr>
            </w:pPr>
            <w:r>
              <w:rPr>
                <w:color w:val="auto"/>
                <w:sz w:val="24"/>
              </w:rPr>
              <w:t>412000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29" w:type="dxa"/>
            <w:vAlign w:val="center"/>
          </w:tcPr>
          <w:p>
            <w:pPr>
              <w:jc w:val="center"/>
              <w:rPr>
                <w:rFonts w:cs="宋体"/>
                <w:color w:val="auto"/>
                <w:sz w:val="24"/>
              </w:rPr>
            </w:pPr>
            <w:r>
              <w:rPr>
                <w:rFonts w:hint="eastAsia" w:cs="宋体"/>
                <w:color w:val="auto"/>
                <w:sz w:val="24"/>
              </w:rPr>
              <w:t>建设地点</w:t>
            </w:r>
          </w:p>
        </w:tc>
        <w:tc>
          <w:tcPr>
            <w:tcW w:w="7757" w:type="dxa"/>
            <w:gridSpan w:val="7"/>
            <w:vAlign w:val="center"/>
          </w:tcPr>
          <w:p>
            <w:pPr>
              <w:jc w:val="center"/>
              <w:rPr>
                <w:rFonts w:hint="eastAsia" w:eastAsia="宋体"/>
                <w:color w:val="auto"/>
                <w:sz w:val="24"/>
                <w:highlight w:val="yellow"/>
                <w:lang w:val="en-US" w:eastAsia="zh-CN"/>
              </w:rPr>
            </w:pPr>
            <w:r>
              <w:rPr>
                <w:rFonts w:hint="default" w:ascii="Times New Roman" w:hAnsi="Times New Roman" w:eastAsia="宋体" w:cs="Times New Roman"/>
                <w:color w:val="auto"/>
                <w:sz w:val="24"/>
                <w:szCs w:val="21"/>
              </w:rPr>
              <w:t>株洲市石峰区铜霞路与永发路交叉口南260m处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429" w:type="dxa"/>
            <w:vAlign w:val="center"/>
          </w:tcPr>
          <w:p>
            <w:pPr>
              <w:jc w:val="center"/>
              <w:rPr>
                <w:rFonts w:cs="宋体"/>
                <w:color w:val="auto"/>
                <w:sz w:val="24"/>
              </w:rPr>
            </w:pPr>
            <w:r>
              <w:rPr>
                <w:rFonts w:hint="eastAsia" w:cs="宋体"/>
                <w:color w:val="auto"/>
                <w:sz w:val="24"/>
              </w:rPr>
              <w:t>立项审批</w:t>
            </w:r>
          </w:p>
          <w:p>
            <w:pPr>
              <w:jc w:val="center"/>
              <w:rPr>
                <w:rFonts w:cs="宋体"/>
                <w:color w:val="auto"/>
                <w:spacing w:val="-10"/>
                <w:sz w:val="24"/>
              </w:rPr>
            </w:pPr>
            <w:r>
              <w:rPr>
                <w:rFonts w:hint="eastAsia" w:cs="宋体"/>
                <w:color w:val="auto"/>
                <w:sz w:val="24"/>
              </w:rPr>
              <w:t>部   门</w:t>
            </w:r>
          </w:p>
        </w:tc>
        <w:tc>
          <w:tcPr>
            <w:tcW w:w="3953" w:type="dxa"/>
            <w:gridSpan w:val="3"/>
            <w:vAlign w:val="center"/>
          </w:tcPr>
          <w:p>
            <w:pPr>
              <w:jc w:val="center"/>
              <w:rPr>
                <w:color w:val="auto"/>
                <w:sz w:val="24"/>
              </w:rPr>
            </w:pPr>
            <w:r>
              <w:rPr>
                <w:rFonts w:hint="eastAsia"/>
                <w:color w:val="auto"/>
                <w:sz w:val="24"/>
              </w:rPr>
              <w:t>—</w:t>
            </w:r>
          </w:p>
        </w:tc>
        <w:tc>
          <w:tcPr>
            <w:tcW w:w="1276" w:type="dxa"/>
            <w:vAlign w:val="center"/>
          </w:tcPr>
          <w:p>
            <w:pPr>
              <w:jc w:val="center"/>
              <w:rPr>
                <w:color w:val="auto"/>
                <w:sz w:val="24"/>
              </w:rPr>
            </w:pPr>
            <w:r>
              <w:rPr>
                <w:color w:val="auto"/>
                <w:sz w:val="24"/>
              </w:rPr>
              <w:t>批准文号</w:t>
            </w:r>
          </w:p>
        </w:tc>
        <w:tc>
          <w:tcPr>
            <w:tcW w:w="2528" w:type="dxa"/>
            <w:gridSpan w:val="3"/>
            <w:vAlign w:val="center"/>
          </w:tcPr>
          <w:p>
            <w:pPr>
              <w:jc w:val="center"/>
              <w:rPr>
                <w:color w:val="auto"/>
                <w:spacing w:val="-8"/>
                <w:sz w:val="24"/>
              </w:rPr>
            </w:pPr>
            <w:r>
              <w:rPr>
                <w:rFonts w:hint="eastAsia"/>
                <w:color w:val="auto"/>
                <w:spacing w:val="-8"/>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1429" w:type="dxa"/>
            <w:vAlign w:val="center"/>
          </w:tcPr>
          <w:p>
            <w:pPr>
              <w:jc w:val="center"/>
              <w:rPr>
                <w:rFonts w:cs="宋体"/>
                <w:color w:val="auto"/>
                <w:sz w:val="24"/>
              </w:rPr>
            </w:pPr>
            <w:r>
              <w:rPr>
                <w:rFonts w:hint="eastAsia" w:cs="宋体"/>
                <w:color w:val="auto"/>
                <w:sz w:val="24"/>
              </w:rPr>
              <w:t>建设性质</w:t>
            </w:r>
          </w:p>
        </w:tc>
        <w:tc>
          <w:tcPr>
            <w:tcW w:w="3953" w:type="dxa"/>
            <w:gridSpan w:val="3"/>
            <w:vAlign w:val="center"/>
          </w:tcPr>
          <w:p>
            <w:pPr>
              <w:jc w:val="center"/>
              <w:rPr>
                <w:color w:val="auto"/>
                <w:sz w:val="24"/>
              </w:rPr>
            </w:pPr>
            <w:r>
              <w:rPr>
                <w:color w:val="auto"/>
                <w:sz w:val="24"/>
              </w:rPr>
              <w:t>新建</w:t>
            </w:r>
          </w:p>
        </w:tc>
        <w:tc>
          <w:tcPr>
            <w:tcW w:w="1276" w:type="dxa"/>
            <w:vAlign w:val="center"/>
          </w:tcPr>
          <w:p>
            <w:pPr>
              <w:jc w:val="center"/>
              <w:rPr>
                <w:color w:val="auto"/>
                <w:sz w:val="24"/>
              </w:rPr>
            </w:pPr>
            <w:r>
              <w:rPr>
                <w:color w:val="auto"/>
                <w:sz w:val="24"/>
              </w:rPr>
              <w:t>行业类别</w:t>
            </w:r>
          </w:p>
          <w:p>
            <w:pPr>
              <w:jc w:val="center"/>
              <w:rPr>
                <w:color w:val="auto"/>
                <w:sz w:val="24"/>
              </w:rPr>
            </w:pPr>
            <w:r>
              <w:rPr>
                <w:color w:val="auto"/>
                <w:sz w:val="24"/>
              </w:rPr>
              <w:t>及代码</w:t>
            </w:r>
          </w:p>
        </w:tc>
        <w:tc>
          <w:tcPr>
            <w:tcW w:w="2528" w:type="dxa"/>
            <w:gridSpan w:val="3"/>
            <w:vAlign w:val="center"/>
          </w:tcPr>
          <w:p>
            <w:pPr>
              <w:jc w:val="center"/>
              <w:rPr>
                <w:rFonts w:hint="default"/>
                <w:color w:val="auto"/>
                <w:sz w:val="24"/>
                <w:lang w:val="en-US"/>
              </w:rPr>
            </w:pPr>
            <w:r>
              <w:rPr>
                <w:rFonts w:hint="eastAsia"/>
                <w:color w:val="auto"/>
                <w:sz w:val="24"/>
                <w:lang w:val="en-US" w:eastAsia="zh-CN"/>
              </w:rPr>
              <w:t>其他建筑材料制造</w:t>
            </w:r>
            <w:r>
              <w:rPr>
                <w:color w:val="auto"/>
                <w:sz w:val="24"/>
              </w:rPr>
              <w:t xml:space="preserve"> </w:t>
            </w:r>
            <w:r>
              <w:rPr>
                <w:rFonts w:hint="eastAsia"/>
                <w:color w:val="auto"/>
                <w:sz w:val="24"/>
                <w:lang w:val="en-US" w:eastAsia="zh-CN"/>
              </w:rPr>
              <w:t>C3039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429" w:type="dxa"/>
            <w:vAlign w:val="center"/>
          </w:tcPr>
          <w:p>
            <w:pPr>
              <w:jc w:val="center"/>
              <w:rPr>
                <w:rFonts w:cs="宋体"/>
                <w:color w:val="auto"/>
                <w:sz w:val="24"/>
              </w:rPr>
            </w:pPr>
            <w:r>
              <w:rPr>
                <w:rFonts w:hint="eastAsia" w:cs="宋体"/>
                <w:color w:val="auto"/>
                <w:sz w:val="24"/>
              </w:rPr>
              <w:t>占地面积</w:t>
            </w:r>
          </w:p>
          <w:p>
            <w:pPr>
              <w:jc w:val="center"/>
              <w:rPr>
                <w:rFonts w:cs="宋体"/>
                <w:color w:val="auto"/>
                <w:sz w:val="24"/>
              </w:rPr>
            </w:pPr>
            <w:r>
              <w:rPr>
                <w:rFonts w:hint="eastAsia" w:cs="宋体"/>
                <w:color w:val="auto"/>
                <w:sz w:val="24"/>
              </w:rPr>
              <w:t>(平方米)</w:t>
            </w:r>
          </w:p>
        </w:tc>
        <w:tc>
          <w:tcPr>
            <w:tcW w:w="3953" w:type="dxa"/>
            <w:gridSpan w:val="3"/>
            <w:vAlign w:val="center"/>
          </w:tcPr>
          <w:p>
            <w:pPr>
              <w:jc w:val="center"/>
              <w:rPr>
                <w:rFonts w:hint="default" w:eastAsia="宋体"/>
                <w:color w:val="auto"/>
                <w:sz w:val="24"/>
                <w:lang w:val="en-US" w:eastAsia="zh-CN"/>
              </w:rPr>
            </w:pPr>
            <w:r>
              <w:rPr>
                <w:rFonts w:hint="default" w:ascii="Times New Roman" w:hAnsi="Times New Roman" w:eastAsia="Verdana" w:cs="Times New Roman"/>
                <w:i w:val="0"/>
                <w:caps w:val="0"/>
                <w:color w:val="auto"/>
                <w:spacing w:val="0"/>
                <w:sz w:val="21"/>
                <w:szCs w:val="21"/>
                <w:shd w:val="clear" w:fill="FFFFFF"/>
              </w:rPr>
              <w:t>40829</w:t>
            </w:r>
          </w:p>
        </w:tc>
        <w:tc>
          <w:tcPr>
            <w:tcW w:w="1276" w:type="dxa"/>
            <w:vAlign w:val="center"/>
          </w:tcPr>
          <w:p>
            <w:pPr>
              <w:jc w:val="center"/>
              <w:rPr>
                <w:color w:val="auto"/>
                <w:sz w:val="24"/>
              </w:rPr>
            </w:pPr>
            <w:r>
              <w:rPr>
                <w:color w:val="auto"/>
                <w:sz w:val="24"/>
              </w:rPr>
              <w:t>绿化面积</w:t>
            </w:r>
          </w:p>
          <w:p>
            <w:pPr>
              <w:jc w:val="center"/>
              <w:rPr>
                <w:color w:val="auto"/>
                <w:sz w:val="24"/>
              </w:rPr>
            </w:pPr>
            <w:r>
              <w:rPr>
                <w:color w:val="auto"/>
                <w:sz w:val="24"/>
              </w:rPr>
              <w:t>(平方米)</w:t>
            </w:r>
          </w:p>
        </w:tc>
        <w:tc>
          <w:tcPr>
            <w:tcW w:w="2528" w:type="dxa"/>
            <w:gridSpan w:val="3"/>
            <w:vAlign w:val="center"/>
          </w:tcPr>
          <w:p>
            <w:pPr>
              <w:jc w:val="center"/>
              <w:rPr>
                <w:color w:val="auto"/>
                <w:sz w:val="24"/>
              </w:rPr>
            </w:pPr>
            <w:r>
              <w:rPr>
                <w:rFonts w:hint="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29" w:type="dxa"/>
            <w:vAlign w:val="center"/>
          </w:tcPr>
          <w:p>
            <w:pPr>
              <w:jc w:val="center"/>
              <w:rPr>
                <w:rFonts w:cs="宋体"/>
                <w:color w:val="auto"/>
                <w:sz w:val="24"/>
              </w:rPr>
            </w:pPr>
            <w:r>
              <w:rPr>
                <w:rFonts w:hint="eastAsia" w:cs="宋体"/>
                <w:color w:val="auto"/>
                <w:sz w:val="24"/>
              </w:rPr>
              <w:t>总投资</w:t>
            </w:r>
          </w:p>
          <w:p>
            <w:pPr>
              <w:jc w:val="center"/>
              <w:rPr>
                <w:rFonts w:cs="宋体"/>
                <w:color w:val="auto"/>
                <w:sz w:val="24"/>
              </w:rPr>
            </w:pPr>
            <w:r>
              <w:rPr>
                <w:rFonts w:hint="eastAsia" w:cs="宋体"/>
                <w:color w:val="auto"/>
                <w:sz w:val="24"/>
              </w:rPr>
              <w:t>(万元)</w:t>
            </w:r>
          </w:p>
        </w:tc>
        <w:tc>
          <w:tcPr>
            <w:tcW w:w="2535" w:type="dxa"/>
            <w:vAlign w:val="center"/>
          </w:tcPr>
          <w:p>
            <w:pPr>
              <w:jc w:val="center"/>
              <w:rPr>
                <w:rFonts w:hint="default" w:eastAsia="宋体"/>
                <w:color w:val="auto"/>
                <w:sz w:val="24"/>
                <w:highlight w:val="yellow"/>
                <w:lang w:val="en-US" w:eastAsia="zh-CN"/>
              </w:rPr>
            </w:pPr>
            <w:r>
              <w:rPr>
                <w:rFonts w:hint="eastAsia"/>
                <w:color w:val="auto"/>
                <w:sz w:val="24"/>
                <w:lang w:val="en-US" w:eastAsia="zh-CN"/>
              </w:rPr>
              <w:t>860</w:t>
            </w:r>
          </w:p>
        </w:tc>
        <w:tc>
          <w:tcPr>
            <w:tcW w:w="1418" w:type="dxa"/>
            <w:gridSpan w:val="2"/>
            <w:vAlign w:val="center"/>
          </w:tcPr>
          <w:p>
            <w:pPr>
              <w:jc w:val="left"/>
              <w:rPr>
                <w:color w:val="auto"/>
                <w:sz w:val="24"/>
                <w:highlight w:val="yellow"/>
              </w:rPr>
            </w:pPr>
            <w:r>
              <w:rPr>
                <w:color w:val="auto"/>
                <w:sz w:val="24"/>
              </w:rPr>
              <w:t>其中：环保投资(万元)</w:t>
            </w:r>
          </w:p>
        </w:tc>
        <w:tc>
          <w:tcPr>
            <w:tcW w:w="1276" w:type="dxa"/>
            <w:vAlign w:val="center"/>
          </w:tcPr>
          <w:p>
            <w:pPr>
              <w:jc w:val="center"/>
              <w:rPr>
                <w:rFonts w:hint="default" w:eastAsia="宋体"/>
                <w:color w:val="auto"/>
                <w:sz w:val="24"/>
                <w:lang w:val="en-US" w:eastAsia="zh-CN"/>
              </w:rPr>
            </w:pPr>
            <w:r>
              <w:rPr>
                <w:rFonts w:hint="eastAsia"/>
                <w:color w:val="auto"/>
                <w:sz w:val="24"/>
                <w:lang w:val="en-US" w:eastAsia="zh-CN"/>
              </w:rPr>
              <w:t>163</w:t>
            </w:r>
          </w:p>
        </w:tc>
        <w:tc>
          <w:tcPr>
            <w:tcW w:w="1719" w:type="dxa"/>
            <w:gridSpan w:val="2"/>
            <w:vAlign w:val="center"/>
          </w:tcPr>
          <w:p>
            <w:pPr>
              <w:jc w:val="left"/>
              <w:rPr>
                <w:color w:val="auto"/>
                <w:sz w:val="24"/>
              </w:rPr>
            </w:pPr>
            <w:r>
              <w:rPr>
                <w:color w:val="auto"/>
                <w:sz w:val="24"/>
              </w:rPr>
              <w:t>环保投资占总投资比例(%)</w:t>
            </w:r>
          </w:p>
        </w:tc>
        <w:tc>
          <w:tcPr>
            <w:tcW w:w="809" w:type="dxa"/>
            <w:vAlign w:val="center"/>
          </w:tcPr>
          <w:p>
            <w:pPr>
              <w:jc w:val="center"/>
              <w:rPr>
                <w:rFonts w:hint="default" w:eastAsia="宋体"/>
                <w:color w:val="auto"/>
                <w:sz w:val="24"/>
                <w:lang w:val="en-US" w:eastAsia="zh-CN"/>
              </w:rPr>
            </w:pPr>
            <w:r>
              <w:rPr>
                <w:rFonts w:hint="eastAsia"/>
                <w:color w:val="auto"/>
                <w:sz w:val="24"/>
                <w:lang w:val="en-US" w:eastAsia="zh-CN"/>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29" w:type="dxa"/>
            <w:vAlign w:val="center"/>
          </w:tcPr>
          <w:p>
            <w:pPr>
              <w:jc w:val="center"/>
              <w:rPr>
                <w:rFonts w:cs="宋体"/>
                <w:color w:val="auto"/>
                <w:sz w:val="24"/>
              </w:rPr>
            </w:pPr>
            <w:r>
              <w:rPr>
                <w:rFonts w:hint="eastAsia" w:cs="宋体"/>
                <w:color w:val="auto"/>
                <w:sz w:val="24"/>
              </w:rPr>
              <w:t>评价经费</w:t>
            </w:r>
          </w:p>
          <w:p>
            <w:pPr>
              <w:jc w:val="center"/>
              <w:rPr>
                <w:rFonts w:cs="宋体"/>
                <w:color w:val="auto"/>
                <w:sz w:val="24"/>
              </w:rPr>
            </w:pPr>
            <w:r>
              <w:rPr>
                <w:rFonts w:hint="eastAsia" w:cs="宋体"/>
                <w:color w:val="auto"/>
                <w:sz w:val="24"/>
              </w:rPr>
              <w:t>(万元)</w:t>
            </w:r>
          </w:p>
        </w:tc>
        <w:tc>
          <w:tcPr>
            <w:tcW w:w="2535" w:type="dxa"/>
            <w:vAlign w:val="center"/>
          </w:tcPr>
          <w:p>
            <w:pPr>
              <w:jc w:val="center"/>
              <w:rPr>
                <w:color w:val="auto"/>
                <w:sz w:val="24"/>
              </w:rPr>
            </w:pPr>
            <w:r>
              <w:rPr>
                <w:rFonts w:hint="eastAsia"/>
                <w:color w:val="auto"/>
                <w:sz w:val="24"/>
              </w:rPr>
              <w:t>—</w:t>
            </w:r>
          </w:p>
        </w:tc>
        <w:tc>
          <w:tcPr>
            <w:tcW w:w="2694" w:type="dxa"/>
            <w:gridSpan w:val="3"/>
            <w:vAlign w:val="center"/>
          </w:tcPr>
          <w:p>
            <w:pPr>
              <w:jc w:val="center"/>
              <w:rPr>
                <w:color w:val="auto"/>
                <w:sz w:val="24"/>
              </w:rPr>
            </w:pPr>
            <w:r>
              <w:rPr>
                <w:color w:val="auto"/>
                <w:sz w:val="24"/>
              </w:rPr>
              <w:t>预期投产日期</w:t>
            </w:r>
          </w:p>
        </w:tc>
        <w:tc>
          <w:tcPr>
            <w:tcW w:w="2528" w:type="dxa"/>
            <w:gridSpan w:val="3"/>
            <w:vAlign w:val="center"/>
          </w:tcPr>
          <w:p>
            <w:pPr>
              <w:jc w:val="center"/>
              <w:rPr>
                <w:color w:val="auto"/>
                <w:sz w:val="24"/>
              </w:rPr>
            </w:pPr>
            <w:r>
              <w:rPr>
                <w:color w:val="auto"/>
                <w:sz w:val="24"/>
              </w:rPr>
              <w:t>20</w:t>
            </w:r>
            <w:r>
              <w:rPr>
                <w:rFonts w:hint="eastAsia"/>
                <w:color w:val="auto"/>
                <w:sz w:val="24"/>
                <w:lang w:val="en-US" w:eastAsia="zh-CN"/>
              </w:rPr>
              <w:t>20</w:t>
            </w:r>
            <w:r>
              <w:rPr>
                <w:color w:val="auto"/>
                <w:sz w:val="24"/>
              </w:rPr>
              <w:t>年</w:t>
            </w:r>
            <w:r>
              <w:rPr>
                <w:rFonts w:hint="eastAsia"/>
                <w:color w:val="auto"/>
                <w:sz w:val="24"/>
                <w:lang w:val="en-US" w:eastAsia="zh-CN"/>
              </w:rPr>
              <w:t>1</w:t>
            </w:r>
            <w:r>
              <w:rPr>
                <w:color w:val="auto"/>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9" w:hRule="atLeast"/>
          <w:jc w:val="center"/>
        </w:trPr>
        <w:tc>
          <w:tcPr>
            <w:tcW w:w="9186" w:type="dxa"/>
            <w:gridSpan w:val="8"/>
            <w:tcBorders>
              <w:bottom w:val="single" w:color="auto" w:sz="4" w:space="0"/>
            </w:tcBorders>
            <w:vAlign w:val="center"/>
          </w:tcPr>
          <w:p>
            <w:pPr>
              <w:rPr>
                <w:rFonts w:cs="宋体"/>
                <w:color w:val="auto"/>
                <w:sz w:val="24"/>
              </w:rPr>
            </w:pPr>
            <w:r>
              <w:rPr>
                <w:rFonts w:hint="eastAsia" w:cs="宋体"/>
                <w:b/>
                <w:color w:val="auto"/>
                <w:sz w:val="24"/>
              </w:rPr>
              <w:t>工程内容及规模</w:t>
            </w:r>
            <w:r>
              <w:rPr>
                <w:rFonts w:hint="eastAsia" w:cs="宋体"/>
                <w:color w:val="auto"/>
                <w:sz w:val="24"/>
              </w:rPr>
              <w:t>：</w:t>
            </w:r>
          </w:p>
          <w:p>
            <w:pPr>
              <w:pStyle w:val="21"/>
              <w:spacing w:line="240" w:lineRule="auto"/>
              <w:ind w:firstLine="482" w:firstLineChars="200"/>
              <w:rPr>
                <w:b/>
                <w:color w:val="auto"/>
                <w:sz w:val="24"/>
              </w:rPr>
            </w:pPr>
            <w:r>
              <w:rPr>
                <w:rFonts w:hint="eastAsia"/>
                <w:b/>
                <w:color w:val="auto"/>
                <w:sz w:val="24"/>
              </w:rPr>
              <w:t>一</w:t>
            </w:r>
            <w:r>
              <w:rPr>
                <w:b/>
                <w:color w:val="auto"/>
                <w:sz w:val="24"/>
              </w:rPr>
              <w:t>、项目建设背景</w:t>
            </w:r>
          </w:p>
          <w:p>
            <w:pPr>
              <w:ind w:firstLine="480" w:firstLineChars="200"/>
              <w:rPr>
                <w:rFonts w:hint="eastAsia" w:eastAsia="宋体"/>
                <w:color w:val="auto"/>
                <w:sz w:val="24"/>
                <w:lang w:eastAsia="zh-CN"/>
              </w:rPr>
            </w:pPr>
            <w:r>
              <w:rPr>
                <w:rFonts w:hint="eastAsia"/>
                <w:color w:val="auto"/>
                <w:sz w:val="24"/>
              </w:rPr>
              <w:t>株洲清水塘生态科技新城位居长株潭三市结合部，是国家一五、二五期间重点投资建设的老工业基地，以有色金属、基础化工为两大核心主导产业，是湘江流域重金属污染治理重点区域，清水塘生态科技新城总规划面积约</w:t>
            </w:r>
            <w:r>
              <w:rPr>
                <w:color w:val="auto"/>
                <w:sz w:val="24"/>
              </w:rPr>
              <w:t>15.15</w:t>
            </w:r>
            <w:r>
              <w:rPr>
                <w:rFonts w:hint="eastAsia"/>
                <w:color w:val="auto"/>
                <w:sz w:val="24"/>
              </w:rPr>
              <w:t>平方公里。根据规划，将促进区内存量产业的升级转型和绿色搬迁，解决好搬迁企业职工的再就业问题，重点抓好以株冶为代表的转型升级企业的搬迁、改造、升级。导入具有发展潜力的增量产业，通过优势产业集群，形成规模效应。利用区位优势，大力发展替代产业。在生态修复上治污先行，为后续城市建设扫清障碍，打好基础。在融入相关治污研究成果基础上，将土壤、水体、废渣治理通盘考虑。以霞湾港、铜塘港等污染治理为契机，借鉴德国莱茵河水污染治理经验，引入雨水收集及生态净化技术，改善水体环境。利用基地生态本底，构建生态绿化系统，实现生态修复。同时，强化第三产业的发展，促进三产业态功能升级，突出三产就业比重。以片区的开发和企业搬迁改造为抓手，分别打造特色商业区和城市副中心。建设城市公园、河港风光带，理顺滨水绿道，构筑生态科技新城面貌。规划期末，清水塘生态科技新城将形成</w:t>
            </w:r>
            <w:r>
              <w:rPr>
                <w:rFonts w:hint="eastAsia"/>
                <w:color w:val="auto"/>
                <w:sz w:val="24"/>
                <w:lang w:eastAsia="zh-CN"/>
              </w:rPr>
              <w:t>“</w:t>
            </w:r>
            <w:r>
              <w:rPr>
                <w:rFonts w:hint="eastAsia"/>
                <w:color w:val="auto"/>
                <w:sz w:val="24"/>
              </w:rPr>
              <w:t>科技产业园（产业转型）、生态霞湾港（污染治理）、靓丽清水湖（品质打造）</w:t>
            </w:r>
            <w:r>
              <w:rPr>
                <w:rFonts w:hint="eastAsia"/>
                <w:color w:val="auto"/>
                <w:sz w:val="24"/>
                <w:lang w:eastAsia="zh-CN"/>
              </w:rPr>
              <w:t>”</w:t>
            </w:r>
            <w:r>
              <w:rPr>
                <w:rFonts w:hint="eastAsia"/>
                <w:color w:val="auto"/>
                <w:sz w:val="24"/>
              </w:rPr>
              <w:t>的整体格局。</w:t>
            </w:r>
            <w:r>
              <w:rPr>
                <w:rFonts w:hint="eastAsia"/>
                <w:color w:val="auto"/>
                <w:sz w:val="24"/>
                <w:u w:val="single"/>
              </w:rPr>
              <w:t>清水塘生态科技新城将成为全国</w:t>
            </w:r>
            <w:r>
              <w:rPr>
                <w:color w:val="auto"/>
                <w:sz w:val="24"/>
                <w:u w:val="single"/>
              </w:rPr>
              <w:t>“</w:t>
            </w:r>
            <w:r>
              <w:rPr>
                <w:rFonts w:hint="eastAsia"/>
                <w:color w:val="auto"/>
                <w:sz w:val="24"/>
                <w:u w:val="single"/>
              </w:rPr>
              <w:t>两型社会的示范，产业转型的样板，生态科技新城的典型，产城融合的代表。</w:t>
            </w:r>
            <w:r>
              <w:rPr>
                <w:rFonts w:hint="eastAsia"/>
                <w:color w:val="auto"/>
                <w:sz w:val="24"/>
                <w:u w:val="single"/>
                <w:lang w:eastAsia="zh-CN"/>
              </w:rPr>
              <w:t>”</w:t>
            </w:r>
            <w:r>
              <w:rPr>
                <w:rFonts w:hint="eastAsia" w:ascii="Times New Roman" w:hAnsi="Times New Roman" w:cs="Times New Roman"/>
                <w:color w:val="auto"/>
                <w:sz w:val="24"/>
                <w:u w:val="single"/>
              </w:rPr>
              <w:t>中交三航（湖南）工程有限公司与株洲清水塘投资开发有限公司组成联合体共同建设清水塘生态科技新城</w:t>
            </w:r>
            <w:r>
              <w:rPr>
                <w:rFonts w:hint="eastAsia" w:ascii="Times New Roman" w:hAnsi="Times New Roman" w:cs="Times New Roman"/>
                <w:color w:val="auto"/>
                <w:sz w:val="24"/>
                <w:u w:val="single"/>
                <w:lang w:eastAsia="zh-CN"/>
              </w:rPr>
              <w:t>。</w:t>
            </w:r>
          </w:p>
          <w:p>
            <w:pPr>
              <w:ind w:firstLine="480" w:firstLineChars="200"/>
              <w:jc w:val="left"/>
              <w:rPr>
                <w:color w:val="auto"/>
                <w:sz w:val="24"/>
              </w:rPr>
            </w:pPr>
            <w:r>
              <w:rPr>
                <w:rFonts w:hint="eastAsia"/>
                <w:color w:val="auto"/>
                <w:sz w:val="24"/>
              </w:rPr>
              <w:t>株洲清水塘生态科技新城未来将形成</w:t>
            </w:r>
            <w:r>
              <w:rPr>
                <w:rFonts w:hint="eastAsia"/>
                <w:color w:val="auto"/>
                <w:sz w:val="24"/>
                <w:lang w:eastAsia="zh-CN"/>
              </w:rPr>
              <w:t>“</w:t>
            </w:r>
            <w:r>
              <w:rPr>
                <w:rFonts w:hint="eastAsia"/>
                <w:color w:val="auto"/>
                <w:sz w:val="24"/>
              </w:rPr>
              <w:t>一轴、四核、一网、四板块</w:t>
            </w:r>
            <w:r>
              <w:rPr>
                <w:rFonts w:hint="eastAsia"/>
                <w:color w:val="auto"/>
                <w:sz w:val="24"/>
                <w:lang w:eastAsia="zh-CN"/>
              </w:rPr>
              <w:t>”</w:t>
            </w:r>
            <w:r>
              <w:rPr>
                <w:rFonts w:hint="eastAsia"/>
                <w:color w:val="auto"/>
                <w:sz w:val="24"/>
              </w:rPr>
              <w:t>的空间结构：</w:t>
            </w:r>
            <w:r>
              <w:rPr>
                <w:rFonts w:hint="eastAsia"/>
                <w:color w:val="auto"/>
                <w:sz w:val="24"/>
                <w:lang w:eastAsia="zh-CN"/>
              </w:rPr>
              <w:t>“</w:t>
            </w:r>
            <w:r>
              <w:rPr>
                <w:rFonts w:hint="eastAsia"/>
                <w:color w:val="auto"/>
                <w:sz w:val="24"/>
              </w:rPr>
              <w:t>一轴</w:t>
            </w:r>
            <w:r>
              <w:rPr>
                <w:rFonts w:hint="eastAsia"/>
                <w:color w:val="auto"/>
                <w:sz w:val="24"/>
                <w:lang w:eastAsia="zh-CN"/>
              </w:rPr>
              <w:t>”</w:t>
            </w:r>
            <w:r>
              <w:rPr>
                <w:rFonts w:hint="eastAsia"/>
                <w:color w:val="auto"/>
                <w:sz w:val="24"/>
              </w:rPr>
              <w:t>：清水塘发展主轴</w:t>
            </w:r>
            <w:r>
              <w:rPr>
                <w:rFonts w:hint="eastAsia"/>
                <w:color w:val="auto"/>
                <w:sz w:val="24"/>
                <w:lang w:eastAsia="zh-CN"/>
              </w:rPr>
              <w:t>；“</w:t>
            </w:r>
            <w:r>
              <w:rPr>
                <w:rFonts w:hint="eastAsia"/>
                <w:color w:val="auto"/>
                <w:sz w:val="24"/>
              </w:rPr>
              <w:t>四核</w:t>
            </w:r>
            <w:r>
              <w:rPr>
                <w:rFonts w:hint="eastAsia"/>
                <w:color w:val="auto"/>
                <w:sz w:val="24"/>
                <w:lang w:eastAsia="zh-CN"/>
              </w:rPr>
              <w:t>”</w:t>
            </w:r>
            <w:r>
              <w:rPr>
                <w:rFonts w:hint="eastAsia"/>
                <w:color w:val="auto"/>
                <w:sz w:val="24"/>
              </w:rPr>
              <w:t>：工业遗址</w:t>
            </w:r>
            <w:r>
              <w:rPr>
                <w:color w:val="auto"/>
                <w:sz w:val="24"/>
              </w:rPr>
              <w:t>+</w:t>
            </w:r>
            <w:r>
              <w:rPr>
                <w:rFonts w:hint="eastAsia"/>
                <w:color w:val="auto"/>
                <w:sz w:val="24"/>
              </w:rPr>
              <w:t>主题公园核心、科技园核心、体验式商业核心、物流服务核心</w:t>
            </w:r>
            <w:r>
              <w:rPr>
                <w:rFonts w:hint="eastAsia"/>
                <w:color w:val="auto"/>
                <w:sz w:val="24"/>
                <w:lang w:eastAsia="zh-CN"/>
              </w:rPr>
              <w:t>；“</w:t>
            </w:r>
            <w:r>
              <w:rPr>
                <w:rFonts w:hint="eastAsia"/>
                <w:color w:val="auto"/>
                <w:sz w:val="24"/>
              </w:rPr>
              <w:t>一网</w:t>
            </w:r>
            <w:r>
              <w:rPr>
                <w:rFonts w:hint="eastAsia"/>
                <w:color w:val="auto"/>
                <w:sz w:val="24"/>
                <w:lang w:eastAsia="zh-CN"/>
              </w:rPr>
              <w:t>”</w:t>
            </w:r>
            <w:r>
              <w:rPr>
                <w:rFonts w:hint="eastAsia"/>
                <w:color w:val="auto"/>
                <w:sz w:val="24"/>
              </w:rPr>
              <w:t>：串联山体水系生态修复网</w:t>
            </w:r>
            <w:r>
              <w:rPr>
                <w:rFonts w:hint="eastAsia"/>
                <w:color w:val="auto"/>
                <w:sz w:val="24"/>
                <w:lang w:eastAsia="zh-CN"/>
              </w:rPr>
              <w:t>；“</w:t>
            </w:r>
            <w:r>
              <w:rPr>
                <w:rFonts w:hint="eastAsia"/>
                <w:color w:val="auto"/>
                <w:sz w:val="24"/>
              </w:rPr>
              <w:t>四板块</w:t>
            </w:r>
            <w:r>
              <w:rPr>
                <w:rFonts w:hint="eastAsia"/>
                <w:color w:val="auto"/>
                <w:sz w:val="24"/>
                <w:lang w:eastAsia="zh-CN"/>
              </w:rPr>
              <w:t>”：</w:t>
            </w:r>
            <w:r>
              <w:rPr>
                <w:rFonts w:hint="eastAsia"/>
                <w:color w:val="auto"/>
                <w:sz w:val="24"/>
              </w:rPr>
              <w:t>工业文化主题休闲板块、科技创新板块、口岸开放板块、临山居住板块。</w:t>
            </w:r>
          </w:p>
          <w:p>
            <w:pPr>
              <w:ind w:firstLine="480" w:firstLineChars="200"/>
              <w:jc w:val="left"/>
              <w:rPr>
                <w:color w:val="auto"/>
                <w:sz w:val="24"/>
              </w:rPr>
            </w:pPr>
            <w:r>
              <w:rPr>
                <w:rFonts w:hint="eastAsia"/>
                <w:color w:val="auto"/>
                <w:sz w:val="24"/>
              </w:rPr>
              <w:t>坚持以建设现代化经济体系为指导，按照总体规划、分步实施、产业转型、绿色搬迁的思路，坚持</w:t>
            </w:r>
            <w:r>
              <w:rPr>
                <w:rFonts w:hint="eastAsia"/>
                <w:color w:val="auto"/>
                <w:sz w:val="24"/>
                <w:lang w:eastAsia="zh-CN"/>
              </w:rPr>
              <w:t>“</w:t>
            </w:r>
            <w:r>
              <w:rPr>
                <w:rFonts w:hint="eastAsia"/>
                <w:color w:val="auto"/>
                <w:sz w:val="24"/>
              </w:rPr>
              <w:t>一年展开、三年大见成效、五年基本形成示范、十年完成搬迁改造并建成生态科技新城</w:t>
            </w:r>
            <w:r>
              <w:rPr>
                <w:rFonts w:hint="eastAsia"/>
                <w:color w:val="auto"/>
                <w:sz w:val="24"/>
                <w:lang w:eastAsia="zh-CN"/>
              </w:rPr>
              <w:t>”</w:t>
            </w:r>
            <w:r>
              <w:rPr>
                <w:rFonts w:hint="eastAsia"/>
                <w:color w:val="auto"/>
                <w:sz w:val="24"/>
              </w:rPr>
              <w:t>的进度目标，通过完成企业整体搬迁改造、居民搬迁安置及棚户区改造、污染治理与生态修复、市政基础设施建设、新型替代产业发展、工业遗产保护、社会事业发展七大任务，在湘江流域率先完成重金属污染治理，将清水塘建设成为全国老工业区转型改造的示范、生态科技新城建设的典范。</w:t>
            </w:r>
          </w:p>
          <w:p>
            <w:pPr>
              <w:ind w:firstLine="480" w:firstLineChars="200"/>
              <w:jc w:val="left"/>
              <w:rPr>
                <w:rFonts w:hint="eastAsia" w:ascii="Times New Roman" w:hAnsi="Times New Roman" w:eastAsia="宋体" w:cs="Times New Roman"/>
                <w:color w:val="FF0000"/>
                <w:sz w:val="24"/>
                <w:lang w:eastAsia="zh-CN"/>
              </w:rPr>
            </w:pPr>
            <w:r>
              <w:rPr>
                <w:color w:val="auto"/>
                <w:sz w:val="24"/>
                <w:u w:val="single"/>
              </w:rPr>
              <w:t>2017</w:t>
            </w:r>
            <w:r>
              <w:rPr>
                <w:rFonts w:hint="eastAsia"/>
                <w:color w:val="auto"/>
                <w:sz w:val="24"/>
                <w:u w:val="single"/>
              </w:rPr>
              <w:t>年，由株洲市住房和城乡建设局向株洲市发展和改革委员会呈报了《关于批复</w:t>
            </w:r>
            <w:r>
              <w:rPr>
                <w:color w:val="auto"/>
                <w:sz w:val="24"/>
                <w:u w:val="single"/>
              </w:rPr>
              <w:t>“</w:t>
            </w:r>
            <w:r>
              <w:rPr>
                <w:rFonts w:hint="eastAsia"/>
                <w:color w:val="auto"/>
                <w:sz w:val="24"/>
                <w:u w:val="single"/>
              </w:rPr>
              <w:t>株洲市清水塘老工业区产业新城整体开发项目</w:t>
            </w:r>
            <w:r>
              <w:rPr>
                <w:color w:val="auto"/>
                <w:sz w:val="24"/>
                <w:u w:val="single"/>
              </w:rPr>
              <w:t>”</w:t>
            </w:r>
            <w:r>
              <w:rPr>
                <w:rFonts w:hint="eastAsia"/>
                <w:color w:val="auto"/>
                <w:sz w:val="24"/>
                <w:u w:val="single"/>
              </w:rPr>
              <w:t>可行性研究报告的函》及相关资料，株洲市发展和改革委员会根据株洲市人民政府《株洲市政府投资管理办法（试行）》（株政发【</w:t>
            </w:r>
            <w:r>
              <w:rPr>
                <w:color w:val="auto"/>
                <w:sz w:val="24"/>
                <w:u w:val="single"/>
              </w:rPr>
              <w:t>2013</w:t>
            </w:r>
            <w:r>
              <w:rPr>
                <w:rFonts w:hint="eastAsia"/>
                <w:color w:val="auto"/>
                <w:sz w:val="24"/>
                <w:u w:val="single"/>
              </w:rPr>
              <w:t>】</w:t>
            </w:r>
            <w:r>
              <w:rPr>
                <w:color w:val="auto"/>
                <w:sz w:val="24"/>
                <w:u w:val="single"/>
              </w:rPr>
              <w:t>14</w:t>
            </w:r>
            <w:r>
              <w:rPr>
                <w:rFonts w:hint="eastAsia"/>
                <w:color w:val="auto"/>
                <w:sz w:val="24"/>
                <w:u w:val="single"/>
              </w:rPr>
              <w:t>号）、《关于采取</w:t>
            </w:r>
            <w:r>
              <w:rPr>
                <w:color w:val="auto"/>
                <w:sz w:val="24"/>
                <w:u w:val="single"/>
              </w:rPr>
              <w:t xml:space="preserve"> PPP</w:t>
            </w:r>
            <w:r>
              <w:rPr>
                <w:rFonts w:hint="eastAsia"/>
                <w:color w:val="auto"/>
                <w:sz w:val="24"/>
                <w:u w:val="single"/>
              </w:rPr>
              <w:t>模式实施株洲市清水塘老工业区产业新城</w:t>
            </w:r>
            <w:r>
              <w:rPr>
                <w:color w:val="auto"/>
                <w:sz w:val="24"/>
                <w:u w:val="single"/>
              </w:rPr>
              <w:t xml:space="preserve"> PPP</w:t>
            </w:r>
            <w:r>
              <w:rPr>
                <w:rFonts w:hint="eastAsia"/>
                <w:color w:val="auto"/>
                <w:sz w:val="24"/>
                <w:u w:val="single"/>
              </w:rPr>
              <w:t>项目实施方案的批复》（株政融【</w:t>
            </w:r>
            <w:r>
              <w:rPr>
                <w:color w:val="auto"/>
                <w:sz w:val="24"/>
                <w:u w:val="single"/>
              </w:rPr>
              <w:t>2017</w:t>
            </w:r>
            <w:r>
              <w:rPr>
                <w:rFonts w:hint="eastAsia"/>
                <w:color w:val="auto"/>
                <w:sz w:val="24"/>
                <w:u w:val="single"/>
              </w:rPr>
              <w:t>】</w:t>
            </w:r>
            <w:r>
              <w:rPr>
                <w:color w:val="auto"/>
                <w:sz w:val="24"/>
                <w:u w:val="single"/>
              </w:rPr>
              <w:t>23</w:t>
            </w:r>
            <w:r>
              <w:rPr>
                <w:rFonts w:hint="eastAsia"/>
                <w:color w:val="auto"/>
                <w:sz w:val="24"/>
                <w:u w:val="single"/>
              </w:rPr>
              <w:t>号）经研究后得到批复《关于株洲市清水塘老工业区新城整体开发项目可行性研究报告的批复》（株发改审【</w:t>
            </w:r>
            <w:r>
              <w:rPr>
                <w:color w:val="auto"/>
                <w:sz w:val="24"/>
                <w:u w:val="single"/>
              </w:rPr>
              <w:t>2017</w:t>
            </w:r>
            <w:r>
              <w:rPr>
                <w:rFonts w:hint="eastAsia"/>
                <w:color w:val="auto"/>
                <w:sz w:val="24"/>
                <w:u w:val="single"/>
              </w:rPr>
              <w:t>】</w:t>
            </w:r>
            <w:r>
              <w:rPr>
                <w:color w:val="auto"/>
                <w:sz w:val="24"/>
                <w:u w:val="single"/>
              </w:rPr>
              <w:t>126</w:t>
            </w:r>
            <w:r>
              <w:rPr>
                <w:rFonts w:hint="eastAsia"/>
                <w:color w:val="auto"/>
                <w:sz w:val="24"/>
                <w:u w:val="single"/>
              </w:rPr>
              <w:t>号）。本项目的开发建设属于上述批复建设</w:t>
            </w:r>
            <w:r>
              <w:rPr>
                <w:rFonts w:hint="eastAsia"/>
                <w:color w:val="auto"/>
                <w:sz w:val="24"/>
                <w:u w:val="single"/>
                <w:lang w:eastAsia="zh-CN"/>
              </w:rPr>
              <w:t>项目的补充项目</w:t>
            </w:r>
            <w:r>
              <w:rPr>
                <w:rFonts w:hint="eastAsia"/>
                <w:color w:val="auto"/>
                <w:sz w:val="24"/>
                <w:u w:val="single"/>
              </w:rPr>
              <w:t>。</w:t>
            </w:r>
            <w:r>
              <w:rPr>
                <w:rFonts w:hint="eastAsia"/>
                <w:color w:val="FF0000"/>
                <w:sz w:val="24"/>
                <w:u w:val="single"/>
                <w:lang w:eastAsia="zh-CN"/>
              </w:rPr>
              <w:t>由</w:t>
            </w:r>
            <w:r>
              <w:rPr>
                <w:rFonts w:hint="eastAsia" w:ascii="Times New Roman" w:hAnsi="Times New Roman" w:cs="Times New Roman"/>
                <w:color w:val="FF0000"/>
                <w:sz w:val="24"/>
                <w:u w:val="single"/>
                <w:lang w:eastAsia="zh-CN"/>
              </w:rPr>
              <w:t>于采购的商品，主要是为了</w:t>
            </w:r>
            <w:r>
              <w:rPr>
                <w:rFonts w:hint="eastAsia" w:ascii="Times New Roman" w:hAnsi="Times New Roman" w:cs="Times New Roman"/>
                <w:color w:val="FF0000"/>
                <w:sz w:val="24"/>
                <w:u w:val="single"/>
              </w:rPr>
              <w:t>保证工程产品质量优良</w:t>
            </w:r>
            <w:r>
              <w:rPr>
                <w:rFonts w:hint="eastAsia" w:ascii="Times New Roman" w:hAnsi="Times New Roman" w:cs="Times New Roman"/>
                <w:color w:val="FF0000"/>
                <w:sz w:val="24"/>
                <w:u w:val="single"/>
                <w:lang w:eastAsia="zh-CN"/>
              </w:rPr>
              <w:t>；</w:t>
            </w:r>
            <w:r>
              <w:rPr>
                <w:rFonts w:hint="eastAsia" w:ascii="Times New Roman" w:hAnsi="Times New Roman" w:cs="Times New Roman"/>
                <w:color w:val="FF0000"/>
                <w:sz w:val="24"/>
                <w:u w:val="single"/>
              </w:rPr>
              <w:t>保证施工过程材料供应充足</w:t>
            </w:r>
            <w:r>
              <w:rPr>
                <w:rFonts w:hint="eastAsia" w:ascii="Times New Roman" w:hAnsi="Times New Roman" w:cs="Times New Roman"/>
                <w:color w:val="FF0000"/>
                <w:sz w:val="24"/>
                <w:u w:val="single"/>
                <w:lang w:eastAsia="zh-CN"/>
              </w:rPr>
              <w:t>；</w:t>
            </w:r>
            <w:r>
              <w:rPr>
                <w:rFonts w:hint="eastAsia" w:ascii="Times New Roman" w:hAnsi="Times New Roman" w:cs="Times New Roman"/>
                <w:color w:val="FF0000"/>
                <w:sz w:val="24"/>
                <w:u w:val="single"/>
              </w:rPr>
              <w:t>控制成本</w:t>
            </w:r>
            <w:r>
              <w:rPr>
                <w:rFonts w:hint="eastAsia" w:ascii="Times New Roman" w:hAnsi="Times New Roman" w:cs="Times New Roman"/>
                <w:color w:val="FF0000"/>
                <w:sz w:val="24"/>
                <w:u w:val="single"/>
                <w:lang w:eastAsia="zh-CN"/>
              </w:rPr>
              <w:t>。</w:t>
            </w:r>
          </w:p>
          <w:p>
            <w:pPr>
              <w:ind w:firstLine="480" w:firstLineChars="200"/>
              <w:jc w:val="left"/>
              <w:rPr>
                <w:rFonts w:ascii="Times New Roman" w:hAnsi="Times New Roman" w:cs="Times New Roman"/>
                <w:color w:val="FF0000"/>
                <w:sz w:val="24"/>
                <w:u w:val="single"/>
              </w:rPr>
            </w:pPr>
            <w:r>
              <w:rPr>
                <w:rFonts w:hint="eastAsia" w:ascii="Times New Roman" w:hAnsi="Times New Roman" w:cs="Times New Roman"/>
                <w:color w:val="FF0000"/>
                <w:sz w:val="24"/>
                <w:u w:val="single"/>
              </w:rPr>
              <w:t>集中配送中心通过“统一建设、集中配送”方式，将项目施工范围内中不同工程、不同施工点的共同原材料、半成品、成品进行集约加工和管理，实现多种类成品和半成品的运送，具有以下几点优势：</w:t>
            </w:r>
          </w:p>
          <w:p>
            <w:pPr>
              <w:ind w:firstLine="480" w:firstLineChars="200"/>
              <w:jc w:val="left"/>
              <w:rPr>
                <w:rFonts w:ascii="Times New Roman" w:hAnsi="Times New Roman" w:cs="Times New Roman"/>
                <w:color w:val="FF0000"/>
                <w:sz w:val="24"/>
                <w:u w:val="single"/>
              </w:rPr>
            </w:pPr>
            <w:r>
              <w:rPr>
                <w:rFonts w:hint="eastAsia" w:ascii="Times New Roman" w:hAnsi="Times New Roman" w:cs="Times New Roman"/>
                <w:color w:val="FF0000"/>
                <w:sz w:val="24"/>
                <w:u w:val="single"/>
              </w:rPr>
              <w:t>（1）毗邻公铁两路，材料进场便利</w:t>
            </w:r>
            <w:r>
              <w:rPr>
                <w:rFonts w:hint="eastAsia" w:ascii="Times New Roman" w:hAnsi="Times New Roman" w:cs="Times New Roman"/>
                <w:color w:val="FF0000"/>
                <w:sz w:val="24"/>
                <w:u w:val="single"/>
                <w:lang w:eastAsia="zh-CN"/>
              </w:rPr>
              <w:t>。</w:t>
            </w:r>
            <w:r>
              <w:rPr>
                <w:rFonts w:hint="eastAsia" w:ascii="Times New Roman" w:hAnsi="Times New Roman" w:cs="Times New Roman"/>
                <w:color w:val="FF0000"/>
                <w:sz w:val="24"/>
                <w:u w:val="single"/>
              </w:rPr>
              <w:t>集中配送中心毗邻铜霞路和既有铁路货站，原材料可公铁联运；</w:t>
            </w:r>
          </w:p>
          <w:p>
            <w:pPr>
              <w:ind w:firstLine="480" w:firstLineChars="200"/>
              <w:jc w:val="left"/>
              <w:rPr>
                <w:rFonts w:ascii="Times New Roman" w:hAnsi="Times New Roman" w:cs="Times New Roman"/>
                <w:color w:val="FF0000"/>
                <w:sz w:val="24"/>
                <w:u w:val="single"/>
              </w:rPr>
            </w:pPr>
            <w:r>
              <w:rPr>
                <w:rFonts w:hint="eastAsia" w:ascii="Times New Roman" w:hAnsi="Times New Roman" w:cs="Times New Roman"/>
                <w:color w:val="FF0000"/>
                <w:sz w:val="24"/>
                <w:u w:val="single"/>
              </w:rPr>
              <w:t>（2）位居园区中心，成品配送快捷</w:t>
            </w:r>
            <w:r>
              <w:rPr>
                <w:rFonts w:hint="eastAsia" w:ascii="Times New Roman" w:hAnsi="Times New Roman" w:cs="Times New Roman"/>
                <w:color w:val="FF0000"/>
                <w:sz w:val="24"/>
                <w:u w:val="single"/>
                <w:lang w:eastAsia="zh-CN"/>
              </w:rPr>
              <w:t>。</w:t>
            </w:r>
            <w:r>
              <w:rPr>
                <w:rFonts w:hint="eastAsia" w:ascii="Times New Roman" w:hAnsi="Times New Roman" w:cs="Times New Roman"/>
                <w:color w:val="FF0000"/>
                <w:sz w:val="24"/>
                <w:u w:val="single"/>
              </w:rPr>
              <w:t>集中配送中心位于清水塘开发片区的核心区域，半成品运输交通均比较便利，综合运距最优；</w:t>
            </w:r>
          </w:p>
          <w:p>
            <w:pPr>
              <w:ind w:firstLine="480" w:firstLineChars="200"/>
              <w:jc w:val="left"/>
              <w:rPr>
                <w:rFonts w:ascii="Times New Roman" w:hAnsi="Times New Roman" w:cs="Times New Roman"/>
                <w:color w:val="FF0000"/>
                <w:sz w:val="24"/>
                <w:u w:val="single"/>
              </w:rPr>
            </w:pPr>
            <w:r>
              <w:rPr>
                <w:rFonts w:hint="eastAsia" w:ascii="Times New Roman" w:hAnsi="Times New Roman" w:cs="Times New Roman"/>
                <w:color w:val="FF0000"/>
                <w:sz w:val="24"/>
                <w:u w:val="single"/>
              </w:rPr>
              <w:t>（3）集中加工配送，突出四化管理</w:t>
            </w:r>
            <w:r>
              <w:rPr>
                <w:rFonts w:hint="eastAsia" w:ascii="Times New Roman" w:hAnsi="Times New Roman" w:cs="Times New Roman"/>
                <w:color w:val="FF0000"/>
                <w:sz w:val="24"/>
                <w:u w:val="single"/>
                <w:lang w:eastAsia="zh-CN"/>
              </w:rPr>
              <w:t>。</w:t>
            </w:r>
            <w:r>
              <w:rPr>
                <w:rFonts w:hint="eastAsia" w:ascii="Times New Roman" w:hAnsi="Times New Roman" w:cs="Times New Roman"/>
                <w:color w:val="FF0000"/>
                <w:sz w:val="24"/>
                <w:u w:val="single"/>
              </w:rPr>
              <w:t>集中配送中心集中加工钢筋、砼、预制构件等，有利于数字化、自动化、标准化施工；</w:t>
            </w:r>
          </w:p>
          <w:p>
            <w:pPr>
              <w:ind w:firstLine="480" w:firstLineChars="200"/>
              <w:jc w:val="left"/>
              <w:rPr>
                <w:rFonts w:ascii="Times New Roman" w:hAnsi="Times New Roman" w:cs="Times New Roman"/>
                <w:color w:val="FF0000"/>
                <w:sz w:val="24"/>
                <w:u w:val="single"/>
              </w:rPr>
            </w:pPr>
            <w:r>
              <w:rPr>
                <w:rFonts w:hint="eastAsia" w:ascii="Times New Roman" w:hAnsi="Times New Roman" w:cs="Times New Roman"/>
                <w:color w:val="FF0000"/>
                <w:sz w:val="24"/>
                <w:u w:val="single"/>
              </w:rPr>
              <w:t>（4）统一运营管理，实现集约调配</w:t>
            </w:r>
            <w:r>
              <w:rPr>
                <w:rFonts w:hint="eastAsia" w:ascii="Times New Roman" w:hAnsi="Times New Roman" w:cs="Times New Roman"/>
                <w:color w:val="FF0000"/>
                <w:sz w:val="24"/>
                <w:u w:val="single"/>
                <w:lang w:eastAsia="zh-CN"/>
              </w:rPr>
              <w:t>。</w:t>
            </w:r>
            <w:r>
              <w:rPr>
                <w:rFonts w:hint="eastAsia" w:ascii="Times New Roman" w:hAnsi="Times New Roman" w:cs="Times New Roman"/>
                <w:color w:val="FF0000"/>
                <w:sz w:val="24"/>
                <w:u w:val="single"/>
              </w:rPr>
              <w:t>集中配送中心采用集中运营管理的运行模式，配套用地、设施、人员统筹协调，方便调配与核销。</w:t>
            </w:r>
          </w:p>
          <w:p>
            <w:pPr>
              <w:ind w:firstLine="480" w:firstLineChars="200"/>
              <w:jc w:val="left"/>
              <w:rPr>
                <w:rFonts w:ascii="Times New Roman" w:hAnsi="Times New Roman" w:cs="Times New Roman"/>
                <w:color w:val="FF0000"/>
                <w:sz w:val="24"/>
                <w:u w:val="single"/>
              </w:rPr>
            </w:pPr>
            <w:r>
              <w:rPr>
                <w:rFonts w:hint="eastAsia" w:ascii="Times New Roman" w:hAnsi="Times New Roman" w:cs="Times New Roman"/>
                <w:color w:val="FF0000"/>
                <w:sz w:val="24"/>
                <w:u w:val="single"/>
              </w:rPr>
              <w:t>（5）利用收储厂区，降低建设成本</w:t>
            </w:r>
            <w:r>
              <w:rPr>
                <w:rFonts w:hint="eastAsia" w:ascii="Times New Roman" w:hAnsi="Times New Roman" w:cs="Times New Roman"/>
                <w:color w:val="FF0000"/>
                <w:sz w:val="24"/>
                <w:u w:val="single"/>
                <w:lang w:eastAsia="zh-CN"/>
              </w:rPr>
              <w:t>。</w:t>
            </w:r>
            <w:r>
              <w:rPr>
                <w:rFonts w:hint="eastAsia" w:ascii="Times New Roman" w:hAnsi="Times New Roman" w:cs="Times New Roman"/>
                <w:color w:val="FF0000"/>
                <w:sz w:val="24"/>
                <w:u w:val="single"/>
              </w:rPr>
              <w:t>集配中心四场一站均为现有厂区进行改造，大大减低了建造成本。</w:t>
            </w:r>
          </w:p>
          <w:p>
            <w:pPr>
              <w:ind w:firstLine="480" w:firstLineChars="200"/>
              <w:jc w:val="left"/>
              <w:rPr>
                <w:color w:val="auto"/>
                <w:sz w:val="24"/>
              </w:rPr>
            </w:pPr>
            <w:r>
              <w:rPr>
                <w:color w:val="auto"/>
                <w:sz w:val="24"/>
              </w:rPr>
              <w:t>根据《中华人民共和国环境影响评价法》和中华人民共和国国务院令第682号《建设项目环境保护管理条例》，建设单位</w:t>
            </w:r>
            <w:r>
              <w:rPr>
                <w:rFonts w:hint="eastAsia"/>
                <w:color w:val="auto"/>
                <w:sz w:val="24"/>
                <w:lang w:eastAsia="zh-CN"/>
              </w:rPr>
              <w:t>中交第三航务工程局有限公司</w:t>
            </w:r>
            <w:r>
              <w:rPr>
                <w:color w:val="auto"/>
                <w:sz w:val="24"/>
              </w:rPr>
              <w:t>委托</w:t>
            </w:r>
            <w:r>
              <w:rPr>
                <w:rFonts w:hint="eastAsia"/>
                <w:color w:val="auto"/>
                <w:sz w:val="24"/>
                <w:lang w:eastAsia="zh-CN"/>
              </w:rPr>
              <w:t>甘肃宜洁</w:t>
            </w:r>
            <w:r>
              <w:rPr>
                <w:color w:val="auto"/>
                <w:sz w:val="24"/>
              </w:rPr>
              <w:t>环保科技有限责任公司承担项目环境影响评价工作。</w:t>
            </w:r>
            <w:r>
              <w:rPr>
                <w:rFonts w:hint="eastAsia"/>
                <w:color w:val="auto"/>
                <w:sz w:val="24"/>
              </w:rPr>
              <w:t>根据《建设项目环境影响评价分类管理名录（2018 年修订）》十九、非金属矿物制造业 57、防水建筑材料制造、沥青搅拌站、干粉砂浆搅拌站建设项目，需要编制环境影响报告表。</w:t>
            </w:r>
            <w:r>
              <w:rPr>
                <w:color w:val="auto"/>
                <w:sz w:val="24"/>
              </w:rPr>
              <w:t>我公司依据环评导则中的有关要求，在现场踏勘、资料收集、调查研究的基础上进行了工程分析、数据统计、预测评价、治理措施分析等工作，在以上工作基础上编制了本环境影响报告表。</w:t>
            </w:r>
          </w:p>
          <w:p>
            <w:pPr>
              <w:ind w:firstLine="482" w:firstLineChars="200"/>
              <w:rPr>
                <w:b/>
                <w:color w:val="auto"/>
                <w:sz w:val="24"/>
              </w:rPr>
            </w:pPr>
            <w:r>
              <w:rPr>
                <w:rFonts w:hint="eastAsia"/>
                <w:b/>
                <w:color w:val="auto"/>
                <w:sz w:val="24"/>
              </w:rPr>
              <w:t>二</w:t>
            </w:r>
            <w:r>
              <w:rPr>
                <w:b/>
                <w:color w:val="auto"/>
                <w:sz w:val="24"/>
              </w:rPr>
              <w:t>、项目</w:t>
            </w:r>
            <w:r>
              <w:rPr>
                <w:rFonts w:hint="eastAsia"/>
                <w:b/>
                <w:color w:val="auto"/>
                <w:sz w:val="24"/>
              </w:rPr>
              <w:t>基本情况</w:t>
            </w:r>
          </w:p>
          <w:p>
            <w:pPr>
              <w:ind w:firstLine="480" w:firstLineChars="200"/>
              <w:rPr>
                <w:rFonts w:hint="eastAsia"/>
                <w:color w:val="auto"/>
                <w:sz w:val="24"/>
                <w:lang w:eastAsia="zh-CN"/>
              </w:rPr>
            </w:pPr>
            <w:r>
              <w:rPr>
                <w:color w:val="auto"/>
                <w:sz w:val="24"/>
              </w:rPr>
              <w:t>（1）项目名称：</w:t>
            </w:r>
            <w:r>
              <w:rPr>
                <w:rFonts w:hint="eastAsia"/>
                <w:color w:val="auto"/>
                <w:sz w:val="24"/>
                <w:lang w:eastAsia="zh-CN"/>
              </w:rPr>
              <w:t>株洲市清水塘生态科技新城集中配送中心</w:t>
            </w:r>
          </w:p>
          <w:p>
            <w:pPr>
              <w:ind w:firstLine="480" w:firstLineChars="200"/>
              <w:rPr>
                <w:color w:val="auto"/>
                <w:sz w:val="24"/>
              </w:rPr>
            </w:pPr>
            <w:r>
              <w:rPr>
                <w:color w:val="auto"/>
                <w:sz w:val="24"/>
              </w:rPr>
              <w:t>（2）</w:t>
            </w:r>
            <w:r>
              <w:rPr>
                <w:rFonts w:hint="eastAsia"/>
                <w:color w:val="auto"/>
                <w:sz w:val="24"/>
              </w:rPr>
              <w:t>建设性质：新建</w:t>
            </w:r>
          </w:p>
          <w:p>
            <w:pPr>
              <w:ind w:firstLine="480" w:firstLineChars="200"/>
              <w:rPr>
                <w:rFonts w:hint="eastAsia" w:eastAsia="宋体"/>
                <w:color w:val="auto"/>
                <w:sz w:val="24"/>
                <w:lang w:eastAsia="zh-CN"/>
              </w:rPr>
            </w:pPr>
            <w:r>
              <w:rPr>
                <w:rFonts w:hint="eastAsia"/>
                <w:color w:val="auto"/>
                <w:sz w:val="24"/>
              </w:rPr>
              <w:t>（3）</w:t>
            </w:r>
            <w:r>
              <w:rPr>
                <w:color w:val="auto"/>
                <w:sz w:val="24"/>
              </w:rPr>
              <w:t>建设单位：</w:t>
            </w:r>
            <w:r>
              <w:rPr>
                <w:rFonts w:hint="eastAsia"/>
                <w:color w:val="auto"/>
                <w:sz w:val="24"/>
                <w:lang w:eastAsia="zh-CN"/>
              </w:rPr>
              <w:t>中交第三航务工程局有限公司</w:t>
            </w:r>
          </w:p>
          <w:p>
            <w:pPr>
              <w:ind w:firstLine="480" w:firstLineChars="200"/>
              <w:rPr>
                <w:rFonts w:hint="default"/>
                <w:color w:val="auto"/>
                <w:sz w:val="24"/>
                <w:lang w:val="en-US"/>
              </w:rPr>
            </w:pPr>
            <w:r>
              <w:rPr>
                <w:color w:val="auto"/>
                <w:sz w:val="24"/>
              </w:rPr>
              <w:t>（</w:t>
            </w:r>
            <w:r>
              <w:rPr>
                <w:rFonts w:hint="eastAsia"/>
                <w:color w:val="auto"/>
                <w:sz w:val="24"/>
              </w:rPr>
              <w:t>4</w:t>
            </w:r>
            <w:r>
              <w:rPr>
                <w:color w:val="auto"/>
                <w:sz w:val="24"/>
              </w:rPr>
              <w:t>）建设地点：</w:t>
            </w:r>
            <w:r>
              <w:rPr>
                <w:rFonts w:hint="eastAsia"/>
                <w:color w:val="auto"/>
                <w:sz w:val="24"/>
                <w:lang w:eastAsia="zh-CN"/>
              </w:rPr>
              <w:t>株洲市清水塘生态科技新城</w:t>
            </w:r>
            <w:r>
              <w:rPr>
                <w:rFonts w:hint="eastAsia"/>
                <w:color w:val="auto"/>
                <w:sz w:val="24"/>
                <w:lang w:val="en-US" w:eastAsia="zh-CN"/>
              </w:rPr>
              <w:t>内</w:t>
            </w:r>
          </w:p>
          <w:p>
            <w:pPr>
              <w:ind w:firstLine="480" w:firstLineChars="200"/>
              <w:rPr>
                <w:rFonts w:ascii="Times New Roman" w:hAnsi="Times New Roman" w:cs="Times New Roman"/>
                <w:color w:val="auto"/>
                <w:sz w:val="24"/>
              </w:rPr>
            </w:pPr>
            <w:r>
              <w:rPr>
                <w:rFonts w:ascii="Times New Roman" w:hAnsi="Times New Roman" w:cs="Times New Roman"/>
                <w:color w:val="auto"/>
                <w:sz w:val="24"/>
              </w:rPr>
              <w:t>（</w:t>
            </w:r>
            <w:r>
              <w:rPr>
                <w:rFonts w:hint="eastAsia" w:ascii="Times New Roman" w:hAnsi="Times New Roman" w:cs="Times New Roman"/>
                <w:color w:val="auto"/>
                <w:sz w:val="24"/>
              </w:rPr>
              <w:t>5</w:t>
            </w:r>
            <w:r>
              <w:rPr>
                <w:rFonts w:ascii="Times New Roman" w:hAnsi="Times New Roman" w:cs="Times New Roman"/>
                <w:color w:val="auto"/>
                <w:sz w:val="24"/>
              </w:rPr>
              <w:t>）建设内容：</w:t>
            </w:r>
            <w:r>
              <w:rPr>
                <w:rFonts w:hint="default" w:ascii="Times New Roman" w:hAnsi="Times New Roman" w:cs="Times New Roman"/>
                <w:color w:val="auto"/>
                <w:sz w:val="24"/>
                <w:lang w:val="en-US" w:eastAsia="zh-CN"/>
              </w:rPr>
              <w:t>混凝土拌合站</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钢筋加工场</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预制</w:t>
            </w:r>
            <w:r>
              <w:rPr>
                <w:rFonts w:hint="eastAsia" w:cs="Times New Roman"/>
                <w:color w:val="auto"/>
                <w:sz w:val="24"/>
                <w:lang w:val="en-US" w:eastAsia="zh-CN"/>
              </w:rPr>
              <w:t>厂</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水稳拌合站</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碎石场</w:t>
            </w:r>
            <w:r>
              <w:rPr>
                <w:rFonts w:hint="eastAsia" w:cs="Times New Roman"/>
                <w:color w:val="auto"/>
                <w:sz w:val="24"/>
                <w:lang w:val="en-US" w:eastAsia="zh-CN"/>
              </w:rPr>
              <w:t>，沥青拌合站</w:t>
            </w:r>
            <w:r>
              <w:rPr>
                <w:rFonts w:hint="eastAsia" w:ascii="Times New Roman" w:hAnsi="Times New Roman" w:cs="Times New Roman"/>
                <w:color w:val="auto"/>
                <w:sz w:val="24"/>
              </w:rPr>
              <w:t>等。</w:t>
            </w:r>
          </w:p>
          <w:p>
            <w:pPr>
              <w:ind w:firstLine="480" w:firstLineChars="200"/>
              <w:rPr>
                <w:color w:val="auto"/>
                <w:sz w:val="24"/>
              </w:rPr>
            </w:pPr>
            <w:r>
              <w:rPr>
                <w:rFonts w:hint="eastAsia"/>
                <w:color w:val="auto"/>
                <w:sz w:val="24"/>
              </w:rPr>
              <w:t>项目占地面积约为</w:t>
            </w:r>
            <w:r>
              <w:rPr>
                <w:rFonts w:hint="eastAsia"/>
                <w:color w:val="auto"/>
                <w:sz w:val="24"/>
                <w:lang w:val="en-US" w:eastAsia="zh-CN"/>
              </w:rPr>
              <w:t>40829</w:t>
            </w:r>
            <w:r>
              <w:rPr>
                <w:color w:val="auto"/>
                <w:sz w:val="24"/>
              </w:rPr>
              <w:t>m</w:t>
            </w:r>
            <w:r>
              <w:rPr>
                <w:color w:val="auto"/>
                <w:sz w:val="24"/>
                <w:vertAlign w:val="superscript"/>
              </w:rPr>
              <w:t>2</w:t>
            </w:r>
            <w:r>
              <w:rPr>
                <w:rFonts w:hint="eastAsia"/>
                <w:color w:val="auto"/>
                <w:sz w:val="24"/>
              </w:rPr>
              <w:t>，建设内容包括</w:t>
            </w:r>
            <w:r>
              <w:rPr>
                <w:rFonts w:hint="eastAsia"/>
                <w:color w:val="auto"/>
                <w:sz w:val="24"/>
                <w:lang w:eastAsia="zh-CN"/>
              </w:rPr>
              <w:t>主体</w:t>
            </w:r>
            <w:r>
              <w:rPr>
                <w:rFonts w:hint="eastAsia"/>
                <w:color w:val="auto"/>
                <w:sz w:val="24"/>
              </w:rPr>
              <w:t>工程、</w:t>
            </w:r>
            <w:r>
              <w:rPr>
                <w:rFonts w:hint="eastAsia"/>
                <w:color w:val="auto"/>
                <w:sz w:val="24"/>
                <w:lang w:eastAsia="zh-CN"/>
              </w:rPr>
              <w:t>辅助</w:t>
            </w:r>
            <w:r>
              <w:rPr>
                <w:rFonts w:hint="eastAsia"/>
                <w:color w:val="auto"/>
                <w:sz w:val="24"/>
              </w:rPr>
              <w:t>工程、</w:t>
            </w:r>
            <w:r>
              <w:rPr>
                <w:rFonts w:hint="eastAsia"/>
                <w:color w:val="auto"/>
                <w:sz w:val="24"/>
                <w:lang w:eastAsia="zh-CN"/>
              </w:rPr>
              <w:t>公用</w:t>
            </w:r>
            <w:r>
              <w:rPr>
                <w:rFonts w:hint="eastAsia"/>
                <w:color w:val="auto"/>
                <w:sz w:val="24"/>
              </w:rPr>
              <w:t>工程、</w:t>
            </w:r>
            <w:r>
              <w:rPr>
                <w:rFonts w:hint="eastAsia"/>
                <w:color w:val="auto"/>
                <w:sz w:val="24"/>
                <w:lang w:eastAsia="zh-CN"/>
              </w:rPr>
              <w:t>储运</w:t>
            </w:r>
            <w:r>
              <w:rPr>
                <w:rFonts w:hint="eastAsia"/>
                <w:color w:val="auto"/>
                <w:sz w:val="24"/>
              </w:rPr>
              <w:t>工程、</w:t>
            </w:r>
            <w:r>
              <w:rPr>
                <w:rFonts w:hint="eastAsia"/>
                <w:color w:val="auto"/>
                <w:sz w:val="24"/>
                <w:lang w:eastAsia="zh-CN"/>
              </w:rPr>
              <w:t>环保</w:t>
            </w:r>
            <w:r>
              <w:rPr>
                <w:rFonts w:hint="eastAsia"/>
                <w:color w:val="auto"/>
                <w:sz w:val="24"/>
              </w:rPr>
              <w:t>工程等。</w:t>
            </w:r>
          </w:p>
          <w:p>
            <w:pPr>
              <w:ind w:firstLine="480" w:firstLineChars="200"/>
              <w:rPr>
                <w:color w:val="auto"/>
                <w:sz w:val="24"/>
              </w:rPr>
            </w:pPr>
            <w:r>
              <w:rPr>
                <w:rFonts w:hint="eastAsia"/>
                <w:color w:val="auto"/>
                <w:sz w:val="24"/>
              </w:rPr>
              <w:t>工程主要建设内容见表</w:t>
            </w:r>
            <w:r>
              <w:rPr>
                <w:rFonts w:hint="eastAsia"/>
                <w:color w:val="auto"/>
                <w:sz w:val="24"/>
                <w:lang w:val="en-US" w:eastAsia="zh-CN"/>
              </w:rPr>
              <w:t>1-1</w:t>
            </w:r>
            <w:r>
              <w:rPr>
                <w:color w:val="auto"/>
                <w:sz w:val="24"/>
              </w:rPr>
              <w:t>。</w:t>
            </w:r>
          </w:p>
          <w:p>
            <w:pPr>
              <w:jc w:val="center"/>
              <w:rPr>
                <w:b/>
                <w:bCs/>
                <w:color w:val="auto"/>
                <w:sz w:val="24"/>
                <w:u w:val="single"/>
              </w:rPr>
            </w:pPr>
            <w:r>
              <w:rPr>
                <w:rFonts w:hint="eastAsia"/>
                <w:b/>
                <w:bCs/>
                <w:color w:val="auto"/>
                <w:sz w:val="24"/>
              </w:rPr>
              <w:t xml:space="preserve">  </w:t>
            </w:r>
            <w:r>
              <w:rPr>
                <w:rFonts w:hint="eastAsia"/>
                <w:b/>
                <w:bCs/>
                <w:color w:val="auto"/>
                <w:sz w:val="24"/>
                <w:u w:val="single"/>
              </w:rPr>
              <w:t>表</w:t>
            </w:r>
            <w:r>
              <w:rPr>
                <w:rFonts w:hint="eastAsia"/>
                <w:b/>
                <w:bCs/>
                <w:color w:val="auto"/>
                <w:sz w:val="24"/>
                <w:u w:val="single"/>
                <w:lang w:val="en-US" w:eastAsia="zh-CN"/>
              </w:rPr>
              <w:t>1-1</w:t>
            </w:r>
            <w:r>
              <w:rPr>
                <w:b/>
                <w:bCs/>
                <w:color w:val="auto"/>
                <w:sz w:val="24"/>
                <w:u w:val="single"/>
              </w:rPr>
              <w:t xml:space="preserve">  </w:t>
            </w:r>
            <w:r>
              <w:rPr>
                <w:rFonts w:hint="eastAsia"/>
                <w:b/>
                <w:bCs/>
                <w:color w:val="auto"/>
                <w:sz w:val="24"/>
                <w:u w:val="single"/>
              </w:rPr>
              <w:t>项目建设内容一览表</w:t>
            </w:r>
          </w:p>
          <w:tbl>
            <w:tblPr>
              <w:tblStyle w:val="43"/>
              <w:tblW w:w="894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3"/>
              <w:gridCol w:w="632"/>
              <w:gridCol w:w="1143"/>
              <w:gridCol w:w="63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2608" w:type="dxa"/>
                  <w:gridSpan w:val="3"/>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项目组成</w:t>
                  </w:r>
                </w:p>
              </w:tc>
              <w:tc>
                <w:tcPr>
                  <w:tcW w:w="6332" w:type="dxa"/>
                  <w:tcBorders>
                    <w:tl2br w:val="nil"/>
                    <w:tr2bl w:val="nil"/>
                  </w:tcBorders>
                  <w:noWrap w:val="0"/>
                  <w:vAlign w:val="center"/>
                </w:tcPr>
                <w:p>
                  <w:pPr>
                    <w:pStyle w:val="176"/>
                    <w:bidi w:val="0"/>
                    <w:jc w:val="center"/>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内容及规模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33" w:type="dxa"/>
                  <w:vMerge w:val="restart"/>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主体工程</w:t>
                  </w:r>
                </w:p>
              </w:tc>
              <w:tc>
                <w:tcPr>
                  <w:tcW w:w="1775" w:type="dxa"/>
                  <w:gridSpan w:val="2"/>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lang w:eastAsia="zh-CN"/>
                    </w:rPr>
                  </w:pPr>
                  <w:r>
                    <w:rPr>
                      <w:rFonts w:hint="default" w:ascii="Times New Roman" w:hAnsi="Times New Roman" w:eastAsia="宋体" w:cs="Times New Roman"/>
                      <w:b w:val="0"/>
                      <w:bCs w:val="0"/>
                      <w:color w:val="auto"/>
                      <w:sz w:val="21"/>
                      <w:szCs w:val="21"/>
                      <w:u w:val="single"/>
                      <w:lang w:eastAsia="zh-CN"/>
                    </w:rPr>
                    <w:t>集中配送中心</w:t>
                  </w:r>
                </w:p>
              </w:tc>
              <w:tc>
                <w:tcPr>
                  <w:tcW w:w="6332"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lang w:eastAsia="zh-CN"/>
                    </w:rPr>
                  </w:pPr>
                  <w:r>
                    <w:rPr>
                      <w:rFonts w:hint="default" w:ascii="Times New Roman" w:hAnsi="Times New Roman" w:eastAsia="宋体" w:cs="Times New Roman"/>
                      <w:b w:val="0"/>
                      <w:bCs w:val="0"/>
                      <w:color w:val="auto"/>
                      <w:sz w:val="21"/>
                      <w:szCs w:val="21"/>
                      <w:u w:val="single"/>
                    </w:rPr>
                    <w:t>钢筋加工场、预制</w:t>
                  </w:r>
                  <w:r>
                    <w:rPr>
                      <w:rFonts w:hint="default" w:ascii="Times New Roman" w:hAnsi="Times New Roman" w:eastAsia="宋体" w:cs="Times New Roman"/>
                      <w:b w:val="0"/>
                      <w:bCs w:val="0"/>
                      <w:color w:val="auto"/>
                      <w:sz w:val="21"/>
                      <w:szCs w:val="21"/>
                      <w:u w:val="single"/>
                      <w:lang w:eastAsia="zh-CN"/>
                    </w:rPr>
                    <w:t>厂</w:t>
                  </w:r>
                  <w:r>
                    <w:rPr>
                      <w:rFonts w:hint="default" w:ascii="Times New Roman" w:hAnsi="Times New Roman" w:eastAsia="宋体" w:cs="Times New Roman"/>
                      <w:b w:val="0"/>
                      <w:bCs w:val="0"/>
                      <w:color w:val="auto"/>
                      <w:sz w:val="21"/>
                      <w:szCs w:val="21"/>
                      <w:u w:val="single"/>
                    </w:rPr>
                    <w:t>、碎石</w:t>
                  </w:r>
                  <w:r>
                    <w:rPr>
                      <w:rFonts w:hint="default" w:ascii="Times New Roman" w:hAnsi="Times New Roman" w:eastAsia="宋体" w:cs="Times New Roman"/>
                      <w:b w:val="0"/>
                      <w:bCs w:val="0"/>
                      <w:color w:val="auto"/>
                      <w:sz w:val="21"/>
                      <w:szCs w:val="21"/>
                      <w:u w:val="single"/>
                      <w:lang w:eastAsia="zh-CN"/>
                    </w:rPr>
                    <w:t>厂、</w:t>
                  </w:r>
                  <w:r>
                    <w:rPr>
                      <w:rFonts w:hint="default" w:ascii="Times New Roman" w:hAnsi="Times New Roman" w:eastAsia="宋体" w:cs="Times New Roman"/>
                      <w:b w:val="0"/>
                      <w:bCs w:val="0"/>
                      <w:color w:val="auto"/>
                      <w:sz w:val="21"/>
                      <w:szCs w:val="21"/>
                      <w:u w:val="single"/>
                    </w:rPr>
                    <w:t>混凝土拌合站、水稳拌合站</w:t>
                  </w:r>
                  <w:r>
                    <w:rPr>
                      <w:rFonts w:hint="default" w:ascii="Times New Roman" w:hAnsi="Times New Roman" w:eastAsia="宋体" w:cs="Times New Roman"/>
                      <w:b w:val="0"/>
                      <w:bCs w:val="0"/>
                      <w:color w:val="auto"/>
                      <w:sz w:val="21"/>
                      <w:szCs w:val="21"/>
                      <w:u w:val="single"/>
                      <w:lang w:eastAsia="zh-CN"/>
                    </w:rPr>
                    <w:t>和沥青搅拌站。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33" w:type="dxa"/>
                  <w:vMerge w:val="continue"/>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p>
              </w:tc>
              <w:tc>
                <w:tcPr>
                  <w:tcW w:w="632" w:type="dxa"/>
                  <w:vMerge w:val="restart"/>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其中</w:t>
                  </w:r>
                </w:p>
              </w:tc>
              <w:tc>
                <w:tcPr>
                  <w:tcW w:w="1143"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混凝土拌合站</w:t>
                  </w:r>
                </w:p>
              </w:tc>
              <w:tc>
                <w:tcPr>
                  <w:tcW w:w="6332"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总面积约6302m</w:t>
                  </w:r>
                  <w:r>
                    <w:rPr>
                      <w:rFonts w:hint="default" w:ascii="Times New Roman" w:hAnsi="Times New Roman" w:eastAsia="宋体" w:cs="Times New Roman"/>
                      <w:b w:val="0"/>
                      <w:bCs w:val="0"/>
                      <w:color w:val="auto"/>
                      <w:sz w:val="21"/>
                      <w:szCs w:val="21"/>
                      <w:u w:val="single"/>
                      <w:vertAlign w:val="superscript"/>
                    </w:rPr>
                    <w:t>2</w:t>
                  </w:r>
                  <w:r>
                    <w:rPr>
                      <w:rFonts w:hint="default" w:ascii="Times New Roman" w:hAnsi="Times New Roman" w:eastAsia="宋体" w:cs="Times New Roman"/>
                      <w:b w:val="0"/>
                      <w:bCs w:val="0"/>
                      <w:color w:val="auto"/>
                      <w:sz w:val="21"/>
                      <w:szCs w:val="21"/>
                      <w:u w:val="single"/>
                    </w:rPr>
                    <w:t>，站内设有2台HSZ120机、200T罐仓8个，砂石料仓4个，一座蓄水池，三级沉淀池1座，砂石分离机1台，200m场内道路、600m排水沟以及一系列配套设施等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33" w:type="dxa"/>
                  <w:vMerge w:val="continue"/>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p>
              </w:tc>
              <w:tc>
                <w:tcPr>
                  <w:tcW w:w="632" w:type="dxa"/>
                  <w:vMerge w:val="continue"/>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p>
              </w:tc>
              <w:tc>
                <w:tcPr>
                  <w:tcW w:w="1143"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水稳拌合站</w:t>
                  </w:r>
                </w:p>
              </w:tc>
              <w:tc>
                <w:tcPr>
                  <w:tcW w:w="6332"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长100m，宽45m，总面积4500m</w:t>
                  </w:r>
                  <w:r>
                    <w:rPr>
                      <w:rFonts w:hint="default" w:ascii="Times New Roman" w:hAnsi="Times New Roman" w:eastAsia="宋体" w:cs="Times New Roman"/>
                      <w:b w:val="0"/>
                      <w:bCs w:val="0"/>
                      <w:color w:val="auto"/>
                      <w:sz w:val="21"/>
                      <w:szCs w:val="21"/>
                      <w:u w:val="single"/>
                      <w:vertAlign w:val="superscript"/>
                    </w:rPr>
                    <w:t>2</w:t>
                  </w:r>
                  <w:r>
                    <w:rPr>
                      <w:rFonts w:hint="default" w:ascii="Times New Roman" w:hAnsi="Times New Roman" w:eastAsia="宋体" w:cs="Times New Roman"/>
                      <w:b w:val="0"/>
                      <w:bCs w:val="0"/>
                      <w:color w:val="auto"/>
                      <w:sz w:val="21"/>
                      <w:szCs w:val="21"/>
                      <w:u w:val="single"/>
                    </w:rPr>
                    <w:t>，由1台型号为WCZ600拌合楼和</w:t>
                  </w:r>
                  <w:r>
                    <w:rPr>
                      <w:rFonts w:hint="eastAsia" w:ascii="Times New Roman" w:hAnsi="Times New Roman" w:eastAsia="宋体" w:cs="Times New Roman"/>
                      <w:b w:val="0"/>
                      <w:bCs w:val="0"/>
                      <w:color w:val="auto"/>
                      <w:sz w:val="21"/>
                      <w:szCs w:val="21"/>
                      <w:u w:val="single"/>
                      <w:lang w:val="en-US" w:eastAsia="zh-CN"/>
                    </w:rPr>
                    <w:t>5</w:t>
                  </w:r>
                  <w:r>
                    <w:rPr>
                      <w:rFonts w:hint="default" w:ascii="Times New Roman" w:hAnsi="Times New Roman" w:eastAsia="宋体" w:cs="Times New Roman"/>
                      <w:b w:val="0"/>
                      <w:bCs w:val="0"/>
                      <w:color w:val="auto"/>
                      <w:sz w:val="21"/>
                      <w:szCs w:val="21"/>
                      <w:u w:val="single"/>
                    </w:rPr>
                    <w:t>个料仓组成。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33" w:type="dxa"/>
                  <w:vMerge w:val="continue"/>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p>
              </w:tc>
              <w:tc>
                <w:tcPr>
                  <w:tcW w:w="632" w:type="dxa"/>
                  <w:vMerge w:val="continue"/>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p>
              </w:tc>
              <w:tc>
                <w:tcPr>
                  <w:tcW w:w="1143"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lang w:eastAsia="zh-CN"/>
                    </w:rPr>
                    <w:t>预制厂</w:t>
                  </w:r>
                </w:p>
              </w:tc>
              <w:tc>
                <w:tcPr>
                  <w:tcW w:w="6332"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预制</w:t>
                  </w:r>
                  <w:r>
                    <w:rPr>
                      <w:rFonts w:hint="eastAsia" w:ascii="Times New Roman" w:hAnsi="Times New Roman" w:eastAsia="宋体" w:cs="Times New Roman"/>
                      <w:b w:val="0"/>
                      <w:bCs w:val="0"/>
                      <w:color w:val="auto"/>
                      <w:sz w:val="21"/>
                      <w:szCs w:val="21"/>
                      <w:u w:val="single"/>
                      <w:lang w:eastAsia="zh-CN"/>
                    </w:rPr>
                    <w:t>厂</w:t>
                  </w:r>
                  <w:r>
                    <w:rPr>
                      <w:rFonts w:hint="default" w:ascii="Times New Roman" w:hAnsi="Times New Roman" w:eastAsia="宋体" w:cs="Times New Roman"/>
                      <w:b w:val="0"/>
                      <w:bCs w:val="0"/>
                      <w:color w:val="auto"/>
                      <w:sz w:val="21"/>
                      <w:szCs w:val="21"/>
                      <w:u w:val="single"/>
                    </w:rPr>
                    <w:t>长130m、宽32m，占地4160m</w:t>
                  </w:r>
                  <w:r>
                    <w:rPr>
                      <w:rFonts w:hint="default" w:ascii="Times New Roman" w:hAnsi="Times New Roman" w:eastAsia="宋体" w:cs="Times New Roman"/>
                      <w:b w:val="0"/>
                      <w:bCs w:val="0"/>
                      <w:color w:val="auto"/>
                      <w:sz w:val="21"/>
                      <w:szCs w:val="21"/>
                      <w:u w:val="single"/>
                      <w:vertAlign w:val="superscript"/>
                    </w:rPr>
                    <w:t>2</w:t>
                  </w:r>
                  <w:r>
                    <w:rPr>
                      <w:rFonts w:hint="default" w:ascii="Times New Roman" w:hAnsi="Times New Roman" w:eastAsia="宋体" w:cs="Times New Roman"/>
                      <w:b w:val="0"/>
                      <w:bCs w:val="0"/>
                      <w:color w:val="auto"/>
                      <w:sz w:val="21"/>
                      <w:szCs w:val="21"/>
                      <w:u w:val="single"/>
                    </w:rPr>
                    <w:t>，设置6个制梁台座，14个存量台座，配2台100t龙门吊，场内道路按6m设置。</w:t>
                  </w:r>
                  <w:r>
                    <w:rPr>
                      <w:rFonts w:hint="eastAsia" w:ascii="Times New Roman" w:hAnsi="Times New Roman" w:eastAsia="宋体" w:cs="Times New Roman"/>
                      <w:b w:val="0"/>
                      <w:bCs w:val="0"/>
                      <w:color w:val="auto"/>
                      <w:sz w:val="21"/>
                      <w:szCs w:val="21"/>
                      <w:u w:val="single"/>
                    </w:rPr>
                    <w:t>拟建小型构件预制场</w:t>
                  </w:r>
                  <w:r>
                    <w:rPr>
                      <w:rFonts w:hint="default" w:ascii="Times New Roman" w:hAnsi="Times New Roman" w:eastAsia="宋体" w:cs="Times New Roman"/>
                      <w:b w:val="0"/>
                      <w:bCs w:val="0"/>
                      <w:color w:val="auto"/>
                      <w:sz w:val="21"/>
                      <w:szCs w:val="21"/>
                      <w:u w:val="single"/>
                    </w:rPr>
                    <w:t>总长40m</w:t>
                  </w:r>
                  <w:r>
                    <w:rPr>
                      <w:rFonts w:hint="eastAsia" w:ascii="Times New Roman" w:hAnsi="Times New Roman" w:eastAsia="宋体" w:cs="Times New Roman"/>
                      <w:b w:val="0"/>
                      <w:bCs w:val="0"/>
                      <w:color w:val="auto"/>
                      <w:sz w:val="21"/>
                      <w:szCs w:val="21"/>
                      <w:u w:val="single"/>
                    </w:rPr>
                    <w:t>、</w:t>
                  </w:r>
                  <w:r>
                    <w:rPr>
                      <w:rFonts w:hint="default" w:ascii="Times New Roman" w:hAnsi="Times New Roman" w:eastAsia="宋体" w:cs="Times New Roman"/>
                      <w:b w:val="0"/>
                      <w:bCs w:val="0"/>
                      <w:color w:val="auto"/>
                      <w:sz w:val="21"/>
                      <w:szCs w:val="21"/>
                      <w:u w:val="single"/>
                    </w:rPr>
                    <w:t>宽30m，占地面积1200㎡。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3" w:hRule="atLeast"/>
                <w:jc w:val="center"/>
              </w:trPr>
              <w:tc>
                <w:tcPr>
                  <w:tcW w:w="833" w:type="dxa"/>
                  <w:vMerge w:val="continue"/>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p>
              </w:tc>
              <w:tc>
                <w:tcPr>
                  <w:tcW w:w="632" w:type="dxa"/>
                  <w:vMerge w:val="continue"/>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p>
              </w:tc>
              <w:tc>
                <w:tcPr>
                  <w:tcW w:w="1143"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lang w:eastAsia="zh-CN"/>
                    </w:rPr>
                  </w:pPr>
                  <w:r>
                    <w:rPr>
                      <w:rFonts w:hint="default" w:ascii="Times New Roman" w:hAnsi="Times New Roman" w:eastAsia="宋体" w:cs="Times New Roman"/>
                      <w:b w:val="0"/>
                      <w:bCs w:val="0"/>
                      <w:color w:val="auto"/>
                      <w:sz w:val="21"/>
                      <w:szCs w:val="21"/>
                      <w:u w:val="single"/>
                      <w:lang w:eastAsia="zh-CN"/>
                    </w:rPr>
                    <w:t>钢筋加工厂</w:t>
                  </w:r>
                </w:p>
              </w:tc>
              <w:tc>
                <w:tcPr>
                  <w:tcW w:w="6332"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场地尺寸为100m×30m，占地约3000m</w:t>
                  </w:r>
                  <w:r>
                    <w:rPr>
                      <w:rFonts w:hint="default" w:ascii="Times New Roman" w:hAnsi="Times New Roman" w:eastAsia="宋体" w:cs="Times New Roman"/>
                      <w:b w:val="0"/>
                      <w:bCs w:val="0"/>
                      <w:color w:val="auto"/>
                      <w:sz w:val="21"/>
                      <w:szCs w:val="21"/>
                      <w:u w:val="single"/>
                      <w:vertAlign w:val="superscript"/>
                    </w:rPr>
                    <w:t>2</w:t>
                  </w:r>
                  <w:r>
                    <w:rPr>
                      <w:rFonts w:hint="default" w:ascii="Times New Roman" w:hAnsi="Times New Roman" w:eastAsia="宋体" w:cs="Times New Roman"/>
                      <w:b w:val="0"/>
                      <w:bCs w:val="0"/>
                      <w:color w:val="auto"/>
                      <w:sz w:val="21"/>
                      <w:szCs w:val="21"/>
                      <w:u w:val="single"/>
                    </w:rPr>
                    <w:t>。采用自动化加工设备，集中供应整个清水塘整体开发项目的钢筋构件。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33" w:type="dxa"/>
                  <w:vMerge w:val="continue"/>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p>
              </w:tc>
              <w:tc>
                <w:tcPr>
                  <w:tcW w:w="632" w:type="dxa"/>
                  <w:vMerge w:val="continue"/>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p>
              </w:tc>
              <w:tc>
                <w:tcPr>
                  <w:tcW w:w="1143"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lang w:eastAsia="zh-CN"/>
                    </w:rPr>
                  </w:pPr>
                  <w:r>
                    <w:rPr>
                      <w:rFonts w:hint="default" w:ascii="Times New Roman" w:hAnsi="Times New Roman" w:eastAsia="宋体" w:cs="Times New Roman"/>
                      <w:b w:val="0"/>
                      <w:bCs w:val="0"/>
                      <w:color w:val="auto"/>
                      <w:sz w:val="21"/>
                      <w:szCs w:val="21"/>
                      <w:u w:val="single"/>
                      <w:lang w:eastAsia="zh-CN"/>
                    </w:rPr>
                    <w:t>沥青拌合站</w:t>
                  </w:r>
                </w:p>
              </w:tc>
              <w:tc>
                <w:tcPr>
                  <w:tcW w:w="6332" w:type="dxa"/>
                  <w:tcBorders>
                    <w:tl2br w:val="nil"/>
                    <w:tr2bl w:val="nil"/>
                  </w:tcBorders>
                  <w:noWrap w:val="0"/>
                  <w:vAlign w:val="center"/>
                </w:tcPr>
                <w:p>
                  <w:pPr>
                    <w:pStyle w:val="176"/>
                    <w:shd w:val="clear" w:color="auto" w:fill="FFFFFF"/>
                    <w:bidi w:val="0"/>
                    <w:rPr>
                      <w:rFonts w:hint="eastAsia" w:ascii="Times New Roman" w:hAnsi="Times New Roman" w:eastAsia="宋体" w:cs="Times New Roman"/>
                      <w:b w:val="0"/>
                      <w:bCs w:val="0"/>
                      <w:color w:val="auto"/>
                      <w:sz w:val="21"/>
                      <w:szCs w:val="21"/>
                      <w:u w:val="single"/>
                      <w:lang w:val="en-US" w:eastAsia="zh-CN"/>
                    </w:rPr>
                  </w:pPr>
                  <w:r>
                    <w:rPr>
                      <w:rFonts w:hint="default" w:ascii="Times New Roman" w:hAnsi="Times New Roman" w:eastAsia="宋体" w:cs="Times New Roman"/>
                      <w:b w:val="0"/>
                      <w:bCs w:val="0"/>
                      <w:color w:val="auto"/>
                      <w:sz w:val="21"/>
                      <w:szCs w:val="21"/>
                      <w:u w:val="single"/>
                      <w:lang w:val="en-US" w:eastAsia="zh-CN"/>
                    </w:rPr>
                    <w:t>一套LB4000沥青拌和站</w:t>
                  </w:r>
                  <w:r>
                    <w:rPr>
                      <w:rFonts w:hint="eastAsia" w:ascii="Times New Roman" w:hAnsi="Times New Roman" w:eastAsia="宋体" w:cs="Times New Roman"/>
                      <w:b w:val="0"/>
                      <w:bCs w:val="0"/>
                      <w:color w:val="auto"/>
                      <w:sz w:val="21"/>
                      <w:szCs w:val="21"/>
                      <w:u w:val="single"/>
                      <w:lang w:val="en-US" w:eastAsia="zh-CN"/>
                    </w:rPr>
                    <w:t>，位于厂区西部，按照配比将烘干筛分后碎石、矿粉和热沥青混合搅拌，最终制成沥青混凝土。</w:t>
                  </w:r>
                </w:p>
                <w:p>
                  <w:pPr>
                    <w:pStyle w:val="176"/>
                    <w:shd w:val="clear" w:color="auto" w:fill="FFFFFF"/>
                    <w:bidi w:val="0"/>
                    <w:rPr>
                      <w:rFonts w:hint="default" w:ascii="Times New Roman" w:hAnsi="Times New Roman" w:eastAsia="宋体" w:cs="Times New Roman"/>
                      <w:b w:val="0"/>
                      <w:bCs w:val="0"/>
                      <w:color w:val="auto"/>
                      <w:sz w:val="21"/>
                      <w:szCs w:val="21"/>
                      <w:u w:val="single"/>
                      <w:lang w:val="en-US" w:eastAsia="zh-CN"/>
                    </w:rPr>
                  </w:pPr>
                  <w:r>
                    <w:rPr>
                      <w:rFonts w:hint="eastAsia" w:ascii="Times New Roman" w:hAnsi="Times New Roman" w:eastAsia="宋体" w:cs="Times New Roman"/>
                      <w:b w:val="0"/>
                      <w:bCs w:val="0"/>
                      <w:color w:val="auto"/>
                      <w:sz w:val="21"/>
                      <w:szCs w:val="21"/>
                      <w:u w:val="single"/>
                      <w:lang w:val="en-US" w:eastAsia="zh-CN"/>
                    </w:rPr>
                    <w:t>主要设备：4</w:t>
                  </w:r>
                  <w:r>
                    <w:rPr>
                      <w:rFonts w:hint="default" w:ascii="Times New Roman" w:hAnsi="Times New Roman" w:eastAsia="宋体" w:cs="Times New Roman"/>
                      <w:b w:val="0"/>
                      <w:bCs w:val="0"/>
                      <w:color w:val="auto"/>
                      <w:sz w:val="21"/>
                      <w:szCs w:val="21"/>
                      <w:u w:val="single"/>
                      <w:lang w:val="en-US" w:eastAsia="zh-CN"/>
                    </w:rPr>
                    <w:t>000</w:t>
                  </w:r>
                  <w:r>
                    <w:rPr>
                      <w:rFonts w:hint="eastAsia" w:ascii="Times New Roman" w:hAnsi="Times New Roman" w:eastAsia="宋体" w:cs="Times New Roman"/>
                      <w:b w:val="0"/>
                      <w:bCs w:val="0"/>
                      <w:color w:val="auto"/>
                      <w:sz w:val="21"/>
                      <w:szCs w:val="21"/>
                      <w:u w:val="single"/>
                      <w:lang w:val="en-US" w:eastAsia="zh-CN"/>
                    </w:rPr>
                    <w:t xml:space="preserve">型沥青砼拌合机一套、锅炉、烘干筒 </w:t>
                  </w:r>
                </w:p>
                <w:p>
                  <w:pPr>
                    <w:pStyle w:val="176"/>
                    <w:shd w:val="clear" w:color="auto" w:fill="FFFFFF"/>
                    <w:bidi w:val="0"/>
                    <w:rPr>
                      <w:rFonts w:hint="eastAsia" w:ascii="Times New Roman" w:hAnsi="Times New Roman" w:eastAsia="宋体" w:cs="Times New Roman"/>
                      <w:b w:val="0"/>
                      <w:bCs w:val="0"/>
                      <w:color w:val="auto"/>
                      <w:sz w:val="21"/>
                      <w:szCs w:val="21"/>
                      <w:u w:val="single"/>
                      <w:lang w:eastAsia="zh-CN"/>
                    </w:rPr>
                  </w:pPr>
                  <w:r>
                    <w:rPr>
                      <w:rFonts w:hint="eastAsia" w:ascii="Times New Roman" w:hAnsi="Times New Roman" w:eastAsia="宋体" w:cs="Times New Roman"/>
                      <w:b w:val="0"/>
                      <w:bCs w:val="0"/>
                      <w:color w:val="auto"/>
                      <w:sz w:val="21"/>
                      <w:szCs w:val="21"/>
                      <w:u w:val="single"/>
                      <w:lang w:val="en-US" w:eastAsia="zh-CN"/>
                    </w:rPr>
                    <w:t>生产规模：沥青混凝土29</w:t>
                  </w:r>
                  <w:r>
                    <w:rPr>
                      <w:rFonts w:hint="default" w:ascii="Times New Roman" w:hAnsi="Times New Roman" w:eastAsia="宋体" w:cs="Times New Roman"/>
                      <w:b w:val="0"/>
                      <w:bCs w:val="0"/>
                      <w:color w:val="auto"/>
                      <w:sz w:val="21"/>
                      <w:szCs w:val="21"/>
                      <w:u w:val="single"/>
                      <w:lang w:val="en-US" w:eastAsia="zh-CN"/>
                    </w:rPr>
                    <w:t>0000t/a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33" w:type="dxa"/>
                  <w:vMerge w:val="continue"/>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p>
              </w:tc>
              <w:tc>
                <w:tcPr>
                  <w:tcW w:w="632" w:type="dxa"/>
                  <w:vMerge w:val="continue"/>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p>
              </w:tc>
              <w:tc>
                <w:tcPr>
                  <w:tcW w:w="1143"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lang w:eastAsia="zh-CN"/>
                    </w:rPr>
                    <w:t>破碎洗制砂生产线</w:t>
                  </w:r>
                </w:p>
              </w:tc>
              <w:tc>
                <w:tcPr>
                  <w:tcW w:w="6332" w:type="dxa"/>
                  <w:tcBorders>
                    <w:tl2br w:val="nil"/>
                    <w:tr2bl w:val="nil"/>
                  </w:tcBorders>
                  <w:noWrap w:val="0"/>
                  <w:vAlign w:val="center"/>
                </w:tcPr>
                <w:p>
                  <w:pPr>
                    <w:pStyle w:val="176"/>
                    <w:shd w:val="clear" w:color="auto" w:fill="FFFFFF"/>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碎石机制砂破碎场规划场地长80m，宽45m，总面积3600m</w:t>
                  </w:r>
                  <w:r>
                    <w:rPr>
                      <w:rFonts w:hint="default" w:ascii="Times New Roman" w:hAnsi="Times New Roman" w:eastAsia="宋体" w:cs="Times New Roman"/>
                      <w:b w:val="0"/>
                      <w:bCs w:val="0"/>
                      <w:color w:val="auto"/>
                      <w:sz w:val="21"/>
                      <w:szCs w:val="21"/>
                      <w:u w:val="single"/>
                      <w:vertAlign w:val="superscript"/>
                    </w:rPr>
                    <w:t>2</w:t>
                  </w:r>
                  <w:r>
                    <w:rPr>
                      <w:rFonts w:hint="default" w:ascii="Times New Roman" w:hAnsi="Times New Roman" w:eastAsia="宋体" w:cs="Times New Roman"/>
                      <w:b w:val="0"/>
                      <w:bCs w:val="0"/>
                      <w:color w:val="auto"/>
                      <w:sz w:val="21"/>
                      <w:szCs w:val="21"/>
                      <w:u w:val="single"/>
                    </w:rPr>
                    <w:t>，设计产量为500t/h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33" w:type="dxa"/>
                  <w:vMerge w:val="restart"/>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辅助</w:t>
                  </w:r>
                </w:p>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工程</w:t>
                  </w:r>
                </w:p>
              </w:tc>
              <w:tc>
                <w:tcPr>
                  <w:tcW w:w="1775" w:type="dxa"/>
                  <w:gridSpan w:val="2"/>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实验室</w:t>
                  </w:r>
                </w:p>
              </w:tc>
              <w:tc>
                <w:tcPr>
                  <w:tcW w:w="6332"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1栋，1F，彩钢结构，占地面积</w:t>
                  </w:r>
                  <w:r>
                    <w:rPr>
                      <w:rFonts w:hint="default" w:ascii="Times New Roman" w:hAnsi="Times New Roman" w:eastAsia="宋体" w:cs="Times New Roman"/>
                      <w:b w:val="0"/>
                      <w:bCs w:val="0"/>
                      <w:color w:val="auto"/>
                      <w:sz w:val="21"/>
                      <w:szCs w:val="21"/>
                      <w:u w:val="single"/>
                      <w:lang w:val="en-US" w:eastAsia="zh-CN"/>
                    </w:rPr>
                    <w:t>650</w:t>
                  </w:r>
                  <w:r>
                    <w:rPr>
                      <w:rFonts w:hint="default" w:ascii="Times New Roman" w:hAnsi="Times New Roman" w:eastAsia="宋体" w:cs="Times New Roman"/>
                      <w:b w:val="0"/>
                      <w:bCs w:val="0"/>
                      <w:color w:val="auto"/>
                      <w:sz w:val="21"/>
                      <w:szCs w:val="21"/>
                      <w:u w:val="single"/>
                    </w:rPr>
                    <w:t>m</w:t>
                  </w:r>
                  <w:r>
                    <w:rPr>
                      <w:rFonts w:hint="default" w:ascii="Times New Roman" w:hAnsi="Times New Roman" w:eastAsia="宋体" w:cs="Times New Roman"/>
                      <w:b w:val="0"/>
                      <w:bCs w:val="0"/>
                      <w:color w:val="auto"/>
                      <w:sz w:val="21"/>
                      <w:szCs w:val="21"/>
                      <w:u w:val="single"/>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33" w:type="dxa"/>
                  <w:vMerge w:val="continue"/>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p>
              </w:tc>
              <w:tc>
                <w:tcPr>
                  <w:tcW w:w="1775" w:type="dxa"/>
                  <w:gridSpan w:val="2"/>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办公楼</w:t>
                  </w:r>
                </w:p>
              </w:tc>
              <w:tc>
                <w:tcPr>
                  <w:tcW w:w="6332"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1栋，彩钢结构，占地面积</w:t>
                  </w:r>
                  <w:r>
                    <w:rPr>
                      <w:rFonts w:hint="default" w:ascii="Times New Roman" w:hAnsi="Times New Roman" w:eastAsia="宋体" w:cs="Times New Roman"/>
                      <w:b w:val="0"/>
                      <w:bCs w:val="0"/>
                      <w:color w:val="auto"/>
                      <w:sz w:val="21"/>
                      <w:szCs w:val="21"/>
                      <w:u w:val="single"/>
                      <w:lang w:val="en-US" w:eastAsia="zh-CN"/>
                    </w:rPr>
                    <w:t>600</w:t>
                  </w:r>
                  <w:r>
                    <w:rPr>
                      <w:rFonts w:hint="default" w:ascii="Times New Roman" w:hAnsi="Times New Roman" w:eastAsia="宋体" w:cs="Times New Roman"/>
                      <w:b w:val="0"/>
                      <w:bCs w:val="0"/>
                      <w:color w:val="auto"/>
                      <w:sz w:val="21"/>
                      <w:szCs w:val="21"/>
                      <w:u w:val="single"/>
                    </w:rPr>
                    <w:t>m</w:t>
                  </w:r>
                  <w:r>
                    <w:rPr>
                      <w:rFonts w:hint="default" w:ascii="Times New Roman" w:hAnsi="Times New Roman" w:eastAsia="宋体" w:cs="Times New Roman"/>
                      <w:b w:val="0"/>
                      <w:bCs w:val="0"/>
                      <w:color w:val="auto"/>
                      <w:sz w:val="21"/>
                      <w:szCs w:val="21"/>
                      <w:u w:val="single"/>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33" w:type="dxa"/>
                  <w:vMerge w:val="restart"/>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公用</w:t>
                  </w:r>
                </w:p>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工程</w:t>
                  </w:r>
                </w:p>
              </w:tc>
              <w:tc>
                <w:tcPr>
                  <w:tcW w:w="1775" w:type="dxa"/>
                  <w:gridSpan w:val="2"/>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供电</w:t>
                  </w:r>
                </w:p>
              </w:tc>
              <w:tc>
                <w:tcPr>
                  <w:tcW w:w="6332"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线路由高速专线电网接入，厂内设配电柜4个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33" w:type="dxa"/>
                  <w:vMerge w:val="continue"/>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p>
              </w:tc>
              <w:tc>
                <w:tcPr>
                  <w:tcW w:w="1775" w:type="dxa"/>
                  <w:gridSpan w:val="2"/>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供水</w:t>
                  </w:r>
                </w:p>
              </w:tc>
              <w:tc>
                <w:tcPr>
                  <w:tcW w:w="6332"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lang w:eastAsia="zh-CN"/>
                    </w:rPr>
                  </w:pPr>
                  <w:r>
                    <w:rPr>
                      <w:rFonts w:hint="default" w:ascii="Times New Roman" w:hAnsi="Times New Roman" w:eastAsia="宋体" w:cs="Times New Roman"/>
                      <w:b w:val="0"/>
                      <w:bCs w:val="0"/>
                      <w:color w:val="auto"/>
                      <w:sz w:val="21"/>
                      <w:szCs w:val="21"/>
                      <w:u w:val="single"/>
                    </w:rPr>
                    <w:t>项目</w:t>
                  </w:r>
                  <w:r>
                    <w:rPr>
                      <w:rFonts w:hint="default" w:ascii="Times New Roman" w:hAnsi="Times New Roman" w:eastAsia="宋体" w:cs="Times New Roman"/>
                      <w:b w:val="0"/>
                      <w:bCs w:val="0"/>
                      <w:color w:val="auto"/>
                      <w:sz w:val="21"/>
                      <w:szCs w:val="21"/>
                      <w:u w:val="single"/>
                      <w:lang w:eastAsia="zh-CN"/>
                    </w:rPr>
                    <w:t>由市政管网集中供水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33" w:type="dxa"/>
                  <w:vMerge w:val="continue"/>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p>
              </w:tc>
              <w:tc>
                <w:tcPr>
                  <w:tcW w:w="1775" w:type="dxa"/>
                  <w:gridSpan w:val="2"/>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排水</w:t>
                  </w:r>
                </w:p>
              </w:tc>
              <w:tc>
                <w:tcPr>
                  <w:tcW w:w="6332"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生活污水经过化粪池处理后</w:t>
                  </w:r>
                  <w:r>
                    <w:rPr>
                      <w:rFonts w:hint="default" w:ascii="Times New Roman" w:hAnsi="Times New Roman" w:eastAsia="宋体" w:cs="Times New Roman"/>
                      <w:b w:val="0"/>
                      <w:bCs w:val="0"/>
                      <w:color w:val="auto"/>
                      <w:sz w:val="21"/>
                      <w:szCs w:val="21"/>
                      <w:u w:val="single"/>
                      <w:lang w:eastAsia="zh-CN"/>
                    </w:rPr>
                    <w:t>排入</w:t>
                  </w:r>
                  <w:r>
                    <w:rPr>
                      <w:rFonts w:hint="eastAsia" w:ascii="Times New Roman" w:hAnsi="Times New Roman" w:eastAsia="宋体" w:cs="Times New Roman"/>
                      <w:b w:val="0"/>
                      <w:bCs w:val="0"/>
                      <w:color w:val="auto"/>
                      <w:sz w:val="21"/>
                      <w:szCs w:val="21"/>
                      <w:u w:val="single"/>
                      <w:lang w:eastAsia="zh-CN"/>
                    </w:rPr>
                    <w:t>霞湾污水处理厂</w:t>
                  </w:r>
                  <w:r>
                    <w:rPr>
                      <w:rFonts w:hint="default" w:ascii="Times New Roman" w:hAnsi="Times New Roman" w:eastAsia="宋体" w:cs="Times New Roman"/>
                      <w:b w:val="0"/>
                      <w:bCs w:val="0"/>
                      <w:color w:val="auto"/>
                      <w:sz w:val="21"/>
                      <w:szCs w:val="21"/>
                      <w:u w:val="single"/>
                    </w:rPr>
                    <w:t>；清洗废水经三级沉淀池处理后循环使用，预制件养护废水自然蒸发，实验废水被产品固定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33" w:type="dxa"/>
                  <w:vMerge w:val="continue"/>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p>
              </w:tc>
              <w:tc>
                <w:tcPr>
                  <w:tcW w:w="1775" w:type="dxa"/>
                  <w:gridSpan w:val="2"/>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通风</w:t>
                  </w:r>
                </w:p>
              </w:tc>
              <w:tc>
                <w:tcPr>
                  <w:tcW w:w="6332"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料仓采用自然通风，办公生活区采用自然+空调通风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33" w:type="dxa"/>
                  <w:vMerge w:val="restart"/>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储运</w:t>
                  </w:r>
                </w:p>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工程</w:t>
                  </w:r>
                </w:p>
              </w:tc>
              <w:tc>
                <w:tcPr>
                  <w:tcW w:w="632"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储存</w:t>
                  </w:r>
                </w:p>
              </w:tc>
              <w:tc>
                <w:tcPr>
                  <w:tcW w:w="1143"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料仓</w:t>
                  </w:r>
                </w:p>
              </w:tc>
              <w:tc>
                <w:tcPr>
                  <w:tcW w:w="6332"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lang w:eastAsia="zh-CN"/>
                    </w:rPr>
                  </w:pPr>
                  <w:r>
                    <w:rPr>
                      <w:rFonts w:hint="default" w:ascii="Times New Roman" w:hAnsi="Times New Roman" w:eastAsia="宋体" w:cs="Times New Roman"/>
                      <w:b w:val="0"/>
                      <w:bCs w:val="0"/>
                      <w:color w:val="auto"/>
                      <w:sz w:val="21"/>
                      <w:szCs w:val="21"/>
                      <w:u w:val="single"/>
                      <w:lang w:eastAsia="zh-CN"/>
                    </w:rPr>
                    <w:t>各料仓位于各个生产区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33" w:type="dxa"/>
                  <w:vMerge w:val="continue"/>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p>
              </w:tc>
              <w:tc>
                <w:tcPr>
                  <w:tcW w:w="1775" w:type="dxa"/>
                  <w:gridSpan w:val="2"/>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运输</w:t>
                  </w:r>
                </w:p>
              </w:tc>
              <w:tc>
                <w:tcPr>
                  <w:tcW w:w="6332"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水泥及产品的运输由建设单位自备专用运输车完成。其他物料由社会车辆完成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33" w:type="dxa"/>
                  <w:vMerge w:val="restart"/>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环保</w:t>
                  </w:r>
                </w:p>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工程</w:t>
                  </w:r>
                </w:p>
              </w:tc>
              <w:tc>
                <w:tcPr>
                  <w:tcW w:w="632" w:type="dxa"/>
                  <w:vMerge w:val="restart"/>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环境空气</w:t>
                  </w:r>
                </w:p>
              </w:tc>
              <w:tc>
                <w:tcPr>
                  <w:tcW w:w="1143" w:type="dxa"/>
                  <w:vMerge w:val="restart"/>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粉尘收集装置</w:t>
                  </w:r>
                </w:p>
              </w:tc>
              <w:tc>
                <w:tcPr>
                  <w:tcW w:w="6332"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有组织排放：水泥储罐罐顶自带布袋除尘器，收尘后经灌顶安全阀排放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33" w:type="dxa"/>
                  <w:vMerge w:val="continue"/>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p>
              </w:tc>
              <w:tc>
                <w:tcPr>
                  <w:tcW w:w="632" w:type="dxa"/>
                  <w:vMerge w:val="continue"/>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p>
              </w:tc>
              <w:tc>
                <w:tcPr>
                  <w:tcW w:w="1143" w:type="dxa"/>
                  <w:vMerge w:val="continue"/>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p>
              </w:tc>
              <w:tc>
                <w:tcPr>
                  <w:tcW w:w="6332"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无组织排放：砂石料堆放于密闭料仓，商砼、预制件拌合站搅拌机设于主楼内，配料仓配套洒水设施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33" w:type="dxa"/>
                  <w:vMerge w:val="continue"/>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p>
              </w:tc>
              <w:tc>
                <w:tcPr>
                  <w:tcW w:w="632" w:type="dxa"/>
                  <w:vMerge w:val="restart"/>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水环境</w:t>
                  </w:r>
                </w:p>
              </w:tc>
              <w:tc>
                <w:tcPr>
                  <w:tcW w:w="1143"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化粪池</w:t>
                  </w:r>
                </w:p>
              </w:tc>
              <w:tc>
                <w:tcPr>
                  <w:tcW w:w="6332"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项目建设一处化粪池，容积约40m</w:t>
                  </w:r>
                  <w:r>
                    <w:rPr>
                      <w:rFonts w:hint="default" w:ascii="Times New Roman" w:hAnsi="Times New Roman" w:eastAsia="宋体" w:cs="Times New Roman"/>
                      <w:b w:val="0"/>
                      <w:bCs w:val="0"/>
                      <w:color w:val="auto"/>
                      <w:sz w:val="21"/>
                      <w:szCs w:val="21"/>
                      <w:u w:val="single"/>
                      <w:vertAlign w:val="superscript"/>
                    </w:rPr>
                    <w:t>3</w:t>
                  </w:r>
                  <w:r>
                    <w:rPr>
                      <w:rFonts w:hint="default" w:ascii="Times New Roman" w:hAnsi="Times New Roman" w:eastAsia="宋体" w:cs="Times New Roman"/>
                      <w:b w:val="0"/>
                      <w:bCs w:val="0"/>
                      <w:color w:val="auto"/>
                      <w:sz w:val="21"/>
                      <w:szCs w:val="21"/>
                      <w:u w:val="single"/>
                    </w:rPr>
                    <w:t>，位于项目部分南侧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33" w:type="dxa"/>
                  <w:vMerge w:val="continue"/>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p>
              </w:tc>
              <w:tc>
                <w:tcPr>
                  <w:tcW w:w="632" w:type="dxa"/>
                  <w:vMerge w:val="continue"/>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p>
              </w:tc>
              <w:tc>
                <w:tcPr>
                  <w:tcW w:w="1143"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三级沉淀池</w:t>
                  </w:r>
                </w:p>
              </w:tc>
              <w:tc>
                <w:tcPr>
                  <w:tcW w:w="6332"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项目于拌合站北设置一处</w:t>
                  </w:r>
                  <w:r>
                    <w:rPr>
                      <w:rFonts w:hint="default" w:ascii="Times New Roman" w:hAnsi="Times New Roman" w:eastAsia="宋体" w:cs="Times New Roman"/>
                      <w:b w:val="0"/>
                      <w:bCs w:val="0"/>
                      <w:color w:val="auto"/>
                      <w:sz w:val="21"/>
                      <w:szCs w:val="21"/>
                      <w:u w:val="single"/>
                      <w:lang w:val="en-US" w:eastAsia="zh-CN"/>
                    </w:rPr>
                    <w:t>112.5</w:t>
                  </w:r>
                  <w:r>
                    <w:rPr>
                      <w:rFonts w:hint="default" w:ascii="Times New Roman" w:hAnsi="Times New Roman" w:eastAsia="宋体" w:cs="Times New Roman"/>
                      <w:b w:val="0"/>
                      <w:bCs w:val="0"/>
                      <w:color w:val="auto"/>
                      <w:sz w:val="21"/>
                      <w:szCs w:val="21"/>
                      <w:u w:val="single"/>
                    </w:rPr>
                    <w:t>m</w:t>
                  </w:r>
                  <w:r>
                    <w:rPr>
                      <w:rFonts w:hint="default" w:ascii="Times New Roman" w:hAnsi="Times New Roman" w:eastAsia="宋体" w:cs="Times New Roman"/>
                      <w:b w:val="0"/>
                      <w:bCs w:val="0"/>
                      <w:color w:val="auto"/>
                      <w:sz w:val="21"/>
                      <w:szCs w:val="21"/>
                      <w:u w:val="single"/>
                      <w:vertAlign w:val="superscript"/>
                    </w:rPr>
                    <w:t>3</w:t>
                  </w:r>
                  <w:r>
                    <w:rPr>
                      <w:rFonts w:hint="default" w:ascii="Times New Roman" w:hAnsi="Times New Roman" w:eastAsia="宋体" w:cs="Times New Roman"/>
                      <w:b w:val="0"/>
                      <w:bCs w:val="0"/>
                      <w:color w:val="auto"/>
                      <w:sz w:val="21"/>
                      <w:szCs w:val="21"/>
                      <w:u w:val="single"/>
                    </w:rPr>
                    <w:t>三级沉淀池。</w:t>
                  </w:r>
                </w:p>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搅拌站主机下设收集池，并通过明渠汇入三级沉淀池，沉淀后循环使用</w:t>
                  </w:r>
                  <w:r>
                    <w:rPr>
                      <w:rFonts w:hint="default" w:ascii="Times New Roman" w:hAnsi="Times New Roman" w:eastAsia="宋体" w:cs="Times New Roman"/>
                      <w:b w:val="0"/>
                      <w:bCs w:val="0"/>
                      <w:color w:val="auto"/>
                      <w:sz w:val="21"/>
                      <w:szCs w:val="21"/>
                      <w:u w:val="single"/>
                      <w:lang w:eastAsia="zh-CN"/>
                    </w:rPr>
                    <w:t>，</w:t>
                  </w:r>
                  <w:r>
                    <w:rPr>
                      <w:rFonts w:hint="default" w:ascii="Times New Roman" w:hAnsi="Times New Roman" w:eastAsia="宋体" w:cs="Times New Roman"/>
                      <w:b w:val="0"/>
                      <w:bCs w:val="0"/>
                      <w:color w:val="auto"/>
                      <w:sz w:val="21"/>
                      <w:szCs w:val="21"/>
                      <w:u w:val="single"/>
                    </w:rPr>
                    <w:t>拌合站出入场区设置清洗平台，通过明渠连接三级沉淀池，沉淀后循环使用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33" w:type="dxa"/>
                  <w:vMerge w:val="continue"/>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p>
              </w:tc>
              <w:tc>
                <w:tcPr>
                  <w:tcW w:w="632"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声环境</w:t>
                  </w:r>
                </w:p>
              </w:tc>
              <w:tc>
                <w:tcPr>
                  <w:tcW w:w="1143"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噪声污染防治装置</w:t>
                  </w:r>
                </w:p>
              </w:tc>
              <w:tc>
                <w:tcPr>
                  <w:tcW w:w="6332"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搅拌机：主楼隔声、减震垫；物料运输车辆：限速禁鸣辅以引导；输送机：减震垫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33" w:type="dxa"/>
                  <w:vMerge w:val="continue"/>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p>
              </w:tc>
              <w:tc>
                <w:tcPr>
                  <w:tcW w:w="632"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固体废物</w:t>
                  </w:r>
                </w:p>
              </w:tc>
              <w:tc>
                <w:tcPr>
                  <w:tcW w:w="1143"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垃圾回收装置</w:t>
                  </w:r>
                </w:p>
              </w:tc>
              <w:tc>
                <w:tcPr>
                  <w:tcW w:w="6332" w:type="dxa"/>
                  <w:tcBorders>
                    <w:tl2br w:val="nil"/>
                    <w:tr2bl w:val="nil"/>
                  </w:tcBorders>
                  <w:noWrap w:val="0"/>
                  <w:vAlign w:val="center"/>
                </w:tcPr>
                <w:p>
                  <w:pPr>
                    <w:pStyle w:val="176"/>
                    <w:bidi w:val="0"/>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在</w:t>
                  </w:r>
                  <w:r>
                    <w:rPr>
                      <w:rFonts w:hint="default" w:ascii="Times New Roman" w:hAnsi="Times New Roman" w:eastAsia="宋体" w:cs="Times New Roman"/>
                      <w:b w:val="0"/>
                      <w:bCs w:val="0"/>
                      <w:color w:val="auto"/>
                      <w:sz w:val="21"/>
                      <w:szCs w:val="21"/>
                      <w:u w:val="single"/>
                      <w:lang w:eastAsia="zh-CN"/>
                    </w:rPr>
                    <w:t>各加工</w:t>
                  </w:r>
                  <w:r>
                    <w:rPr>
                      <w:rFonts w:hint="default" w:ascii="Times New Roman" w:hAnsi="Times New Roman" w:eastAsia="宋体" w:cs="Times New Roman"/>
                      <w:b w:val="0"/>
                      <w:bCs w:val="0"/>
                      <w:color w:val="auto"/>
                      <w:sz w:val="21"/>
                      <w:szCs w:val="21"/>
                      <w:u w:val="single"/>
                    </w:rPr>
                    <w:t>区、办公室前设置垃圾桶，共</w:t>
                  </w:r>
                  <w:r>
                    <w:rPr>
                      <w:rFonts w:hint="eastAsia" w:ascii="Times New Roman" w:hAnsi="Times New Roman" w:eastAsia="宋体" w:cs="Times New Roman"/>
                      <w:b w:val="0"/>
                      <w:bCs w:val="0"/>
                      <w:color w:val="auto"/>
                      <w:sz w:val="21"/>
                      <w:szCs w:val="21"/>
                      <w:u w:val="single"/>
                      <w:lang w:val="en-US" w:eastAsia="zh-CN"/>
                    </w:rPr>
                    <w:t>25</w:t>
                  </w:r>
                  <w:r>
                    <w:rPr>
                      <w:rFonts w:hint="default" w:ascii="Times New Roman" w:hAnsi="Times New Roman" w:eastAsia="宋体" w:cs="Times New Roman"/>
                      <w:b w:val="0"/>
                      <w:bCs w:val="0"/>
                      <w:color w:val="auto"/>
                      <w:sz w:val="21"/>
                      <w:szCs w:val="21"/>
                      <w:u w:val="single"/>
                    </w:rPr>
                    <w:t>个</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contextualSpacing/>
              <w:textAlignment w:val="auto"/>
              <w:rPr>
                <w:rFonts w:hint="eastAsia"/>
                <w:b/>
                <w:bCs/>
                <w:color w:val="FF0000"/>
                <w:sz w:val="24"/>
              </w:rPr>
            </w:pPr>
            <w:r>
              <w:rPr>
                <w:rFonts w:hint="eastAsia"/>
                <w:b/>
                <w:bCs/>
                <w:color w:val="FF0000"/>
                <w:sz w:val="24"/>
              </w:rPr>
              <w:t>结合《预拌混凝土绿色生产及管理技术规程》（JGJ/T328-2014）要求：</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contextualSpacing/>
              <w:textAlignment w:val="auto"/>
              <w:rPr>
                <w:rFonts w:hint="eastAsia"/>
                <w:bCs/>
                <w:color w:val="FF0000"/>
                <w:sz w:val="24"/>
              </w:rPr>
            </w:pPr>
            <w:r>
              <w:rPr>
                <w:rFonts w:hint="eastAsia"/>
                <w:bCs/>
                <w:color w:val="FF0000"/>
                <w:sz w:val="24"/>
              </w:rPr>
              <w:t>厂区内的生产区、办公区宜分开设置。</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contextualSpacing/>
              <w:textAlignment w:val="auto"/>
              <w:rPr>
                <w:rFonts w:hint="eastAsia"/>
                <w:bCs/>
                <w:color w:val="FF0000"/>
                <w:sz w:val="24"/>
              </w:rPr>
            </w:pPr>
            <w:r>
              <w:rPr>
                <w:rFonts w:hint="eastAsia"/>
                <w:bCs/>
                <w:color w:val="FF0000"/>
                <w:sz w:val="24"/>
              </w:rPr>
              <w:t>厂区道路应硬化。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rPr>
                <w:rFonts w:hint="eastAsia"/>
                <w:bCs/>
                <w:color w:val="FF0000"/>
                <w:sz w:val="24"/>
              </w:rPr>
            </w:pPr>
            <w:r>
              <w:rPr>
                <w:rFonts w:hint="eastAsia"/>
                <w:bCs/>
                <w:color w:val="FF0000"/>
                <w:sz w:val="24"/>
              </w:rPr>
              <w:t>（3）搅拌站（楼）宜采取整体封闭方式。</w:t>
            </w:r>
          </w:p>
          <w:p>
            <w:pPr>
              <w:ind w:firstLine="480" w:firstLineChars="200"/>
              <w:rPr>
                <w:rFonts w:hint="eastAsia"/>
                <w:b/>
                <w:bCs/>
                <w:color w:val="FF0000"/>
                <w:sz w:val="24"/>
                <w:lang w:eastAsia="zh-CN"/>
              </w:rPr>
            </w:pPr>
            <w:r>
              <w:rPr>
                <w:rFonts w:hint="eastAsia"/>
                <w:bCs/>
                <w:color w:val="FF0000"/>
                <w:sz w:val="24"/>
              </w:rPr>
              <w:t>（4）搅拌站（楼）应安装除尘装置，并应保持正常使用。</w:t>
            </w:r>
          </w:p>
          <w:p>
            <w:pPr>
              <w:ind w:firstLine="482" w:firstLineChars="200"/>
              <w:rPr>
                <w:b/>
                <w:bCs/>
                <w:color w:val="auto"/>
                <w:sz w:val="24"/>
                <w:u w:val="single"/>
              </w:rPr>
            </w:pPr>
            <w:r>
              <w:rPr>
                <w:rFonts w:hint="eastAsia"/>
                <w:b/>
                <w:bCs/>
                <w:color w:val="auto"/>
                <w:sz w:val="24"/>
                <w:u w:val="single"/>
                <w:lang w:eastAsia="zh-CN"/>
              </w:rPr>
              <w:t>三</w:t>
            </w:r>
            <w:r>
              <w:rPr>
                <w:rFonts w:hint="eastAsia"/>
                <w:b/>
                <w:bCs/>
                <w:color w:val="auto"/>
                <w:sz w:val="24"/>
                <w:u w:val="single"/>
              </w:rPr>
              <w:t>、主要工程内容</w:t>
            </w:r>
          </w:p>
          <w:p>
            <w:pPr>
              <w:ind w:firstLine="480" w:firstLineChars="200"/>
              <w:rPr>
                <w:rFonts w:hint="eastAsia"/>
                <w:color w:val="auto"/>
                <w:sz w:val="24"/>
                <w:u w:val="single"/>
                <w:lang w:val="en-US" w:eastAsia="zh-CN"/>
              </w:rPr>
            </w:pPr>
            <w:r>
              <w:rPr>
                <w:rFonts w:hint="eastAsia"/>
                <w:color w:val="auto"/>
                <w:sz w:val="24"/>
                <w:u w:val="single"/>
                <w:lang w:eastAsia="zh-CN"/>
              </w:rPr>
              <w:t>项目产品方案见表</w:t>
            </w:r>
            <w:r>
              <w:rPr>
                <w:rFonts w:hint="eastAsia"/>
                <w:color w:val="auto"/>
                <w:sz w:val="24"/>
                <w:u w:val="single"/>
                <w:lang w:val="en-US" w:eastAsia="zh-CN"/>
              </w:rPr>
              <w:t>1-2。</w:t>
            </w:r>
          </w:p>
          <w:p>
            <w:pPr>
              <w:pStyle w:val="2"/>
              <w:jc w:val="center"/>
              <w:rPr>
                <w:rFonts w:hint="default"/>
                <w:color w:val="auto"/>
                <w:u w:val="single"/>
                <w:lang w:val="en-US" w:eastAsia="zh-CN"/>
              </w:rPr>
            </w:pPr>
            <w:r>
              <w:rPr>
                <w:rFonts w:hint="eastAsia"/>
                <w:color w:val="auto"/>
                <w:sz w:val="24"/>
                <w:u w:val="single"/>
                <w:lang w:val="en-US" w:eastAsia="zh-CN"/>
              </w:rPr>
              <w:t>表1-2 项目产品方案</w:t>
            </w:r>
          </w:p>
          <w:tbl>
            <w:tblPr>
              <w:tblStyle w:val="44"/>
              <w:tblW w:w="89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1"/>
              <w:gridCol w:w="4037"/>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621" w:type="dxa"/>
                  <w:vAlign w:val="center"/>
                </w:tcPr>
                <w:p>
                  <w:pPr>
                    <w:jc w:val="center"/>
                    <w:rPr>
                      <w:bCs/>
                      <w:color w:val="auto"/>
                      <w:sz w:val="21"/>
                      <w:szCs w:val="21"/>
                      <w:u w:val="single"/>
                    </w:rPr>
                  </w:pPr>
                  <w:r>
                    <w:rPr>
                      <w:bCs/>
                      <w:color w:val="auto"/>
                      <w:sz w:val="21"/>
                      <w:szCs w:val="21"/>
                      <w:u w:val="single"/>
                    </w:rPr>
                    <w:t>序号</w:t>
                  </w:r>
                </w:p>
              </w:tc>
              <w:tc>
                <w:tcPr>
                  <w:tcW w:w="4037" w:type="dxa"/>
                  <w:vAlign w:val="center"/>
                </w:tcPr>
                <w:p>
                  <w:pPr>
                    <w:jc w:val="center"/>
                    <w:rPr>
                      <w:bCs/>
                      <w:color w:val="auto"/>
                      <w:sz w:val="21"/>
                      <w:szCs w:val="21"/>
                      <w:u w:val="single"/>
                    </w:rPr>
                  </w:pPr>
                  <w:r>
                    <w:rPr>
                      <w:bCs/>
                      <w:color w:val="auto"/>
                      <w:sz w:val="21"/>
                      <w:szCs w:val="21"/>
                      <w:u w:val="single"/>
                    </w:rPr>
                    <w:t>产品名称</w:t>
                  </w:r>
                </w:p>
              </w:tc>
              <w:tc>
                <w:tcPr>
                  <w:tcW w:w="2302" w:type="dxa"/>
                  <w:vAlign w:val="center"/>
                </w:tcPr>
                <w:p>
                  <w:pPr>
                    <w:jc w:val="center"/>
                    <w:rPr>
                      <w:color w:val="auto"/>
                      <w:sz w:val="21"/>
                      <w:szCs w:val="21"/>
                      <w:u w:val="single"/>
                    </w:rPr>
                  </w:pPr>
                  <w:r>
                    <w:rPr>
                      <w:color w:val="auto"/>
                      <w:sz w:val="21"/>
                      <w:szCs w:val="21"/>
                      <w:u w:val="single"/>
                    </w:rPr>
                    <w:t>年产量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621" w:type="dxa"/>
                  <w:vAlign w:val="center"/>
                </w:tcPr>
                <w:p>
                  <w:pPr>
                    <w:jc w:val="center"/>
                    <w:rPr>
                      <w:rFonts w:hint="eastAsia" w:eastAsia="宋体"/>
                      <w:bCs/>
                      <w:color w:val="auto"/>
                      <w:sz w:val="21"/>
                      <w:szCs w:val="21"/>
                      <w:u w:val="single"/>
                      <w:lang w:val="en-US" w:eastAsia="zh-CN"/>
                    </w:rPr>
                  </w:pPr>
                  <w:r>
                    <w:rPr>
                      <w:rFonts w:hint="eastAsia"/>
                      <w:bCs/>
                      <w:color w:val="auto"/>
                      <w:sz w:val="21"/>
                      <w:szCs w:val="21"/>
                      <w:u w:val="single"/>
                    </w:rPr>
                    <w:t>1</w:t>
                  </w:r>
                </w:p>
              </w:tc>
              <w:tc>
                <w:tcPr>
                  <w:tcW w:w="4037" w:type="dxa"/>
                  <w:vAlign w:val="center"/>
                </w:tcPr>
                <w:p>
                  <w:pPr>
                    <w:jc w:val="center"/>
                    <w:rPr>
                      <w:rFonts w:hint="default" w:eastAsia="宋体"/>
                      <w:bCs/>
                      <w:color w:val="auto"/>
                      <w:sz w:val="21"/>
                      <w:szCs w:val="21"/>
                      <w:u w:val="single"/>
                      <w:lang w:val="en-US" w:eastAsia="zh-CN"/>
                    </w:rPr>
                  </w:pPr>
                  <w:r>
                    <w:rPr>
                      <w:rFonts w:hint="eastAsia"/>
                      <w:bCs/>
                      <w:color w:val="auto"/>
                      <w:sz w:val="21"/>
                      <w:szCs w:val="21"/>
                      <w:u w:val="single"/>
                    </w:rPr>
                    <w:t>混凝土</w:t>
                  </w:r>
                </w:p>
              </w:tc>
              <w:tc>
                <w:tcPr>
                  <w:tcW w:w="2302" w:type="dxa"/>
                  <w:vAlign w:val="center"/>
                </w:tcPr>
                <w:p>
                  <w:pPr>
                    <w:jc w:val="center"/>
                    <w:rPr>
                      <w:color w:val="auto"/>
                      <w:sz w:val="21"/>
                      <w:szCs w:val="21"/>
                      <w:u w:val="single"/>
                    </w:rPr>
                  </w:pPr>
                  <w:r>
                    <w:rPr>
                      <w:rFonts w:hint="eastAsia"/>
                      <w:color w:val="auto"/>
                      <w:sz w:val="21"/>
                      <w:szCs w:val="21"/>
                      <w:u w:val="single"/>
                      <w:lang w:val="en-US" w:eastAsia="zh-CN"/>
                    </w:rPr>
                    <w:t>23</w:t>
                  </w:r>
                  <w:r>
                    <w:rPr>
                      <w:rFonts w:hint="eastAsia"/>
                      <w:color w:val="auto"/>
                      <w:sz w:val="21"/>
                      <w:szCs w:val="21"/>
                      <w:u w:val="single"/>
                    </w:rPr>
                    <w:t>万</w:t>
                  </w:r>
                  <w:r>
                    <w:rPr>
                      <w:color w:val="auto"/>
                      <w:sz w:val="21"/>
                      <w:szCs w:val="21"/>
                      <w:u w:val="singl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621" w:type="dxa"/>
                  <w:vAlign w:val="center"/>
                </w:tcPr>
                <w:p>
                  <w:pPr>
                    <w:jc w:val="center"/>
                    <w:rPr>
                      <w:rFonts w:hint="eastAsia" w:eastAsia="宋体"/>
                      <w:bCs/>
                      <w:color w:val="auto"/>
                      <w:sz w:val="21"/>
                      <w:szCs w:val="21"/>
                      <w:u w:val="single"/>
                      <w:lang w:val="en-US" w:eastAsia="zh-CN"/>
                    </w:rPr>
                  </w:pPr>
                  <w:r>
                    <w:rPr>
                      <w:rFonts w:hint="eastAsia"/>
                      <w:bCs/>
                      <w:color w:val="auto"/>
                      <w:sz w:val="21"/>
                      <w:szCs w:val="21"/>
                      <w:u w:val="single"/>
                    </w:rPr>
                    <w:t>2</w:t>
                  </w:r>
                </w:p>
              </w:tc>
              <w:tc>
                <w:tcPr>
                  <w:tcW w:w="4037" w:type="dxa"/>
                  <w:vAlign w:val="center"/>
                </w:tcPr>
                <w:p>
                  <w:pPr>
                    <w:jc w:val="center"/>
                    <w:rPr>
                      <w:rFonts w:hint="eastAsia" w:eastAsia="宋体"/>
                      <w:bCs/>
                      <w:color w:val="auto"/>
                      <w:sz w:val="21"/>
                      <w:szCs w:val="21"/>
                      <w:u w:val="single"/>
                      <w:lang w:eastAsia="zh-CN"/>
                    </w:rPr>
                  </w:pPr>
                  <w:r>
                    <w:rPr>
                      <w:rFonts w:hint="eastAsia"/>
                      <w:color w:val="auto"/>
                      <w:kern w:val="0"/>
                      <w:sz w:val="21"/>
                      <w:szCs w:val="21"/>
                      <w:u w:val="single"/>
                    </w:rPr>
                    <w:t>水泥稳定碎石</w:t>
                  </w:r>
                </w:p>
              </w:tc>
              <w:tc>
                <w:tcPr>
                  <w:tcW w:w="2302" w:type="dxa"/>
                  <w:vAlign w:val="center"/>
                </w:tcPr>
                <w:p>
                  <w:pPr>
                    <w:jc w:val="center"/>
                    <w:rPr>
                      <w:color w:val="auto"/>
                      <w:sz w:val="21"/>
                      <w:szCs w:val="21"/>
                      <w:u w:val="single"/>
                    </w:rPr>
                  </w:pPr>
                  <w:r>
                    <w:rPr>
                      <w:rFonts w:hint="eastAsia"/>
                      <w:color w:val="auto"/>
                      <w:sz w:val="21"/>
                      <w:szCs w:val="21"/>
                      <w:u w:val="single"/>
                      <w:lang w:val="en-US" w:eastAsia="zh-CN"/>
                    </w:rPr>
                    <w:t>6</w:t>
                  </w:r>
                  <w:r>
                    <w:rPr>
                      <w:rFonts w:hint="eastAsia"/>
                      <w:color w:val="auto"/>
                      <w:sz w:val="21"/>
                      <w:szCs w:val="21"/>
                      <w:u w:val="single"/>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621" w:type="dxa"/>
                  <w:vAlign w:val="center"/>
                </w:tcPr>
                <w:p>
                  <w:pPr>
                    <w:jc w:val="center"/>
                    <w:rPr>
                      <w:rFonts w:hint="eastAsia" w:eastAsia="宋体"/>
                      <w:bCs/>
                      <w:color w:val="auto"/>
                      <w:sz w:val="21"/>
                      <w:szCs w:val="21"/>
                      <w:u w:val="single"/>
                      <w:lang w:val="en-US" w:eastAsia="zh-CN"/>
                    </w:rPr>
                  </w:pPr>
                  <w:r>
                    <w:rPr>
                      <w:rFonts w:hint="eastAsia"/>
                      <w:bCs/>
                      <w:color w:val="auto"/>
                      <w:sz w:val="21"/>
                      <w:szCs w:val="21"/>
                      <w:u w:val="single"/>
                    </w:rPr>
                    <w:t>3</w:t>
                  </w:r>
                </w:p>
              </w:tc>
              <w:tc>
                <w:tcPr>
                  <w:tcW w:w="4037" w:type="dxa"/>
                  <w:vAlign w:val="center"/>
                </w:tcPr>
                <w:p>
                  <w:pPr>
                    <w:jc w:val="center"/>
                    <w:rPr>
                      <w:rFonts w:hint="eastAsia" w:eastAsia="宋体"/>
                      <w:bCs/>
                      <w:color w:val="auto"/>
                      <w:sz w:val="21"/>
                      <w:szCs w:val="21"/>
                      <w:u w:val="single"/>
                      <w:lang w:eastAsia="zh-CN"/>
                    </w:rPr>
                  </w:pPr>
                  <w:r>
                    <w:rPr>
                      <w:rFonts w:hint="eastAsia"/>
                      <w:color w:val="auto"/>
                      <w:kern w:val="0"/>
                      <w:sz w:val="21"/>
                      <w:szCs w:val="21"/>
                      <w:u w:val="single"/>
                    </w:rPr>
                    <w:t>钢筋构件</w:t>
                  </w:r>
                </w:p>
              </w:tc>
              <w:tc>
                <w:tcPr>
                  <w:tcW w:w="2302" w:type="dxa"/>
                  <w:vAlign w:val="center"/>
                </w:tcPr>
                <w:p>
                  <w:pPr>
                    <w:jc w:val="center"/>
                    <w:rPr>
                      <w:color w:val="auto"/>
                      <w:sz w:val="21"/>
                      <w:szCs w:val="21"/>
                      <w:u w:val="single"/>
                    </w:rPr>
                  </w:pPr>
                  <w:r>
                    <w:rPr>
                      <w:rFonts w:hint="eastAsia"/>
                      <w:color w:val="auto"/>
                      <w:sz w:val="21"/>
                      <w:szCs w:val="21"/>
                      <w:u w:val="single"/>
                      <w:lang w:val="en-US" w:eastAsia="zh-CN"/>
                    </w:rPr>
                    <w:t>1.3</w:t>
                  </w:r>
                  <w:r>
                    <w:rPr>
                      <w:rFonts w:hint="eastAsia"/>
                      <w:color w:val="auto"/>
                      <w:sz w:val="21"/>
                      <w:szCs w:val="21"/>
                      <w:u w:val="single"/>
                    </w:rPr>
                    <w:t>万</w:t>
                  </w:r>
                  <w:r>
                    <w:rPr>
                      <w:color w:val="auto"/>
                      <w:sz w:val="21"/>
                      <w:szCs w:val="21"/>
                      <w:u w:val="singl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621" w:type="dxa"/>
                  <w:vAlign w:val="center"/>
                </w:tcPr>
                <w:p>
                  <w:pPr>
                    <w:jc w:val="center"/>
                    <w:rPr>
                      <w:rFonts w:hint="default"/>
                      <w:bCs/>
                      <w:color w:val="auto"/>
                      <w:sz w:val="21"/>
                      <w:szCs w:val="21"/>
                      <w:u w:val="single"/>
                      <w:lang w:val="en-US" w:eastAsia="zh-CN"/>
                    </w:rPr>
                  </w:pPr>
                  <w:r>
                    <w:rPr>
                      <w:rFonts w:hint="eastAsia"/>
                      <w:bCs/>
                      <w:color w:val="auto"/>
                      <w:sz w:val="21"/>
                      <w:szCs w:val="21"/>
                      <w:u w:val="single"/>
                    </w:rPr>
                    <w:t>4</w:t>
                  </w:r>
                </w:p>
              </w:tc>
              <w:tc>
                <w:tcPr>
                  <w:tcW w:w="4037" w:type="dxa"/>
                  <w:vAlign w:val="center"/>
                </w:tcPr>
                <w:p>
                  <w:pPr>
                    <w:jc w:val="center"/>
                    <w:rPr>
                      <w:rFonts w:hint="eastAsia" w:eastAsia="宋体"/>
                      <w:color w:val="auto"/>
                      <w:kern w:val="0"/>
                      <w:sz w:val="21"/>
                      <w:szCs w:val="21"/>
                      <w:u w:val="single"/>
                      <w:lang w:eastAsia="zh-CN"/>
                    </w:rPr>
                  </w:pPr>
                  <w:r>
                    <w:rPr>
                      <w:rFonts w:hint="eastAsia"/>
                      <w:color w:val="auto"/>
                      <w:kern w:val="0"/>
                      <w:sz w:val="21"/>
                      <w:szCs w:val="21"/>
                      <w:u w:val="single"/>
                    </w:rPr>
                    <w:t>小型预制构件</w:t>
                  </w:r>
                </w:p>
              </w:tc>
              <w:tc>
                <w:tcPr>
                  <w:tcW w:w="2302" w:type="dxa"/>
                  <w:vAlign w:val="center"/>
                </w:tcPr>
                <w:p>
                  <w:pPr>
                    <w:jc w:val="center"/>
                    <w:rPr>
                      <w:rFonts w:hint="default" w:eastAsia="宋体"/>
                      <w:color w:val="auto"/>
                      <w:sz w:val="21"/>
                      <w:szCs w:val="21"/>
                      <w:u w:val="single"/>
                      <w:lang w:val="en-US" w:eastAsia="zh-CN"/>
                    </w:rPr>
                  </w:pPr>
                  <w:r>
                    <w:rPr>
                      <w:rFonts w:hint="eastAsia"/>
                      <w:color w:val="auto"/>
                      <w:sz w:val="21"/>
                      <w:szCs w:val="21"/>
                      <w:u w:val="single"/>
                    </w:rPr>
                    <w:t>5000件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621" w:type="dxa"/>
                  <w:vAlign w:val="center"/>
                </w:tcPr>
                <w:p>
                  <w:pPr>
                    <w:jc w:val="center"/>
                    <w:rPr>
                      <w:rFonts w:hint="default"/>
                      <w:bCs/>
                      <w:color w:val="auto"/>
                      <w:sz w:val="21"/>
                      <w:szCs w:val="21"/>
                      <w:u w:val="single"/>
                      <w:lang w:val="en-US" w:eastAsia="zh-CN"/>
                    </w:rPr>
                  </w:pPr>
                  <w:r>
                    <w:rPr>
                      <w:rFonts w:hint="eastAsia"/>
                      <w:bCs/>
                      <w:color w:val="auto"/>
                      <w:sz w:val="21"/>
                      <w:szCs w:val="21"/>
                      <w:u w:val="single"/>
                    </w:rPr>
                    <w:t>5</w:t>
                  </w:r>
                </w:p>
              </w:tc>
              <w:tc>
                <w:tcPr>
                  <w:tcW w:w="4037" w:type="dxa"/>
                  <w:vAlign w:val="center"/>
                </w:tcPr>
                <w:p>
                  <w:pPr>
                    <w:jc w:val="center"/>
                    <w:rPr>
                      <w:rFonts w:hint="eastAsia" w:eastAsia="宋体"/>
                      <w:color w:val="auto"/>
                      <w:kern w:val="0"/>
                      <w:sz w:val="21"/>
                      <w:szCs w:val="21"/>
                      <w:u w:val="single"/>
                      <w:lang w:eastAsia="zh-CN"/>
                    </w:rPr>
                  </w:pPr>
                  <w:r>
                    <w:rPr>
                      <w:rFonts w:hint="eastAsia"/>
                      <w:color w:val="auto"/>
                      <w:kern w:val="0"/>
                      <w:sz w:val="21"/>
                      <w:szCs w:val="21"/>
                      <w:u w:val="single"/>
                    </w:rPr>
                    <w:t>沥青混凝土</w:t>
                  </w:r>
                </w:p>
              </w:tc>
              <w:tc>
                <w:tcPr>
                  <w:tcW w:w="2302" w:type="dxa"/>
                  <w:vAlign w:val="center"/>
                </w:tcPr>
                <w:p>
                  <w:pPr>
                    <w:jc w:val="center"/>
                    <w:rPr>
                      <w:rFonts w:hint="eastAsia" w:eastAsia="宋体"/>
                      <w:color w:val="auto"/>
                      <w:sz w:val="21"/>
                      <w:szCs w:val="21"/>
                      <w:u w:val="single"/>
                      <w:lang w:val="en-US" w:eastAsia="zh-CN"/>
                    </w:rPr>
                  </w:pPr>
                  <w:r>
                    <w:rPr>
                      <w:rFonts w:hint="eastAsia"/>
                      <w:color w:val="auto"/>
                      <w:sz w:val="21"/>
                      <w:szCs w:val="21"/>
                      <w:u w:val="single"/>
                      <w:lang w:val="en-US" w:eastAsia="zh-CN"/>
                    </w:rPr>
                    <w:t>29</w:t>
                  </w:r>
                  <w:r>
                    <w:rPr>
                      <w:rFonts w:hint="eastAsia"/>
                      <w:color w:val="auto"/>
                      <w:sz w:val="21"/>
                      <w:szCs w:val="21"/>
                      <w:u w:val="single"/>
                    </w:rPr>
                    <w:t>万吨</w:t>
                  </w:r>
                </w:p>
              </w:tc>
            </w:tr>
          </w:tbl>
          <w:p>
            <w:pPr>
              <w:ind w:firstLine="480" w:firstLineChars="200"/>
              <w:rPr>
                <w:rFonts w:hint="eastAsia"/>
                <w:color w:val="auto"/>
                <w:sz w:val="24"/>
                <w:u w:val="single"/>
                <w:lang w:eastAsia="zh-CN"/>
              </w:rPr>
            </w:pPr>
            <w:r>
              <w:rPr>
                <w:rFonts w:hint="eastAsia"/>
                <w:color w:val="auto"/>
                <w:sz w:val="24"/>
                <w:u w:val="single"/>
                <w:lang w:eastAsia="zh-CN"/>
              </w:rPr>
              <w:t>项目主要生产设备。</w:t>
            </w:r>
          </w:p>
          <w:p>
            <w:pPr>
              <w:pStyle w:val="42"/>
              <w:jc w:val="center"/>
              <w:rPr>
                <w:rFonts w:hint="eastAsia"/>
                <w:color w:val="auto"/>
                <w:u w:val="single"/>
                <w:lang w:eastAsia="zh-CN"/>
              </w:rPr>
            </w:pPr>
            <w:r>
              <w:rPr>
                <w:rFonts w:ascii="Times New Roman" w:hAnsi="Times New Roman"/>
                <w:b/>
                <w:color w:val="auto"/>
                <w:sz w:val="24"/>
                <w:u w:val="single"/>
              </w:rPr>
              <w:t>表</w:t>
            </w:r>
            <w:r>
              <w:rPr>
                <w:rFonts w:hint="eastAsia"/>
                <w:b/>
                <w:color w:val="auto"/>
                <w:sz w:val="24"/>
                <w:u w:val="single"/>
                <w:lang w:val="en-US" w:eastAsia="zh-CN"/>
              </w:rPr>
              <w:t>1-3</w:t>
            </w:r>
            <w:r>
              <w:rPr>
                <w:rFonts w:ascii="Times New Roman" w:hAnsi="Times New Roman"/>
                <w:b/>
                <w:color w:val="auto"/>
                <w:sz w:val="24"/>
                <w:u w:val="single"/>
              </w:rPr>
              <w:t xml:space="preserve">   主要设备一览表</w:t>
            </w:r>
          </w:p>
          <w:tbl>
            <w:tblPr>
              <w:tblStyle w:val="43"/>
              <w:tblW w:w="8892" w:type="dxa"/>
              <w:jc w:val="center"/>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45"/>
              <w:gridCol w:w="3061"/>
              <w:gridCol w:w="1797"/>
              <w:gridCol w:w="1424"/>
              <w:gridCol w:w="216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8892" w:type="dxa"/>
                  <w:gridSpan w:val="5"/>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一、混凝土搅拌站</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1</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混凝土搅拌站</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2XHZS120T</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2</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2</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筒仓</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200</w:t>
                  </w:r>
                  <w:r>
                    <w:rPr>
                      <w:rFonts w:hint="eastAsia" w:ascii="Times New Roman" w:hAnsi="Times New Roman" w:eastAsia="宋体" w:cs="Times New Roman"/>
                      <w:b w:val="0"/>
                      <w:bCs w:val="0"/>
                      <w:color w:val="auto"/>
                      <w:sz w:val="21"/>
                      <w:szCs w:val="21"/>
                      <w:u w:val="single"/>
                    </w:rPr>
                    <w:t>t</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个</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8</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3</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平皮带机</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套</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2</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4</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斜皮带机</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套</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2</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5</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空压机</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2</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6</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外加剂桶</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10t</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个</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4</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6</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储气罐</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个</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2</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7</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罐车</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12m³</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辆</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4</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8</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46m泵车</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9</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装载机</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2</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10</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发电机组</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11</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高压相变</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1200kv</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8892" w:type="dxa"/>
                  <w:gridSpan w:val="5"/>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二、水稳站</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水稳拌合机</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WCB-700</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2</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水泥罐</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120T</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个</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2</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3</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骨料仓</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个</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5</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4</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骨料集料输送带</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套</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5</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成品料提升带</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套</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6</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成品集料斗</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个</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p>
              </w:tc>
              <w:tc>
                <w:tcPr>
                  <w:tcW w:w="8447" w:type="dxa"/>
                  <w:gridSpan w:val="4"/>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三、预制厂</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65" w:hRule="atLeast"/>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龙门吊</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100t</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2</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2</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液压免烧切块路面彩砖成型机</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4</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3</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电焊机</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BX1-630-2</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个</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1</w:t>
                  </w:r>
                  <w:r>
                    <w:rPr>
                      <w:rFonts w:hint="eastAsia" w:ascii="Times New Roman" w:hAnsi="Times New Roman" w:eastAsia="宋体" w:cs="Times New Roman"/>
                      <w:b w:val="0"/>
                      <w:bCs w:val="0"/>
                      <w:color w:val="auto"/>
                      <w:sz w:val="21"/>
                      <w:szCs w:val="21"/>
                      <w:u w:val="single"/>
                    </w:rPr>
                    <w:t>4</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4</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汽车泵</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SY5388THB 48</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5</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振捣棒</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ZX-70</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根</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12</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6</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离心机器</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12</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7</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振动台机器</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12</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8892" w:type="dxa"/>
                  <w:gridSpan w:val="5"/>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四、钢筋加工厂</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智能钢筋滚丝镦粗机</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K2J5500C-40UX</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2</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智能钢筋节前弯曲机</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KQW328</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3</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智能钢筋弯箍机</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KZ12B</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4</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智能钢筋笼滚焊机</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KZ2500</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5</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电焊机</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NB-200S</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2</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6</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木行架吊</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4</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7</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切割机</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HD-9255-2</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2</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8892" w:type="dxa"/>
                  <w:gridSpan w:val="5"/>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五、沥青拌合站</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沥青拌合楼</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LB4000</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2</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锅炉</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3</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冷料仓</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个</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5</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4</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喂料皮带</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套</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5</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5</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集料皮带</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套</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6</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上料皮带</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套</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7</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干烘滚筒</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个</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8</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重力除尘器</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个</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9</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布袋除尘器</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个</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10</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粉料罐</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个</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2</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11</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热骨料提升机</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12</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振动筛</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个</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8892" w:type="dxa"/>
                  <w:gridSpan w:val="5"/>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六、破碎洗制砂生产线</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鄂破</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750x1060</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2</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圆锥机</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1380</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3</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振动筛</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4YA2470</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2</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4</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制砂机</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9526</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5</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脱水筛</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1638</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6</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细砂回收机</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350</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7</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压滤机</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3M</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套</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8892" w:type="dxa"/>
                  <w:gridSpan w:val="5"/>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七、实验室</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万能材料试验机</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0-1000KW</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2</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电液式压力试验机</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0-2000KW</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3</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多功能液压脱模机</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0-200KW</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4</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恒加载水泥抗折抗压试验机</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0-300KW</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5</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振动台</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1mx1m</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6</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标准养护恒温恒湿控制仪</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套</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2</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4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7</w:t>
                  </w:r>
                </w:p>
              </w:tc>
              <w:tc>
                <w:tcPr>
                  <w:tcW w:w="3061"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多功能混凝土钻孔取芯机</w:t>
                  </w:r>
                </w:p>
              </w:tc>
              <w:tc>
                <w:tcPr>
                  <w:tcW w:w="1797"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w:t>
                  </w:r>
                </w:p>
              </w:tc>
              <w:tc>
                <w:tcPr>
                  <w:tcW w:w="1424" w:type="dxa"/>
                  <w:shd w:val="clear" w:color="auto" w:fill="auto"/>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台</w:t>
                  </w:r>
                </w:p>
              </w:tc>
              <w:tc>
                <w:tcPr>
                  <w:tcW w:w="2165" w:type="dxa"/>
                  <w:shd w:val="clear" w:color="000000" w:fill="FFFFFF"/>
                  <w:vAlign w:val="center"/>
                </w:tcPr>
                <w:p>
                  <w:pPr>
                    <w:pStyle w:val="176"/>
                    <w:shd w:val="clear" w:color="auto" w:fill="FFFFFF"/>
                    <w:bidi w:val="0"/>
                    <w:jc w:val="center"/>
                    <w:rPr>
                      <w:rFonts w:hint="default" w:ascii="Times New Roman" w:hAnsi="Times New Roman" w:eastAsia="宋体" w:cs="Times New Roman"/>
                      <w:b w:val="0"/>
                      <w:bCs w:val="0"/>
                      <w:color w:val="auto"/>
                      <w:sz w:val="21"/>
                      <w:szCs w:val="21"/>
                      <w:u w:val="single"/>
                    </w:rPr>
                  </w:pPr>
                  <w:r>
                    <w:rPr>
                      <w:rFonts w:hint="eastAsia" w:ascii="Times New Roman" w:hAnsi="Times New Roman" w:eastAsia="宋体" w:cs="Times New Roman"/>
                      <w:b w:val="0"/>
                      <w:bCs w:val="0"/>
                      <w:color w:val="auto"/>
                      <w:sz w:val="21"/>
                      <w:szCs w:val="21"/>
                      <w:u w:val="single"/>
                    </w:rPr>
                    <w:t>1</w:t>
                  </w:r>
                </w:p>
              </w:tc>
            </w:tr>
          </w:tbl>
          <w:p>
            <w:pPr>
              <w:ind w:firstLine="480" w:firstLineChars="200"/>
              <w:rPr>
                <w:rFonts w:hint="eastAsia"/>
                <w:color w:val="auto"/>
                <w:sz w:val="24"/>
                <w:u w:val="single"/>
                <w:lang w:eastAsia="zh-CN"/>
              </w:rPr>
            </w:pPr>
            <w:r>
              <w:rPr>
                <w:rFonts w:hint="eastAsia"/>
                <w:color w:val="auto"/>
                <w:sz w:val="24"/>
                <w:u w:val="single"/>
                <w:lang w:eastAsia="zh-CN"/>
              </w:rPr>
              <w:t>项目主要原辅材料。</w:t>
            </w:r>
          </w:p>
          <w:p>
            <w:pPr>
              <w:ind w:firstLine="482" w:firstLineChars="200"/>
              <w:jc w:val="center"/>
              <w:rPr>
                <w:rFonts w:ascii="Times New Roman" w:hAnsi="Times New Roman"/>
                <w:b/>
                <w:bCs/>
                <w:color w:val="auto"/>
                <w:sz w:val="24"/>
                <w:u w:val="single"/>
              </w:rPr>
            </w:pPr>
            <w:r>
              <w:rPr>
                <w:rFonts w:ascii="Times New Roman" w:hAnsi="Times New Roman"/>
                <w:b/>
                <w:bCs/>
                <w:color w:val="auto"/>
                <w:sz w:val="24"/>
                <w:u w:val="single"/>
              </w:rPr>
              <w:t>表</w:t>
            </w:r>
            <w:r>
              <w:rPr>
                <w:rFonts w:hint="eastAsia"/>
                <w:b/>
                <w:bCs/>
                <w:color w:val="auto"/>
                <w:sz w:val="24"/>
                <w:u w:val="single"/>
                <w:lang w:val="en-US" w:eastAsia="zh-CN"/>
              </w:rPr>
              <w:t>1-4</w:t>
            </w:r>
            <w:r>
              <w:rPr>
                <w:rFonts w:ascii="Times New Roman" w:hAnsi="Times New Roman"/>
                <w:b/>
                <w:bCs/>
                <w:color w:val="auto"/>
                <w:sz w:val="24"/>
                <w:u w:val="single"/>
              </w:rPr>
              <w:t xml:space="preserve">   主要原辅材料及能源消耗</w:t>
            </w:r>
          </w:p>
          <w:tbl>
            <w:tblPr>
              <w:tblStyle w:val="43"/>
              <w:tblW w:w="8810" w:type="dxa"/>
              <w:jc w:val="center"/>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748"/>
              <w:gridCol w:w="1487"/>
              <w:gridCol w:w="1309"/>
              <w:gridCol w:w="1135"/>
              <w:gridCol w:w="1133"/>
              <w:gridCol w:w="299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blHeader/>
                <w:jc w:val="center"/>
              </w:trPr>
              <w:tc>
                <w:tcPr>
                  <w:tcW w:w="8810" w:type="dxa"/>
                  <w:gridSpan w:val="6"/>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一、原辅材料</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74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1</w:t>
                  </w:r>
                </w:p>
              </w:tc>
              <w:tc>
                <w:tcPr>
                  <w:tcW w:w="1487"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水泥</w:t>
                  </w:r>
                </w:p>
              </w:tc>
              <w:tc>
                <w:tcPr>
                  <w:tcW w:w="1309"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5</w:t>
                  </w:r>
                </w:p>
              </w:tc>
              <w:tc>
                <w:tcPr>
                  <w:tcW w:w="1135"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万吨</w:t>
                  </w:r>
                </w:p>
              </w:tc>
              <w:tc>
                <w:tcPr>
                  <w:tcW w:w="1133"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外购</w:t>
                  </w:r>
                </w:p>
              </w:tc>
              <w:tc>
                <w:tcPr>
                  <w:tcW w:w="299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42.5散装（混凝土搅拌站）</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74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2</w:t>
                  </w:r>
                </w:p>
              </w:tc>
              <w:tc>
                <w:tcPr>
                  <w:tcW w:w="1487"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碎石</w:t>
                  </w:r>
                </w:p>
              </w:tc>
              <w:tc>
                <w:tcPr>
                  <w:tcW w:w="1309"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13</w:t>
                  </w:r>
                </w:p>
              </w:tc>
              <w:tc>
                <w:tcPr>
                  <w:tcW w:w="1135"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万吨</w:t>
                  </w:r>
                </w:p>
              </w:tc>
              <w:tc>
                <w:tcPr>
                  <w:tcW w:w="1133"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外购</w:t>
                  </w:r>
                </w:p>
              </w:tc>
              <w:tc>
                <w:tcPr>
                  <w:tcW w:w="299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1.3,1.2,0.5石粉（混凝土搅拌站）</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74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3</w:t>
                  </w:r>
                </w:p>
              </w:tc>
              <w:tc>
                <w:tcPr>
                  <w:tcW w:w="1487"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减水剂</w:t>
                  </w:r>
                </w:p>
              </w:tc>
              <w:tc>
                <w:tcPr>
                  <w:tcW w:w="1309"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200</w:t>
                  </w:r>
                </w:p>
              </w:tc>
              <w:tc>
                <w:tcPr>
                  <w:tcW w:w="1135"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吨</w:t>
                  </w:r>
                </w:p>
              </w:tc>
              <w:tc>
                <w:tcPr>
                  <w:tcW w:w="1133"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外购</w:t>
                  </w:r>
                </w:p>
              </w:tc>
              <w:tc>
                <w:tcPr>
                  <w:tcW w:w="299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（混凝土搅拌站）</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74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4</w:t>
                  </w:r>
                </w:p>
              </w:tc>
              <w:tc>
                <w:tcPr>
                  <w:tcW w:w="1487"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柴油</w:t>
                  </w:r>
                </w:p>
              </w:tc>
              <w:tc>
                <w:tcPr>
                  <w:tcW w:w="1309"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50000</w:t>
                  </w:r>
                </w:p>
              </w:tc>
              <w:tc>
                <w:tcPr>
                  <w:tcW w:w="1135"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升</w:t>
                  </w:r>
                </w:p>
              </w:tc>
              <w:tc>
                <w:tcPr>
                  <w:tcW w:w="1133"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外购</w:t>
                  </w:r>
                </w:p>
              </w:tc>
              <w:tc>
                <w:tcPr>
                  <w:tcW w:w="299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（混凝土搅拌站）</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74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5</w:t>
                  </w:r>
                </w:p>
              </w:tc>
              <w:tc>
                <w:tcPr>
                  <w:tcW w:w="1487"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砂</w:t>
                  </w:r>
                </w:p>
              </w:tc>
              <w:tc>
                <w:tcPr>
                  <w:tcW w:w="1309"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5</w:t>
                  </w:r>
                </w:p>
              </w:tc>
              <w:tc>
                <w:tcPr>
                  <w:tcW w:w="1135"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万吨</w:t>
                  </w:r>
                </w:p>
              </w:tc>
              <w:tc>
                <w:tcPr>
                  <w:tcW w:w="1133"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外购</w:t>
                  </w:r>
                </w:p>
              </w:tc>
              <w:tc>
                <w:tcPr>
                  <w:tcW w:w="299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（混凝土搅拌站）</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74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6</w:t>
                  </w:r>
                </w:p>
              </w:tc>
              <w:tc>
                <w:tcPr>
                  <w:tcW w:w="1487"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碎石</w:t>
                  </w:r>
                </w:p>
              </w:tc>
              <w:tc>
                <w:tcPr>
                  <w:tcW w:w="1309"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6</w:t>
                  </w:r>
                </w:p>
              </w:tc>
              <w:tc>
                <w:tcPr>
                  <w:tcW w:w="1135"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万吨</w:t>
                  </w:r>
                </w:p>
              </w:tc>
              <w:tc>
                <w:tcPr>
                  <w:tcW w:w="1133"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外购</w:t>
                  </w:r>
                </w:p>
              </w:tc>
              <w:tc>
                <w:tcPr>
                  <w:tcW w:w="299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水稳站</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74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7</w:t>
                  </w:r>
                </w:p>
              </w:tc>
              <w:tc>
                <w:tcPr>
                  <w:tcW w:w="1487"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水泥</w:t>
                  </w:r>
                </w:p>
              </w:tc>
              <w:tc>
                <w:tcPr>
                  <w:tcW w:w="1309"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2300</w:t>
                  </w:r>
                </w:p>
              </w:tc>
              <w:tc>
                <w:tcPr>
                  <w:tcW w:w="1135"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吨</w:t>
                  </w:r>
                </w:p>
              </w:tc>
              <w:tc>
                <w:tcPr>
                  <w:tcW w:w="1133"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外购</w:t>
                  </w:r>
                </w:p>
              </w:tc>
              <w:tc>
                <w:tcPr>
                  <w:tcW w:w="299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水稳站</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35" w:hRule="atLeast"/>
                <w:jc w:val="center"/>
              </w:trPr>
              <w:tc>
                <w:tcPr>
                  <w:tcW w:w="74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8</w:t>
                  </w:r>
                </w:p>
              </w:tc>
              <w:tc>
                <w:tcPr>
                  <w:tcW w:w="1487"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钢筋</w:t>
                  </w:r>
                </w:p>
              </w:tc>
              <w:tc>
                <w:tcPr>
                  <w:tcW w:w="1309"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13000</w:t>
                  </w:r>
                </w:p>
              </w:tc>
              <w:tc>
                <w:tcPr>
                  <w:tcW w:w="1135"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吨</w:t>
                  </w:r>
                </w:p>
              </w:tc>
              <w:tc>
                <w:tcPr>
                  <w:tcW w:w="1133"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外购</w:t>
                  </w:r>
                </w:p>
              </w:tc>
              <w:tc>
                <w:tcPr>
                  <w:tcW w:w="299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钢筋加工厂</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35" w:hRule="atLeast"/>
                <w:jc w:val="center"/>
              </w:trPr>
              <w:tc>
                <w:tcPr>
                  <w:tcW w:w="74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9</w:t>
                  </w:r>
                </w:p>
              </w:tc>
              <w:tc>
                <w:tcPr>
                  <w:tcW w:w="1487"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沥青</w:t>
                  </w:r>
                </w:p>
              </w:tc>
              <w:tc>
                <w:tcPr>
                  <w:tcW w:w="1309"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1</w:t>
                  </w:r>
                </w:p>
              </w:tc>
              <w:tc>
                <w:tcPr>
                  <w:tcW w:w="1135" w:type="dxa"/>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万吨</w:t>
                  </w:r>
                </w:p>
              </w:tc>
              <w:tc>
                <w:tcPr>
                  <w:tcW w:w="1133"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外购</w:t>
                  </w:r>
                </w:p>
              </w:tc>
              <w:tc>
                <w:tcPr>
                  <w:tcW w:w="299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沥青拌合站</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35" w:hRule="atLeast"/>
                <w:jc w:val="center"/>
              </w:trPr>
              <w:tc>
                <w:tcPr>
                  <w:tcW w:w="74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10</w:t>
                  </w:r>
                </w:p>
              </w:tc>
              <w:tc>
                <w:tcPr>
                  <w:tcW w:w="1487"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碎石</w:t>
                  </w:r>
                </w:p>
              </w:tc>
              <w:tc>
                <w:tcPr>
                  <w:tcW w:w="1309"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24</w:t>
                  </w:r>
                </w:p>
              </w:tc>
              <w:tc>
                <w:tcPr>
                  <w:tcW w:w="1135" w:type="dxa"/>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万吨</w:t>
                  </w:r>
                </w:p>
              </w:tc>
              <w:tc>
                <w:tcPr>
                  <w:tcW w:w="1133"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外购</w:t>
                  </w:r>
                </w:p>
              </w:tc>
              <w:tc>
                <w:tcPr>
                  <w:tcW w:w="299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沥青拌合站</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74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11</w:t>
                  </w:r>
                </w:p>
              </w:tc>
              <w:tc>
                <w:tcPr>
                  <w:tcW w:w="1487"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矿粉</w:t>
                  </w:r>
                </w:p>
              </w:tc>
              <w:tc>
                <w:tcPr>
                  <w:tcW w:w="1309"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1.1</w:t>
                  </w:r>
                </w:p>
              </w:tc>
              <w:tc>
                <w:tcPr>
                  <w:tcW w:w="1135"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万吨</w:t>
                  </w:r>
                </w:p>
              </w:tc>
              <w:tc>
                <w:tcPr>
                  <w:tcW w:w="1133"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外购</w:t>
                  </w:r>
                </w:p>
              </w:tc>
              <w:tc>
                <w:tcPr>
                  <w:tcW w:w="299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沥青拌合站</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74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12</w:t>
                  </w:r>
                </w:p>
              </w:tc>
              <w:tc>
                <w:tcPr>
                  <w:tcW w:w="1487"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砂</w:t>
                  </w:r>
                </w:p>
              </w:tc>
              <w:tc>
                <w:tcPr>
                  <w:tcW w:w="1309"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3</w:t>
                  </w:r>
                </w:p>
              </w:tc>
              <w:tc>
                <w:tcPr>
                  <w:tcW w:w="1135"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万吨</w:t>
                  </w:r>
                </w:p>
              </w:tc>
              <w:tc>
                <w:tcPr>
                  <w:tcW w:w="1133"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外购</w:t>
                  </w:r>
                </w:p>
              </w:tc>
              <w:tc>
                <w:tcPr>
                  <w:tcW w:w="299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沥青拌合站</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74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13</w:t>
                  </w:r>
                </w:p>
              </w:tc>
              <w:tc>
                <w:tcPr>
                  <w:tcW w:w="1487"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废砼块</w:t>
                  </w:r>
                </w:p>
              </w:tc>
              <w:tc>
                <w:tcPr>
                  <w:tcW w:w="1309"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4</w:t>
                  </w:r>
                </w:p>
              </w:tc>
              <w:tc>
                <w:tcPr>
                  <w:tcW w:w="1135"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万吨</w:t>
                  </w:r>
                </w:p>
              </w:tc>
              <w:tc>
                <w:tcPr>
                  <w:tcW w:w="1133"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外购</w:t>
                  </w:r>
                </w:p>
              </w:tc>
              <w:tc>
                <w:tcPr>
                  <w:tcW w:w="299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破碎洗制砂生产线</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74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14</w:t>
                  </w:r>
                </w:p>
              </w:tc>
              <w:tc>
                <w:tcPr>
                  <w:tcW w:w="1487"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废道砟</w:t>
                  </w:r>
                </w:p>
              </w:tc>
              <w:tc>
                <w:tcPr>
                  <w:tcW w:w="1309"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1</w:t>
                  </w:r>
                </w:p>
              </w:tc>
              <w:tc>
                <w:tcPr>
                  <w:tcW w:w="1135"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万吨</w:t>
                  </w:r>
                </w:p>
              </w:tc>
              <w:tc>
                <w:tcPr>
                  <w:tcW w:w="1133"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外购</w:t>
                  </w:r>
                </w:p>
              </w:tc>
              <w:tc>
                <w:tcPr>
                  <w:tcW w:w="299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破碎洗制砂生产线</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74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15</w:t>
                  </w:r>
                </w:p>
              </w:tc>
              <w:tc>
                <w:tcPr>
                  <w:tcW w:w="1487"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片石</w:t>
                  </w:r>
                </w:p>
              </w:tc>
              <w:tc>
                <w:tcPr>
                  <w:tcW w:w="1309"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3</w:t>
                  </w:r>
                </w:p>
              </w:tc>
              <w:tc>
                <w:tcPr>
                  <w:tcW w:w="1135"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万吨</w:t>
                  </w:r>
                </w:p>
              </w:tc>
              <w:tc>
                <w:tcPr>
                  <w:tcW w:w="1133"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外购</w:t>
                  </w:r>
                </w:p>
              </w:tc>
              <w:tc>
                <w:tcPr>
                  <w:tcW w:w="299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ascii="Times New Roman" w:hAnsi="Times New Roman" w:cs="Times New Roman"/>
                      <w:bCs/>
                      <w:color w:val="auto"/>
                      <w:sz w:val="21"/>
                      <w:szCs w:val="21"/>
                      <w:u w:val="single"/>
                      <w:lang w:eastAsia="zh-CN"/>
                    </w:rPr>
                    <w:t>破碎洗制砂生产线</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8810" w:type="dxa"/>
                  <w:gridSpan w:val="6"/>
                  <w:vAlign w:val="center"/>
                </w:tcPr>
                <w:p>
                  <w:pPr>
                    <w:widowControl/>
                    <w:jc w:val="center"/>
                    <w:rPr>
                      <w:rFonts w:hint="default" w:ascii="Times New Roman" w:hAnsi="Times New Roman" w:cs="Times New Roman"/>
                      <w:bCs/>
                      <w:color w:val="auto"/>
                      <w:sz w:val="21"/>
                      <w:szCs w:val="21"/>
                      <w:u w:val="single"/>
                      <w:lang w:val="en-US" w:eastAsia="zh-CN"/>
                    </w:rPr>
                  </w:pPr>
                  <w:r>
                    <w:rPr>
                      <w:rFonts w:hint="eastAsia" w:cs="Times New Roman"/>
                      <w:bCs/>
                      <w:color w:val="auto"/>
                      <w:sz w:val="21"/>
                      <w:szCs w:val="21"/>
                      <w:u w:val="single"/>
                      <w:lang w:val="en-US" w:eastAsia="zh-CN"/>
                    </w:rPr>
                    <w:t>能源消耗</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748" w:type="dxa"/>
                  <w:vAlign w:val="center"/>
                </w:tcPr>
                <w:p>
                  <w:pPr>
                    <w:widowControl/>
                    <w:jc w:val="center"/>
                    <w:rPr>
                      <w:rFonts w:hint="eastAsia" w:ascii="Times New Roman" w:hAnsi="Times New Roman" w:cs="Times New Roman"/>
                      <w:bCs/>
                      <w:color w:val="auto"/>
                      <w:sz w:val="21"/>
                      <w:szCs w:val="21"/>
                      <w:u w:val="single"/>
                      <w:lang w:eastAsia="zh-CN"/>
                    </w:rPr>
                  </w:pPr>
                  <w:r>
                    <w:rPr>
                      <w:bCs/>
                      <w:color w:val="auto"/>
                      <w:sz w:val="21"/>
                      <w:szCs w:val="21"/>
                      <w:u w:val="single"/>
                    </w:rPr>
                    <w:t>1</w:t>
                  </w:r>
                </w:p>
              </w:tc>
              <w:tc>
                <w:tcPr>
                  <w:tcW w:w="1487" w:type="dxa"/>
                  <w:vAlign w:val="center"/>
                </w:tcPr>
                <w:p>
                  <w:pPr>
                    <w:widowControl/>
                    <w:jc w:val="center"/>
                    <w:rPr>
                      <w:rFonts w:hint="eastAsia" w:ascii="Times New Roman" w:hAnsi="Times New Roman" w:cs="Times New Roman"/>
                      <w:bCs/>
                      <w:color w:val="auto"/>
                      <w:sz w:val="21"/>
                      <w:szCs w:val="21"/>
                      <w:u w:val="single"/>
                      <w:lang w:eastAsia="zh-CN"/>
                    </w:rPr>
                  </w:pPr>
                  <w:r>
                    <w:rPr>
                      <w:bCs/>
                      <w:color w:val="auto"/>
                      <w:sz w:val="21"/>
                      <w:szCs w:val="21"/>
                      <w:u w:val="single"/>
                    </w:rPr>
                    <w:t>电</w:t>
                  </w:r>
                </w:p>
              </w:tc>
              <w:tc>
                <w:tcPr>
                  <w:tcW w:w="1309" w:type="dxa"/>
                  <w:vAlign w:val="center"/>
                </w:tcPr>
                <w:p>
                  <w:pPr>
                    <w:widowControl/>
                    <w:jc w:val="center"/>
                    <w:rPr>
                      <w:rFonts w:hint="eastAsia" w:ascii="Times New Roman" w:hAnsi="Times New Roman" w:cs="Times New Roman"/>
                      <w:bCs/>
                      <w:color w:val="auto"/>
                      <w:sz w:val="21"/>
                      <w:szCs w:val="21"/>
                      <w:u w:val="single"/>
                      <w:lang w:eastAsia="zh-CN"/>
                    </w:rPr>
                  </w:pPr>
                  <w:r>
                    <w:rPr>
                      <w:bCs/>
                      <w:color w:val="auto"/>
                      <w:sz w:val="21"/>
                      <w:szCs w:val="21"/>
                      <w:u w:val="single"/>
                    </w:rPr>
                    <w:t>29</w:t>
                  </w:r>
                </w:p>
              </w:tc>
              <w:tc>
                <w:tcPr>
                  <w:tcW w:w="1135" w:type="dxa"/>
                  <w:vAlign w:val="center"/>
                </w:tcPr>
                <w:p>
                  <w:pPr>
                    <w:widowControl/>
                    <w:jc w:val="center"/>
                    <w:rPr>
                      <w:rFonts w:hint="eastAsia" w:ascii="Times New Roman" w:hAnsi="Times New Roman" w:cs="Times New Roman"/>
                      <w:bCs/>
                      <w:color w:val="auto"/>
                      <w:sz w:val="21"/>
                      <w:szCs w:val="21"/>
                      <w:u w:val="single"/>
                      <w:lang w:eastAsia="zh-CN"/>
                    </w:rPr>
                  </w:pPr>
                  <w:r>
                    <w:rPr>
                      <w:bCs/>
                      <w:color w:val="auto"/>
                      <w:sz w:val="21"/>
                      <w:szCs w:val="21"/>
                      <w:u w:val="single"/>
                    </w:rPr>
                    <w:t>万Kwh</w:t>
                  </w:r>
                </w:p>
              </w:tc>
              <w:tc>
                <w:tcPr>
                  <w:tcW w:w="1133" w:type="dxa"/>
                  <w:vAlign w:val="center"/>
                </w:tcPr>
                <w:p>
                  <w:pPr>
                    <w:widowControl/>
                    <w:jc w:val="center"/>
                    <w:rPr>
                      <w:rFonts w:hint="eastAsia" w:ascii="Times New Roman" w:hAnsi="Times New Roman" w:cs="Times New Roman"/>
                      <w:bCs/>
                      <w:color w:val="auto"/>
                      <w:sz w:val="21"/>
                      <w:szCs w:val="21"/>
                      <w:u w:val="single"/>
                      <w:lang w:eastAsia="zh-CN"/>
                    </w:rPr>
                  </w:pPr>
                  <w:r>
                    <w:rPr>
                      <w:bCs/>
                      <w:color w:val="auto"/>
                      <w:sz w:val="21"/>
                      <w:szCs w:val="21"/>
                      <w:u w:val="single"/>
                    </w:rPr>
                    <w:t>园区电网</w:t>
                  </w:r>
                </w:p>
              </w:tc>
              <w:tc>
                <w:tcPr>
                  <w:tcW w:w="299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bCs/>
                      <w:color w:val="auto"/>
                      <w:sz w:val="21"/>
                      <w:szCs w:val="21"/>
                      <w:u w:val="single"/>
                    </w:rPr>
                    <w:t>年用电量约29万kWh</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748" w:type="dxa"/>
                  <w:vAlign w:val="center"/>
                </w:tcPr>
                <w:p>
                  <w:pPr>
                    <w:widowControl/>
                    <w:jc w:val="center"/>
                    <w:rPr>
                      <w:rFonts w:hint="eastAsia" w:ascii="Times New Roman" w:hAnsi="Times New Roman" w:cs="Times New Roman"/>
                      <w:bCs/>
                      <w:color w:val="auto"/>
                      <w:sz w:val="21"/>
                      <w:szCs w:val="21"/>
                      <w:u w:val="single"/>
                      <w:lang w:eastAsia="zh-CN"/>
                    </w:rPr>
                  </w:pPr>
                  <w:r>
                    <w:rPr>
                      <w:bCs/>
                      <w:color w:val="auto"/>
                      <w:sz w:val="21"/>
                      <w:szCs w:val="21"/>
                      <w:u w:val="single"/>
                    </w:rPr>
                    <w:t>2</w:t>
                  </w:r>
                </w:p>
              </w:tc>
              <w:tc>
                <w:tcPr>
                  <w:tcW w:w="1487" w:type="dxa"/>
                  <w:vAlign w:val="center"/>
                </w:tcPr>
                <w:p>
                  <w:pPr>
                    <w:widowControl/>
                    <w:jc w:val="center"/>
                    <w:rPr>
                      <w:rFonts w:hint="eastAsia" w:ascii="Times New Roman" w:hAnsi="Times New Roman" w:cs="Times New Roman"/>
                      <w:bCs/>
                      <w:color w:val="auto"/>
                      <w:sz w:val="21"/>
                      <w:szCs w:val="21"/>
                      <w:u w:val="single"/>
                      <w:lang w:eastAsia="zh-CN"/>
                    </w:rPr>
                  </w:pPr>
                  <w:r>
                    <w:rPr>
                      <w:bCs/>
                      <w:color w:val="auto"/>
                      <w:sz w:val="21"/>
                      <w:szCs w:val="21"/>
                      <w:u w:val="single"/>
                    </w:rPr>
                    <w:t>新鲜水</w:t>
                  </w:r>
                </w:p>
              </w:tc>
              <w:tc>
                <w:tcPr>
                  <w:tcW w:w="1309"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bCs/>
                      <w:color w:val="auto"/>
                      <w:sz w:val="21"/>
                      <w:szCs w:val="21"/>
                      <w:u w:val="single"/>
                      <w:lang w:val="en-US" w:eastAsia="zh-CN"/>
                    </w:rPr>
                    <w:t>50443</w:t>
                  </w:r>
                </w:p>
              </w:tc>
              <w:tc>
                <w:tcPr>
                  <w:tcW w:w="1135"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bCs/>
                      <w:color w:val="auto"/>
                      <w:sz w:val="21"/>
                      <w:szCs w:val="21"/>
                      <w:u w:val="single"/>
                    </w:rPr>
                    <w:t>立方米</w:t>
                  </w:r>
                </w:p>
              </w:tc>
              <w:tc>
                <w:tcPr>
                  <w:tcW w:w="1133" w:type="dxa"/>
                  <w:vAlign w:val="center"/>
                </w:tcPr>
                <w:p>
                  <w:pPr>
                    <w:widowControl/>
                    <w:jc w:val="center"/>
                    <w:rPr>
                      <w:rFonts w:hint="eastAsia" w:ascii="Times New Roman" w:hAnsi="Times New Roman" w:cs="Times New Roman"/>
                      <w:bCs/>
                      <w:color w:val="auto"/>
                      <w:sz w:val="21"/>
                      <w:szCs w:val="21"/>
                      <w:u w:val="single"/>
                      <w:lang w:eastAsia="zh-CN"/>
                    </w:rPr>
                  </w:pPr>
                  <w:r>
                    <w:rPr>
                      <w:bCs/>
                      <w:color w:val="auto"/>
                      <w:sz w:val="21"/>
                      <w:szCs w:val="21"/>
                      <w:u w:val="single"/>
                    </w:rPr>
                    <w:t>园区供水</w:t>
                  </w:r>
                </w:p>
              </w:tc>
              <w:tc>
                <w:tcPr>
                  <w:tcW w:w="2998" w:type="dxa"/>
                  <w:vAlign w:val="center"/>
                </w:tcPr>
                <w:p>
                  <w:pPr>
                    <w:widowControl/>
                    <w:jc w:val="center"/>
                    <w:rPr>
                      <w:rFonts w:hint="eastAsia" w:ascii="Times New Roman" w:hAnsi="Times New Roman" w:cs="Times New Roman"/>
                      <w:bCs/>
                      <w:color w:val="auto"/>
                      <w:sz w:val="21"/>
                      <w:szCs w:val="21"/>
                      <w:u w:val="single"/>
                      <w:lang w:eastAsia="zh-CN"/>
                    </w:rPr>
                  </w:pPr>
                  <w:r>
                    <w:rPr>
                      <w:rFonts w:hint="eastAsia"/>
                      <w:bCs/>
                      <w:color w:val="auto"/>
                      <w:sz w:val="21"/>
                      <w:szCs w:val="21"/>
                      <w:u w:val="single"/>
                    </w:rPr>
                    <w:t>来自</w:t>
                  </w:r>
                  <w:r>
                    <w:rPr>
                      <w:bCs/>
                      <w:color w:val="auto"/>
                      <w:sz w:val="21"/>
                      <w:szCs w:val="21"/>
                      <w:u w:val="single"/>
                    </w:rPr>
                    <w:t>城市自来水公司</w:t>
                  </w:r>
                  <w:r>
                    <w:rPr>
                      <w:rFonts w:hint="eastAsia"/>
                      <w:bCs/>
                      <w:color w:val="auto"/>
                      <w:sz w:val="21"/>
                      <w:szCs w:val="21"/>
                      <w:u w:val="single"/>
                    </w:rPr>
                    <w:t>水厂</w:t>
                  </w:r>
                </w:p>
              </w:tc>
            </w:tr>
          </w:tbl>
          <w:p>
            <w:pPr>
              <w:tabs>
                <w:tab w:val="left" w:pos="2090"/>
              </w:tabs>
              <w:autoSpaceDE w:val="0"/>
              <w:autoSpaceDN w:val="0"/>
              <w:ind w:firstLine="482" w:firstLineChars="200"/>
              <w:rPr>
                <w:b/>
                <w:color w:val="auto"/>
                <w:sz w:val="24"/>
              </w:rPr>
            </w:pPr>
            <w:r>
              <w:rPr>
                <w:rFonts w:hint="eastAsia"/>
                <w:b/>
                <w:color w:val="auto"/>
                <w:sz w:val="24"/>
                <w:lang w:eastAsia="zh-CN"/>
              </w:rPr>
              <w:t>四</w:t>
            </w:r>
            <w:r>
              <w:rPr>
                <w:rFonts w:hint="eastAsia"/>
                <w:b/>
                <w:color w:val="auto"/>
                <w:sz w:val="24"/>
              </w:rPr>
              <w:t>、</w:t>
            </w:r>
            <w:r>
              <w:rPr>
                <w:b/>
                <w:color w:val="auto"/>
                <w:sz w:val="24"/>
              </w:rPr>
              <w:t>工程占地</w:t>
            </w:r>
          </w:p>
          <w:p>
            <w:pPr>
              <w:ind w:firstLine="480" w:firstLineChars="200"/>
              <w:rPr>
                <w:color w:val="auto"/>
                <w:sz w:val="24"/>
              </w:rPr>
            </w:pPr>
            <w:r>
              <w:rPr>
                <w:rFonts w:hint="eastAsia"/>
                <w:color w:val="auto"/>
                <w:sz w:val="24"/>
              </w:rPr>
              <w:t>项目施工期间均利用现有道路为施工便道，不新建施工便道。项目施工人员就近租用民宅，项目部办公</w:t>
            </w:r>
            <w:r>
              <w:rPr>
                <w:rFonts w:hint="eastAsia"/>
                <w:color w:val="auto"/>
                <w:sz w:val="24"/>
                <w:lang w:eastAsia="zh-CN"/>
              </w:rPr>
              <w:t>利用原有旧厂房，</w:t>
            </w:r>
            <w:r>
              <w:rPr>
                <w:rFonts w:hint="eastAsia"/>
                <w:color w:val="auto"/>
                <w:sz w:val="24"/>
              </w:rPr>
              <w:t>项目不设置施工营地。根据项目情况，本工程拟设置1处临时场地，其中包括临时堆土场、物料堆场、车辆清洗场地等，临时堆土场主要用于堆放前期剥离表土，表土场周边采取编织袋装土拦挡，暴雨季节采取塑料膜铺盖。另外承担部分土石方堆放。</w:t>
            </w:r>
          </w:p>
          <w:p>
            <w:pPr>
              <w:ind w:firstLine="480" w:firstLineChars="200"/>
              <w:rPr>
                <w:color w:val="auto"/>
                <w:sz w:val="24"/>
              </w:rPr>
            </w:pPr>
            <w:r>
              <w:rPr>
                <w:rFonts w:hint="eastAsia"/>
                <w:color w:val="auto"/>
                <w:sz w:val="24"/>
              </w:rPr>
              <w:t>项目在场地进出口处设置洗车台，配套设置隔油沉淀池。临时堆放场四周设置临时排水沟，用于排导地面汇集的雨水；设置沉砂池，用于沉淀雨水中的泥沙。项目临时堆土场和临时施工场地距离周边水体和集中居民区相对较远，选址较合理。</w:t>
            </w:r>
          </w:p>
          <w:p>
            <w:pPr>
              <w:ind w:firstLine="482" w:firstLineChars="200"/>
              <w:rPr>
                <w:b/>
                <w:bCs/>
                <w:color w:val="auto"/>
                <w:kern w:val="0"/>
                <w:sz w:val="24"/>
              </w:rPr>
            </w:pPr>
            <w:r>
              <w:rPr>
                <w:rFonts w:hint="eastAsia"/>
                <w:b/>
                <w:bCs/>
                <w:color w:val="auto"/>
                <w:kern w:val="0"/>
                <w:sz w:val="24"/>
                <w:lang w:eastAsia="zh-CN"/>
              </w:rPr>
              <w:t>五</w:t>
            </w:r>
            <w:r>
              <w:rPr>
                <w:rFonts w:hint="eastAsia"/>
                <w:b/>
                <w:bCs/>
                <w:color w:val="auto"/>
                <w:kern w:val="0"/>
                <w:sz w:val="24"/>
              </w:rPr>
              <w:t>、土石方工程</w:t>
            </w:r>
          </w:p>
          <w:p>
            <w:pPr>
              <w:ind w:firstLine="480" w:firstLineChars="200"/>
              <w:rPr>
                <w:color w:val="auto"/>
                <w:sz w:val="24"/>
                <w:u w:val="none"/>
              </w:rPr>
            </w:pPr>
            <w:r>
              <w:rPr>
                <w:rFonts w:hint="eastAsia"/>
                <w:color w:val="auto"/>
                <w:sz w:val="24"/>
                <w:u w:val="none"/>
              </w:rPr>
              <w:t>项目路基挖方（自然方）</w:t>
            </w:r>
            <w:r>
              <w:rPr>
                <w:rFonts w:hint="eastAsia"/>
                <w:color w:val="auto"/>
                <w:sz w:val="24"/>
                <w:u w:val="none"/>
                <w:lang w:val="en-US" w:eastAsia="zh-CN"/>
              </w:rPr>
              <w:t>2</w:t>
            </w:r>
            <w:r>
              <w:rPr>
                <w:rFonts w:hint="eastAsia"/>
                <w:color w:val="auto"/>
                <w:sz w:val="24"/>
                <w:u w:val="none"/>
              </w:rPr>
              <w:t>2936m</w:t>
            </w:r>
            <w:r>
              <w:rPr>
                <w:rFonts w:hint="eastAsia"/>
                <w:color w:val="auto"/>
                <w:sz w:val="24"/>
                <w:u w:val="none"/>
                <w:vertAlign w:val="superscript"/>
              </w:rPr>
              <w:t>3</w:t>
            </w:r>
            <w:r>
              <w:rPr>
                <w:rFonts w:hint="eastAsia"/>
                <w:color w:val="auto"/>
                <w:sz w:val="24"/>
                <w:u w:val="none"/>
              </w:rPr>
              <w:t>，填方（压实方）</w:t>
            </w:r>
            <w:r>
              <w:rPr>
                <w:rFonts w:hint="eastAsia"/>
                <w:color w:val="auto"/>
                <w:sz w:val="24"/>
                <w:u w:val="none"/>
                <w:lang w:val="en-US" w:eastAsia="zh-CN"/>
              </w:rPr>
              <w:t>2</w:t>
            </w:r>
            <w:r>
              <w:rPr>
                <w:rFonts w:hint="eastAsia"/>
                <w:color w:val="auto"/>
                <w:sz w:val="24"/>
                <w:u w:val="none"/>
              </w:rPr>
              <w:t>2936m</w:t>
            </w:r>
            <w:r>
              <w:rPr>
                <w:rFonts w:hint="eastAsia"/>
                <w:color w:val="auto"/>
                <w:sz w:val="24"/>
                <w:u w:val="none"/>
                <w:vertAlign w:val="superscript"/>
              </w:rPr>
              <w:t>3</w:t>
            </w:r>
            <w:r>
              <w:rPr>
                <w:rFonts w:hint="eastAsia"/>
                <w:color w:val="auto"/>
                <w:sz w:val="24"/>
                <w:u w:val="none"/>
                <w:vertAlign w:val="baseline"/>
                <w:lang w:eastAsia="zh-CN"/>
              </w:rPr>
              <w:t>。</w:t>
            </w:r>
            <w:r>
              <w:rPr>
                <w:rFonts w:hint="eastAsia"/>
                <w:color w:val="auto"/>
                <w:sz w:val="24"/>
                <w:u w:val="none"/>
                <w:lang w:eastAsia="zh-CN"/>
              </w:rPr>
              <w:t>项目</w:t>
            </w:r>
            <w:r>
              <w:rPr>
                <w:rFonts w:hint="eastAsia"/>
                <w:color w:val="auto"/>
                <w:sz w:val="24"/>
                <w:u w:val="none"/>
              </w:rPr>
              <w:t>在土方开挖装运时若遇干旱有风天气需及时洒水抑尘，运输车辆应加盖篷布防止扬尘污染。本环评要求本项目内填方土壤需为清洁土壤，满足《土壤环境质量建设用地土壤污染风险管控标准（试行）》(GB36600-2018)中风险筛选值的第二类用地相关标准。</w:t>
            </w:r>
          </w:p>
          <w:p>
            <w:pPr>
              <w:ind w:firstLine="482" w:firstLineChars="200"/>
              <w:rPr>
                <w:b/>
                <w:bCs/>
                <w:color w:val="auto"/>
                <w:kern w:val="0"/>
                <w:sz w:val="24"/>
                <w:u w:val="single"/>
              </w:rPr>
            </w:pPr>
            <w:r>
              <w:rPr>
                <w:rFonts w:hint="eastAsia"/>
                <w:b/>
                <w:bCs/>
                <w:color w:val="auto"/>
                <w:kern w:val="0"/>
                <w:sz w:val="24"/>
                <w:u w:val="single"/>
                <w:lang w:eastAsia="zh-CN"/>
              </w:rPr>
              <w:t>六</w:t>
            </w:r>
            <w:r>
              <w:rPr>
                <w:rFonts w:hint="eastAsia"/>
                <w:b/>
                <w:bCs/>
                <w:color w:val="auto"/>
                <w:kern w:val="0"/>
                <w:sz w:val="24"/>
                <w:u w:val="single"/>
              </w:rPr>
              <w:t>、</w:t>
            </w:r>
            <w:r>
              <w:rPr>
                <w:b/>
                <w:bCs/>
                <w:color w:val="auto"/>
                <w:kern w:val="0"/>
                <w:sz w:val="24"/>
                <w:u w:val="single"/>
              </w:rPr>
              <w:t>运输条件</w:t>
            </w:r>
          </w:p>
          <w:p>
            <w:pPr>
              <w:ind w:firstLine="480" w:firstLineChars="200"/>
              <w:rPr>
                <w:color w:val="auto"/>
                <w:sz w:val="24"/>
                <w:u w:val="single"/>
              </w:rPr>
            </w:pPr>
            <w:r>
              <w:rPr>
                <w:rFonts w:hint="eastAsia"/>
                <w:color w:val="auto"/>
                <w:sz w:val="24"/>
                <w:u w:val="single"/>
              </w:rPr>
              <w:t>本项目位于株洲市区，筑路材料来源广泛，项目所需砂、砾石、片石及碎石，可自采或购买，交通运输方便；项目所需的水泥、石灰、钢材等材料本市供应充足，上路运距较近。建设范围内地表水供应充足，水质良好，施工用水十分方便。项目区域内电网密布，完全可满足工程用电要求。</w:t>
            </w:r>
          </w:p>
          <w:p>
            <w:pPr>
              <w:autoSpaceDE w:val="0"/>
              <w:autoSpaceDN w:val="0"/>
              <w:ind w:firstLine="480" w:firstLineChars="200"/>
              <w:rPr>
                <w:rFonts w:hint="default" w:eastAsia="宋体"/>
                <w:color w:val="auto"/>
                <w:sz w:val="24"/>
                <w:szCs w:val="28"/>
                <w:u w:val="single"/>
                <w:lang w:val="en-US" w:eastAsia="zh-CN"/>
              </w:rPr>
            </w:pPr>
            <w:r>
              <w:rPr>
                <w:color w:val="auto"/>
                <w:sz w:val="24"/>
                <w:szCs w:val="28"/>
                <w:u w:val="single"/>
              </w:rPr>
              <w:t>城市主网络已基本成型，</w:t>
            </w:r>
            <w:r>
              <w:rPr>
                <w:rFonts w:hint="eastAsia"/>
                <w:color w:val="auto"/>
                <w:sz w:val="24"/>
                <w:szCs w:val="28"/>
                <w:u w:val="single"/>
                <w:lang w:eastAsia="zh-CN"/>
              </w:rPr>
              <w:t>北面</w:t>
            </w:r>
            <w:r>
              <w:rPr>
                <w:rFonts w:hint="eastAsia"/>
                <w:color w:val="auto"/>
                <w:sz w:val="24"/>
                <w:szCs w:val="28"/>
                <w:u w:val="single"/>
              </w:rPr>
              <w:t>有</w:t>
            </w:r>
            <w:r>
              <w:rPr>
                <w:rFonts w:hint="eastAsia"/>
                <w:color w:val="auto"/>
                <w:sz w:val="24"/>
                <w:szCs w:val="28"/>
                <w:u w:val="single"/>
                <w:lang w:eastAsia="zh-CN"/>
              </w:rPr>
              <w:t>株冶</w:t>
            </w:r>
            <w:r>
              <w:rPr>
                <w:rFonts w:hint="eastAsia"/>
                <w:color w:val="auto"/>
                <w:sz w:val="24"/>
                <w:szCs w:val="28"/>
                <w:u w:val="single"/>
              </w:rPr>
              <w:t>路，</w:t>
            </w:r>
            <w:r>
              <w:rPr>
                <w:rFonts w:hint="eastAsia"/>
                <w:color w:val="auto"/>
                <w:sz w:val="24"/>
                <w:szCs w:val="28"/>
                <w:u w:val="single"/>
                <w:lang w:eastAsia="zh-CN"/>
              </w:rPr>
              <w:t>南</w:t>
            </w:r>
            <w:r>
              <w:rPr>
                <w:rFonts w:hint="eastAsia"/>
                <w:color w:val="auto"/>
                <w:sz w:val="24"/>
                <w:szCs w:val="28"/>
                <w:u w:val="single"/>
              </w:rPr>
              <w:t>面有铜霞路，</w:t>
            </w:r>
            <w:r>
              <w:rPr>
                <w:color w:val="auto"/>
                <w:sz w:val="24"/>
                <w:szCs w:val="28"/>
                <w:u w:val="single"/>
              </w:rPr>
              <w:t>道路交通方便。</w:t>
            </w:r>
            <w:r>
              <w:rPr>
                <w:rFonts w:hint="eastAsia"/>
                <w:color w:val="auto"/>
                <w:sz w:val="24"/>
                <w:szCs w:val="28"/>
                <w:u w:val="single"/>
                <w:lang w:val="en-US" w:eastAsia="zh-CN"/>
              </w:rPr>
              <w:t>项目自铜霞路新建一条道路作为原辅材料和产品运输道路。</w:t>
            </w:r>
          </w:p>
          <w:p>
            <w:pPr>
              <w:ind w:firstLine="482" w:firstLineChars="200"/>
              <w:rPr>
                <w:b/>
                <w:bCs/>
                <w:color w:val="auto"/>
                <w:kern w:val="0"/>
                <w:sz w:val="24"/>
              </w:rPr>
            </w:pPr>
            <w:r>
              <w:rPr>
                <w:rFonts w:hint="eastAsia"/>
                <w:b/>
                <w:bCs/>
                <w:color w:val="auto"/>
                <w:kern w:val="0"/>
                <w:sz w:val="24"/>
                <w:lang w:eastAsia="zh-CN"/>
              </w:rPr>
              <w:t>七</w:t>
            </w:r>
            <w:r>
              <w:rPr>
                <w:rFonts w:hint="eastAsia"/>
                <w:b/>
                <w:bCs/>
                <w:color w:val="auto"/>
                <w:kern w:val="0"/>
                <w:sz w:val="24"/>
              </w:rPr>
              <w:t>、</w:t>
            </w:r>
            <w:r>
              <w:rPr>
                <w:b/>
                <w:bCs/>
                <w:color w:val="auto"/>
                <w:kern w:val="0"/>
                <w:sz w:val="24"/>
              </w:rPr>
              <w:t>项目进度安排</w:t>
            </w:r>
          </w:p>
          <w:p>
            <w:pPr>
              <w:ind w:firstLine="480" w:firstLineChars="200"/>
              <w:rPr>
                <w:rFonts w:hint="eastAsia"/>
                <w:color w:val="auto"/>
                <w:sz w:val="24"/>
                <w:u w:val="single"/>
              </w:rPr>
            </w:pPr>
            <w:r>
              <w:rPr>
                <w:rFonts w:hint="eastAsia"/>
                <w:color w:val="auto"/>
                <w:sz w:val="24"/>
                <w:u w:val="single"/>
              </w:rPr>
              <w:t>根据项目的具体情况，预计本项目建设工期为</w:t>
            </w:r>
            <w:r>
              <w:rPr>
                <w:rFonts w:hint="eastAsia"/>
                <w:color w:val="auto"/>
                <w:sz w:val="24"/>
                <w:u w:val="single"/>
                <w:lang w:val="en-US" w:eastAsia="zh-CN"/>
              </w:rPr>
              <w:t>3</w:t>
            </w:r>
            <w:r>
              <w:rPr>
                <w:rFonts w:hint="eastAsia"/>
                <w:color w:val="auto"/>
                <w:sz w:val="24"/>
                <w:u w:val="single"/>
              </w:rPr>
              <w:t>个月，从</w:t>
            </w:r>
            <w:r>
              <w:rPr>
                <w:color w:val="auto"/>
                <w:sz w:val="24"/>
                <w:u w:val="single"/>
              </w:rPr>
              <w:t xml:space="preserve">2019 </w:t>
            </w:r>
            <w:r>
              <w:rPr>
                <w:rFonts w:hint="eastAsia"/>
                <w:color w:val="auto"/>
                <w:sz w:val="24"/>
                <w:u w:val="single"/>
              </w:rPr>
              <w:t>年</w:t>
            </w:r>
            <w:r>
              <w:rPr>
                <w:rFonts w:hint="eastAsia"/>
                <w:color w:val="auto"/>
                <w:sz w:val="24"/>
                <w:u w:val="single"/>
                <w:lang w:val="en-US" w:eastAsia="zh-CN"/>
              </w:rPr>
              <w:t>10</w:t>
            </w:r>
            <w:r>
              <w:rPr>
                <w:rFonts w:hint="eastAsia"/>
                <w:color w:val="auto"/>
                <w:sz w:val="24"/>
                <w:u w:val="single"/>
              </w:rPr>
              <w:t>月初开始，到</w:t>
            </w:r>
            <w:r>
              <w:rPr>
                <w:color w:val="auto"/>
                <w:sz w:val="24"/>
                <w:u w:val="single"/>
              </w:rPr>
              <w:t>20</w:t>
            </w:r>
            <w:r>
              <w:rPr>
                <w:rFonts w:hint="eastAsia"/>
                <w:color w:val="auto"/>
                <w:sz w:val="24"/>
                <w:u w:val="single"/>
                <w:lang w:val="en-US" w:eastAsia="zh-CN"/>
              </w:rPr>
              <w:t>20</w:t>
            </w:r>
            <w:r>
              <w:rPr>
                <w:rFonts w:hint="eastAsia"/>
                <w:color w:val="auto"/>
                <w:sz w:val="24"/>
                <w:u w:val="single"/>
              </w:rPr>
              <w:t>年</w:t>
            </w:r>
            <w:r>
              <w:rPr>
                <w:rFonts w:hint="eastAsia"/>
                <w:color w:val="auto"/>
                <w:sz w:val="24"/>
                <w:u w:val="single"/>
                <w:lang w:val="en-US" w:eastAsia="zh-CN"/>
              </w:rPr>
              <w:t>1</w:t>
            </w:r>
            <w:r>
              <w:rPr>
                <w:rFonts w:hint="eastAsia"/>
                <w:color w:val="auto"/>
                <w:sz w:val="24"/>
                <w:u w:val="single"/>
              </w:rPr>
              <w:t>月底竣工。</w:t>
            </w:r>
          </w:p>
          <w:p>
            <w:pPr>
              <w:spacing w:line="480" w:lineRule="exact"/>
              <w:ind w:firstLine="472" w:firstLineChars="197"/>
              <w:rPr>
                <w:rFonts w:ascii="Times New Roman" w:hAnsi="Times New Roman"/>
                <w:bCs/>
                <w:color w:val="auto"/>
                <w:sz w:val="24"/>
                <w:u w:val="single"/>
              </w:rPr>
            </w:pPr>
            <w:r>
              <w:rPr>
                <w:rFonts w:ascii="Times New Roman" w:hAnsi="Times New Roman"/>
                <w:bCs/>
                <w:color w:val="auto"/>
                <w:sz w:val="24"/>
                <w:u w:val="single"/>
              </w:rPr>
              <w:t>本项目运营后，</w:t>
            </w:r>
            <w:r>
              <w:rPr>
                <w:rFonts w:ascii="Times New Roman" w:hAnsi="Times New Roman"/>
                <w:color w:val="auto"/>
                <w:sz w:val="24"/>
                <w:u w:val="single"/>
              </w:rPr>
              <w:t>劳动定员</w:t>
            </w:r>
            <w:r>
              <w:rPr>
                <w:rFonts w:hint="eastAsia"/>
                <w:color w:val="auto"/>
                <w:sz w:val="24"/>
                <w:u w:val="single"/>
                <w:lang w:val="en-US" w:eastAsia="zh-CN"/>
              </w:rPr>
              <w:t>126</w:t>
            </w:r>
            <w:r>
              <w:rPr>
                <w:rFonts w:ascii="Times New Roman" w:hAnsi="Times New Roman"/>
                <w:color w:val="auto"/>
                <w:sz w:val="24"/>
                <w:u w:val="single"/>
              </w:rPr>
              <w:t>人，均不在厂区内住宿，工业园区内食堂统一就餐，</w:t>
            </w:r>
            <w:r>
              <w:rPr>
                <w:rFonts w:ascii="Times New Roman" w:hAnsi="Times New Roman"/>
                <w:bCs/>
                <w:color w:val="auto"/>
                <w:sz w:val="24"/>
                <w:u w:val="single"/>
              </w:rPr>
              <w:t>实行八小时工作制，工作时间为上午8：00~12:00，下午14:</w:t>
            </w:r>
            <w:r>
              <w:rPr>
                <w:rFonts w:hint="eastAsia"/>
                <w:bCs/>
                <w:color w:val="auto"/>
                <w:sz w:val="24"/>
                <w:u w:val="single"/>
                <w:lang w:val="en-US" w:eastAsia="zh-CN"/>
              </w:rPr>
              <w:t>0</w:t>
            </w:r>
            <w:r>
              <w:rPr>
                <w:rFonts w:ascii="Times New Roman" w:hAnsi="Times New Roman"/>
                <w:bCs/>
                <w:color w:val="auto"/>
                <w:sz w:val="24"/>
                <w:u w:val="single"/>
              </w:rPr>
              <w:t>0~1</w:t>
            </w:r>
            <w:r>
              <w:rPr>
                <w:rFonts w:hint="eastAsia"/>
                <w:bCs/>
                <w:color w:val="auto"/>
                <w:sz w:val="24"/>
                <w:u w:val="single"/>
                <w:lang w:val="en-US" w:eastAsia="zh-CN"/>
              </w:rPr>
              <w:t>8</w:t>
            </w:r>
            <w:r>
              <w:rPr>
                <w:rFonts w:ascii="Times New Roman" w:hAnsi="Times New Roman"/>
                <w:bCs/>
                <w:color w:val="auto"/>
                <w:sz w:val="24"/>
                <w:u w:val="single"/>
              </w:rPr>
              <w:t>:</w:t>
            </w:r>
            <w:r>
              <w:rPr>
                <w:rFonts w:hint="eastAsia"/>
                <w:bCs/>
                <w:color w:val="auto"/>
                <w:sz w:val="24"/>
                <w:u w:val="single"/>
                <w:lang w:val="en-US" w:eastAsia="zh-CN"/>
              </w:rPr>
              <w:t>0</w:t>
            </w:r>
            <w:r>
              <w:rPr>
                <w:rFonts w:ascii="Times New Roman" w:hAnsi="Times New Roman"/>
                <w:bCs/>
                <w:color w:val="auto"/>
                <w:sz w:val="24"/>
                <w:u w:val="single"/>
              </w:rPr>
              <w:t>0，年工作日</w:t>
            </w:r>
            <w:r>
              <w:rPr>
                <w:rFonts w:ascii="Times New Roman" w:hAnsi="Times New Roman"/>
                <w:color w:val="auto"/>
                <w:sz w:val="24"/>
                <w:u w:val="single"/>
              </w:rPr>
              <w:t>为300天</w:t>
            </w:r>
            <w:r>
              <w:rPr>
                <w:rFonts w:ascii="Times New Roman" w:hAnsi="Times New Roman"/>
                <w:bCs/>
                <w:color w:val="auto"/>
                <w:sz w:val="24"/>
                <w:u w:val="single"/>
              </w:rPr>
              <w:t>。</w:t>
            </w:r>
            <w:r>
              <w:rPr>
                <w:rFonts w:hint="default" w:ascii="Times New Roman" w:hAnsi="Times New Roman" w:eastAsia="宋体" w:cs="Times New Roman"/>
                <w:color w:val="auto"/>
                <w:sz w:val="24"/>
                <w:szCs w:val="24"/>
                <w:u w:val="single"/>
                <w:lang w:val="en-US" w:eastAsia="zh-CN"/>
              </w:rPr>
              <w:t>服务期限为20</w:t>
            </w:r>
            <w:r>
              <w:rPr>
                <w:rFonts w:hint="eastAsia" w:ascii="Times New Roman" w:hAnsi="Times New Roman" w:cs="Times New Roman"/>
                <w:color w:val="auto"/>
                <w:sz w:val="24"/>
                <w:szCs w:val="24"/>
                <w:u w:val="single"/>
                <w:lang w:val="en-US" w:eastAsia="zh-CN"/>
              </w:rPr>
              <w:t>20</w:t>
            </w:r>
            <w:r>
              <w:rPr>
                <w:rFonts w:hint="default" w:ascii="Times New Roman" w:hAnsi="Times New Roman" w:eastAsia="宋体" w:cs="Times New Roman"/>
                <w:color w:val="auto"/>
                <w:sz w:val="24"/>
                <w:szCs w:val="24"/>
                <w:u w:val="single"/>
                <w:lang w:val="en-US" w:eastAsia="zh-CN"/>
              </w:rPr>
              <w:t>年</w:t>
            </w:r>
            <w:r>
              <w:rPr>
                <w:rFonts w:hint="eastAsia" w:ascii="Times New Roman" w:hAnsi="Times New Roman" w:cs="Times New Roman"/>
                <w:color w:val="auto"/>
                <w:sz w:val="24"/>
                <w:szCs w:val="24"/>
                <w:u w:val="single"/>
                <w:lang w:val="en-US" w:eastAsia="zh-CN"/>
              </w:rPr>
              <w:t>1</w:t>
            </w:r>
            <w:r>
              <w:rPr>
                <w:rFonts w:hint="default" w:ascii="Times New Roman" w:hAnsi="Times New Roman" w:eastAsia="宋体" w:cs="Times New Roman"/>
                <w:color w:val="auto"/>
                <w:sz w:val="24"/>
                <w:szCs w:val="24"/>
                <w:u w:val="single"/>
                <w:lang w:val="en-US" w:eastAsia="zh-CN"/>
              </w:rPr>
              <w:t>月-20</w:t>
            </w:r>
            <w:r>
              <w:rPr>
                <w:rFonts w:hint="default" w:ascii="Times New Roman" w:hAnsi="Times New Roman" w:cs="Times New Roman"/>
                <w:color w:val="auto"/>
                <w:sz w:val="24"/>
                <w:szCs w:val="24"/>
                <w:u w:val="single"/>
                <w:lang w:val="en-US" w:eastAsia="zh-CN"/>
              </w:rPr>
              <w:t>25</w:t>
            </w:r>
            <w:r>
              <w:rPr>
                <w:rFonts w:hint="default" w:ascii="Times New Roman" w:hAnsi="Times New Roman" w:eastAsia="宋体" w:cs="Times New Roman"/>
                <w:color w:val="auto"/>
                <w:sz w:val="24"/>
                <w:szCs w:val="24"/>
                <w:u w:val="single"/>
                <w:lang w:val="en-US" w:eastAsia="zh-CN"/>
              </w:rPr>
              <w:t>年12月，总计</w:t>
            </w:r>
            <w:r>
              <w:rPr>
                <w:rFonts w:hint="default" w:ascii="Times New Roman" w:hAnsi="Times New Roman" w:cs="Times New Roman"/>
                <w:color w:val="auto"/>
                <w:sz w:val="24"/>
                <w:szCs w:val="24"/>
                <w:u w:val="single"/>
                <w:lang w:val="en-US" w:eastAsia="zh-CN"/>
              </w:rPr>
              <w:t>72</w:t>
            </w:r>
            <w:r>
              <w:rPr>
                <w:rFonts w:hint="default" w:ascii="Times New Roman" w:hAnsi="Times New Roman" w:eastAsia="宋体" w:cs="Times New Roman"/>
                <w:color w:val="auto"/>
                <w:sz w:val="24"/>
                <w:szCs w:val="24"/>
                <w:u w:val="single"/>
                <w:lang w:val="en-US" w:eastAsia="zh-CN"/>
              </w:rPr>
              <w:t>个月。用地类型为</w:t>
            </w:r>
            <w:r>
              <w:rPr>
                <w:rFonts w:hint="default" w:ascii="Times New Roman" w:hAnsi="Times New Roman" w:cs="Times New Roman"/>
                <w:color w:val="auto"/>
                <w:sz w:val="24"/>
                <w:szCs w:val="24"/>
                <w:u w:val="single"/>
                <w:lang w:val="en-US" w:eastAsia="zh-CN"/>
              </w:rPr>
              <w:t>工业用</w:t>
            </w:r>
            <w:r>
              <w:rPr>
                <w:rFonts w:hint="default" w:ascii="Times New Roman" w:hAnsi="Times New Roman" w:eastAsia="宋体" w:cs="Times New Roman"/>
                <w:color w:val="auto"/>
                <w:sz w:val="24"/>
                <w:szCs w:val="24"/>
                <w:u w:val="single"/>
                <w:lang w:val="en-US" w:eastAsia="zh-CN"/>
              </w:rPr>
              <w:t>地，性质为租赁，出租方为</w:t>
            </w:r>
            <w:r>
              <w:rPr>
                <w:rFonts w:hint="default" w:ascii="Times New Roman" w:hAnsi="Times New Roman" w:cs="Times New Roman"/>
                <w:color w:val="auto"/>
                <w:sz w:val="24"/>
                <w:szCs w:val="24"/>
                <w:u w:val="single"/>
                <w:lang w:val="en-US" w:eastAsia="zh-CN"/>
              </w:rPr>
              <w:t>株洲中交清水塘投资开发公司</w:t>
            </w:r>
            <w:r>
              <w:rPr>
                <w:rFonts w:hint="default" w:ascii="Times New Roman" w:hAnsi="Times New Roman" w:eastAsia="宋体" w:cs="Times New Roman"/>
                <w:color w:val="auto"/>
                <w:sz w:val="24"/>
                <w:szCs w:val="24"/>
                <w:u w:val="single"/>
                <w:lang w:val="en-US" w:eastAsia="zh-CN"/>
              </w:rPr>
              <w:t>。</w:t>
            </w:r>
          </w:p>
          <w:p>
            <w:pPr>
              <w:ind w:firstLine="480" w:firstLineChars="200"/>
              <w:rPr>
                <w:b/>
                <w:bCs/>
                <w:color w:val="auto"/>
                <w:kern w:val="0"/>
                <w:sz w:val="24"/>
              </w:rPr>
            </w:pPr>
            <w:r>
              <w:rPr>
                <w:rFonts w:hint="eastAsia"/>
                <w:color w:val="auto"/>
                <w:sz w:val="24"/>
                <w:lang w:val="en-US" w:eastAsia="zh-CN"/>
              </w:rPr>
              <w:t xml:space="preserve"> </w:t>
            </w:r>
            <w:r>
              <w:rPr>
                <w:rFonts w:hint="eastAsia"/>
                <w:b/>
                <w:bCs/>
                <w:color w:val="auto"/>
                <w:kern w:val="0"/>
                <w:sz w:val="24"/>
                <w:lang w:eastAsia="zh-CN"/>
              </w:rPr>
              <w:t>八</w:t>
            </w:r>
            <w:r>
              <w:rPr>
                <w:rFonts w:hint="eastAsia"/>
                <w:b/>
                <w:bCs/>
                <w:color w:val="auto"/>
                <w:kern w:val="0"/>
                <w:sz w:val="24"/>
              </w:rPr>
              <w:t>、投资估算</w:t>
            </w:r>
            <w:r>
              <w:rPr>
                <w:b/>
                <w:bCs/>
                <w:color w:val="auto"/>
                <w:kern w:val="0"/>
                <w:sz w:val="24"/>
              </w:rPr>
              <w:tab/>
            </w:r>
          </w:p>
          <w:p>
            <w:pPr>
              <w:ind w:firstLine="480" w:firstLineChars="200"/>
              <w:rPr>
                <w:rFonts w:ascii="宋体" w:cs="宋体"/>
                <w:color w:val="auto"/>
                <w:kern w:val="0"/>
                <w:sz w:val="28"/>
                <w:szCs w:val="28"/>
              </w:rPr>
            </w:pPr>
            <w:r>
              <w:rPr>
                <w:rFonts w:hint="eastAsia"/>
                <w:color w:val="auto"/>
                <w:sz w:val="24"/>
              </w:rPr>
              <w:t>本项目总投资约为</w:t>
            </w:r>
            <w:r>
              <w:rPr>
                <w:rFonts w:hint="eastAsia"/>
                <w:color w:val="auto"/>
                <w:sz w:val="24"/>
                <w:lang w:val="en-US" w:eastAsia="zh-CN"/>
              </w:rPr>
              <w:t>860</w:t>
            </w:r>
            <w:r>
              <w:rPr>
                <w:rFonts w:hint="eastAsia"/>
                <w:color w:val="auto"/>
                <w:sz w:val="24"/>
              </w:rPr>
              <w:t>万元，资金来源为建设单位自筹和银行贷款。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9" w:hRule="atLeast"/>
          <w:jc w:val="center"/>
        </w:trPr>
        <w:tc>
          <w:tcPr>
            <w:tcW w:w="9186" w:type="dxa"/>
            <w:gridSpan w:val="8"/>
            <w:tcBorders>
              <w:bottom w:val="single" w:color="auto" w:sz="4" w:space="0"/>
            </w:tcBorders>
            <w:vAlign w:val="center"/>
          </w:tcPr>
          <w:p>
            <w:pPr>
              <w:jc w:val="left"/>
              <w:rPr>
                <w:rFonts w:cs="宋体"/>
                <w:b/>
                <w:bCs/>
                <w:color w:val="auto"/>
                <w:sz w:val="24"/>
                <w:u w:val="single"/>
              </w:rPr>
            </w:pPr>
            <w:r>
              <w:rPr>
                <w:rFonts w:hint="eastAsia" w:cs="宋体"/>
                <w:b/>
                <w:bCs/>
                <w:color w:val="auto"/>
                <w:sz w:val="24"/>
                <w:u w:val="single"/>
              </w:rPr>
              <w:t>与本项目有关的原有污染情况及主要环境问题</w:t>
            </w:r>
          </w:p>
          <w:p>
            <w:pPr>
              <w:ind w:firstLine="480" w:firstLineChars="200"/>
              <w:jc w:val="left"/>
              <w:rPr>
                <w:color w:val="auto"/>
                <w:sz w:val="24"/>
                <w:u w:val="single"/>
              </w:rPr>
            </w:pPr>
            <w:r>
              <w:rPr>
                <w:rFonts w:hint="eastAsia"/>
                <w:color w:val="auto"/>
                <w:sz w:val="24"/>
                <w:u w:val="single"/>
              </w:rPr>
              <w:t>湖南景玺环保科技有限公司于2019年5月完成了《</w:t>
            </w:r>
            <w:r>
              <w:rPr>
                <w:color w:val="auto"/>
                <w:sz w:val="24"/>
                <w:u w:val="single"/>
              </w:rPr>
              <w:t>拟建株洲市清水塘生态新城</w:t>
            </w:r>
            <w:r>
              <w:rPr>
                <w:rFonts w:hint="eastAsia"/>
                <w:color w:val="auto"/>
                <w:sz w:val="24"/>
                <w:u w:val="single"/>
              </w:rPr>
              <w:t>霞湾路</w:t>
            </w:r>
            <w:r>
              <w:rPr>
                <w:color w:val="auto"/>
                <w:sz w:val="24"/>
                <w:u w:val="single"/>
              </w:rPr>
              <w:t>(</w:t>
            </w:r>
            <w:r>
              <w:rPr>
                <w:rFonts w:hint="eastAsia"/>
                <w:color w:val="auto"/>
                <w:sz w:val="24"/>
                <w:u w:val="single"/>
              </w:rPr>
              <w:t>清湖路</w:t>
            </w:r>
            <w:r>
              <w:rPr>
                <w:color w:val="auto"/>
                <w:sz w:val="24"/>
                <w:u w:val="single"/>
              </w:rPr>
              <w:t>-</w:t>
            </w:r>
            <w:r>
              <w:rPr>
                <w:rFonts w:hint="eastAsia"/>
                <w:color w:val="auto"/>
                <w:sz w:val="24"/>
                <w:u w:val="single"/>
              </w:rPr>
              <w:t>铜霞</w:t>
            </w:r>
            <w:r>
              <w:rPr>
                <w:color w:val="auto"/>
                <w:sz w:val="24"/>
                <w:u w:val="single"/>
              </w:rPr>
              <w:t>路)场地环境调查</w:t>
            </w:r>
            <w:r>
              <w:rPr>
                <w:rFonts w:hint="eastAsia"/>
                <w:color w:val="auto"/>
                <w:sz w:val="24"/>
                <w:u w:val="single"/>
              </w:rPr>
              <w:t>报告》，该场地调查范围包括了本项目占地范围。本项目场地利用现状及场地环境质量引用《</w:t>
            </w:r>
            <w:r>
              <w:rPr>
                <w:color w:val="auto"/>
                <w:sz w:val="24"/>
                <w:u w:val="single"/>
              </w:rPr>
              <w:t>拟建株洲市清水塘生态新城</w:t>
            </w:r>
            <w:r>
              <w:rPr>
                <w:rFonts w:hint="eastAsia"/>
                <w:color w:val="auto"/>
                <w:sz w:val="24"/>
                <w:u w:val="single"/>
              </w:rPr>
              <w:t>霞湾路</w:t>
            </w:r>
            <w:r>
              <w:rPr>
                <w:color w:val="auto"/>
                <w:sz w:val="24"/>
                <w:u w:val="single"/>
              </w:rPr>
              <w:t>(</w:t>
            </w:r>
            <w:r>
              <w:rPr>
                <w:rFonts w:hint="eastAsia"/>
                <w:color w:val="auto"/>
                <w:sz w:val="24"/>
                <w:u w:val="single"/>
              </w:rPr>
              <w:t>清湖路</w:t>
            </w:r>
            <w:r>
              <w:rPr>
                <w:color w:val="auto"/>
                <w:sz w:val="24"/>
                <w:u w:val="single"/>
              </w:rPr>
              <w:t>-</w:t>
            </w:r>
            <w:r>
              <w:rPr>
                <w:rFonts w:hint="eastAsia"/>
                <w:color w:val="auto"/>
                <w:sz w:val="24"/>
                <w:u w:val="single"/>
              </w:rPr>
              <w:t>铜霞</w:t>
            </w:r>
            <w:r>
              <w:rPr>
                <w:color w:val="auto"/>
                <w:sz w:val="24"/>
                <w:u w:val="single"/>
              </w:rPr>
              <w:t>路)场地环境调查</w:t>
            </w:r>
            <w:r>
              <w:rPr>
                <w:rFonts w:hint="eastAsia"/>
                <w:color w:val="auto"/>
                <w:sz w:val="24"/>
                <w:u w:val="single"/>
              </w:rPr>
              <w:t>报告》中相关内容。</w:t>
            </w:r>
            <w:bookmarkStart w:id="2" w:name="_Hlk14083215"/>
          </w:p>
          <w:p>
            <w:pPr>
              <w:ind w:firstLine="482" w:firstLineChars="200"/>
              <w:jc w:val="left"/>
              <w:rPr>
                <w:b/>
                <w:bCs/>
                <w:color w:val="auto"/>
                <w:sz w:val="24"/>
              </w:rPr>
            </w:pPr>
            <w:r>
              <w:rPr>
                <w:rFonts w:hint="eastAsia"/>
                <w:b/>
                <w:bCs/>
                <w:color w:val="auto"/>
                <w:sz w:val="24"/>
              </w:rPr>
              <w:t>二、场地环境质量</w:t>
            </w:r>
          </w:p>
          <w:p>
            <w:pPr>
              <w:ind w:firstLine="480" w:firstLineChars="200"/>
              <w:jc w:val="left"/>
              <w:rPr>
                <w:color w:val="auto"/>
                <w:sz w:val="24"/>
              </w:rPr>
            </w:pPr>
            <w:r>
              <w:rPr>
                <w:rFonts w:hint="eastAsia"/>
                <w:color w:val="auto"/>
                <w:sz w:val="24"/>
              </w:rPr>
              <w:t>（1）场地内土壤环境质量</w:t>
            </w:r>
          </w:p>
          <w:p>
            <w:pPr>
              <w:ind w:firstLine="480" w:firstLineChars="200"/>
              <w:jc w:val="left"/>
              <w:rPr>
                <w:color w:val="auto"/>
                <w:sz w:val="24"/>
              </w:rPr>
            </w:pPr>
            <w:r>
              <w:rPr>
                <w:rFonts w:hint="eastAsia"/>
                <w:color w:val="auto"/>
                <w:sz w:val="24"/>
              </w:rPr>
              <w:t>场地调查在本项目范围内布设有4个土壤点位，</w:t>
            </w:r>
            <w:r>
              <w:rPr>
                <w:color w:val="auto"/>
                <w:sz w:val="24"/>
              </w:rPr>
              <w:t>分别</w:t>
            </w:r>
            <w:r>
              <w:rPr>
                <w:rFonts w:hint="eastAsia"/>
                <w:color w:val="auto"/>
                <w:sz w:val="24"/>
              </w:rPr>
              <w:t>为XW</w:t>
            </w:r>
            <w:r>
              <w:rPr>
                <w:color w:val="auto"/>
                <w:sz w:val="24"/>
              </w:rPr>
              <w:t>3、</w:t>
            </w:r>
            <w:r>
              <w:rPr>
                <w:rFonts w:hint="eastAsia"/>
                <w:color w:val="auto"/>
                <w:sz w:val="24"/>
              </w:rPr>
              <w:t>XW</w:t>
            </w:r>
            <w:r>
              <w:rPr>
                <w:color w:val="auto"/>
                <w:sz w:val="24"/>
              </w:rPr>
              <w:t>4、</w:t>
            </w:r>
            <w:r>
              <w:rPr>
                <w:rFonts w:hint="eastAsia"/>
                <w:color w:val="auto"/>
                <w:sz w:val="24"/>
              </w:rPr>
              <w:t>XW</w:t>
            </w:r>
            <w:r>
              <w:rPr>
                <w:color w:val="auto"/>
                <w:sz w:val="24"/>
              </w:rPr>
              <w:t>5、</w:t>
            </w:r>
            <w:r>
              <w:rPr>
                <w:rFonts w:hint="eastAsia"/>
                <w:color w:val="auto"/>
                <w:sz w:val="24"/>
              </w:rPr>
              <w:t>XW</w:t>
            </w:r>
            <w:r>
              <w:rPr>
                <w:color w:val="auto"/>
                <w:sz w:val="24"/>
              </w:rPr>
              <w:t>6</w:t>
            </w:r>
            <w:r>
              <w:rPr>
                <w:rFonts w:hint="eastAsia"/>
                <w:color w:val="auto"/>
                <w:sz w:val="24"/>
              </w:rPr>
              <w:t>，</w:t>
            </w:r>
            <w:r>
              <w:rPr>
                <w:color w:val="auto"/>
                <w:sz w:val="24"/>
              </w:rPr>
              <w:t>采样分层次进行，</w:t>
            </w:r>
            <w:r>
              <w:rPr>
                <w:rFonts w:hint="eastAsia"/>
                <w:color w:val="auto"/>
                <w:sz w:val="24"/>
              </w:rPr>
              <w:t>主要为</w:t>
            </w:r>
            <w:r>
              <w:rPr>
                <w:color w:val="auto"/>
                <w:sz w:val="24"/>
              </w:rPr>
              <w:t>0-0.5m</w:t>
            </w:r>
            <w:r>
              <w:rPr>
                <w:rFonts w:hint="eastAsia"/>
                <w:color w:val="auto"/>
                <w:sz w:val="24"/>
              </w:rPr>
              <w:t>，部分点位采样层次为</w:t>
            </w:r>
            <w:r>
              <w:rPr>
                <w:color w:val="auto"/>
                <w:sz w:val="24"/>
              </w:rPr>
              <w:t>0-0.5m</w:t>
            </w:r>
            <w:r>
              <w:rPr>
                <w:rFonts w:hint="eastAsia"/>
                <w:color w:val="auto"/>
                <w:sz w:val="24"/>
              </w:rPr>
              <w:t>、0.5-1m、1-1.5m</w:t>
            </w:r>
            <w:r>
              <w:rPr>
                <w:color w:val="auto"/>
                <w:sz w:val="24"/>
              </w:rPr>
              <w:t>。</w:t>
            </w:r>
            <w:r>
              <w:rPr>
                <w:rFonts w:hint="eastAsia"/>
                <w:color w:val="auto"/>
                <w:sz w:val="24"/>
              </w:rPr>
              <w:t>检测项目</w:t>
            </w:r>
            <w:r>
              <w:rPr>
                <w:color w:val="auto"/>
                <w:sz w:val="24"/>
              </w:rPr>
              <w:t>按照《土壤环境质量建设用地土壤污染风险管控标准（试行）》（GB 36600-2018）中的要求，检测表1基本项目45项</w:t>
            </w:r>
            <w:r>
              <w:rPr>
                <w:rFonts w:hint="eastAsia"/>
                <w:color w:val="auto"/>
                <w:sz w:val="24"/>
              </w:rPr>
              <w:t>。</w:t>
            </w:r>
          </w:p>
          <w:p>
            <w:pPr>
              <w:jc w:val="center"/>
              <w:rPr>
                <w:b/>
                <w:bCs/>
                <w:color w:val="auto"/>
                <w:sz w:val="24"/>
              </w:rPr>
            </w:pPr>
            <w:r>
              <w:rPr>
                <w:rFonts w:hint="eastAsia"/>
                <w:b/>
                <w:bCs/>
                <w:color w:val="auto"/>
                <w:sz w:val="24"/>
              </w:rPr>
              <w:t>表9</w:t>
            </w:r>
            <w:r>
              <w:rPr>
                <w:b/>
                <w:bCs/>
                <w:color w:val="auto"/>
                <w:sz w:val="24"/>
              </w:rPr>
              <w:t xml:space="preserve">  </w:t>
            </w:r>
            <w:r>
              <w:rPr>
                <w:rFonts w:hint="eastAsia"/>
                <w:b/>
                <w:bCs/>
                <w:color w:val="auto"/>
                <w:sz w:val="24"/>
              </w:rPr>
              <w:t>土壤点位基本情况</w:t>
            </w:r>
          </w:p>
          <w:tbl>
            <w:tblPr>
              <w:tblStyle w:val="44"/>
              <w:tblpPr w:leftFromText="180" w:rightFromText="180" w:vertAnchor="text" w:horzAnchor="page" w:tblpXSpec="center" w:tblpY="237"/>
              <w:tblOverlap w:val="never"/>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1417"/>
              <w:gridCol w:w="1702"/>
              <w:gridCol w:w="1559"/>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704" w:type="dxa"/>
                  <w:shd w:val="clear" w:color="auto" w:fill="auto"/>
                  <w:vAlign w:val="center"/>
                </w:tcPr>
                <w:p>
                  <w:pPr>
                    <w:autoSpaceDE w:val="0"/>
                    <w:autoSpaceDN w:val="0"/>
                    <w:spacing w:line="0" w:lineRule="atLeast"/>
                    <w:jc w:val="left"/>
                    <w:rPr>
                      <w:color w:val="auto"/>
                      <w:sz w:val="21"/>
                    </w:rPr>
                  </w:pPr>
                  <w:r>
                    <w:rPr>
                      <w:color w:val="auto"/>
                      <w:sz w:val="21"/>
                    </w:rPr>
                    <w:t>序号</w:t>
                  </w:r>
                </w:p>
              </w:tc>
              <w:tc>
                <w:tcPr>
                  <w:tcW w:w="1276" w:type="dxa"/>
                  <w:shd w:val="clear" w:color="auto" w:fill="auto"/>
                  <w:vAlign w:val="center"/>
                </w:tcPr>
                <w:p>
                  <w:pPr>
                    <w:jc w:val="left"/>
                    <w:rPr>
                      <w:color w:val="auto"/>
                      <w:sz w:val="21"/>
                    </w:rPr>
                  </w:pPr>
                  <w:r>
                    <w:rPr>
                      <w:color w:val="auto"/>
                      <w:sz w:val="21"/>
                    </w:rPr>
                    <w:t>采样点编号</w:t>
                  </w:r>
                </w:p>
              </w:tc>
              <w:tc>
                <w:tcPr>
                  <w:tcW w:w="1417" w:type="dxa"/>
                  <w:shd w:val="clear" w:color="auto" w:fill="auto"/>
                  <w:vAlign w:val="center"/>
                </w:tcPr>
                <w:p>
                  <w:pPr>
                    <w:jc w:val="left"/>
                    <w:rPr>
                      <w:color w:val="auto"/>
                      <w:sz w:val="21"/>
                    </w:rPr>
                  </w:pPr>
                  <w:r>
                    <w:rPr>
                      <w:rFonts w:hint="eastAsia"/>
                      <w:color w:val="auto"/>
                      <w:sz w:val="21"/>
                    </w:rPr>
                    <w:t>东经</w:t>
                  </w:r>
                </w:p>
              </w:tc>
              <w:tc>
                <w:tcPr>
                  <w:tcW w:w="1702" w:type="dxa"/>
                  <w:shd w:val="clear" w:color="auto" w:fill="auto"/>
                  <w:vAlign w:val="center"/>
                </w:tcPr>
                <w:p>
                  <w:pPr>
                    <w:jc w:val="left"/>
                    <w:rPr>
                      <w:color w:val="auto"/>
                      <w:sz w:val="21"/>
                    </w:rPr>
                  </w:pPr>
                  <w:r>
                    <w:rPr>
                      <w:rFonts w:hint="eastAsia"/>
                      <w:color w:val="auto"/>
                      <w:sz w:val="21"/>
                    </w:rPr>
                    <w:t>北纬</w:t>
                  </w:r>
                </w:p>
              </w:tc>
              <w:tc>
                <w:tcPr>
                  <w:tcW w:w="1559" w:type="dxa"/>
                  <w:shd w:val="clear" w:color="auto" w:fill="auto"/>
                  <w:vAlign w:val="center"/>
                </w:tcPr>
                <w:p>
                  <w:pPr>
                    <w:jc w:val="left"/>
                    <w:rPr>
                      <w:color w:val="auto"/>
                      <w:sz w:val="21"/>
                    </w:rPr>
                  </w:pPr>
                  <w:r>
                    <w:rPr>
                      <w:rFonts w:hint="eastAsia"/>
                      <w:color w:val="auto"/>
                      <w:sz w:val="21"/>
                    </w:rPr>
                    <w:t>采样层次</w:t>
                  </w:r>
                </w:p>
              </w:tc>
              <w:tc>
                <w:tcPr>
                  <w:tcW w:w="2132" w:type="dxa"/>
                  <w:shd w:val="clear" w:color="auto" w:fill="auto"/>
                  <w:vAlign w:val="center"/>
                </w:tcPr>
                <w:p>
                  <w:pPr>
                    <w:jc w:val="left"/>
                    <w:rPr>
                      <w:color w:val="auto"/>
                      <w:sz w:val="21"/>
                    </w:rPr>
                  </w:pPr>
                  <w:r>
                    <w:rPr>
                      <w:color w:val="auto"/>
                      <w:sz w:val="21"/>
                    </w:rPr>
                    <w:t>位置区域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704" w:type="dxa"/>
                  <w:shd w:val="clear" w:color="auto" w:fill="auto"/>
                  <w:vAlign w:val="center"/>
                </w:tcPr>
                <w:p>
                  <w:pPr>
                    <w:autoSpaceDE w:val="0"/>
                    <w:autoSpaceDN w:val="0"/>
                    <w:spacing w:line="0" w:lineRule="atLeast"/>
                    <w:jc w:val="left"/>
                    <w:rPr>
                      <w:color w:val="auto"/>
                      <w:sz w:val="21"/>
                    </w:rPr>
                  </w:pPr>
                  <w:r>
                    <w:rPr>
                      <w:rFonts w:hint="eastAsia"/>
                      <w:color w:val="auto"/>
                      <w:sz w:val="21"/>
                    </w:rPr>
                    <w:t>1</w:t>
                  </w:r>
                </w:p>
              </w:tc>
              <w:tc>
                <w:tcPr>
                  <w:tcW w:w="1276" w:type="dxa"/>
                  <w:shd w:val="clear" w:color="auto" w:fill="auto"/>
                  <w:vAlign w:val="center"/>
                </w:tcPr>
                <w:p>
                  <w:pPr>
                    <w:autoSpaceDE w:val="0"/>
                    <w:autoSpaceDN w:val="0"/>
                    <w:spacing w:line="0" w:lineRule="atLeast"/>
                    <w:jc w:val="left"/>
                    <w:rPr>
                      <w:color w:val="auto"/>
                      <w:sz w:val="21"/>
                    </w:rPr>
                  </w:pPr>
                  <w:r>
                    <w:rPr>
                      <w:rFonts w:hint="eastAsia"/>
                      <w:color w:val="auto"/>
                      <w:sz w:val="21"/>
                    </w:rPr>
                    <w:t>XW</w:t>
                  </w:r>
                  <w:r>
                    <w:rPr>
                      <w:color w:val="auto"/>
                      <w:sz w:val="21"/>
                    </w:rPr>
                    <w:t>3</w:t>
                  </w:r>
                </w:p>
              </w:tc>
              <w:tc>
                <w:tcPr>
                  <w:tcW w:w="1417" w:type="dxa"/>
                  <w:shd w:val="clear" w:color="auto" w:fill="auto"/>
                  <w:vAlign w:val="center"/>
                </w:tcPr>
                <w:p>
                  <w:pPr>
                    <w:autoSpaceDE w:val="0"/>
                    <w:autoSpaceDN w:val="0"/>
                    <w:spacing w:line="0" w:lineRule="atLeast"/>
                    <w:jc w:val="left"/>
                    <w:rPr>
                      <w:color w:val="auto"/>
                      <w:sz w:val="21"/>
                    </w:rPr>
                  </w:pPr>
                  <w:r>
                    <w:rPr>
                      <w:color w:val="auto"/>
                      <w:sz w:val="21"/>
                    </w:rPr>
                    <w:t>113° 4'30.14"</w:t>
                  </w:r>
                </w:p>
              </w:tc>
              <w:tc>
                <w:tcPr>
                  <w:tcW w:w="1702" w:type="dxa"/>
                  <w:shd w:val="clear" w:color="auto" w:fill="auto"/>
                  <w:vAlign w:val="center"/>
                </w:tcPr>
                <w:p>
                  <w:pPr>
                    <w:autoSpaceDE w:val="0"/>
                    <w:autoSpaceDN w:val="0"/>
                    <w:spacing w:line="0" w:lineRule="atLeast"/>
                    <w:jc w:val="left"/>
                    <w:rPr>
                      <w:color w:val="auto"/>
                      <w:sz w:val="21"/>
                    </w:rPr>
                  </w:pPr>
                  <w:r>
                    <w:rPr>
                      <w:color w:val="auto"/>
                      <w:sz w:val="21"/>
                    </w:rPr>
                    <w:t>27°51'57.57"</w:t>
                  </w:r>
                </w:p>
              </w:tc>
              <w:tc>
                <w:tcPr>
                  <w:tcW w:w="1559" w:type="dxa"/>
                  <w:shd w:val="clear" w:color="auto" w:fill="auto"/>
                  <w:vAlign w:val="center"/>
                </w:tcPr>
                <w:p>
                  <w:pPr>
                    <w:autoSpaceDE w:val="0"/>
                    <w:autoSpaceDN w:val="0"/>
                    <w:spacing w:line="0" w:lineRule="atLeast"/>
                    <w:jc w:val="left"/>
                    <w:rPr>
                      <w:color w:val="auto"/>
                      <w:sz w:val="21"/>
                    </w:rPr>
                  </w:pPr>
                  <w:r>
                    <w:rPr>
                      <w:rFonts w:hint="eastAsia"/>
                      <w:color w:val="auto"/>
                      <w:sz w:val="21"/>
                    </w:rPr>
                    <w:t>0-0.5m</w:t>
                  </w:r>
                </w:p>
              </w:tc>
              <w:tc>
                <w:tcPr>
                  <w:tcW w:w="2132" w:type="dxa"/>
                  <w:shd w:val="clear" w:color="auto" w:fill="auto"/>
                  <w:vAlign w:val="center"/>
                </w:tcPr>
                <w:p>
                  <w:pPr>
                    <w:autoSpaceDE w:val="0"/>
                    <w:autoSpaceDN w:val="0"/>
                    <w:spacing w:line="0" w:lineRule="atLeast"/>
                    <w:jc w:val="left"/>
                    <w:rPr>
                      <w:color w:val="auto"/>
                      <w:sz w:val="21"/>
                    </w:rPr>
                  </w:pPr>
                  <w:r>
                    <w:rPr>
                      <w:rFonts w:hint="eastAsia"/>
                      <w:color w:val="auto"/>
                      <w:sz w:val="21"/>
                    </w:rPr>
                    <w:t>霞湾建材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704" w:type="dxa"/>
                  <w:vMerge w:val="restart"/>
                  <w:shd w:val="clear" w:color="auto" w:fill="auto"/>
                  <w:vAlign w:val="center"/>
                </w:tcPr>
                <w:p>
                  <w:pPr>
                    <w:autoSpaceDE w:val="0"/>
                    <w:autoSpaceDN w:val="0"/>
                    <w:spacing w:line="0" w:lineRule="atLeast"/>
                    <w:jc w:val="left"/>
                    <w:rPr>
                      <w:color w:val="auto"/>
                      <w:sz w:val="21"/>
                    </w:rPr>
                  </w:pPr>
                  <w:r>
                    <w:rPr>
                      <w:rFonts w:hint="eastAsia"/>
                      <w:color w:val="auto"/>
                      <w:sz w:val="21"/>
                    </w:rPr>
                    <w:t>2</w:t>
                  </w:r>
                </w:p>
              </w:tc>
              <w:tc>
                <w:tcPr>
                  <w:tcW w:w="1276" w:type="dxa"/>
                  <w:vMerge w:val="restart"/>
                  <w:shd w:val="clear" w:color="auto" w:fill="auto"/>
                  <w:vAlign w:val="center"/>
                </w:tcPr>
                <w:p>
                  <w:pPr>
                    <w:autoSpaceDE w:val="0"/>
                    <w:autoSpaceDN w:val="0"/>
                    <w:spacing w:line="0" w:lineRule="atLeast"/>
                    <w:jc w:val="left"/>
                    <w:rPr>
                      <w:color w:val="auto"/>
                      <w:sz w:val="21"/>
                    </w:rPr>
                  </w:pPr>
                  <w:r>
                    <w:rPr>
                      <w:rFonts w:hint="eastAsia"/>
                      <w:color w:val="auto"/>
                      <w:sz w:val="21"/>
                    </w:rPr>
                    <w:t>XW</w:t>
                  </w:r>
                  <w:r>
                    <w:rPr>
                      <w:color w:val="auto"/>
                      <w:sz w:val="21"/>
                    </w:rPr>
                    <w:t>4</w:t>
                  </w:r>
                </w:p>
              </w:tc>
              <w:tc>
                <w:tcPr>
                  <w:tcW w:w="1417" w:type="dxa"/>
                  <w:vMerge w:val="restart"/>
                  <w:shd w:val="clear" w:color="auto" w:fill="auto"/>
                  <w:vAlign w:val="center"/>
                </w:tcPr>
                <w:p>
                  <w:pPr>
                    <w:autoSpaceDE w:val="0"/>
                    <w:autoSpaceDN w:val="0"/>
                    <w:spacing w:line="0" w:lineRule="atLeast"/>
                    <w:jc w:val="left"/>
                    <w:rPr>
                      <w:color w:val="auto"/>
                      <w:sz w:val="21"/>
                    </w:rPr>
                  </w:pPr>
                  <w:r>
                    <w:rPr>
                      <w:color w:val="auto"/>
                      <w:sz w:val="21"/>
                    </w:rPr>
                    <w:t>113° 4'13.28"</w:t>
                  </w:r>
                </w:p>
              </w:tc>
              <w:tc>
                <w:tcPr>
                  <w:tcW w:w="1702" w:type="dxa"/>
                  <w:vMerge w:val="restart"/>
                  <w:shd w:val="clear" w:color="auto" w:fill="auto"/>
                  <w:vAlign w:val="center"/>
                </w:tcPr>
                <w:p>
                  <w:pPr>
                    <w:autoSpaceDE w:val="0"/>
                    <w:autoSpaceDN w:val="0"/>
                    <w:spacing w:line="0" w:lineRule="atLeast"/>
                    <w:jc w:val="left"/>
                    <w:rPr>
                      <w:color w:val="auto"/>
                      <w:sz w:val="21"/>
                    </w:rPr>
                  </w:pPr>
                  <w:r>
                    <w:rPr>
                      <w:color w:val="auto"/>
                      <w:sz w:val="21"/>
                    </w:rPr>
                    <w:t>27°51'57.60"</w:t>
                  </w:r>
                </w:p>
              </w:tc>
              <w:tc>
                <w:tcPr>
                  <w:tcW w:w="1559" w:type="dxa"/>
                  <w:shd w:val="clear" w:color="auto" w:fill="auto"/>
                  <w:vAlign w:val="center"/>
                </w:tcPr>
                <w:p>
                  <w:pPr>
                    <w:autoSpaceDE w:val="0"/>
                    <w:autoSpaceDN w:val="0"/>
                    <w:spacing w:line="0" w:lineRule="atLeast"/>
                    <w:jc w:val="left"/>
                    <w:rPr>
                      <w:color w:val="auto"/>
                      <w:sz w:val="21"/>
                    </w:rPr>
                  </w:pPr>
                  <w:r>
                    <w:rPr>
                      <w:rFonts w:hint="eastAsia"/>
                      <w:color w:val="auto"/>
                      <w:sz w:val="21"/>
                    </w:rPr>
                    <w:t>0-0.5m</w:t>
                  </w:r>
                </w:p>
              </w:tc>
              <w:tc>
                <w:tcPr>
                  <w:tcW w:w="2132" w:type="dxa"/>
                  <w:vMerge w:val="restart"/>
                  <w:shd w:val="clear" w:color="auto" w:fill="auto"/>
                  <w:vAlign w:val="center"/>
                </w:tcPr>
                <w:p>
                  <w:pPr>
                    <w:autoSpaceDE w:val="0"/>
                    <w:autoSpaceDN w:val="0"/>
                    <w:spacing w:line="0" w:lineRule="atLeast"/>
                    <w:jc w:val="left"/>
                    <w:rPr>
                      <w:color w:val="auto"/>
                      <w:sz w:val="21"/>
                    </w:rPr>
                  </w:pPr>
                  <w:r>
                    <w:rPr>
                      <w:rFonts w:hint="eastAsia"/>
                      <w:color w:val="auto"/>
                      <w:sz w:val="21"/>
                    </w:rPr>
                    <w:t>老霞湾港治理区备用污泥暂存场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704" w:type="dxa"/>
                  <w:vMerge w:val="continue"/>
                  <w:shd w:val="clear" w:color="auto" w:fill="auto"/>
                  <w:vAlign w:val="center"/>
                </w:tcPr>
                <w:p>
                  <w:pPr>
                    <w:autoSpaceDE w:val="0"/>
                    <w:autoSpaceDN w:val="0"/>
                    <w:spacing w:line="0" w:lineRule="atLeast"/>
                    <w:jc w:val="left"/>
                    <w:rPr>
                      <w:color w:val="auto"/>
                      <w:sz w:val="21"/>
                    </w:rPr>
                  </w:pPr>
                </w:p>
              </w:tc>
              <w:tc>
                <w:tcPr>
                  <w:tcW w:w="1276" w:type="dxa"/>
                  <w:vMerge w:val="continue"/>
                  <w:shd w:val="clear" w:color="auto" w:fill="auto"/>
                  <w:vAlign w:val="center"/>
                </w:tcPr>
                <w:p>
                  <w:pPr>
                    <w:autoSpaceDE w:val="0"/>
                    <w:autoSpaceDN w:val="0"/>
                    <w:spacing w:line="0" w:lineRule="atLeast"/>
                    <w:jc w:val="left"/>
                    <w:rPr>
                      <w:color w:val="auto"/>
                      <w:sz w:val="21"/>
                    </w:rPr>
                  </w:pPr>
                </w:p>
              </w:tc>
              <w:tc>
                <w:tcPr>
                  <w:tcW w:w="1417" w:type="dxa"/>
                  <w:vMerge w:val="continue"/>
                  <w:shd w:val="clear" w:color="auto" w:fill="auto"/>
                  <w:vAlign w:val="center"/>
                </w:tcPr>
                <w:p>
                  <w:pPr>
                    <w:autoSpaceDE w:val="0"/>
                    <w:autoSpaceDN w:val="0"/>
                    <w:spacing w:line="0" w:lineRule="atLeast"/>
                    <w:jc w:val="left"/>
                    <w:rPr>
                      <w:color w:val="auto"/>
                      <w:sz w:val="21"/>
                    </w:rPr>
                  </w:pPr>
                </w:p>
              </w:tc>
              <w:tc>
                <w:tcPr>
                  <w:tcW w:w="1702" w:type="dxa"/>
                  <w:vMerge w:val="continue"/>
                  <w:shd w:val="clear" w:color="auto" w:fill="auto"/>
                  <w:vAlign w:val="center"/>
                </w:tcPr>
                <w:p>
                  <w:pPr>
                    <w:autoSpaceDE w:val="0"/>
                    <w:autoSpaceDN w:val="0"/>
                    <w:spacing w:line="0" w:lineRule="atLeast"/>
                    <w:jc w:val="left"/>
                    <w:rPr>
                      <w:color w:val="auto"/>
                      <w:sz w:val="21"/>
                    </w:rPr>
                  </w:pPr>
                </w:p>
              </w:tc>
              <w:tc>
                <w:tcPr>
                  <w:tcW w:w="1559" w:type="dxa"/>
                  <w:shd w:val="clear" w:color="auto" w:fill="auto"/>
                  <w:vAlign w:val="center"/>
                </w:tcPr>
                <w:p>
                  <w:pPr>
                    <w:autoSpaceDE w:val="0"/>
                    <w:autoSpaceDN w:val="0"/>
                    <w:spacing w:line="0" w:lineRule="atLeast"/>
                    <w:jc w:val="left"/>
                    <w:rPr>
                      <w:color w:val="auto"/>
                      <w:sz w:val="21"/>
                    </w:rPr>
                  </w:pPr>
                  <w:r>
                    <w:rPr>
                      <w:rFonts w:hint="eastAsia"/>
                      <w:color w:val="auto"/>
                      <w:sz w:val="21"/>
                    </w:rPr>
                    <w:t>0.5-1m</w:t>
                  </w:r>
                </w:p>
              </w:tc>
              <w:tc>
                <w:tcPr>
                  <w:tcW w:w="2132" w:type="dxa"/>
                  <w:vMerge w:val="continue"/>
                  <w:shd w:val="clear" w:color="auto" w:fill="auto"/>
                  <w:vAlign w:val="center"/>
                </w:tcPr>
                <w:p>
                  <w:pPr>
                    <w:autoSpaceDE w:val="0"/>
                    <w:autoSpaceDN w:val="0"/>
                    <w:spacing w:line="0" w:lineRule="atLeast"/>
                    <w:jc w:val="left"/>
                    <w:rPr>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704" w:type="dxa"/>
                  <w:vMerge w:val="continue"/>
                  <w:shd w:val="clear" w:color="auto" w:fill="auto"/>
                  <w:vAlign w:val="center"/>
                </w:tcPr>
                <w:p>
                  <w:pPr>
                    <w:autoSpaceDE w:val="0"/>
                    <w:autoSpaceDN w:val="0"/>
                    <w:spacing w:line="0" w:lineRule="atLeast"/>
                    <w:jc w:val="left"/>
                    <w:rPr>
                      <w:color w:val="auto"/>
                      <w:sz w:val="21"/>
                    </w:rPr>
                  </w:pPr>
                </w:p>
              </w:tc>
              <w:tc>
                <w:tcPr>
                  <w:tcW w:w="1276" w:type="dxa"/>
                  <w:vMerge w:val="continue"/>
                  <w:shd w:val="clear" w:color="auto" w:fill="auto"/>
                  <w:vAlign w:val="center"/>
                </w:tcPr>
                <w:p>
                  <w:pPr>
                    <w:autoSpaceDE w:val="0"/>
                    <w:autoSpaceDN w:val="0"/>
                    <w:spacing w:line="0" w:lineRule="atLeast"/>
                    <w:jc w:val="left"/>
                    <w:rPr>
                      <w:color w:val="auto"/>
                      <w:sz w:val="21"/>
                    </w:rPr>
                  </w:pPr>
                </w:p>
              </w:tc>
              <w:tc>
                <w:tcPr>
                  <w:tcW w:w="1417" w:type="dxa"/>
                  <w:vMerge w:val="continue"/>
                  <w:shd w:val="clear" w:color="auto" w:fill="auto"/>
                  <w:vAlign w:val="center"/>
                </w:tcPr>
                <w:p>
                  <w:pPr>
                    <w:autoSpaceDE w:val="0"/>
                    <w:autoSpaceDN w:val="0"/>
                    <w:spacing w:line="0" w:lineRule="atLeast"/>
                    <w:jc w:val="left"/>
                    <w:rPr>
                      <w:color w:val="auto"/>
                      <w:sz w:val="21"/>
                    </w:rPr>
                  </w:pPr>
                </w:p>
              </w:tc>
              <w:tc>
                <w:tcPr>
                  <w:tcW w:w="1702" w:type="dxa"/>
                  <w:vMerge w:val="continue"/>
                  <w:shd w:val="clear" w:color="auto" w:fill="auto"/>
                  <w:vAlign w:val="center"/>
                </w:tcPr>
                <w:p>
                  <w:pPr>
                    <w:autoSpaceDE w:val="0"/>
                    <w:autoSpaceDN w:val="0"/>
                    <w:spacing w:line="0" w:lineRule="atLeast"/>
                    <w:jc w:val="left"/>
                    <w:rPr>
                      <w:color w:val="auto"/>
                      <w:sz w:val="21"/>
                    </w:rPr>
                  </w:pPr>
                </w:p>
              </w:tc>
              <w:tc>
                <w:tcPr>
                  <w:tcW w:w="1559" w:type="dxa"/>
                  <w:shd w:val="clear" w:color="auto" w:fill="auto"/>
                  <w:vAlign w:val="center"/>
                </w:tcPr>
                <w:p>
                  <w:pPr>
                    <w:autoSpaceDE w:val="0"/>
                    <w:autoSpaceDN w:val="0"/>
                    <w:spacing w:line="0" w:lineRule="atLeast"/>
                    <w:jc w:val="left"/>
                    <w:rPr>
                      <w:color w:val="auto"/>
                      <w:sz w:val="21"/>
                    </w:rPr>
                  </w:pPr>
                  <w:r>
                    <w:rPr>
                      <w:rFonts w:hint="eastAsia"/>
                      <w:color w:val="auto"/>
                      <w:sz w:val="21"/>
                    </w:rPr>
                    <w:t>1-1.5m</w:t>
                  </w:r>
                </w:p>
              </w:tc>
              <w:tc>
                <w:tcPr>
                  <w:tcW w:w="2132" w:type="dxa"/>
                  <w:vMerge w:val="continue"/>
                  <w:shd w:val="clear" w:color="auto" w:fill="auto"/>
                  <w:vAlign w:val="center"/>
                </w:tcPr>
                <w:p>
                  <w:pPr>
                    <w:autoSpaceDE w:val="0"/>
                    <w:autoSpaceDN w:val="0"/>
                    <w:spacing w:line="0" w:lineRule="atLeast"/>
                    <w:jc w:val="left"/>
                    <w:rPr>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704" w:type="dxa"/>
                  <w:shd w:val="clear" w:color="auto" w:fill="auto"/>
                  <w:vAlign w:val="center"/>
                </w:tcPr>
                <w:p>
                  <w:pPr>
                    <w:autoSpaceDE w:val="0"/>
                    <w:autoSpaceDN w:val="0"/>
                    <w:spacing w:line="0" w:lineRule="atLeast"/>
                    <w:jc w:val="left"/>
                    <w:rPr>
                      <w:color w:val="auto"/>
                      <w:sz w:val="21"/>
                    </w:rPr>
                  </w:pPr>
                  <w:r>
                    <w:rPr>
                      <w:rFonts w:hint="eastAsia"/>
                      <w:color w:val="auto"/>
                      <w:sz w:val="21"/>
                    </w:rPr>
                    <w:t>3</w:t>
                  </w:r>
                </w:p>
              </w:tc>
              <w:tc>
                <w:tcPr>
                  <w:tcW w:w="1276" w:type="dxa"/>
                  <w:shd w:val="clear" w:color="auto" w:fill="auto"/>
                  <w:vAlign w:val="center"/>
                </w:tcPr>
                <w:p>
                  <w:pPr>
                    <w:autoSpaceDE w:val="0"/>
                    <w:autoSpaceDN w:val="0"/>
                    <w:spacing w:line="0" w:lineRule="atLeast"/>
                    <w:jc w:val="left"/>
                    <w:rPr>
                      <w:color w:val="auto"/>
                      <w:sz w:val="21"/>
                    </w:rPr>
                  </w:pPr>
                  <w:r>
                    <w:rPr>
                      <w:rFonts w:hint="eastAsia"/>
                      <w:color w:val="auto"/>
                      <w:sz w:val="21"/>
                    </w:rPr>
                    <w:t>XW</w:t>
                  </w:r>
                  <w:r>
                    <w:rPr>
                      <w:color w:val="auto"/>
                      <w:sz w:val="21"/>
                    </w:rPr>
                    <w:t>5</w:t>
                  </w:r>
                </w:p>
              </w:tc>
              <w:tc>
                <w:tcPr>
                  <w:tcW w:w="1417" w:type="dxa"/>
                  <w:shd w:val="clear" w:color="auto" w:fill="auto"/>
                  <w:vAlign w:val="center"/>
                </w:tcPr>
                <w:p>
                  <w:pPr>
                    <w:autoSpaceDE w:val="0"/>
                    <w:autoSpaceDN w:val="0"/>
                    <w:spacing w:line="0" w:lineRule="atLeast"/>
                    <w:jc w:val="left"/>
                    <w:rPr>
                      <w:color w:val="auto"/>
                      <w:sz w:val="21"/>
                    </w:rPr>
                  </w:pPr>
                  <w:r>
                    <w:rPr>
                      <w:color w:val="auto"/>
                      <w:sz w:val="21"/>
                    </w:rPr>
                    <w:t>113° 4'4.01"</w:t>
                  </w:r>
                </w:p>
              </w:tc>
              <w:tc>
                <w:tcPr>
                  <w:tcW w:w="1702" w:type="dxa"/>
                  <w:shd w:val="clear" w:color="auto" w:fill="auto"/>
                  <w:vAlign w:val="center"/>
                </w:tcPr>
                <w:p>
                  <w:pPr>
                    <w:autoSpaceDE w:val="0"/>
                    <w:autoSpaceDN w:val="0"/>
                    <w:spacing w:line="0" w:lineRule="atLeast"/>
                    <w:jc w:val="left"/>
                    <w:rPr>
                      <w:color w:val="auto"/>
                      <w:sz w:val="21"/>
                    </w:rPr>
                  </w:pPr>
                  <w:r>
                    <w:rPr>
                      <w:color w:val="auto"/>
                      <w:sz w:val="21"/>
                    </w:rPr>
                    <w:t>27°51'56.28"</w:t>
                  </w:r>
                </w:p>
              </w:tc>
              <w:tc>
                <w:tcPr>
                  <w:tcW w:w="1559" w:type="dxa"/>
                  <w:shd w:val="clear" w:color="auto" w:fill="auto"/>
                  <w:vAlign w:val="center"/>
                </w:tcPr>
                <w:p>
                  <w:pPr>
                    <w:autoSpaceDE w:val="0"/>
                    <w:autoSpaceDN w:val="0"/>
                    <w:spacing w:line="0" w:lineRule="atLeast"/>
                    <w:jc w:val="left"/>
                    <w:rPr>
                      <w:color w:val="auto"/>
                      <w:sz w:val="21"/>
                    </w:rPr>
                  </w:pPr>
                  <w:r>
                    <w:rPr>
                      <w:rFonts w:hint="eastAsia"/>
                      <w:color w:val="auto"/>
                      <w:sz w:val="21"/>
                    </w:rPr>
                    <w:t>0-0.5m</w:t>
                  </w:r>
                </w:p>
              </w:tc>
              <w:tc>
                <w:tcPr>
                  <w:tcW w:w="2132" w:type="dxa"/>
                  <w:shd w:val="clear" w:color="auto" w:fill="auto"/>
                  <w:vAlign w:val="center"/>
                </w:tcPr>
                <w:p>
                  <w:pPr>
                    <w:autoSpaceDE w:val="0"/>
                    <w:autoSpaceDN w:val="0"/>
                    <w:spacing w:line="0" w:lineRule="atLeast"/>
                    <w:jc w:val="left"/>
                    <w:rPr>
                      <w:color w:val="auto"/>
                      <w:sz w:val="21"/>
                    </w:rPr>
                  </w:pPr>
                  <w:r>
                    <w:rPr>
                      <w:rFonts w:hint="eastAsia"/>
                      <w:color w:val="auto"/>
                      <w:sz w:val="21"/>
                    </w:rPr>
                    <w:t>青石片区居民区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 w:hRule="atLeast"/>
              </w:trPr>
              <w:tc>
                <w:tcPr>
                  <w:tcW w:w="704" w:type="dxa"/>
                  <w:shd w:val="clear" w:color="auto" w:fill="auto"/>
                  <w:vAlign w:val="center"/>
                </w:tcPr>
                <w:p>
                  <w:pPr>
                    <w:autoSpaceDE w:val="0"/>
                    <w:autoSpaceDN w:val="0"/>
                    <w:spacing w:line="0" w:lineRule="atLeast"/>
                    <w:jc w:val="left"/>
                    <w:rPr>
                      <w:color w:val="auto"/>
                      <w:sz w:val="21"/>
                    </w:rPr>
                  </w:pPr>
                  <w:r>
                    <w:rPr>
                      <w:rFonts w:hint="eastAsia"/>
                      <w:color w:val="auto"/>
                      <w:sz w:val="21"/>
                    </w:rPr>
                    <w:t>4</w:t>
                  </w:r>
                </w:p>
              </w:tc>
              <w:tc>
                <w:tcPr>
                  <w:tcW w:w="1276" w:type="dxa"/>
                  <w:shd w:val="clear" w:color="auto" w:fill="auto"/>
                  <w:vAlign w:val="center"/>
                </w:tcPr>
                <w:p>
                  <w:pPr>
                    <w:autoSpaceDE w:val="0"/>
                    <w:autoSpaceDN w:val="0"/>
                    <w:spacing w:line="0" w:lineRule="atLeast"/>
                    <w:jc w:val="left"/>
                    <w:rPr>
                      <w:color w:val="auto"/>
                      <w:sz w:val="21"/>
                    </w:rPr>
                  </w:pPr>
                  <w:r>
                    <w:rPr>
                      <w:rFonts w:hint="eastAsia"/>
                      <w:color w:val="auto"/>
                      <w:sz w:val="21"/>
                    </w:rPr>
                    <w:t>XW</w:t>
                  </w:r>
                  <w:r>
                    <w:rPr>
                      <w:color w:val="auto"/>
                      <w:sz w:val="21"/>
                    </w:rPr>
                    <w:t>6</w:t>
                  </w:r>
                </w:p>
              </w:tc>
              <w:tc>
                <w:tcPr>
                  <w:tcW w:w="1417" w:type="dxa"/>
                  <w:shd w:val="clear" w:color="auto" w:fill="auto"/>
                  <w:vAlign w:val="center"/>
                </w:tcPr>
                <w:p>
                  <w:pPr>
                    <w:autoSpaceDE w:val="0"/>
                    <w:autoSpaceDN w:val="0"/>
                    <w:spacing w:line="0" w:lineRule="atLeast"/>
                    <w:jc w:val="left"/>
                    <w:rPr>
                      <w:color w:val="auto"/>
                      <w:sz w:val="21"/>
                    </w:rPr>
                  </w:pPr>
                  <w:r>
                    <w:rPr>
                      <w:color w:val="auto"/>
                      <w:sz w:val="21"/>
                    </w:rPr>
                    <w:t>113° 3'54.03"</w:t>
                  </w:r>
                </w:p>
              </w:tc>
              <w:tc>
                <w:tcPr>
                  <w:tcW w:w="1702" w:type="dxa"/>
                  <w:shd w:val="clear" w:color="auto" w:fill="auto"/>
                  <w:vAlign w:val="center"/>
                </w:tcPr>
                <w:p>
                  <w:pPr>
                    <w:autoSpaceDE w:val="0"/>
                    <w:autoSpaceDN w:val="0"/>
                    <w:spacing w:line="0" w:lineRule="atLeast"/>
                    <w:jc w:val="left"/>
                    <w:rPr>
                      <w:color w:val="auto"/>
                      <w:sz w:val="21"/>
                    </w:rPr>
                  </w:pPr>
                  <w:r>
                    <w:rPr>
                      <w:color w:val="auto"/>
                      <w:sz w:val="21"/>
                    </w:rPr>
                    <w:t>27°51'54.28"</w:t>
                  </w:r>
                </w:p>
              </w:tc>
              <w:tc>
                <w:tcPr>
                  <w:tcW w:w="1559" w:type="dxa"/>
                  <w:shd w:val="clear" w:color="auto" w:fill="auto"/>
                  <w:vAlign w:val="center"/>
                </w:tcPr>
                <w:p>
                  <w:pPr>
                    <w:autoSpaceDE w:val="0"/>
                    <w:autoSpaceDN w:val="0"/>
                    <w:spacing w:line="0" w:lineRule="atLeast"/>
                    <w:jc w:val="left"/>
                    <w:rPr>
                      <w:color w:val="auto"/>
                      <w:sz w:val="21"/>
                    </w:rPr>
                  </w:pPr>
                  <w:r>
                    <w:rPr>
                      <w:rFonts w:hint="eastAsia"/>
                      <w:color w:val="auto"/>
                      <w:sz w:val="21"/>
                    </w:rPr>
                    <w:t>0-0.5m</w:t>
                  </w:r>
                </w:p>
              </w:tc>
              <w:tc>
                <w:tcPr>
                  <w:tcW w:w="2132" w:type="dxa"/>
                  <w:shd w:val="clear" w:color="auto" w:fill="auto"/>
                  <w:vAlign w:val="center"/>
                </w:tcPr>
                <w:p>
                  <w:pPr>
                    <w:autoSpaceDE w:val="0"/>
                    <w:autoSpaceDN w:val="0"/>
                    <w:spacing w:line="0" w:lineRule="atLeast"/>
                    <w:jc w:val="left"/>
                    <w:rPr>
                      <w:color w:val="auto"/>
                      <w:sz w:val="21"/>
                    </w:rPr>
                  </w:pPr>
                  <w:r>
                    <w:rPr>
                      <w:rFonts w:hint="eastAsia"/>
                      <w:color w:val="auto"/>
                      <w:sz w:val="21"/>
                    </w:rPr>
                    <w:t>青石片区居民区</w:t>
                  </w:r>
                </w:p>
              </w:tc>
            </w:tr>
          </w:tbl>
          <w:p>
            <w:pPr>
              <w:ind w:firstLine="480" w:firstLineChars="200"/>
              <w:jc w:val="left"/>
              <w:rPr>
                <w:color w:val="auto"/>
                <w:sz w:val="24"/>
              </w:rPr>
            </w:pPr>
            <w:r>
              <w:rPr>
                <w:rFonts w:hint="eastAsia"/>
                <w:color w:val="auto"/>
                <w:sz w:val="24"/>
              </w:rPr>
              <w:t>检测结果见表10~表11。</w:t>
            </w:r>
          </w:p>
          <w:p>
            <w:pPr>
              <w:jc w:val="center"/>
              <w:rPr>
                <w:b/>
                <w:bCs/>
                <w:color w:val="auto"/>
                <w:sz w:val="24"/>
              </w:rPr>
            </w:pPr>
            <w:r>
              <w:rPr>
                <w:rFonts w:hint="eastAsia"/>
                <w:b/>
                <w:bCs/>
                <w:color w:val="auto"/>
                <w:sz w:val="24"/>
              </w:rPr>
              <w:t>表10</w:t>
            </w:r>
            <w:r>
              <w:rPr>
                <w:b/>
                <w:bCs/>
                <w:color w:val="auto"/>
                <w:sz w:val="24"/>
              </w:rPr>
              <w:t xml:space="preserve">  土壤重金属检测数据基本情况</w:t>
            </w:r>
          </w:p>
          <w:tbl>
            <w:tblPr>
              <w:tblStyle w:val="43"/>
              <w:tblW w:w="894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94"/>
              <w:gridCol w:w="1276"/>
              <w:gridCol w:w="853"/>
              <w:gridCol w:w="991"/>
              <w:gridCol w:w="851"/>
              <w:gridCol w:w="851"/>
              <w:gridCol w:w="939"/>
              <w:gridCol w:w="939"/>
              <w:gridCol w:w="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94" w:type="dxa"/>
                  <w:vMerge w:val="restart"/>
                  <w:tcBorders>
                    <w:top w:val="single" w:color="auto" w:sz="12" w:space="0"/>
                    <w:bottom w:val="single" w:color="auto" w:sz="6" w:space="0"/>
                  </w:tcBorders>
                  <w:shd w:val="clear" w:color="auto" w:fill="auto"/>
                  <w:vAlign w:val="center"/>
                </w:tcPr>
                <w:p>
                  <w:pPr>
                    <w:jc w:val="left"/>
                    <w:rPr>
                      <w:bCs/>
                      <w:color w:val="auto"/>
                      <w:sz w:val="21"/>
                      <w:szCs w:val="21"/>
                    </w:rPr>
                  </w:pPr>
                  <w:r>
                    <w:rPr>
                      <w:rFonts w:hint="eastAsia"/>
                      <w:bCs/>
                      <w:color w:val="auto"/>
                      <w:sz w:val="21"/>
                      <w:szCs w:val="21"/>
                    </w:rPr>
                    <w:t>样品标识</w:t>
                  </w:r>
                </w:p>
              </w:tc>
              <w:tc>
                <w:tcPr>
                  <w:tcW w:w="1276" w:type="dxa"/>
                  <w:vMerge w:val="restart"/>
                  <w:tcBorders>
                    <w:top w:val="single" w:color="auto" w:sz="12" w:space="0"/>
                    <w:bottom w:val="single" w:color="auto" w:sz="6" w:space="0"/>
                  </w:tcBorders>
                  <w:shd w:val="clear" w:color="auto" w:fill="auto"/>
                  <w:vAlign w:val="center"/>
                </w:tcPr>
                <w:p>
                  <w:pPr>
                    <w:widowControl/>
                    <w:jc w:val="left"/>
                    <w:textAlignment w:val="bottom"/>
                    <w:rPr>
                      <w:bCs/>
                      <w:color w:val="auto"/>
                      <w:sz w:val="21"/>
                      <w:szCs w:val="21"/>
                    </w:rPr>
                  </w:pPr>
                  <w:r>
                    <w:rPr>
                      <w:bCs/>
                      <w:color w:val="auto"/>
                      <w:sz w:val="21"/>
                      <w:szCs w:val="21"/>
                    </w:rPr>
                    <w:t>性状描述</w:t>
                  </w:r>
                </w:p>
              </w:tc>
              <w:tc>
                <w:tcPr>
                  <w:tcW w:w="6370" w:type="dxa"/>
                  <w:gridSpan w:val="7"/>
                  <w:tcBorders>
                    <w:top w:val="single" w:color="auto" w:sz="12" w:space="0"/>
                    <w:bottom w:val="single" w:color="auto" w:sz="6" w:space="0"/>
                  </w:tcBorders>
                  <w:shd w:val="clear" w:color="auto" w:fill="auto"/>
                  <w:vAlign w:val="center"/>
                </w:tcPr>
                <w:p>
                  <w:pPr>
                    <w:jc w:val="center"/>
                    <w:rPr>
                      <w:color w:val="auto"/>
                      <w:sz w:val="21"/>
                      <w:szCs w:val="21"/>
                    </w:rPr>
                  </w:pPr>
                  <w:r>
                    <w:rPr>
                      <w:color w:val="auto"/>
                      <w:sz w:val="21"/>
                      <w:szCs w:val="21"/>
                    </w:rPr>
                    <w:t>检测项目及结果（mg/</w:t>
                  </w:r>
                  <w:r>
                    <w:rPr>
                      <w:rFonts w:hint="eastAsia"/>
                      <w:color w:val="auto"/>
                      <w:sz w:val="21"/>
                      <w:szCs w:val="21"/>
                    </w:rPr>
                    <w:t>kg</w:t>
                  </w:r>
                  <w:r>
                    <w:rPr>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94" w:type="dxa"/>
                  <w:vMerge w:val="continue"/>
                  <w:tcBorders>
                    <w:top w:val="single" w:color="auto" w:sz="6" w:space="0"/>
                    <w:bottom w:val="single" w:color="auto" w:sz="6" w:space="0"/>
                  </w:tcBorders>
                  <w:shd w:val="clear" w:color="auto" w:fill="auto"/>
                  <w:vAlign w:val="center"/>
                </w:tcPr>
                <w:p>
                  <w:pPr>
                    <w:jc w:val="left"/>
                    <w:rPr>
                      <w:color w:val="auto"/>
                      <w:sz w:val="21"/>
                      <w:szCs w:val="21"/>
                    </w:rPr>
                  </w:pPr>
                </w:p>
              </w:tc>
              <w:tc>
                <w:tcPr>
                  <w:tcW w:w="1276" w:type="dxa"/>
                  <w:vMerge w:val="continue"/>
                  <w:tcBorders>
                    <w:top w:val="single" w:color="auto" w:sz="6" w:space="0"/>
                    <w:bottom w:val="single" w:color="auto" w:sz="6" w:space="0"/>
                  </w:tcBorders>
                  <w:shd w:val="clear" w:color="auto" w:fill="auto"/>
                  <w:vAlign w:val="center"/>
                </w:tcPr>
                <w:p>
                  <w:pPr>
                    <w:jc w:val="left"/>
                    <w:rPr>
                      <w:color w:val="auto"/>
                      <w:sz w:val="21"/>
                      <w:szCs w:val="21"/>
                    </w:rPr>
                  </w:pPr>
                </w:p>
              </w:tc>
              <w:tc>
                <w:tcPr>
                  <w:tcW w:w="853" w:type="dxa"/>
                  <w:tcBorders>
                    <w:top w:val="single" w:color="auto" w:sz="6" w:space="0"/>
                    <w:bottom w:val="single" w:color="auto" w:sz="6" w:space="0"/>
                  </w:tcBorders>
                  <w:shd w:val="clear" w:color="auto" w:fill="auto"/>
                  <w:vAlign w:val="center"/>
                </w:tcPr>
                <w:p>
                  <w:pPr>
                    <w:jc w:val="left"/>
                    <w:rPr>
                      <w:color w:val="auto"/>
                      <w:sz w:val="21"/>
                      <w:szCs w:val="21"/>
                    </w:rPr>
                  </w:pPr>
                  <w:r>
                    <w:rPr>
                      <w:rFonts w:hint="eastAsia" w:hAnsi="宋体"/>
                      <w:color w:val="auto"/>
                      <w:sz w:val="21"/>
                      <w:szCs w:val="21"/>
                    </w:rPr>
                    <w:t>砷</w:t>
                  </w:r>
                </w:p>
              </w:tc>
              <w:tc>
                <w:tcPr>
                  <w:tcW w:w="991" w:type="dxa"/>
                  <w:tcBorders>
                    <w:top w:val="single" w:color="auto" w:sz="6" w:space="0"/>
                    <w:bottom w:val="single" w:color="auto" w:sz="6" w:space="0"/>
                  </w:tcBorders>
                  <w:shd w:val="clear" w:color="auto" w:fill="auto"/>
                  <w:vAlign w:val="center"/>
                </w:tcPr>
                <w:p>
                  <w:pPr>
                    <w:jc w:val="left"/>
                    <w:rPr>
                      <w:rFonts w:hAnsi="宋体"/>
                      <w:color w:val="auto"/>
                      <w:sz w:val="21"/>
                      <w:szCs w:val="21"/>
                    </w:rPr>
                  </w:pPr>
                  <w:r>
                    <w:rPr>
                      <w:rFonts w:hint="eastAsia" w:hAnsi="宋体"/>
                      <w:color w:val="auto"/>
                      <w:sz w:val="21"/>
                      <w:szCs w:val="21"/>
                    </w:rPr>
                    <w:t>汞</w:t>
                  </w:r>
                </w:p>
              </w:tc>
              <w:tc>
                <w:tcPr>
                  <w:tcW w:w="851" w:type="dxa"/>
                  <w:tcBorders>
                    <w:top w:val="single" w:color="auto" w:sz="6" w:space="0"/>
                    <w:bottom w:val="single" w:color="auto" w:sz="6" w:space="0"/>
                  </w:tcBorders>
                  <w:shd w:val="clear" w:color="auto" w:fill="auto"/>
                  <w:vAlign w:val="center"/>
                </w:tcPr>
                <w:p>
                  <w:pPr>
                    <w:jc w:val="left"/>
                    <w:rPr>
                      <w:rFonts w:hAnsi="宋体"/>
                      <w:color w:val="auto"/>
                      <w:sz w:val="21"/>
                      <w:szCs w:val="21"/>
                    </w:rPr>
                  </w:pPr>
                  <w:r>
                    <w:rPr>
                      <w:rFonts w:hint="eastAsia" w:hAnsi="宋体"/>
                      <w:color w:val="auto"/>
                      <w:sz w:val="21"/>
                      <w:szCs w:val="21"/>
                    </w:rPr>
                    <w:t>六价铬</w:t>
                  </w:r>
                </w:p>
              </w:tc>
              <w:tc>
                <w:tcPr>
                  <w:tcW w:w="851" w:type="dxa"/>
                  <w:tcBorders>
                    <w:top w:val="single" w:color="auto" w:sz="6" w:space="0"/>
                    <w:bottom w:val="single" w:color="auto" w:sz="6" w:space="0"/>
                  </w:tcBorders>
                  <w:shd w:val="clear" w:color="auto" w:fill="auto"/>
                  <w:vAlign w:val="center"/>
                </w:tcPr>
                <w:p>
                  <w:pPr>
                    <w:jc w:val="left"/>
                    <w:rPr>
                      <w:rFonts w:hAnsi="宋体"/>
                      <w:color w:val="auto"/>
                      <w:sz w:val="21"/>
                      <w:szCs w:val="21"/>
                    </w:rPr>
                  </w:pPr>
                  <w:r>
                    <w:rPr>
                      <w:rFonts w:hint="eastAsia" w:hAnsi="宋体"/>
                      <w:color w:val="auto"/>
                      <w:sz w:val="21"/>
                      <w:szCs w:val="21"/>
                    </w:rPr>
                    <w:t>镉</w:t>
                  </w:r>
                </w:p>
              </w:tc>
              <w:tc>
                <w:tcPr>
                  <w:tcW w:w="939" w:type="dxa"/>
                  <w:tcBorders>
                    <w:top w:val="single" w:color="auto" w:sz="6" w:space="0"/>
                    <w:bottom w:val="single" w:color="auto" w:sz="6" w:space="0"/>
                  </w:tcBorders>
                  <w:shd w:val="clear" w:color="auto" w:fill="auto"/>
                  <w:vAlign w:val="center"/>
                </w:tcPr>
                <w:p>
                  <w:pPr>
                    <w:jc w:val="left"/>
                    <w:rPr>
                      <w:rFonts w:hAnsi="宋体"/>
                      <w:color w:val="auto"/>
                      <w:sz w:val="21"/>
                      <w:szCs w:val="21"/>
                    </w:rPr>
                  </w:pPr>
                  <w:r>
                    <w:rPr>
                      <w:rFonts w:hint="eastAsia" w:hAnsi="宋体"/>
                      <w:color w:val="auto"/>
                      <w:sz w:val="21"/>
                      <w:szCs w:val="21"/>
                    </w:rPr>
                    <w:t>铜</w:t>
                  </w:r>
                </w:p>
              </w:tc>
              <w:tc>
                <w:tcPr>
                  <w:tcW w:w="939" w:type="dxa"/>
                  <w:tcBorders>
                    <w:top w:val="single" w:color="auto" w:sz="6" w:space="0"/>
                    <w:bottom w:val="single" w:color="auto" w:sz="6" w:space="0"/>
                  </w:tcBorders>
                  <w:shd w:val="clear" w:color="auto" w:fill="auto"/>
                  <w:vAlign w:val="center"/>
                </w:tcPr>
                <w:p>
                  <w:pPr>
                    <w:jc w:val="left"/>
                    <w:rPr>
                      <w:rFonts w:hAnsi="宋体"/>
                      <w:color w:val="auto"/>
                      <w:sz w:val="21"/>
                      <w:szCs w:val="21"/>
                    </w:rPr>
                  </w:pPr>
                  <w:r>
                    <w:rPr>
                      <w:rFonts w:hint="eastAsia" w:hAnsi="宋体"/>
                      <w:color w:val="auto"/>
                      <w:sz w:val="21"/>
                      <w:szCs w:val="21"/>
                    </w:rPr>
                    <w:t>镍</w:t>
                  </w:r>
                </w:p>
              </w:tc>
              <w:tc>
                <w:tcPr>
                  <w:tcW w:w="946" w:type="dxa"/>
                  <w:tcBorders>
                    <w:top w:val="single" w:color="auto" w:sz="6" w:space="0"/>
                    <w:bottom w:val="single" w:color="auto" w:sz="6" w:space="0"/>
                  </w:tcBorders>
                  <w:shd w:val="clear" w:color="auto" w:fill="auto"/>
                  <w:vAlign w:val="center"/>
                </w:tcPr>
                <w:p>
                  <w:pPr>
                    <w:jc w:val="left"/>
                    <w:rPr>
                      <w:color w:val="auto"/>
                      <w:sz w:val="21"/>
                      <w:szCs w:val="21"/>
                    </w:rPr>
                  </w:pPr>
                  <w:r>
                    <w:rPr>
                      <w:rFonts w:hint="eastAsia" w:hAnsi="宋体"/>
                      <w:color w:val="auto"/>
                      <w:sz w:val="21"/>
                      <w:szCs w:val="21"/>
                    </w:rPr>
                    <w:t>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94" w:type="dxa"/>
                  <w:shd w:val="clear" w:color="auto" w:fill="auto"/>
                  <w:vAlign w:val="center"/>
                </w:tcPr>
                <w:p>
                  <w:pPr>
                    <w:ind w:left="-160" w:leftChars="-50" w:right="-160" w:rightChars="-50"/>
                    <w:jc w:val="left"/>
                    <w:rPr>
                      <w:bCs/>
                      <w:color w:val="auto"/>
                      <w:sz w:val="21"/>
                      <w:szCs w:val="21"/>
                    </w:rPr>
                  </w:pPr>
                  <w:r>
                    <w:rPr>
                      <w:rFonts w:hint="eastAsia"/>
                      <w:color w:val="auto"/>
                      <w:sz w:val="21"/>
                      <w:szCs w:val="21"/>
                    </w:rPr>
                    <w:t>XW3(0-0.5m)</w:t>
                  </w:r>
                </w:p>
              </w:tc>
              <w:tc>
                <w:tcPr>
                  <w:tcW w:w="1276" w:type="dxa"/>
                  <w:shd w:val="clear" w:color="auto" w:fill="auto"/>
                  <w:vAlign w:val="center"/>
                </w:tcPr>
                <w:p>
                  <w:pPr>
                    <w:jc w:val="left"/>
                    <w:rPr>
                      <w:color w:val="auto"/>
                      <w:sz w:val="21"/>
                      <w:szCs w:val="21"/>
                    </w:rPr>
                  </w:pPr>
                  <w:r>
                    <w:rPr>
                      <w:rFonts w:hint="eastAsia"/>
                      <w:color w:val="auto"/>
                      <w:sz w:val="21"/>
                      <w:szCs w:val="21"/>
                    </w:rPr>
                    <w:t>黄褐色土壤</w:t>
                  </w:r>
                </w:p>
              </w:tc>
              <w:tc>
                <w:tcPr>
                  <w:tcW w:w="853" w:type="dxa"/>
                  <w:shd w:val="clear" w:color="auto" w:fill="auto"/>
                  <w:vAlign w:val="center"/>
                </w:tcPr>
                <w:p>
                  <w:pPr>
                    <w:jc w:val="left"/>
                    <w:rPr>
                      <w:color w:val="auto"/>
                      <w:sz w:val="21"/>
                      <w:szCs w:val="21"/>
                    </w:rPr>
                  </w:pPr>
                  <w:r>
                    <w:rPr>
                      <w:rFonts w:hint="eastAsia"/>
                      <w:color w:val="auto"/>
                      <w:sz w:val="21"/>
                      <w:szCs w:val="21"/>
                    </w:rPr>
                    <w:t>25.6</w:t>
                  </w:r>
                </w:p>
              </w:tc>
              <w:tc>
                <w:tcPr>
                  <w:tcW w:w="991" w:type="dxa"/>
                  <w:shd w:val="clear" w:color="auto" w:fill="auto"/>
                  <w:vAlign w:val="center"/>
                </w:tcPr>
                <w:p>
                  <w:pPr>
                    <w:jc w:val="left"/>
                    <w:rPr>
                      <w:color w:val="auto"/>
                      <w:sz w:val="21"/>
                      <w:szCs w:val="21"/>
                    </w:rPr>
                  </w:pPr>
                  <w:r>
                    <w:rPr>
                      <w:rFonts w:hint="eastAsia"/>
                      <w:color w:val="auto"/>
                      <w:sz w:val="21"/>
                      <w:szCs w:val="21"/>
                    </w:rPr>
                    <w:t>0.426</w:t>
                  </w:r>
                </w:p>
              </w:tc>
              <w:tc>
                <w:tcPr>
                  <w:tcW w:w="851" w:type="dxa"/>
                  <w:shd w:val="clear" w:color="auto" w:fill="auto"/>
                  <w:vAlign w:val="center"/>
                </w:tcPr>
                <w:p>
                  <w:pPr>
                    <w:jc w:val="left"/>
                    <w:rPr>
                      <w:color w:val="auto"/>
                      <w:sz w:val="21"/>
                      <w:szCs w:val="21"/>
                    </w:rPr>
                  </w:pPr>
                  <w:r>
                    <w:rPr>
                      <w:rFonts w:hint="eastAsia"/>
                      <w:color w:val="auto"/>
                      <w:sz w:val="21"/>
                      <w:szCs w:val="21"/>
                    </w:rPr>
                    <w:t>N.D</w:t>
                  </w:r>
                </w:p>
              </w:tc>
              <w:tc>
                <w:tcPr>
                  <w:tcW w:w="851" w:type="dxa"/>
                  <w:shd w:val="clear" w:color="auto" w:fill="auto"/>
                  <w:vAlign w:val="center"/>
                </w:tcPr>
                <w:p>
                  <w:pPr>
                    <w:jc w:val="left"/>
                    <w:rPr>
                      <w:color w:val="auto"/>
                      <w:sz w:val="21"/>
                      <w:szCs w:val="21"/>
                    </w:rPr>
                  </w:pPr>
                  <w:r>
                    <w:rPr>
                      <w:rFonts w:hint="eastAsia"/>
                      <w:color w:val="auto"/>
                      <w:sz w:val="21"/>
                      <w:szCs w:val="21"/>
                    </w:rPr>
                    <w:t>0.74</w:t>
                  </w:r>
                </w:p>
              </w:tc>
              <w:tc>
                <w:tcPr>
                  <w:tcW w:w="939" w:type="dxa"/>
                  <w:shd w:val="clear" w:color="auto" w:fill="auto"/>
                  <w:vAlign w:val="center"/>
                </w:tcPr>
                <w:p>
                  <w:pPr>
                    <w:jc w:val="left"/>
                    <w:rPr>
                      <w:color w:val="auto"/>
                      <w:sz w:val="21"/>
                      <w:szCs w:val="21"/>
                    </w:rPr>
                  </w:pPr>
                  <w:r>
                    <w:rPr>
                      <w:rFonts w:hint="eastAsia"/>
                      <w:color w:val="auto"/>
                      <w:sz w:val="21"/>
                      <w:szCs w:val="21"/>
                    </w:rPr>
                    <w:t>48</w:t>
                  </w:r>
                </w:p>
              </w:tc>
              <w:tc>
                <w:tcPr>
                  <w:tcW w:w="939" w:type="dxa"/>
                  <w:shd w:val="clear" w:color="auto" w:fill="auto"/>
                  <w:vAlign w:val="center"/>
                </w:tcPr>
                <w:p>
                  <w:pPr>
                    <w:jc w:val="left"/>
                    <w:rPr>
                      <w:color w:val="auto"/>
                      <w:sz w:val="21"/>
                      <w:szCs w:val="21"/>
                    </w:rPr>
                  </w:pPr>
                  <w:r>
                    <w:rPr>
                      <w:rFonts w:hint="eastAsia"/>
                      <w:color w:val="auto"/>
                      <w:sz w:val="21"/>
                      <w:szCs w:val="21"/>
                    </w:rPr>
                    <w:t>39</w:t>
                  </w:r>
                </w:p>
              </w:tc>
              <w:tc>
                <w:tcPr>
                  <w:tcW w:w="946" w:type="dxa"/>
                  <w:shd w:val="clear" w:color="auto" w:fill="auto"/>
                  <w:vAlign w:val="center"/>
                </w:tcPr>
                <w:p>
                  <w:pPr>
                    <w:jc w:val="left"/>
                    <w:rPr>
                      <w:color w:val="auto"/>
                      <w:sz w:val="21"/>
                      <w:szCs w:val="21"/>
                    </w:rPr>
                  </w:pPr>
                  <w:r>
                    <w:rPr>
                      <w:rFonts w:hint="eastAsia"/>
                      <w:color w:val="auto"/>
                      <w:sz w:val="21"/>
                      <w:szCs w:val="21"/>
                    </w:rPr>
                    <w:t>39.7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94" w:type="dxa"/>
                  <w:shd w:val="clear" w:color="auto" w:fill="auto"/>
                  <w:vAlign w:val="center"/>
                </w:tcPr>
                <w:p>
                  <w:pPr>
                    <w:ind w:left="-160" w:leftChars="-50" w:right="-160" w:rightChars="-50"/>
                    <w:jc w:val="left"/>
                    <w:rPr>
                      <w:color w:val="auto"/>
                      <w:sz w:val="21"/>
                      <w:szCs w:val="21"/>
                    </w:rPr>
                  </w:pPr>
                  <w:r>
                    <w:rPr>
                      <w:rFonts w:hint="eastAsia"/>
                      <w:color w:val="auto"/>
                      <w:sz w:val="21"/>
                      <w:szCs w:val="21"/>
                    </w:rPr>
                    <w:t>XW3(0.5-1m)</w:t>
                  </w:r>
                </w:p>
              </w:tc>
              <w:tc>
                <w:tcPr>
                  <w:tcW w:w="1276" w:type="dxa"/>
                  <w:shd w:val="clear" w:color="auto" w:fill="auto"/>
                  <w:vAlign w:val="center"/>
                </w:tcPr>
                <w:p>
                  <w:pPr>
                    <w:jc w:val="left"/>
                    <w:rPr>
                      <w:rFonts w:hAnsi="宋体"/>
                      <w:color w:val="auto"/>
                      <w:sz w:val="21"/>
                      <w:szCs w:val="21"/>
                    </w:rPr>
                  </w:pPr>
                  <w:r>
                    <w:rPr>
                      <w:rFonts w:hint="eastAsia"/>
                      <w:color w:val="auto"/>
                      <w:sz w:val="21"/>
                      <w:szCs w:val="21"/>
                    </w:rPr>
                    <w:t>黄褐色土壤</w:t>
                  </w:r>
                </w:p>
              </w:tc>
              <w:tc>
                <w:tcPr>
                  <w:tcW w:w="853" w:type="dxa"/>
                  <w:shd w:val="clear" w:color="auto" w:fill="auto"/>
                  <w:vAlign w:val="center"/>
                </w:tcPr>
                <w:p>
                  <w:pPr>
                    <w:jc w:val="left"/>
                    <w:rPr>
                      <w:color w:val="auto"/>
                      <w:sz w:val="21"/>
                      <w:szCs w:val="21"/>
                    </w:rPr>
                  </w:pPr>
                  <w:r>
                    <w:rPr>
                      <w:rFonts w:hint="eastAsia"/>
                      <w:color w:val="auto"/>
                      <w:sz w:val="21"/>
                      <w:szCs w:val="21"/>
                    </w:rPr>
                    <w:t>3.39</w:t>
                  </w:r>
                </w:p>
              </w:tc>
              <w:tc>
                <w:tcPr>
                  <w:tcW w:w="991" w:type="dxa"/>
                  <w:shd w:val="clear" w:color="auto" w:fill="auto"/>
                  <w:vAlign w:val="center"/>
                </w:tcPr>
                <w:p>
                  <w:pPr>
                    <w:jc w:val="left"/>
                    <w:rPr>
                      <w:color w:val="auto"/>
                      <w:sz w:val="21"/>
                      <w:szCs w:val="21"/>
                    </w:rPr>
                  </w:pPr>
                  <w:r>
                    <w:rPr>
                      <w:rFonts w:hint="eastAsia"/>
                      <w:color w:val="auto"/>
                      <w:sz w:val="21"/>
                      <w:szCs w:val="21"/>
                    </w:rPr>
                    <w:t>0.300</w:t>
                  </w:r>
                </w:p>
              </w:tc>
              <w:tc>
                <w:tcPr>
                  <w:tcW w:w="851" w:type="dxa"/>
                  <w:shd w:val="clear" w:color="auto" w:fill="auto"/>
                  <w:vAlign w:val="center"/>
                </w:tcPr>
                <w:p>
                  <w:pPr>
                    <w:jc w:val="left"/>
                    <w:rPr>
                      <w:color w:val="auto"/>
                      <w:sz w:val="21"/>
                      <w:szCs w:val="21"/>
                    </w:rPr>
                  </w:pPr>
                  <w:r>
                    <w:rPr>
                      <w:rFonts w:hint="eastAsia"/>
                      <w:color w:val="auto"/>
                      <w:sz w:val="21"/>
                      <w:szCs w:val="21"/>
                    </w:rPr>
                    <w:t>N.D</w:t>
                  </w:r>
                </w:p>
              </w:tc>
              <w:tc>
                <w:tcPr>
                  <w:tcW w:w="851" w:type="dxa"/>
                  <w:shd w:val="clear" w:color="auto" w:fill="auto"/>
                  <w:vAlign w:val="center"/>
                </w:tcPr>
                <w:p>
                  <w:pPr>
                    <w:jc w:val="left"/>
                    <w:rPr>
                      <w:color w:val="auto"/>
                      <w:sz w:val="21"/>
                      <w:szCs w:val="21"/>
                    </w:rPr>
                  </w:pPr>
                  <w:r>
                    <w:rPr>
                      <w:rFonts w:hint="eastAsia"/>
                      <w:color w:val="auto"/>
                      <w:sz w:val="21"/>
                      <w:szCs w:val="21"/>
                    </w:rPr>
                    <w:t>0.44</w:t>
                  </w:r>
                </w:p>
              </w:tc>
              <w:tc>
                <w:tcPr>
                  <w:tcW w:w="939" w:type="dxa"/>
                  <w:shd w:val="clear" w:color="auto" w:fill="auto"/>
                  <w:vAlign w:val="center"/>
                </w:tcPr>
                <w:p>
                  <w:pPr>
                    <w:jc w:val="left"/>
                    <w:rPr>
                      <w:color w:val="auto"/>
                      <w:sz w:val="21"/>
                      <w:szCs w:val="21"/>
                    </w:rPr>
                  </w:pPr>
                  <w:r>
                    <w:rPr>
                      <w:rFonts w:hint="eastAsia"/>
                      <w:color w:val="auto"/>
                      <w:sz w:val="21"/>
                      <w:szCs w:val="21"/>
                    </w:rPr>
                    <w:t>35</w:t>
                  </w:r>
                </w:p>
              </w:tc>
              <w:tc>
                <w:tcPr>
                  <w:tcW w:w="939" w:type="dxa"/>
                  <w:shd w:val="clear" w:color="auto" w:fill="auto"/>
                  <w:vAlign w:val="center"/>
                </w:tcPr>
                <w:p>
                  <w:pPr>
                    <w:jc w:val="left"/>
                    <w:rPr>
                      <w:color w:val="auto"/>
                      <w:sz w:val="21"/>
                      <w:szCs w:val="21"/>
                    </w:rPr>
                  </w:pPr>
                  <w:r>
                    <w:rPr>
                      <w:rFonts w:hint="eastAsia"/>
                      <w:color w:val="auto"/>
                      <w:sz w:val="21"/>
                      <w:szCs w:val="21"/>
                    </w:rPr>
                    <w:t>24</w:t>
                  </w:r>
                </w:p>
              </w:tc>
              <w:tc>
                <w:tcPr>
                  <w:tcW w:w="946" w:type="dxa"/>
                  <w:shd w:val="clear" w:color="auto" w:fill="auto"/>
                  <w:vAlign w:val="center"/>
                </w:tcPr>
                <w:p>
                  <w:pPr>
                    <w:jc w:val="left"/>
                    <w:rPr>
                      <w:color w:val="auto"/>
                      <w:sz w:val="21"/>
                      <w:szCs w:val="21"/>
                    </w:rPr>
                  </w:pPr>
                  <w:r>
                    <w:rPr>
                      <w:rFonts w:hint="eastAsia"/>
                      <w:color w:val="auto"/>
                      <w:sz w:val="21"/>
                      <w:szCs w:val="21"/>
                    </w:rPr>
                    <w:t>22.4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94" w:type="dxa"/>
                  <w:shd w:val="clear" w:color="auto" w:fill="auto"/>
                  <w:vAlign w:val="center"/>
                </w:tcPr>
                <w:p>
                  <w:pPr>
                    <w:ind w:left="-160" w:leftChars="-50" w:right="-160" w:rightChars="-50"/>
                    <w:jc w:val="left"/>
                    <w:rPr>
                      <w:color w:val="auto"/>
                      <w:sz w:val="21"/>
                      <w:szCs w:val="21"/>
                    </w:rPr>
                  </w:pPr>
                  <w:r>
                    <w:rPr>
                      <w:rFonts w:hint="eastAsia"/>
                      <w:color w:val="auto"/>
                      <w:sz w:val="21"/>
                      <w:szCs w:val="21"/>
                    </w:rPr>
                    <w:t>XW3(1.-1.5m)</w:t>
                  </w:r>
                </w:p>
              </w:tc>
              <w:tc>
                <w:tcPr>
                  <w:tcW w:w="1276" w:type="dxa"/>
                  <w:shd w:val="clear" w:color="auto" w:fill="auto"/>
                  <w:vAlign w:val="center"/>
                </w:tcPr>
                <w:p>
                  <w:pPr>
                    <w:jc w:val="left"/>
                    <w:rPr>
                      <w:rFonts w:hAnsi="宋体"/>
                      <w:color w:val="auto"/>
                      <w:sz w:val="21"/>
                      <w:szCs w:val="21"/>
                    </w:rPr>
                  </w:pPr>
                  <w:r>
                    <w:rPr>
                      <w:rFonts w:hint="eastAsia"/>
                      <w:color w:val="auto"/>
                      <w:sz w:val="21"/>
                      <w:szCs w:val="21"/>
                    </w:rPr>
                    <w:t>黄褐色土壤</w:t>
                  </w:r>
                </w:p>
              </w:tc>
              <w:tc>
                <w:tcPr>
                  <w:tcW w:w="853" w:type="dxa"/>
                  <w:shd w:val="clear" w:color="auto" w:fill="auto"/>
                  <w:vAlign w:val="center"/>
                </w:tcPr>
                <w:p>
                  <w:pPr>
                    <w:jc w:val="left"/>
                    <w:rPr>
                      <w:color w:val="auto"/>
                      <w:sz w:val="21"/>
                      <w:szCs w:val="21"/>
                    </w:rPr>
                  </w:pPr>
                  <w:r>
                    <w:rPr>
                      <w:rFonts w:hint="eastAsia"/>
                      <w:color w:val="auto"/>
                      <w:sz w:val="21"/>
                      <w:szCs w:val="21"/>
                    </w:rPr>
                    <w:t>8.32</w:t>
                  </w:r>
                </w:p>
              </w:tc>
              <w:tc>
                <w:tcPr>
                  <w:tcW w:w="991" w:type="dxa"/>
                  <w:shd w:val="clear" w:color="auto" w:fill="auto"/>
                  <w:vAlign w:val="center"/>
                </w:tcPr>
                <w:p>
                  <w:pPr>
                    <w:jc w:val="left"/>
                    <w:rPr>
                      <w:color w:val="auto"/>
                      <w:sz w:val="21"/>
                      <w:szCs w:val="21"/>
                    </w:rPr>
                  </w:pPr>
                  <w:r>
                    <w:rPr>
                      <w:rFonts w:hint="eastAsia"/>
                      <w:color w:val="auto"/>
                      <w:sz w:val="21"/>
                      <w:szCs w:val="21"/>
                    </w:rPr>
                    <w:t>0.070</w:t>
                  </w:r>
                </w:p>
              </w:tc>
              <w:tc>
                <w:tcPr>
                  <w:tcW w:w="851" w:type="dxa"/>
                  <w:shd w:val="clear" w:color="auto" w:fill="auto"/>
                  <w:vAlign w:val="center"/>
                </w:tcPr>
                <w:p>
                  <w:pPr>
                    <w:jc w:val="left"/>
                    <w:rPr>
                      <w:color w:val="auto"/>
                      <w:sz w:val="21"/>
                      <w:szCs w:val="21"/>
                    </w:rPr>
                  </w:pPr>
                  <w:r>
                    <w:rPr>
                      <w:rFonts w:hint="eastAsia"/>
                      <w:color w:val="auto"/>
                      <w:sz w:val="21"/>
                      <w:szCs w:val="21"/>
                    </w:rPr>
                    <w:t>N.D</w:t>
                  </w:r>
                </w:p>
              </w:tc>
              <w:tc>
                <w:tcPr>
                  <w:tcW w:w="851" w:type="dxa"/>
                  <w:shd w:val="clear" w:color="auto" w:fill="auto"/>
                  <w:vAlign w:val="center"/>
                </w:tcPr>
                <w:p>
                  <w:pPr>
                    <w:jc w:val="left"/>
                    <w:rPr>
                      <w:color w:val="auto"/>
                      <w:sz w:val="21"/>
                      <w:szCs w:val="21"/>
                    </w:rPr>
                  </w:pPr>
                  <w:r>
                    <w:rPr>
                      <w:rFonts w:hint="eastAsia"/>
                      <w:color w:val="auto"/>
                      <w:sz w:val="21"/>
                      <w:szCs w:val="21"/>
                    </w:rPr>
                    <w:t>0.29</w:t>
                  </w:r>
                </w:p>
              </w:tc>
              <w:tc>
                <w:tcPr>
                  <w:tcW w:w="939" w:type="dxa"/>
                  <w:shd w:val="clear" w:color="auto" w:fill="auto"/>
                  <w:vAlign w:val="center"/>
                </w:tcPr>
                <w:p>
                  <w:pPr>
                    <w:jc w:val="left"/>
                    <w:rPr>
                      <w:color w:val="auto"/>
                      <w:sz w:val="21"/>
                      <w:szCs w:val="21"/>
                    </w:rPr>
                  </w:pPr>
                  <w:r>
                    <w:rPr>
                      <w:rFonts w:hint="eastAsia"/>
                      <w:color w:val="auto"/>
                      <w:sz w:val="21"/>
                      <w:szCs w:val="21"/>
                    </w:rPr>
                    <w:t>30</w:t>
                  </w:r>
                </w:p>
              </w:tc>
              <w:tc>
                <w:tcPr>
                  <w:tcW w:w="939" w:type="dxa"/>
                  <w:shd w:val="clear" w:color="auto" w:fill="auto"/>
                  <w:vAlign w:val="center"/>
                </w:tcPr>
                <w:p>
                  <w:pPr>
                    <w:jc w:val="left"/>
                    <w:rPr>
                      <w:color w:val="auto"/>
                      <w:sz w:val="21"/>
                      <w:szCs w:val="21"/>
                    </w:rPr>
                  </w:pPr>
                  <w:r>
                    <w:rPr>
                      <w:rFonts w:hint="eastAsia"/>
                      <w:color w:val="auto"/>
                      <w:sz w:val="21"/>
                      <w:szCs w:val="21"/>
                    </w:rPr>
                    <w:t>26</w:t>
                  </w:r>
                </w:p>
              </w:tc>
              <w:tc>
                <w:tcPr>
                  <w:tcW w:w="946" w:type="dxa"/>
                  <w:shd w:val="clear" w:color="auto" w:fill="auto"/>
                  <w:vAlign w:val="center"/>
                </w:tcPr>
                <w:p>
                  <w:pPr>
                    <w:jc w:val="left"/>
                    <w:rPr>
                      <w:color w:val="auto"/>
                      <w:sz w:val="21"/>
                      <w:szCs w:val="21"/>
                    </w:rPr>
                  </w:pPr>
                  <w:r>
                    <w:rPr>
                      <w:rFonts w:hint="eastAsia"/>
                      <w:color w:val="auto"/>
                      <w:sz w:val="21"/>
                      <w:szCs w:val="21"/>
                    </w:rPr>
                    <w:t>19.6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94" w:type="dxa"/>
                  <w:shd w:val="clear" w:color="auto" w:fill="auto"/>
                  <w:vAlign w:val="center"/>
                </w:tcPr>
                <w:p>
                  <w:pPr>
                    <w:ind w:left="-160" w:leftChars="-50" w:right="-160" w:rightChars="-50"/>
                    <w:jc w:val="left"/>
                    <w:rPr>
                      <w:bCs/>
                      <w:color w:val="auto"/>
                      <w:sz w:val="21"/>
                      <w:szCs w:val="21"/>
                    </w:rPr>
                  </w:pPr>
                  <w:r>
                    <w:rPr>
                      <w:rFonts w:hint="eastAsia"/>
                      <w:color w:val="auto"/>
                      <w:sz w:val="21"/>
                      <w:szCs w:val="21"/>
                    </w:rPr>
                    <w:t>XW4(0-0.5m)</w:t>
                  </w:r>
                </w:p>
              </w:tc>
              <w:tc>
                <w:tcPr>
                  <w:tcW w:w="1276" w:type="dxa"/>
                  <w:shd w:val="clear" w:color="auto" w:fill="auto"/>
                  <w:vAlign w:val="center"/>
                </w:tcPr>
                <w:p>
                  <w:pPr>
                    <w:jc w:val="left"/>
                    <w:rPr>
                      <w:color w:val="auto"/>
                      <w:sz w:val="21"/>
                      <w:szCs w:val="21"/>
                    </w:rPr>
                  </w:pPr>
                  <w:r>
                    <w:rPr>
                      <w:rFonts w:hint="eastAsia"/>
                      <w:color w:val="auto"/>
                      <w:sz w:val="21"/>
                      <w:szCs w:val="21"/>
                    </w:rPr>
                    <w:t>黄褐色土壤</w:t>
                  </w:r>
                </w:p>
              </w:tc>
              <w:tc>
                <w:tcPr>
                  <w:tcW w:w="853" w:type="dxa"/>
                  <w:shd w:val="clear" w:color="auto" w:fill="auto"/>
                  <w:vAlign w:val="center"/>
                </w:tcPr>
                <w:p>
                  <w:pPr>
                    <w:jc w:val="left"/>
                    <w:rPr>
                      <w:color w:val="auto"/>
                      <w:sz w:val="21"/>
                      <w:szCs w:val="21"/>
                    </w:rPr>
                  </w:pPr>
                  <w:r>
                    <w:rPr>
                      <w:rFonts w:hint="eastAsia"/>
                      <w:color w:val="auto"/>
                      <w:sz w:val="21"/>
                      <w:szCs w:val="21"/>
                    </w:rPr>
                    <w:t>21.5</w:t>
                  </w:r>
                </w:p>
              </w:tc>
              <w:tc>
                <w:tcPr>
                  <w:tcW w:w="991" w:type="dxa"/>
                  <w:shd w:val="clear" w:color="auto" w:fill="auto"/>
                  <w:vAlign w:val="center"/>
                </w:tcPr>
                <w:p>
                  <w:pPr>
                    <w:jc w:val="left"/>
                    <w:rPr>
                      <w:color w:val="auto"/>
                      <w:sz w:val="21"/>
                      <w:szCs w:val="21"/>
                    </w:rPr>
                  </w:pPr>
                  <w:r>
                    <w:rPr>
                      <w:rFonts w:hint="eastAsia"/>
                      <w:color w:val="auto"/>
                      <w:sz w:val="21"/>
                      <w:szCs w:val="21"/>
                    </w:rPr>
                    <w:t>0.315</w:t>
                  </w:r>
                </w:p>
              </w:tc>
              <w:tc>
                <w:tcPr>
                  <w:tcW w:w="851" w:type="dxa"/>
                  <w:shd w:val="clear" w:color="auto" w:fill="auto"/>
                  <w:vAlign w:val="center"/>
                </w:tcPr>
                <w:p>
                  <w:pPr>
                    <w:jc w:val="left"/>
                    <w:rPr>
                      <w:color w:val="auto"/>
                      <w:sz w:val="21"/>
                      <w:szCs w:val="21"/>
                    </w:rPr>
                  </w:pPr>
                  <w:r>
                    <w:rPr>
                      <w:rFonts w:hint="eastAsia"/>
                      <w:color w:val="auto"/>
                      <w:sz w:val="21"/>
                      <w:szCs w:val="21"/>
                    </w:rPr>
                    <w:t>N.D</w:t>
                  </w:r>
                </w:p>
              </w:tc>
              <w:tc>
                <w:tcPr>
                  <w:tcW w:w="851" w:type="dxa"/>
                  <w:shd w:val="clear" w:color="auto" w:fill="auto"/>
                  <w:vAlign w:val="center"/>
                </w:tcPr>
                <w:p>
                  <w:pPr>
                    <w:jc w:val="left"/>
                    <w:rPr>
                      <w:color w:val="auto"/>
                      <w:sz w:val="21"/>
                      <w:szCs w:val="21"/>
                    </w:rPr>
                  </w:pPr>
                  <w:r>
                    <w:rPr>
                      <w:rFonts w:hint="eastAsia"/>
                      <w:color w:val="auto"/>
                      <w:sz w:val="21"/>
                      <w:szCs w:val="21"/>
                    </w:rPr>
                    <w:t>0.44</w:t>
                  </w:r>
                </w:p>
              </w:tc>
              <w:tc>
                <w:tcPr>
                  <w:tcW w:w="939" w:type="dxa"/>
                  <w:shd w:val="clear" w:color="auto" w:fill="auto"/>
                  <w:vAlign w:val="center"/>
                </w:tcPr>
                <w:p>
                  <w:pPr>
                    <w:jc w:val="left"/>
                    <w:rPr>
                      <w:color w:val="auto"/>
                      <w:sz w:val="21"/>
                      <w:szCs w:val="21"/>
                    </w:rPr>
                  </w:pPr>
                  <w:r>
                    <w:rPr>
                      <w:rFonts w:hint="eastAsia"/>
                      <w:color w:val="auto"/>
                      <w:sz w:val="21"/>
                      <w:szCs w:val="21"/>
                    </w:rPr>
                    <w:t>37</w:t>
                  </w:r>
                </w:p>
              </w:tc>
              <w:tc>
                <w:tcPr>
                  <w:tcW w:w="939" w:type="dxa"/>
                  <w:shd w:val="clear" w:color="auto" w:fill="auto"/>
                  <w:vAlign w:val="center"/>
                </w:tcPr>
                <w:p>
                  <w:pPr>
                    <w:jc w:val="left"/>
                    <w:rPr>
                      <w:color w:val="auto"/>
                      <w:sz w:val="21"/>
                      <w:szCs w:val="21"/>
                    </w:rPr>
                  </w:pPr>
                  <w:r>
                    <w:rPr>
                      <w:rFonts w:hint="eastAsia"/>
                      <w:color w:val="auto"/>
                      <w:sz w:val="21"/>
                      <w:szCs w:val="21"/>
                    </w:rPr>
                    <w:t>46</w:t>
                  </w:r>
                </w:p>
              </w:tc>
              <w:tc>
                <w:tcPr>
                  <w:tcW w:w="946" w:type="dxa"/>
                  <w:shd w:val="clear" w:color="auto" w:fill="auto"/>
                  <w:vAlign w:val="center"/>
                </w:tcPr>
                <w:p>
                  <w:pPr>
                    <w:jc w:val="left"/>
                    <w:rPr>
                      <w:color w:val="auto"/>
                      <w:sz w:val="21"/>
                      <w:szCs w:val="21"/>
                    </w:rPr>
                  </w:pPr>
                  <w:r>
                    <w:rPr>
                      <w:rFonts w:hint="eastAsia"/>
                      <w:color w:val="auto"/>
                      <w:sz w:val="21"/>
                      <w:szCs w:val="21"/>
                    </w:rPr>
                    <w:t>39.5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94" w:type="dxa"/>
                  <w:shd w:val="clear" w:color="auto" w:fill="auto"/>
                  <w:vAlign w:val="center"/>
                </w:tcPr>
                <w:p>
                  <w:pPr>
                    <w:ind w:left="-160" w:leftChars="-50" w:right="-160" w:rightChars="-50"/>
                    <w:jc w:val="left"/>
                    <w:rPr>
                      <w:bCs/>
                      <w:color w:val="auto"/>
                      <w:sz w:val="21"/>
                      <w:szCs w:val="21"/>
                    </w:rPr>
                  </w:pPr>
                  <w:r>
                    <w:rPr>
                      <w:rFonts w:hint="eastAsia"/>
                      <w:color w:val="auto"/>
                      <w:sz w:val="21"/>
                      <w:szCs w:val="21"/>
                    </w:rPr>
                    <w:t>XW4(0.5-1m)</w:t>
                  </w:r>
                </w:p>
              </w:tc>
              <w:tc>
                <w:tcPr>
                  <w:tcW w:w="1276" w:type="dxa"/>
                  <w:shd w:val="clear" w:color="auto" w:fill="auto"/>
                  <w:vAlign w:val="center"/>
                </w:tcPr>
                <w:p>
                  <w:pPr>
                    <w:jc w:val="left"/>
                    <w:rPr>
                      <w:color w:val="auto"/>
                      <w:sz w:val="21"/>
                      <w:szCs w:val="21"/>
                    </w:rPr>
                  </w:pPr>
                  <w:r>
                    <w:rPr>
                      <w:rFonts w:hint="eastAsia"/>
                      <w:color w:val="auto"/>
                      <w:sz w:val="21"/>
                      <w:szCs w:val="21"/>
                    </w:rPr>
                    <w:t>黄褐色土壤</w:t>
                  </w:r>
                </w:p>
              </w:tc>
              <w:tc>
                <w:tcPr>
                  <w:tcW w:w="853" w:type="dxa"/>
                  <w:shd w:val="clear" w:color="auto" w:fill="auto"/>
                  <w:vAlign w:val="center"/>
                </w:tcPr>
                <w:p>
                  <w:pPr>
                    <w:jc w:val="left"/>
                    <w:rPr>
                      <w:color w:val="auto"/>
                      <w:sz w:val="21"/>
                      <w:szCs w:val="21"/>
                    </w:rPr>
                  </w:pPr>
                  <w:r>
                    <w:rPr>
                      <w:rFonts w:hint="eastAsia"/>
                      <w:color w:val="auto"/>
                      <w:sz w:val="21"/>
                      <w:szCs w:val="21"/>
                    </w:rPr>
                    <w:t>11.3</w:t>
                  </w:r>
                </w:p>
              </w:tc>
              <w:tc>
                <w:tcPr>
                  <w:tcW w:w="991" w:type="dxa"/>
                  <w:shd w:val="clear" w:color="auto" w:fill="auto"/>
                  <w:vAlign w:val="center"/>
                </w:tcPr>
                <w:p>
                  <w:pPr>
                    <w:jc w:val="left"/>
                    <w:rPr>
                      <w:color w:val="auto"/>
                      <w:sz w:val="21"/>
                      <w:szCs w:val="21"/>
                    </w:rPr>
                  </w:pPr>
                  <w:r>
                    <w:rPr>
                      <w:rFonts w:hint="eastAsia"/>
                      <w:color w:val="auto"/>
                      <w:sz w:val="21"/>
                      <w:szCs w:val="21"/>
                    </w:rPr>
                    <w:t>0.196</w:t>
                  </w:r>
                </w:p>
              </w:tc>
              <w:tc>
                <w:tcPr>
                  <w:tcW w:w="851" w:type="dxa"/>
                  <w:shd w:val="clear" w:color="auto" w:fill="auto"/>
                  <w:vAlign w:val="center"/>
                </w:tcPr>
                <w:p>
                  <w:pPr>
                    <w:jc w:val="left"/>
                    <w:rPr>
                      <w:color w:val="auto"/>
                      <w:sz w:val="21"/>
                      <w:szCs w:val="21"/>
                    </w:rPr>
                  </w:pPr>
                  <w:r>
                    <w:rPr>
                      <w:rFonts w:hint="eastAsia"/>
                      <w:color w:val="auto"/>
                      <w:sz w:val="21"/>
                      <w:szCs w:val="21"/>
                    </w:rPr>
                    <w:t>N.D</w:t>
                  </w:r>
                </w:p>
              </w:tc>
              <w:tc>
                <w:tcPr>
                  <w:tcW w:w="851" w:type="dxa"/>
                  <w:shd w:val="clear" w:color="auto" w:fill="auto"/>
                  <w:vAlign w:val="center"/>
                </w:tcPr>
                <w:p>
                  <w:pPr>
                    <w:jc w:val="left"/>
                    <w:rPr>
                      <w:color w:val="auto"/>
                      <w:sz w:val="21"/>
                      <w:szCs w:val="21"/>
                    </w:rPr>
                  </w:pPr>
                  <w:r>
                    <w:rPr>
                      <w:rFonts w:hint="eastAsia"/>
                      <w:color w:val="auto"/>
                      <w:sz w:val="21"/>
                      <w:szCs w:val="21"/>
                    </w:rPr>
                    <w:t>0.58</w:t>
                  </w:r>
                </w:p>
              </w:tc>
              <w:tc>
                <w:tcPr>
                  <w:tcW w:w="939" w:type="dxa"/>
                  <w:shd w:val="clear" w:color="auto" w:fill="auto"/>
                  <w:vAlign w:val="center"/>
                </w:tcPr>
                <w:p>
                  <w:pPr>
                    <w:jc w:val="left"/>
                    <w:rPr>
                      <w:color w:val="auto"/>
                      <w:sz w:val="21"/>
                      <w:szCs w:val="21"/>
                    </w:rPr>
                  </w:pPr>
                  <w:r>
                    <w:rPr>
                      <w:rFonts w:hint="eastAsia"/>
                      <w:color w:val="auto"/>
                      <w:sz w:val="21"/>
                      <w:szCs w:val="21"/>
                    </w:rPr>
                    <w:t>40</w:t>
                  </w:r>
                </w:p>
              </w:tc>
              <w:tc>
                <w:tcPr>
                  <w:tcW w:w="939" w:type="dxa"/>
                  <w:shd w:val="clear" w:color="auto" w:fill="auto"/>
                  <w:vAlign w:val="center"/>
                </w:tcPr>
                <w:p>
                  <w:pPr>
                    <w:jc w:val="left"/>
                    <w:rPr>
                      <w:color w:val="auto"/>
                      <w:sz w:val="21"/>
                      <w:szCs w:val="21"/>
                    </w:rPr>
                  </w:pPr>
                  <w:r>
                    <w:rPr>
                      <w:rFonts w:hint="eastAsia"/>
                      <w:color w:val="auto"/>
                      <w:sz w:val="21"/>
                      <w:szCs w:val="21"/>
                    </w:rPr>
                    <w:t>38</w:t>
                  </w:r>
                </w:p>
              </w:tc>
              <w:tc>
                <w:tcPr>
                  <w:tcW w:w="946" w:type="dxa"/>
                  <w:shd w:val="clear" w:color="auto" w:fill="auto"/>
                  <w:vAlign w:val="center"/>
                </w:tcPr>
                <w:p>
                  <w:pPr>
                    <w:jc w:val="left"/>
                    <w:rPr>
                      <w:color w:val="auto"/>
                      <w:sz w:val="21"/>
                      <w:szCs w:val="21"/>
                    </w:rPr>
                  </w:pPr>
                  <w:r>
                    <w:rPr>
                      <w:rFonts w:hint="eastAsia"/>
                      <w:color w:val="auto"/>
                      <w:sz w:val="21"/>
                      <w:szCs w:val="21"/>
                    </w:rPr>
                    <w:t>22.1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94" w:type="dxa"/>
                  <w:shd w:val="clear" w:color="auto" w:fill="auto"/>
                  <w:vAlign w:val="center"/>
                </w:tcPr>
                <w:p>
                  <w:pPr>
                    <w:ind w:left="-160" w:leftChars="-50" w:right="-160" w:rightChars="-50"/>
                    <w:jc w:val="left"/>
                    <w:rPr>
                      <w:bCs/>
                      <w:color w:val="auto"/>
                      <w:sz w:val="21"/>
                      <w:szCs w:val="21"/>
                    </w:rPr>
                  </w:pPr>
                  <w:r>
                    <w:rPr>
                      <w:rFonts w:hint="eastAsia"/>
                      <w:color w:val="auto"/>
                      <w:sz w:val="21"/>
                      <w:szCs w:val="21"/>
                    </w:rPr>
                    <w:t>XW4(1.-1.5m)</w:t>
                  </w:r>
                </w:p>
              </w:tc>
              <w:tc>
                <w:tcPr>
                  <w:tcW w:w="1276" w:type="dxa"/>
                  <w:shd w:val="clear" w:color="auto" w:fill="auto"/>
                  <w:vAlign w:val="center"/>
                </w:tcPr>
                <w:p>
                  <w:pPr>
                    <w:jc w:val="left"/>
                    <w:rPr>
                      <w:color w:val="auto"/>
                      <w:sz w:val="21"/>
                      <w:szCs w:val="21"/>
                    </w:rPr>
                  </w:pPr>
                  <w:r>
                    <w:rPr>
                      <w:rFonts w:hint="eastAsia"/>
                      <w:color w:val="auto"/>
                      <w:sz w:val="21"/>
                      <w:szCs w:val="21"/>
                    </w:rPr>
                    <w:t>黄褐色土壤</w:t>
                  </w:r>
                </w:p>
              </w:tc>
              <w:tc>
                <w:tcPr>
                  <w:tcW w:w="853" w:type="dxa"/>
                  <w:shd w:val="clear" w:color="auto" w:fill="auto"/>
                  <w:vAlign w:val="center"/>
                </w:tcPr>
                <w:p>
                  <w:pPr>
                    <w:jc w:val="left"/>
                    <w:rPr>
                      <w:color w:val="auto"/>
                      <w:sz w:val="21"/>
                      <w:szCs w:val="21"/>
                    </w:rPr>
                  </w:pPr>
                  <w:r>
                    <w:rPr>
                      <w:rFonts w:hint="eastAsia"/>
                      <w:color w:val="auto"/>
                      <w:sz w:val="21"/>
                      <w:szCs w:val="21"/>
                    </w:rPr>
                    <w:t>16.7</w:t>
                  </w:r>
                </w:p>
              </w:tc>
              <w:tc>
                <w:tcPr>
                  <w:tcW w:w="991" w:type="dxa"/>
                  <w:shd w:val="clear" w:color="auto" w:fill="auto"/>
                  <w:vAlign w:val="center"/>
                </w:tcPr>
                <w:p>
                  <w:pPr>
                    <w:jc w:val="left"/>
                    <w:rPr>
                      <w:color w:val="auto"/>
                      <w:sz w:val="21"/>
                      <w:szCs w:val="21"/>
                    </w:rPr>
                  </w:pPr>
                  <w:r>
                    <w:rPr>
                      <w:rFonts w:hint="eastAsia"/>
                      <w:color w:val="auto"/>
                      <w:sz w:val="21"/>
                      <w:szCs w:val="21"/>
                    </w:rPr>
                    <w:t>0.113</w:t>
                  </w:r>
                </w:p>
              </w:tc>
              <w:tc>
                <w:tcPr>
                  <w:tcW w:w="851" w:type="dxa"/>
                  <w:shd w:val="clear" w:color="auto" w:fill="auto"/>
                  <w:vAlign w:val="center"/>
                </w:tcPr>
                <w:p>
                  <w:pPr>
                    <w:jc w:val="left"/>
                    <w:rPr>
                      <w:color w:val="auto"/>
                      <w:sz w:val="21"/>
                      <w:szCs w:val="21"/>
                    </w:rPr>
                  </w:pPr>
                  <w:r>
                    <w:rPr>
                      <w:rFonts w:hint="eastAsia"/>
                      <w:color w:val="auto"/>
                      <w:sz w:val="21"/>
                      <w:szCs w:val="21"/>
                    </w:rPr>
                    <w:t>N.D</w:t>
                  </w:r>
                </w:p>
              </w:tc>
              <w:tc>
                <w:tcPr>
                  <w:tcW w:w="851" w:type="dxa"/>
                  <w:shd w:val="clear" w:color="auto" w:fill="auto"/>
                  <w:vAlign w:val="center"/>
                </w:tcPr>
                <w:p>
                  <w:pPr>
                    <w:jc w:val="left"/>
                    <w:rPr>
                      <w:color w:val="auto"/>
                      <w:sz w:val="21"/>
                      <w:szCs w:val="21"/>
                    </w:rPr>
                  </w:pPr>
                  <w:r>
                    <w:rPr>
                      <w:rFonts w:hint="eastAsia"/>
                      <w:color w:val="auto"/>
                      <w:sz w:val="21"/>
                      <w:szCs w:val="21"/>
                    </w:rPr>
                    <w:t>0.44</w:t>
                  </w:r>
                </w:p>
              </w:tc>
              <w:tc>
                <w:tcPr>
                  <w:tcW w:w="939" w:type="dxa"/>
                  <w:shd w:val="clear" w:color="auto" w:fill="auto"/>
                  <w:vAlign w:val="center"/>
                </w:tcPr>
                <w:p>
                  <w:pPr>
                    <w:jc w:val="left"/>
                    <w:rPr>
                      <w:color w:val="auto"/>
                      <w:sz w:val="21"/>
                      <w:szCs w:val="21"/>
                    </w:rPr>
                  </w:pPr>
                  <w:r>
                    <w:rPr>
                      <w:rFonts w:hint="eastAsia"/>
                      <w:color w:val="auto"/>
                      <w:sz w:val="21"/>
                      <w:szCs w:val="21"/>
                    </w:rPr>
                    <w:t>36</w:t>
                  </w:r>
                </w:p>
              </w:tc>
              <w:tc>
                <w:tcPr>
                  <w:tcW w:w="939" w:type="dxa"/>
                  <w:shd w:val="clear" w:color="auto" w:fill="auto"/>
                  <w:vAlign w:val="center"/>
                </w:tcPr>
                <w:p>
                  <w:pPr>
                    <w:jc w:val="left"/>
                    <w:rPr>
                      <w:color w:val="auto"/>
                      <w:sz w:val="21"/>
                      <w:szCs w:val="21"/>
                    </w:rPr>
                  </w:pPr>
                  <w:r>
                    <w:rPr>
                      <w:rFonts w:hint="eastAsia"/>
                      <w:color w:val="auto"/>
                      <w:sz w:val="21"/>
                      <w:szCs w:val="21"/>
                    </w:rPr>
                    <w:t>41</w:t>
                  </w:r>
                </w:p>
              </w:tc>
              <w:tc>
                <w:tcPr>
                  <w:tcW w:w="946" w:type="dxa"/>
                  <w:shd w:val="clear" w:color="auto" w:fill="auto"/>
                  <w:vAlign w:val="center"/>
                </w:tcPr>
                <w:p>
                  <w:pPr>
                    <w:jc w:val="left"/>
                    <w:rPr>
                      <w:color w:val="auto"/>
                      <w:sz w:val="21"/>
                      <w:szCs w:val="21"/>
                    </w:rPr>
                  </w:pPr>
                  <w:r>
                    <w:rPr>
                      <w:rFonts w:hint="eastAsia"/>
                      <w:color w:val="auto"/>
                      <w:sz w:val="21"/>
                      <w:szCs w:val="21"/>
                    </w:rPr>
                    <w:t>29.6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94" w:type="dxa"/>
                  <w:shd w:val="clear" w:color="auto" w:fill="auto"/>
                  <w:vAlign w:val="center"/>
                </w:tcPr>
                <w:p>
                  <w:pPr>
                    <w:ind w:left="-160" w:leftChars="-50" w:right="-160" w:rightChars="-50"/>
                    <w:jc w:val="left"/>
                    <w:rPr>
                      <w:bCs/>
                      <w:color w:val="auto"/>
                      <w:sz w:val="21"/>
                      <w:szCs w:val="21"/>
                    </w:rPr>
                  </w:pPr>
                  <w:r>
                    <w:rPr>
                      <w:rFonts w:hint="eastAsia"/>
                      <w:color w:val="auto"/>
                      <w:sz w:val="21"/>
                      <w:szCs w:val="21"/>
                    </w:rPr>
                    <w:t>XW5(0-0.5m)</w:t>
                  </w:r>
                </w:p>
              </w:tc>
              <w:tc>
                <w:tcPr>
                  <w:tcW w:w="1276" w:type="dxa"/>
                  <w:shd w:val="clear" w:color="auto" w:fill="auto"/>
                  <w:vAlign w:val="center"/>
                </w:tcPr>
                <w:p>
                  <w:pPr>
                    <w:jc w:val="left"/>
                    <w:rPr>
                      <w:color w:val="auto"/>
                      <w:sz w:val="21"/>
                      <w:szCs w:val="21"/>
                    </w:rPr>
                  </w:pPr>
                  <w:r>
                    <w:rPr>
                      <w:rFonts w:hint="eastAsia"/>
                      <w:color w:val="auto"/>
                      <w:sz w:val="21"/>
                      <w:szCs w:val="21"/>
                    </w:rPr>
                    <w:t>褐色土壤</w:t>
                  </w:r>
                </w:p>
              </w:tc>
              <w:tc>
                <w:tcPr>
                  <w:tcW w:w="853" w:type="dxa"/>
                  <w:shd w:val="clear" w:color="auto" w:fill="auto"/>
                  <w:vAlign w:val="center"/>
                </w:tcPr>
                <w:p>
                  <w:pPr>
                    <w:jc w:val="left"/>
                    <w:rPr>
                      <w:color w:val="auto"/>
                      <w:sz w:val="21"/>
                      <w:szCs w:val="21"/>
                    </w:rPr>
                  </w:pPr>
                  <w:r>
                    <w:rPr>
                      <w:rFonts w:hint="eastAsia"/>
                      <w:color w:val="auto"/>
                      <w:sz w:val="21"/>
                      <w:szCs w:val="21"/>
                    </w:rPr>
                    <w:t>55.8</w:t>
                  </w:r>
                </w:p>
              </w:tc>
              <w:tc>
                <w:tcPr>
                  <w:tcW w:w="991" w:type="dxa"/>
                  <w:shd w:val="clear" w:color="auto" w:fill="auto"/>
                  <w:vAlign w:val="center"/>
                </w:tcPr>
                <w:p>
                  <w:pPr>
                    <w:jc w:val="left"/>
                    <w:rPr>
                      <w:color w:val="auto"/>
                      <w:sz w:val="21"/>
                      <w:szCs w:val="21"/>
                    </w:rPr>
                  </w:pPr>
                  <w:r>
                    <w:rPr>
                      <w:rFonts w:hint="eastAsia"/>
                      <w:color w:val="auto"/>
                      <w:sz w:val="21"/>
                      <w:szCs w:val="21"/>
                    </w:rPr>
                    <w:t>0.917</w:t>
                  </w:r>
                </w:p>
              </w:tc>
              <w:tc>
                <w:tcPr>
                  <w:tcW w:w="851" w:type="dxa"/>
                  <w:shd w:val="clear" w:color="auto" w:fill="auto"/>
                  <w:vAlign w:val="center"/>
                </w:tcPr>
                <w:p>
                  <w:pPr>
                    <w:jc w:val="left"/>
                    <w:rPr>
                      <w:color w:val="auto"/>
                      <w:sz w:val="21"/>
                      <w:szCs w:val="21"/>
                    </w:rPr>
                  </w:pPr>
                  <w:r>
                    <w:rPr>
                      <w:rFonts w:hint="eastAsia"/>
                      <w:color w:val="auto"/>
                      <w:sz w:val="21"/>
                      <w:szCs w:val="21"/>
                    </w:rPr>
                    <w:t>N.D</w:t>
                  </w:r>
                </w:p>
              </w:tc>
              <w:tc>
                <w:tcPr>
                  <w:tcW w:w="851" w:type="dxa"/>
                  <w:shd w:val="clear" w:color="auto" w:fill="auto"/>
                  <w:vAlign w:val="center"/>
                </w:tcPr>
                <w:p>
                  <w:pPr>
                    <w:jc w:val="left"/>
                    <w:rPr>
                      <w:color w:val="auto"/>
                      <w:sz w:val="21"/>
                      <w:szCs w:val="21"/>
                    </w:rPr>
                  </w:pPr>
                  <w:r>
                    <w:rPr>
                      <w:rFonts w:hint="eastAsia"/>
                      <w:color w:val="auto"/>
                      <w:sz w:val="21"/>
                      <w:szCs w:val="21"/>
                    </w:rPr>
                    <w:t>9.56</w:t>
                  </w:r>
                </w:p>
              </w:tc>
              <w:tc>
                <w:tcPr>
                  <w:tcW w:w="939" w:type="dxa"/>
                  <w:shd w:val="clear" w:color="auto" w:fill="auto"/>
                  <w:vAlign w:val="center"/>
                </w:tcPr>
                <w:p>
                  <w:pPr>
                    <w:jc w:val="left"/>
                    <w:rPr>
                      <w:color w:val="auto"/>
                      <w:sz w:val="21"/>
                      <w:szCs w:val="21"/>
                    </w:rPr>
                  </w:pPr>
                  <w:r>
                    <w:rPr>
                      <w:rFonts w:hint="eastAsia"/>
                      <w:color w:val="auto"/>
                      <w:sz w:val="21"/>
                      <w:szCs w:val="21"/>
                    </w:rPr>
                    <w:t>85</w:t>
                  </w:r>
                </w:p>
              </w:tc>
              <w:tc>
                <w:tcPr>
                  <w:tcW w:w="939" w:type="dxa"/>
                  <w:shd w:val="clear" w:color="auto" w:fill="auto"/>
                  <w:vAlign w:val="center"/>
                </w:tcPr>
                <w:p>
                  <w:pPr>
                    <w:jc w:val="left"/>
                    <w:rPr>
                      <w:color w:val="auto"/>
                      <w:sz w:val="21"/>
                      <w:szCs w:val="21"/>
                    </w:rPr>
                  </w:pPr>
                  <w:r>
                    <w:rPr>
                      <w:rFonts w:hint="eastAsia"/>
                      <w:color w:val="auto"/>
                      <w:sz w:val="21"/>
                      <w:szCs w:val="21"/>
                    </w:rPr>
                    <w:t>42</w:t>
                  </w:r>
                </w:p>
              </w:tc>
              <w:tc>
                <w:tcPr>
                  <w:tcW w:w="946" w:type="dxa"/>
                  <w:shd w:val="clear" w:color="auto" w:fill="auto"/>
                  <w:vAlign w:val="center"/>
                </w:tcPr>
                <w:p>
                  <w:pPr>
                    <w:jc w:val="left"/>
                    <w:rPr>
                      <w:color w:val="auto"/>
                      <w:sz w:val="21"/>
                      <w:szCs w:val="21"/>
                    </w:rPr>
                  </w:pPr>
                  <w:r>
                    <w:rPr>
                      <w:rFonts w:hint="eastAsia"/>
                      <w:color w:val="auto"/>
                      <w:sz w:val="21"/>
                      <w:szCs w:val="21"/>
                    </w:rPr>
                    <w:t>381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94" w:type="dxa"/>
                  <w:shd w:val="clear" w:color="auto" w:fill="auto"/>
                  <w:vAlign w:val="center"/>
                </w:tcPr>
                <w:p>
                  <w:pPr>
                    <w:ind w:left="-160" w:leftChars="-50" w:right="-160" w:rightChars="-50"/>
                    <w:jc w:val="left"/>
                    <w:rPr>
                      <w:color w:val="auto"/>
                      <w:sz w:val="21"/>
                      <w:szCs w:val="21"/>
                    </w:rPr>
                  </w:pPr>
                  <w:r>
                    <w:rPr>
                      <w:rFonts w:hint="eastAsia"/>
                      <w:color w:val="auto"/>
                      <w:sz w:val="21"/>
                      <w:szCs w:val="21"/>
                    </w:rPr>
                    <w:t>XW5 (0.5-1m)</w:t>
                  </w:r>
                </w:p>
              </w:tc>
              <w:tc>
                <w:tcPr>
                  <w:tcW w:w="1276" w:type="dxa"/>
                  <w:shd w:val="clear" w:color="auto" w:fill="auto"/>
                  <w:vAlign w:val="center"/>
                </w:tcPr>
                <w:p>
                  <w:pPr>
                    <w:jc w:val="left"/>
                    <w:rPr>
                      <w:rFonts w:hAnsi="宋体"/>
                      <w:color w:val="auto"/>
                      <w:sz w:val="21"/>
                      <w:szCs w:val="21"/>
                    </w:rPr>
                  </w:pPr>
                  <w:r>
                    <w:rPr>
                      <w:rFonts w:hint="eastAsia"/>
                      <w:color w:val="auto"/>
                      <w:sz w:val="21"/>
                      <w:szCs w:val="21"/>
                    </w:rPr>
                    <w:t>褐色土壤</w:t>
                  </w:r>
                </w:p>
              </w:tc>
              <w:tc>
                <w:tcPr>
                  <w:tcW w:w="853" w:type="dxa"/>
                  <w:shd w:val="clear" w:color="auto" w:fill="auto"/>
                  <w:vAlign w:val="center"/>
                </w:tcPr>
                <w:p>
                  <w:pPr>
                    <w:jc w:val="left"/>
                    <w:rPr>
                      <w:color w:val="auto"/>
                      <w:sz w:val="21"/>
                      <w:szCs w:val="21"/>
                    </w:rPr>
                  </w:pPr>
                  <w:r>
                    <w:rPr>
                      <w:rFonts w:hint="eastAsia"/>
                      <w:color w:val="auto"/>
                      <w:sz w:val="21"/>
                      <w:szCs w:val="21"/>
                    </w:rPr>
                    <w:t>23.2</w:t>
                  </w:r>
                </w:p>
              </w:tc>
              <w:tc>
                <w:tcPr>
                  <w:tcW w:w="991" w:type="dxa"/>
                  <w:shd w:val="clear" w:color="auto" w:fill="auto"/>
                  <w:vAlign w:val="center"/>
                </w:tcPr>
                <w:p>
                  <w:pPr>
                    <w:jc w:val="left"/>
                    <w:rPr>
                      <w:color w:val="auto"/>
                      <w:sz w:val="21"/>
                      <w:szCs w:val="21"/>
                    </w:rPr>
                  </w:pPr>
                  <w:r>
                    <w:rPr>
                      <w:rFonts w:hint="eastAsia"/>
                      <w:color w:val="auto"/>
                      <w:sz w:val="21"/>
                      <w:szCs w:val="21"/>
                    </w:rPr>
                    <w:t>0.269</w:t>
                  </w:r>
                </w:p>
              </w:tc>
              <w:tc>
                <w:tcPr>
                  <w:tcW w:w="851" w:type="dxa"/>
                  <w:shd w:val="clear" w:color="auto" w:fill="auto"/>
                  <w:vAlign w:val="center"/>
                </w:tcPr>
                <w:p>
                  <w:pPr>
                    <w:jc w:val="left"/>
                    <w:rPr>
                      <w:color w:val="auto"/>
                      <w:sz w:val="21"/>
                      <w:szCs w:val="21"/>
                    </w:rPr>
                  </w:pPr>
                  <w:r>
                    <w:rPr>
                      <w:rFonts w:hint="eastAsia"/>
                      <w:color w:val="auto"/>
                      <w:sz w:val="21"/>
                      <w:szCs w:val="21"/>
                    </w:rPr>
                    <w:t>N.D</w:t>
                  </w:r>
                </w:p>
              </w:tc>
              <w:tc>
                <w:tcPr>
                  <w:tcW w:w="851" w:type="dxa"/>
                  <w:shd w:val="clear" w:color="auto" w:fill="auto"/>
                  <w:vAlign w:val="center"/>
                </w:tcPr>
                <w:p>
                  <w:pPr>
                    <w:jc w:val="left"/>
                    <w:rPr>
                      <w:color w:val="auto"/>
                      <w:sz w:val="21"/>
                      <w:szCs w:val="21"/>
                    </w:rPr>
                  </w:pPr>
                  <w:r>
                    <w:rPr>
                      <w:rFonts w:hint="eastAsia"/>
                      <w:color w:val="auto"/>
                      <w:sz w:val="21"/>
                      <w:szCs w:val="21"/>
                    </w:rPr>
                    <w:t>0.44</w:t>
                  </w:r>
                </w:p>
              </w:tc>
              <w:tc>
                <w:tcPr>
                  <w:tcW w:w="939" w:type="dxa"/>
                  <w:shd w:val="clear" w:color="auto" w:fill="auto"/>
                  <w:vAlign w:val="center"/>
                </w:tcPr>
                <w:p>
                  <w:pPr>
                    <w:jc w:val="left"/>
                    <w:rPr>
                      <w:color w:val="auto"/>
                      <w:sz w:val="21"/>
                      <w:szCs w:val="21"/>
                    </w:rPr>
                  </w:pPr>
                  <w:r>
                    <w:rPr>
                      <w:rFonts w:hint="eastAsia"/>
                      <w:color w:val="auto"/>
                      <w:sz w:val="21"/>
                      <w:szCs w:val="21"/>
                    </w:rPr>
                    <w:t>37</w:t>
                  </w:r>
                </w:p>
              </w:tc>
              <w:tc>
                <w:tcPr>
                  <w:tcW w:w="939" w:type="dxa"/>
                  <w:shd w:val="clear" w:color="auto" w:fill="auto"/>
                  <w:vAlign w:val="center"/>
                </w:tcPr>
                <w:p>
                  <w:pPr>
                    <w:jc w:val="left"/>
                    <w:rPr>
                      <w:color w:val="auto"/>
                      <w:sz w:val="21"/>
                      <w:szCs w:val="21"/>
                    </w:rPr>
                  </w:pPr>
                  <w:r>
                    <w:rPr>
                      <w:rFonts w:hint="eastAsia"/>
                      <w:color w:val="auto"/>
                      <w:sz w:val="21"/>
                      <w:szCs w:val="21"/>
                    </w:rPr>
                    <w:t>44</w:t>
                  </w:r>
                </w:p>
              </w:tc>
              <w:tc>
                <w:tcPr>
                  <w:tcW w:w="946" w:type="dxa"/>
                  <w:shd w:val="clear" w:color="auto" w:fill="auto"/>
                  <w:vAlign w:val="center"/>
                </w:tcPr>
                <w:p>
                  <w:pPr>
                    <w:jc w:val="left"/>
                    <w:rPr>
                      <w:color w:val="auto"/>
                      <w:sz w:val="21"/>
                      <w:szCs w:val="21"/>
                    </w:rPr>
                  </w:pPr>
                  <w:r>
                    <w:rPr>
                      <w:rFonts w:hint="eastAsia"/>
                      <w:color w:val="auto"/>
                      <w:sz w:val="21"/>
                      <w:szCs w:val="21"/>
                    </w:rPr>
                    <w:t>39.4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94" w:type="dxa"/>
                  <w:shd w:val="clear" w:color="auto" w:fill="auto"/>
                  <w:vAlign w:val="center"/>
                </w:tcPr>
                <w:p>
                  <w:pPr>
                    <w:ind w:left="-160" w:leftChars="-50" w:right="-160" w:rightChars="-50"/>
                    <w:jc w:val="left"/>
                    <w:rPr>
                      <w:color w:val="auto"/>
                      <w:sz w:val="21"/>
                      <w:szCs w:val="21"/>
                    </w:rPr>
                  </w:pPr>
                  <w:r>
                    <w:rPr>
                      <w:rFonts w:hint="eastAsia"/>
                      <w:color w:val="auto"/>
                      <w:sz w:val="21"/>
                      <w:szCs w:val="21"/>
                    </w:rPr>
                    <w:t>XW5 (1.-1.5m)</w:t>
                  </w:r>
                </w:p>
              </w:tc>
              <w:tc>
                <w:tcPr>
                  <w:tcW w:w="1276" w:type="dxa"/>
                  <w:shd w:val="clear" w:color="auto" w:fill="auto"/>
                  <w:vAlign w:val="center"/>
                </w:tcPr>
                <w:p>
                  <w:pPr>
                    <w:jc w:val="left"/>
                    <w:rPr>
                      <w:rFonts w:hAnsi="宋体"/>
                      <w:color w:val="auto"/>
                      <w:sz w:val="21"/>
                      <w:szCs w:val="21"/>
                    </w:rPr>
                  </w:pPr>
                  <w:r>
                    <w:rPr>
                      <w:rFonts w:hint="eastAsia"/>
                      <w:color w:val="auto"/>
                      <w:sz w:val="21"/>
                      <w:szCs w:val="21"/>
                    </w:rPr>
                    <w:t>褐色土壤</w:t>
                  </w:r>
                </w:p>
              </w:tc>
              <w:tc>
                <w:tcPr>
                  <w:tcW w:w="853" w:type="dxa"/>
                  <w:shd w:val="clear" w:color="auto" w:fill="auto"/>
                  <w:vAlign w:val="center"/>
                </w:tcPr>
                <w:p>
                  <w:pPr>
                    <w:jc w:val="left"/>
                    <w:rPr>
                      <w:color w:val="auto"/>
                      <w:sz w:val="21"/>
                      <w:szCs w:val="21"/>
                    </w:rPr>
                  </w:pPr>
                  <w:r>
                    <w:rPr>
                      <w:rFonts w:hint="eastAsia"/>
                      <w:color w:val="auto"/>
                      <w:sz w:val="21"/>
                      <w:szCs w:val="21"/>
                    </w:rPr>
                    <w:t>26.8</w:t>
                  </w:r>
                </w:p>
              </w:tc>
              <w:tc>
                <w:tcPr>
                  <w:tcW w:w="991" w:type="dxa"/>
                  <w:shd w:val="clear" w:color="auto" w:fill="auto"/>
                  <w:vAlign w:val="center"/>
                </w:tcPr>
                <w:p>
                  <w:pPr>
                    <w:jc w:val="left"/>
                    <w:rPr>
                      <w:color w:val="auto"/>
                      <w:sz w:val="21"/>
                      <w:szCs w:val="21"/>
                    </w:rPr>
                  </w:pPr>
                  <w:r>
                    <w:rPr>
                      <w:rFonts w:hint="eastAsia"/>
                      <w:color w:val="auto"/>
                      <w:sz w:val="21"/>
                      <w:szCs w:val="21"/>
                    </w:rPr>
                    <w:t>0.196</w:t>
                  </w:r>
                </w:p>
              </w:tc>
              <w:tc>
                <w:tcPr>
                  <w:tcW w:w="851" w:type="dxa"/>
                  <w:shd w:val="clear" w:color="auto" w:fill="auto"/>
                  <w:vAlign w:val="center"/>
                </w:tcPr>
                <w:p>
                  <w:pPr>
                    <w:jc w:val="left"/>
                    <w:rPr>
                      <w:color w:val="auto"/>
                      <w:sz w:val="21"/>
                      <w:szCs w:val="21"/>
                    </w:rPr>
                  </w:pPr>
                  <w:r>
                    <w:rPr>
                      <w:rFonts w:hint="eastAsia"/>
                      <w:color w:val="auto"/>
                      <w:sz w:val="21"/>
                      <w:szCs w:val="21"/>
                    </w:rPr>
                    <w:t>N.D</w:t>
                  </w:r>
                </w:p>
              </w:tc>
              <w:tc>
                <w:tcPr>
                  <w:tcW w:w="851" w:type="dxa"/>
                  <w:shd w:val="clear" w:color="auto" w:fill="auto"/>
                  <w:vAlign w:val="center"/>
                </w:tcPr>
                <w:p>
                  <w:pPr>
                    <w:jc w:val="left"/>
                    <w:rPr>
                      <w:color w:val="auto"/>
                      <w:sz w:val="21"/>
                      <w:szCs w:val="21"/>
                    </w:rPr>
                  </w:pPr>
                  <w:r>
                    <w:rPr>
                      <w:rFonts w:hint="eastAsia"/>
                      <w:color w:val="auto"/>
                      <w:sz w:val="21"/>
                      <w:szCs w:val="21"/>
                    </w:rPr>
                    <w:t>1.60</w:t>
                  </w:r>
                </w:p>
              </w:tc>
              <w:tc>
                <w:tcPr>
                  <w:tcW w:w="939" w:type="dxa"/>
                  <w:shd w:val="clear" w:color="auto" w:fill="auto"/>
                  <w:vAlign w:val="center"/>
                </w:tcPr>
                <w:p>
                  <w:pPr>
                    <w:jc w:val="left"/>
                    <w:rPr>
                      <w:color w:val="auto"/>
                      <w:sz w:val="21"/>
                      <w:szCs w:val="21"/>
                    </w:rPr>
                  </w:pPr>
                  <w:r>
                    <w:rPr>
                      <w:rFonts w:hint="eastAsia"/>
                      <w:color w:val="auto"/>
                      <w:sz w:val="21"/>
                      <w:szCs w:val="21"/>
                    </w:rPr>
                    <w:t>41</w:t>
                  </w:r>
                </w:p>
              </w:tc>
              <w:tc>
                <w:tcPr>
                  <w:tcW w:w="939" w:type="dxa"/>
                  <w:shd w:val="clear" w:color="auto" w:fill="auto"/>
                  <w:vAlign w:val="center"/>
                </w:tcPr>
                <w:p>
                  <w:pPr>
                    <w:jc w:val="left"/>
                    <w:rPr>
                      <w:color w:val="auto"/>
                      <w:sz w:val="21"/>
                      <w:szCs w:val="21"/>
                    </w:rPr>
                  </w:pPr>
                  <w:r>
                    <w:rPr>
                      <w:rFonts w:hint="eastAsia"/>
                      <w:color w:val="auto"/>
                      <w:sz w:val="21"/>
                      <w:szCs w:val="21"/>
                    </w:rPr>
                    <w:t>47</w:t>
                  </w:r>
                </w:p>
              </w:tc>
              <w:tc>
                <w:tcPr>
                  <w:tcW w:w="946" w:type="dxa"/>
                  <w:shd w:val="clear" w:color="auto" w:fill="auto"/>
                  <w:vAlign w:val="center"/>
                </w:tcPr>
                <w:p>
                  <w:pPr>
                    <w:jc w:val="left"/>
                    <w:rPr>
                      <w:color w:val="auto"/>
                      <w:sz w:val="21"/>
                      <w:szCs w:val="21"/>
                    </w:rPr>
                  </w:pPr>
                  <w:r>
                    <w:rPr>
                      <w:rFonts w:hint="eastAsia"/>
                      <w:color w:val="auto"/>
                      <w:sz w:val="21"/>
                      <w:szCs w:val="21"/>
                    </w:rPr>
                    <w:t>78.7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94" w:type="dxa"/>
                  <w:shd w:val="clear" w:color="auto" w:fill="auto"/>
                  <w:vAlign w:val="center"/>
                </w:tcPr>
                <w:p>
                  <w:pPr>
                    <w:ind w:left="-160" w:leftChars="-50" w:right="-160" w:rightChars="-50"/>
                    <w:jc w:val="left"/>
                    <w:rPr>
                      <w:color w:val="auto"/>
                      <w:sz w:val="21"/>
                      <w:szCs w:val="21"/>
                    </w:rPr>
                  </w:pPr>
                  <w:r>
                    <w:rPr>
                      <w:rFonts w:hint="eastAsia"/>
                      <w:color w:val="auto"/>
                      <w:sz w:val="21"/>
                      <w:szCs w:val="21"/>
                    </w:rPr>
                    <w:t>XW6(0-0.5m)</w:t>
                  </w:r>
                </w:p>
              </w:tc>
              <w:tc>
                <w:tcPr>
                  <w:tcW w:w="1276" w:type="dxa"/>
                  <w:shd w:val="clear" w:color="auto" w:fill="auto"/>
                  <w:vAlign w:val="center"/>
                </w:tcPr>
                <w:p>
                  <w:pPr>
                    <w:jc w:val="left"/>
                    <w:rPr>
                      <w:color w:val="auto"/>
                      <w:sz w:val="21"/>
                      <w:szCs w:val="21"/>
                    </w:rPr>
                  </w:pPr>
                  <w:r>
                    <w:rPr>
                      <w:rFonts w:hint="eastAsia"/>
                      <w:color w:val="auto"/>
                      <w:sz w:val="21"/>
                      <w:szCs w:val="21"/>
                    </w:rPr>
                    <w:t>红褐色土壤</w:t>
                  </w:r>
                </w:p>
              </w:tc>
              <w:tc>
                <w:tcPr>
                  <w:tcW w:w="853" w:type="dxa"/>
                  <w:shd w:val="clear" w:color="auto" w:fill="auto"/>
                  <w:vAlign w:val="center"/>
                </w:tcPr>
                <w:p>
                  <w:pPr>
                    <w:jc w:val="left"/>
                    <w:rPr>
                      <w:color w:val="auto"/>
                      <w:sz w:val="21"/>
                      <w:szCs w:val="21"/>
                    </w:rPr>
                  </w:pPr>
                  <w:r>
                    <w:rPr>
                      <w:rFonts w:hint="eastAsia"/>
                      <w:color w:val="auto"/>
                      <w:sz w:val="21"/>
                      <w:szCs w:val="21"/>
                    </w:rPr>
                    <w:t>21.0</w:t>
                  </w:r>
                </w:p>
              </w:tc>
              <w:tc>
                <w:tcPr>
                  <w:tcW w:w="991" w:type="dxa"/>
                  <w:shd w:val="clear" w:color="auto" w:fill="auto"/>
                  <w:vAlign w:val="center"/>
                </w:tcPr>
                <w:p>
                  <w:pPr>
                    <w:jc w:val="left"/>
                    <w:rPr>
                      <w:color w:val="auto"/>
                      <w:sz w:val="21"/>
                      <w:szCs w:val="21"/>
                    </w:rPr>
                  </w:pPr>
                  <w:r>
                    <w:rPr>
                      <w:rFonts w:hint="eastAsia"/>
                      <w:color w:val="auto"/>
                      <w:sz w:val="21"/>
                      <w:szCs w:val="21"/>
                    </w:rPr>
                    <w:t>0.224</w:t>
                  </w:r>
                </w:p>
              </w:tc>
              <w:tc>
                <w:tcPr>
                  <w:tcW w:w="851" w:type="dxa"/>
                  <w:shd w:val="clear" w:color="auto" w:fill="auto"/>
                  <w:vAlign w:val="center"/>
                </w:tcPr>
                <w:p>
                  <w:pPr>
                    <w:jc w:val="left"/>
                    <w:rPr>
                      <w:color w:val="auto"/>
                      <w:sz w:val="21"/>
                      <w:szCs w:val="21"/>
                    </w:rPr>
                  </w:pPr>
                  <w:r>
                    <w:rPr>
                      <w:rFonts w:hint="eastAsia"/>
                      <w:color w:val="auto"/>
                      <w:sz w:val="21"/>
                      <w:szCs w:val="21"/>
                    </w:rPr>
                    <w:t>N.D</w:t>
                  </w:r>
                </w:p>
              </w:tc>
              <w:tc>
                <w:tcPr>
                  <w:tcW w:w="851" w:type="dxa"/>
                  <w:shd w:val="clear" w:color="auto" w:fill="auto"/>
                  <w:vAlign w:val="center"/>
                </w:tcPr>
                <w:p>
                  <w:pPr>
                    <w:jc w:val="left"/>
                    <w:rPr>
                      <w:color w:val="auto"/>
                      <w:sz w:val="21"/>
                      <w:szCs w:val="21"/>
                    </w:rPr>
                  </w:pPr>
                  <w:r>
                    <w:rPr>
                      <w:rFonts w:hint="eastAsia"/>
                      <w:color w:val="auto"/>
                      <w:sz w:val="21"/>
                      <w:szCs w:val="21"/>
                    </w:rPr>
                    <w:t>4.13</w:t>
                  </w:r>
                </w:p>
              </w:tc>
              <w:tc>
                <w:tcPr>
                  <w:tcW w:w="939" w:type="dxa"/>
                  <w:shd w:val="clear" w:color="auto" w:fill="auto"/>
                  <w:vAlign w:val="center"/>
                </w:tcPr>
                <w:p>
                  <w:pPr>
                    <w:jc w:val="left"/>
                    <w:rPr>
                      <w:color w:val="auto"/>
                      <w:sz w:val="21"/>
                      <w:szCs w:val="21"/>
                    </w:rPr>
                  </w:pPr>
                  <w:r>
                    <w:rPr>
                      <w:rFonts w:hint="eastAsia"/>
                      <w:color w:val="auto"/>
                      <w:sz w:val="21"/>
                      <w:szCs w:val="21"/>
                    </w:rPr>
                    <w:t>59</w:t>
                  </w:r>
                </w:p>
              </w:tc>
              <w:tc>
                <w:tcPr>
                  <w:tcW w:w="939" w:type="dxa"/>
                  <w:shd w:val="clear" w:color="auto" w:fill="auto"/>
                  <w:vAlign w:val="center"/>
                </w:tcPr>
                <w:p>
                  <w:pPr>
                    <w:jc w:val="left"/>
                    <w:rPr>
                      <w:color w:val="auto"/>
                      <w:sz w:val="21"/>
                      <w:szCs w:val="21"/>
                    </w:rPr>
                  </w:pPr>
                  <w:r>
                    <w:rPr>
                      <w:rFonts w:hint="eastAsia"/>
                      <w:color w:val="auto"/>
                      <w:sz w:val="21"/>
                      <w:szCs w:val="21"/>
                    </w:rPr>
                    <w:t>42</w:t>
                  </w:r>
                </w:p>
              </w:tc>
              <w:tc>
                <w:tcPr>
                  <w:tcW w:w="946" w:type="dxa"/>
                  <w:shd w:val="clear" w:color="auto" w:fill="auto"/>
                  <w:vAlign w:val="center"/>
                </w:tcPr>
                <w:p>
                  <w:pPr>
                    <w:jc w:val="left"/>
                    <w:rPr>
                      <w:color w:val="auto"/>
                      <w:sz w:val="21"/>
                      <w:szCs w:val="21"/>
                    </w:rPr>
                  </w:pPr>
                  <w:r>
                    <w:rPr>
                      <w:rFonts w:hint="eastAsia"/>
                      <w:color w:val="auto"/>
                      <w:sz w:val="21"/>
                      <w:szCs w:val="21"/>
                    </w:rPr>
                    <w:t>143</w:t>
                  </w:r>
                </w:p>
              </w:tc>
            </w:tr>
          </w:tbl>
          <w:p>
            <w:pPr>
              <w:jc w:val="center"/>
              <w:rPr>
                <w:b/>
                <w:bCs/>
                <w:color w:val="auto"/>
                <w:sz w:val="24"/>
              </w:rPr>
            </w:pPr>
            <w:r>
              <w:rPr>
                <w:rFonts w:hint="eastAsia"/>
                <w:b/>
                <w:bCs/>
                <w:color w:val="auto"/>
                <w:sz w:val="24"/>
              </w:rPr>
              <w:t xml:space="preserve">表11  </w:t>
            </w:r>
            <w:r>
              <w:rPr>
                <w:b/>
                <w:bCs/>
                <w:color w:val="auto"/>
                <w:sz w:val="24"/>
              </w:rPr>
              <w:t>土壤</w:t>
            </w:r>
            <w:r>
              <w:rPr>
                <w:rFonts w:hint="eastAsia"/>
                <w:b/>
                <w:bCs/>
                <w:color w:val="auto"/>
                <w:sz w:val="24"/>
              </w:rPr>
              <w:t>有机物</w:t>
            </w:r>
            <w:r>
              <w:rPr>
                <w:b/>
                <w:bCs/>
                <w:color w:val="auto"/>
                <w:sz w:val="24"/>
              </w:rPr>
              <w:t>检测数据基本情况</w:t>
            </w:r>
          </w:p>
          <w:tbl>
            <w:tblPr>
              <w:tblStyle w:val="43"/>
              <w:tblW w:w="861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3"/>
              <w:gridCol w:w="851"/>
              <w:gridCol w:w="709"/>
              <w:gridCol w:w="850"/>
              <w:gridCol w:w="851"/>
              <w:gridCol w:w="734"/>
              <w:gridCol w:w="850"/>
              <w:gridCol w:w="709"/>
              <w:gridCol w:w="992"/>
              <w:gridCol w:w="7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63" w:type="dxa"/>
                  <w:vMerge w:val="restart"/>
                  <w:tcBorders>
                    <w:top w:val="single" w:color="auto" w:sz="12" w:space="0"/>
                    <w:bottom w:val="single" w:color="auto" w:sz="6" w:space="0"/>
                  </w:tcBorders>
                  <w:shd w:val="clear" w:color="auto" w:fill="auto"/>
                  <w:vAlign w:val="center"/>
                </w:tcPr>
                <w:p>
                  <w:pPr>
                    <w:autoSpaceDE w:val="0"/>
                    <w:autoSpaceDN w:val="0"/>
                    <w:spacing w:line="0" w:lineRule="atLeast"/>
                    <w:jc w:val="left"/>
                    <w:rPr>
                      <w:color w:val="auto"/>
                      <w:sz w:val="18"/>
                      <w:szCs w:val="18"/>
                    </w:rPr>
                  </w:pPr>
                  <w:r>
                    <w:rPr>
                      <w:color w:val="auto"/>
                      <w:sz w:val="18"/>
                      <w:szCs w:val="18"/>
                    </w:rPr>
                    <w:t>样品标识</w:t>
                  </w:r>
                </w:p>
              </w:tc>
              <w:tc>
                <w:tcPr>
                  <w:tcW w:w="7256" w:type="dxa"/>
                  <w:gridSpan w:val="9"/>
                  <w:tcBorders>
                    <w:top w:val="single" w:color="auto" w:sz="12" w:space="0"/>
                    <w:bottom w:val="single" w:color="auto" w:sz="6" w:space="0"/>
                  </w:tcBorders>
                  <w:shd w:val="clear" w:color="auto" w:fill="auto"/>
                  <w:vAlign w:val="center"/>
                </w:tcPr>
                <w:p>
                  <w:pPr>
                    <w:autoSpaceDE w:val="0"/>
                    <w:autoSpaceDN w:val="0"/>
                    <w:spacing w:line="0" w:lineRule="atLeast"/>
                    <w:jc w:val="center"/>
                    <w:rPr>
                      <w:color w:val="auto"/>
                      <w:sz w:val="18"/>
                      <w:szCs w:val="18"/>
                    </w:rPr>
                  </w:pPr>
                  <w:r>
                    <w:rPr>
                      <w:color w:val="auto"/>
                      <w:sz w:val="18"/>
                      <w:szCs w:val="18"/>
                    </w:rPr>
                    <w:t>检测项目及结果（mg/kg）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63" w:type="dxa"/>
                  <w:vMerge w:val="continue"/>
                  <w:tcBorders>
                    <w:top w:val="single" w:color="auto" w:sz="6" w:space="0"/>
                    <w:bottom w:val="single" w:color="auto" w:sz="6" w:space="0"/>
                  </w:tcBorders>
                  <w:shd w:val="clear" w:color="auto" w:fill="auto"/>
                  <w:vAlign w:val="center"/>
                </w:tcPr>
                <w:p>
                  <w:pPr>
                    <w:autoSpaceDE w:val="0"/>
                    <w:autoSpaceDN w:val="0"/>
                    <w:spacing w:line="0" w:lineRule="atLeast"/>
                    <w:jc w:val="left"/>
                    <w:rPr>
                      <w:color w:val="auto"/>
                      <w:sz w:val="18"/>
                      <w:szCs w:val="18"/>
                    </w:rPr>
                  </w:pPr>
                </w:p>
              </w:tc>
              <w:tc>
                <w:tcPr>
                  <w:tcW w:w="851" w:type="dxa"/>
                  <w:tcBorders>
                    <w:top w:val="single" w:color="auto" w:sz="6" w:space="0"/>
                    <w:bottom w:val="single" w:color="auto" w:sz="6" w:space="0"/>
                  </w:tcBorders>
                  <w:shd w:val="clear" w:color="auto" w:fill="auto"/>
                  <w:vAlign w:val="center"/>
                </w:tcPr>
                <w:p>
                  <w:pPr>
                    <w:autoSpaceDE w:val="0"/>
                    <w:autoSpaceDN w:val="0"/>
                    <w:spacing w:line="0" w:lineRule="atLeast"/>
                    <w:jc w:val="left"/>
                    <w:rPr>
                      <w:color w:val="auto"/>
                      <w:sz w:val="18"/>
                      <w:szCs w:val="18"/>
                    </w:rPr>
                  </w:pPr>
                  <w:r>
                    <w:rPr>
                      <w:color w:val="auto"/>
                      <w:sz w:val="18"/>
                      <w:szCs w:val="18"/>
                    </w:rPr>
                    <w:t>苯</w:t>
                  </w:r>
                </w:p>
              </w:tc>
              <w:tc>
                <w:tcPr>
                  <w:tcW w:w="709" w:type="dxa"/>
                  <w:tcBorders>
                    <w:top w:val="single" w:color="auto" w:sz="6" w:space="0"/>
                    <w:bottom w:val="single" w:color="auto" w:sz="6" w:space="0"/>
                  </w:tcBorders>
                  <w:shd w:val="clear" w:color="auto" w:fill="auto"/>
                  <w:vAlign w:val="center"/>
                </w:tcPr>
                <w:p>
                  <w:pPr>
                    <w:autoSpaceDE w:val="0"/>
                    <w:autoSpaceDN w:val="0"/>
                    <w:spacing w:line="0" w:lineRule="atLeast"/>
                    <w:jc w:val="left"/>
                    <w:rPr>
                      <w:color w:val="auto"/>
                      <w:sz w:val="18"/>
                      <w:szCs w:val="18"/>
                    </w:rPr>
                  </w:pPr>
                  <w:r>
                    <w:rPr>
                      <w:color w:val="auto"/>
                      <w:sz w:val="18"/>
                      <w:szCs w:val="18"/>
                    </w:rPr>
                    <w:t>氯苯</w:t>
                  </w:r>
                </w:p>
              </w:tc>
              <w:tc>
                <w:tcPr>
                  <w:tcW w:w="850" w:type="dxa"/>
                  <w:tcBorders>
                    <w:top w:val="single" w:color="auto" w:sz="6" w:space="0"/>
                    <w:bottom w:val="single" w:color="auto" w:sz="6" w:space="0"/>
                  </w:tcBorders>
                  <w:shd w:val="clear" w:color="auto" w:fill="auto"/>
                  <w:vAlign w:val="center"/>
                </w:tcPr>
                <w:p>
                  <w:pPr>
                    <w:autoSpaceDE w:val="0"/>
                    <w:autoSpaceDN w:val="0"/>
                    <w:spacing w:line="0" w:lineRule="atLeast"/>
                    <w:jc w:val="left"/>
                    <w:rPr>
                      <w:color w:val="auto"/>
                      <w:sz w:val="18"/>
                      <w:szCs w:val="18"/>
                    </w:rPr>
                  </w:pPr>
                  <w:r>
                    <w:rPr>
                      <w:color w:val="auto"/>
                      <w:sz w:val="18"/>
                      <w:szCs w:val="18"/>
                    </w:rPr>
                    <w:t>1,2-二氯苯</w:t>
                  </w:r>
                </w:p>
              </w:tc>
              <w:tc>
                <w:tcPr>
                  <w:tcW w:w="851" w:type="dxa"/>
                  <w:tcBorders>
                    <w:top w:val="single" w:color="auto" w:sz="6" w:space="0"/>
                    <w:bottom w:val="single" w:color="auto" w:sz="6" w:space="0"/>
                  </w:tcBorders>
                  <w:shd w:val="clear" w:color="auto" w:fill="auto"/>
                  <w:vAlign w:val="center"/>
                </w:tcPr>
                <w:p>
                  <w:pPr>
                    <w:autoSpaceDE w:val="0"/>
                    <w:autoSpaceDN w:val="0"/>
                    <w:spacing w:line="0" w:lineRule="atLeast"/>
                    <w:jc w:val="left"/>
                    <w:rPr>
                      <w:color w:val="auto"/>
                      <w:sz w:val="18"/>
                      <w:szCs w:val="18"/>
                    </w:rPr>
                  </w:pPr>
                  <w:r>
                    <w:rPr>
                      <w:color w:val="auto"/>
                      <w:sz w:val="18"/>
                      <w:szCs w:val="18"/>
                    </w:rPr>
                    <w:t>1,4-二氯苯</w:t>
                  </w:r>
                </w:p>
              </w:tc>
              <w:tc>
                <w:tcPr>
                  <w:tcW w:w="734" w:type="dxa"/>
                  <w:tcBorders>
                    <w:top w:val="single" w:color="auto" w:sz="6" w:space="0"/>
                    <w:bottom w:val="single" w:color="auto" w:sz="6" w:space="0"/>
                  </w:tcBorders>
                  <w:shd w:val="clear" w:color="auto" w:fill="auto"/>
                  <w:vAlign w:val="center"/>
                </w:tcPr>
                <w:p>
                  <w:pPr>
                    <w:autoSpaceDE w:val="0"/>
                    <w:autoSpaceDN w:val="0"/>
                    <w:spacing w:line="0" w:lineRule="atLeast"/>
                    <w:jc w:val="left"/>
                    <w:rPr>
                      <w:color w:val="auto"/>
                      <w:sz w:val="18"/>
                      <w:szCs w:val="18"/>
                    </w:rPr>
                  </w:pPr>
                  <w:r>
                    <w:rPr>
                      <w:color w:val="auto"/>
                      <w:sz w:val="18"/>
                      <w:szCs w:val="18"/>
                    </w:rPr>
                    <w:t>乙苯</w:t>
                  </w:r>
                </w:p>
              </w:tc>
              <w:tc>
                <w:tcPr>
                  <w:tcW w:w="850" w:type="dxa"/>
                  <w:tcBorders>
                    <w:top w:val="single" w:color="auto" w:sz="6" w:space="0"/>
                    <w:bottom w:val="single" w:color="auto" w:sz="6" w:space="0"/>
                  </w:tcBorders>
                  <w:shd w:val="clear" w:color="auto" w:fill="auto"/>
                  <w:vAlign w:val="center"/>
                </w:tcPr>
                <w:p>
                  <w:pPr>
                    <w:autoSpaceDE w:val="0"/>
                    <w:autoSpaceDN w:val="0"/>
                    <w:spacing w:line="0" w:lineRule="atLeast"/>
                    <w:jc w:val="left"/>
                    <w:rPr>
                      <w:color w:val="auto"/>
                      <w:sz w:val="18"/>
                      <w:szCs w:val="18"/>
                    </w:rPr>
                  </w:pPr>
                  <w:r>
                    <w:rPr>
                      <w:color w:val="auto"/>
                      <w:sz w:val="18"/>
                      <w:szCs w:val="18"/>
                    </w:rPr>
                    <w:t>苯乙烯</w:t>
                  </w:r>
                </w:p>
              </w:tc>
              <w:tc>
                <w:tcPr>
                  <w:tcW w:w="709" w:type="dxa"/>
                  <w:tcBorders>
                    <w:top w:val="single" w:color="auto" w:sz="6" w:space="0"/>
                    <w:bottom w:val="single" w:color="auto" w:sz="6" w:space="0"/>
                  </w:tcBorders>
                  <w:shd w:val="clear" w:color="auto" w:fill="auto"/>
                  <w:vAlign w:val="center"/>
                </w:tcPr>
                <w:p>
                  <w:pPr>
                    <w:autoSpaceDE w:val="0"/>
                    <w:autoSpaceDN w:val="0"/>
                    <w:spacing w:line="0" w:lineRule="atLeast"/>
                    <w:jc w:val="left"/>
                    <w:rPr>
                      <w:color w:val="auto"/>
                      <w:sz w:val="18"/>
                      <w:szCs w:val="18"/>
                    </w:rPr>
                  </w:pPr>
                  <w:r>
                    <w:rPr>
                      <w:color w:val="auto"/>
                      <w:sz w:val="18"/>
                      <w:szCs w:val="18"/>
                    </w:rPr>
                    <w:t>甲苯</w:t>
                  </w:r>
                </w:p>
              </w:tc>
              <w:tc>
                <w:tcPr>
                  <w:tcW w:w="992" w:type="dxa"/>
                  <w:tcBorders>
                    <w:top w:val="single" w:color="auto" w:sz="6" w:space="0"/>
                    <w:bottom w:val="single" w:color="auto" w:sz="6" w:space="0"/>
                  </w:tcBorders>
                  <w:shd w:val="clear" w:color="auto" w:fill="auto"/>
                  <w:vAlign w:val="center"/>
                </w:tcPr>
                <w:p>
                  <w:pPr>
                    <w:autoSpaceDE w:val="0"/>
                    <w:autoSpaceDN w:val="0"/>
                    <w:spacing w:line="0" w:lineRule="atLeast"/>
                    <w:jc w:val="left"/>
                    <w:rPr>
                      <w:color w:val="auto"/>
                      <w:sz w:val="18"/>
                      <w:szCs w:val="18"/>
                    </w:rPr>
                  </w:pPr>
                  <w:r>
                    <w:rPr>
                      <w:color w:val="auto"/>
                      <w:sz w:val="18"/>
                      <w:szCs w:val="18"/>
                    </w:rPr>
                    <w:t>间，对-二甲苯</w:t>
                  </w:r>
                </w:p>
              </w:tc>
              <w:tc>
                <w:tcPr>
                  <w:tcW w:w="710" w:type="dxa"/>
                  <w:tcBorders>
                    <w:top w:val="single" w:color="auto" w:sz="6" w:space="0"/>
                    <w:bottom w:val="single" w:color="auto" w:sz="6" w:space="0"/>
                  </w:tcBorders>
                  <w:shd w:val="clear" w:color="auto" w:fill="auto"/>
                  <w:vAlign w:val="center"/>
                </w:tcPr>
                <w:p>
                  <w:pPr>
                    <w:autoSpaceDE w:val="0"/>
                    <w:autoSpaceDN w:val="0"/>
                    <w:spacing w:line="0" w:lineRule="atLeast"/>
                    <w:jc w:val="left"/>
                    <w:rPr>
                      <w:color w:val="auto"/>
                      <w:sz w:val="18"/>
                      <w:szCs w:val="18"/>
                    </w:rPr>
                  </w:pPr>
                  <w:r>
                    <w:rPr>
                      <w:color w:val="auto"/>
                      <w:sz w:val="18"/>
                      <w:szCs w:val="18"/>
                    </w:rPr>
                    <w:t>邻-二甲苯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63" w:type="dxa"/>
                  <w:shd w:val="clear" w:color="auto" w:fill="auto"/>
                  <w:vAlign w:val="center"/>
                </w:tcPr>
                <w:p>
                  <w:pPr>
                    <w:autoSpaceDE w:val="0"/>
                    <w:autoSpaceDN w:val="0"/>
                    <w:spacing w:line="0" w:lineRule="atLeast"/>
                    <w:jc w:val="left"/>
                    <w:rPr>
                      <w:color w:val="auto"/>
                      <w:sz w:val="18"/>
                      <w:szCs w:val="18"/>
                    </w:rPr>
                  </w:pPr>
                  <w:r>
                    <w:rPr>
                      <w:color w:val="auto"/>
                      <w:sz w:val="18"/>
                      <w:szCs w:val="18"/>
                    </w:rPr>
                    <w:t>XW3(0-0.5m)</w:t>
                  </w:r>
                </w:p>
              </w:tc>
              <w:tc>
                <w:tcPr>
                  <w:tcW w:w="851"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09"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1"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34"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09"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992"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1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63" w:type="dxa"/>
                  <w:shd w:val="clear" w:color="auto" w:fill="auto"/>
                  <w:vAlign w:val="center"/>
                </w:tcPr>
                <w:p>
                  <w:pPr>
                    <w:autoSpaceDE w:val="0"/>
                    <w:autoSpaceDN w:val="0"/>
                    <w:spacing w:line="0" w:lineRule="atLeast"/>
                    <w:jc w:val="left"/>
                    <w:rPr>
                      <w:color w:val="auto"/>
                      <w:sz w:val="18"/>
                      <w:szCs w:val="18"/>
                    </w:rPr>
                  </w:pPr>
                  <w:r>
                    <w:rPr>
                      <w:color w:val="auto"/>
                      <w:sz w:val="18"/>
                      <w:szCs w:val="18"/>
                    </w:rPr>
                    <w:t>XW3(0.5-1m)</w:t>
                  </w:r>
                </w:p>
              </w:tc>
              <w:tc>
                <w:tcPr>
                  <w:tcW w:w="851"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09"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1"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34"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09"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992"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1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63" w:type="dxa"/>
                  <w:shd w:val="clear" w:color="auto" w:fill="auto"/>
                  <w:vAlign w:val="center"/>
                </w:tcPr>
                <w:p>
                  <w:pPr>
                    <w:autoSpaceDE w:val="0"/>
                    <w:autoSpaceDN w:val="0"/>
                    <w:spacing w:line="0" w:lineRule="atLeast"/>
                    <w:jc w:val="left"/>
                    <w:rPr>
                      <w:color w:val="auto"/>
                      <w:sz w:val="18"/>
                      <w:szCs w:val="18"/>
                    </w:rPr>
                  </w:pPr>
                  <w:r>
                    <w:rPr>
                      <w:color w:val="auto"/>
                      <w:sz w:val="18"/>
                      <w:szCs w:val="18"/>
                    </w:rPr>
                    <w:t>XW3(1.-1.5m)</w:t>
                  </w:r>
                </w:p>
              </w:tc>
              <w:tc>
                <w:tcPr>
                  <w:tcW w:w="851"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09"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1"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34"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09"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992"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1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63" w:type="dxa"/>
                  <w:shd w:val="clear" w:color="auto" w:fill="auto"/>
                  <w:vAlign w:val="center"/>
                </w:tcPr>
                <w:p>
                  <w:pPr>
                    <w:autoSpaceDE w:val="0"/>
                    <w:autoSpaceDN w:val="0"/>
                    <w:spacing w:line="0" w:lineRule="atLeast"/>
                    <w:jc w:val="left"/>
                    <w:rPr>
                      <w:color w:val="auto"/>
                      <w:sz w:val="18"/>
                      <w:szCs w:val="18"/>
                    </w:rPr>
                  </w:pPr>
                  <w:r>
                    <w:rPr>
                      <w:color w:val="auto"/>
                      <w:sz w:val="18"/>
                      <w:szCs w:val="18"/>
                    </w:rPr>
                    <w:t>XW4(0-0.5m)</w:t>
                  </w:r>
                </w:p>
              </w:tc>
              <w:tc>
                <w:tcPr>
                  <w:tcW w:w="851"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09"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1"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34"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09"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992"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1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63" w:type="dxa"/>
                  <w:shd w:val="clear" w:color="auto" w:fill="auto"/>
                  <w:vAlign w:val="center"/>
                </w:tcPr>
                <w:p>
                  <w:pPr>
                    <w:autoSpaceDE w:val="0"/>
                    <w:autoSpaceDN w:val="0"/>
                    <w:spacing w:line="0" w:lineRule="atLeast"/>
                    <w:jc w:val="left"/>
                    <w:rPr>
                      <w:color w:val="auto"/>
                      <w:sz w:val="18"/>
                      <w:szCs w:val="18"/>
                    </w:rPr>
                  </w:pPr>
                  <w:r>
                    <w:rPr>
                      <w:color w:val="auto"/>
                      <w:sz w:val="18"/>
                      <w:szCs w:val="18"/>
                    </w:rPr>
                    <w:t>XW4(0.5-1m)</w:t>
                  </w:r>
                </w:p>
              </w:tc>
              <w:tc>
                <w:tcPr>
                  <w:tcW w:w="851"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09"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1"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34"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09"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992"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1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63" w:type="dxa"/>
                  <w:shd w:val="clear" w:color="auto" w:fill="auto"/>
                  <w:vAlign w:val="center"/>
                </w:tcPr>
                <w:p>
                  <w:pPr>
                    <w:autoSpaceDE w:val="0"/>
                    <w:autoSpaceDN w:val="0"/>
                    <w:spacing w:line="0" w:lineRule="atLeast"/>
                    <w:jc w:val="left"/>
                    <w:rPr>
                      <w:color w:val="auto"/>
                      <w:sz w:val="18"/>
                      <w:szCs w:val="18"/>
                    </w:rPr>
                  </w:pPr>
                  <w:r>
                    <w:rPr>
                      <w:color w:val="auto"/>
                      <w:sz w:val="18"/>
                      <w:szCs w:val="18"/>
                    </w:rPr>
                    <w:t>XW4(1.-1.5m)</w:t>
                  </w:r>
                </w:p>
              </w:tc>
              <w:tc>
                <w:tcPr>
                  <w:tcW w:w="851"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09"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1"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34"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09"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992"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1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63" w:type="dxa"/>
                  <w:shd w:val="clear" w:color="auto" w:fill="auto"/>
                  <w:vAlign w:val="center"/>
                </w:tcPr>
                <w:p>
                  <w:pPr>
                    <w:autoSpaceDE w:val="0"/>
                    <w:autoSpaceDN w:val="0"/>
                    <w:spacing w:line="0" w:lineRule="atLeast"/>
                    <w:jc w:val="left"/>
                    <w:rPr>
                      <w:color w:val="auto"/>
                      <w:sz w:val="18"/>
                      <w:szCs w:val="18"/>
                    </w:rPr>
                  </w:pPr>
                  <w:r>
                    <w:rPr>
                      <w:color w:val="auto"/>
                      <w:sz w:val="18"/>
                      <w:szCs w:val="18"/>
                    </w:rPr>
                    <w:t>XW5(0-0.5m)</w:t>
                  </w:r>
                </w:p>
              </w:tc>
              <w:tc>
                <w:tcPr>
                  <w:tcW w:w="851"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09"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1"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34"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09"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992"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1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63" w:type="dxa"/>
                  <w:shd w:val="clear" w:color="auto" w:fill="auto"/>
                  <w:vAlign w:val="center"/>
                </w:tcPr>
                <w:p>
                  <w:pPr>
                    <w:autoSpaceDE w:val="0"/>
                    <w:autoSpaceDN w:val="0"/>
                    <w:spacing w:line="0" w:lineRule="atLeast"/>
                    <w:jc w:val="left"/>
                    <w:rPr>
                      <w:color w:val="auto"/>
                      <w:sz w:val="18"/>
                      <w:szCs w:val="18"/>
                    </w:rPr>
                  </w:pPr>
                  <w:r>
                    <w:rPr>
                      <w:color w:val="auto"/>
                      <w:sz w:val="18"/>
                      <w:szCs w:val="18"/>
                    </w:rPr>
                    <w:t>XW5(0.5-1m)</w:t>
                  </w:r>
                </w:p>
              </w:tc>
              <w:tc>
                <w:tcPr>
                  <w:tcW w:w="851"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09"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1"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34"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09"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992"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1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63" w:type="dxa"/>
                  <w:shd w:val="clear" w:color="auto" w:fill="auto"/>
                  <w:vAlign w:val="center"/>
                </w:tcPr>
                <w:p>
                  <w:pPr>
                    <w:autoSpaceDE w:val="0"/>
                    <w:autoSpaceDN w:val="0"/>
                    <w:spacing w:line="0" w:lineRule="atLeast"/>
                    <w:jc w:val="left"/>
                    <w:rPr>
                      <w:color w:val="auto"/>
                      <w:sz w:val="18"/>
                      <w:szCs w:val="18"/>
                    </w:rPr>
                  </w:pPr>
                  <w:r>
                    <w:rPr>
                      <w:color w:val="auto"/>
                      <w:sz w:val="18"/>
                      <w:szCs w:val="18"/>
                    </w:rPr>
                    <w:t>XW5(1.-1.5m)</w:t>
                  </w:r>
                </w:p>
              </w:tc>
              <w:tc>
                <w:tcPr>
                  <w:tcW w:w="851"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09"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1"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34"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09"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992"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1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63" w:type="dxa"/>
                  <w:shd w:val="clear" w:color="auto" w:fill="auto"/>
                  <w:vAlign w:val="center"/>
                </w:tcPr>
                <w:p>
                  <w:pPr>
                    <w:autoSpaceDE w:val="0"/>
                    <w:autoSpaceDN w:val="0"/>
                    <w:spacing w:line="0" w:lineRule="atLeast"/>
                    <w:jc w:val="left"/>
                    <w:rPr>
                      <w:color w:val="auto"/>
                      <w:sz w:val="18"/>
                      <w:szCs w:val="18"/>
                    </w:rPr>
                  </w:pPr>
                  <w:r>
                    <w:rPr>
                      <w:color w:val="auto"/>
                      <w:sz w:val="18"/>
                      <w:szCs w:val="18"/>
                    </w:rPr>
                    <w:t>XW6(0-0.5m)</w:t>
                  </w:r>
                </w:p>
              </w:tc>
              <w:tc>
                <w:tcPr>
                  <w:tcW w:w="851"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09"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1"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34"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85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09"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992"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c>
                <w:tcPr>
                  <w:tcW w:w="710" w:type="dxa"/>
                  <w:shd w:val="clear" w:color="auto" w:fill="auto"/>
                  <w:vAlign w:val="center"/>
                </w:tcPr>
                <w:p>
                  <w:pPr>
                    <w:autoSpaceDE w:val="0"/>
                    <w:autoSpaceDN w:val="0"/>
                    <w:spacing w:line="0" w:lineRule="atLeast"/>
                    <w:jc w:val="left"/>
                    <w:rPr>
                      <w:color w:val="auto"/>
                      <w:sz w:val="18"/>
                      <w:szCs w:val="18"/>
                    </w:rPr>
                  </w:pPr>
                  <w:r>
                    <w:rPr>
                      <w:color w:val="auto"/>
                      <w:sz w:val="18"/>
                      <w:szCs w:val="18"/>
                    </w:rPr>
                    <w:t>N.D</w:t>
                  </w:r>
                </w:p>
              </w:tc>
            </w:tr>
          </w:tbl>
          <w:p>
            <w:pPr>
              <w:jc w:val="center"/>
              <w:rPr>
                <w:b/>
                <w:bCs/>
                <w:color w:val="auto"/>
                <w:sz w:val="24"/>
              </w:rPr>
            </w:pPr>
            <w:r>
              <w:rPr>
                <w:rFonts w:hint="eastAsia"/>
                <w:b/>
                <w:bCs/>
                <w:color w:val="auto"/>
                <w:sz w:val="24"/>
              </w:rPr>
              <w:t xml:space="preserve">续表11  </w:t>
            </w:r>
            <w:r>
              <w:rPr>
                <w:b/>
                <w:bCs/>
                <w:color w:val="auto"/>
                <w:sz w:val="24"/>
              </w:rPr>
              <w:t>土壤</w:t>
            </w:r>
            <w:r>
              <w:rPr>
                <w:rFonts w:hint="eastAsia"/>
                <w:b/>
                <w:bCs/>
                <w:color w:val="auto"/>
                <w:sz w:val="24"/>
              </w:rPr>
              <w:t>有机物</w:t>
            </w:r>
            <w:r>
              <w:rPr>
                <w:b/>
                <w:bCs/>
                <w:color w:val="auto"/>
                <w:sz w:val="24"/>
              </w:rPr>
              <w:t>检测数据基本情况</w:t>
            </w:r>
          </w:p>
          <w:tbl>
            <w:tblPr>
              <w:tblStyle w:val="43"/>
              <w:tblW w:w="875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03"/>
              <w:gridCol w:w="851"/>
              <w:gridCol w:w="992"/>
              <w:gridCol w:w="992"/>
              <w:gridCol w:w="647"/>
              <w:gridCol w:w="850"/>
              <w:gridCol w:w="851"/>
              <w:gridCol w:w="709"/>
              <w:gridCol w:w="850"/>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03" w:type="dxa"/>
                  <w:vMerge w:val="restart"/>
                  <w:tcBorders>
                    <w:top w:val="single" w:color="auto" w:sz="12" w:space="0"/>
                    <w:bottom w:val="single" w:color="auto" w:sz="6" w:space="0"/>
                  </w:tcBorders>
                  <w:shd w:val="clear" w:color="auto" w:fill="auto"/>
                  <w:vAlign w:val="center"/>
                </w:tcPr>
                <w:p>
                  <w:pPr>
                    <w:jc w:val="center"/>
                    <w:rPr>
                      <w:bCs/>
                      <w:color w:val="auto"/>
                      <w:sz w:val="18"/>
                      <w:szCs w:val="18"/>
                    </w:rPr>
                  </w:pPr>
                  <w:r>
                    <w:rPr>
                      <w:bCs/>
                      <w:color w:val="auto"/>
                      <w:sz w:val="18"/>
                      <w:szCs w:val="18"/>
                    </w:rPr>
                    <w:t>样品标识</w:t>
                  </w:r>
                </w:p>
              </w:tc>
              <w:tc>
                <w:tcPr>
                  <w:tcW w:w="7451" w:type="dxa"/>
                  <w:gridSpan w:val="9"/>
                  <w:tcBorders>
                    <w:top w:val="single" w:color="auto" w:sz="12" w:space="0"/>
                    <w:bottom w:val="single" w:color="auto" w:sz="6" w:space="0"/>
                  </w:tcBorders>
                  <w:shd w:val="clear" w:color="auto" w:fill="auto"/>
                  <w:vAlign w:val="center"/>
                </w:tcPr>
                <w:p>
                  <w:pPr>
                    <w:jc w:val="left"/>
                    <w:rPr>
                      <w:color w:val="auto"/>
                      <w:sz w:val="18"/>
                      <w:szCs w:val="18"/>
                    </w:rPr>
                  </w:pPr>
                  <w:r>
                    <w:rPr>
                      <w:color w:val="auto"/>
                      <w:sz w:val="18"/>
                      <w:szCs w:val="18"/>
                    </w:rPr>
                    <w:t>检测项目及结果（mg/kg）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03" w:type="dxa"/>
                  <w:vMerge w:val="continue"/>
                  <w:tcBorders>
                    <w:top w:val="single" w:color="auto" w:sz="6" w:space="0"/>
                    <w:bottom w:val="single" w:color="auto" w:sz="6" w:space="0"/>
                  </w:tcBorders>
                  <w:shd w:val="clear" w:color="auto" w:fill="auto"/>
                  <w:vAlign w:val="center"/>
                </w:tcPr>
                <w:p>
                  <w:pPr>
                    <w:jc w:val="center"/>
                    <w:rPr>
                      <w:color w:val="auto"/>
                      <w:sz w:val="18"/>
                      <w:szCs w:val="18"/>
                    </w:rPr>
                  </w:pPr>
                </w:p>
              </w:tc>
              <w:tc>
                <w:tcPr>
                  <w:tcW w:w="851" w:type="dxa"/>
                  <w:tcBorders>
                    <w:top w:val="single" w:color="auto" w:sz="6" w:space="0"/>
                    <w:bottom w:val="single" w:color="auto" w:sz="6" w:space="0"/>
                  </w:tcBorders>
                  <w:shd w:val="clear" w:color="auto" w:fill="auto"/>
                  <w:vAlign w:val="center"/>
                </w:tcPr>
                <w:p>
                  <w:pPr>
                    <w:spacing w:line="0" w:lineRule="atLeast"/>
                    <w:jc w:val="left"/>
                    <w:rPr>
                      <w:color w:val="auto"/>
                      <w:sz w:val="18"/>
                      <w:szCs w:val="18"/>
                    </w:rPr>
                  </w:pPr>
                  <w:r>
                    <w:rPr>
                      <w:color w:val="auto"/>
                      <w:sz w:val="18"/>
                      <w:szCs w:val="18"/>
                    </w:rPr>
                    <w:t>1,2-二氯丙烷</w:t>
                  </w:r>
                </w:p>
              </w:tc>
              <w:tc>
                <w:tcPr>
                  <w:tcW w:w="992" w:type="dxa"/>
                  <w:tcBorders>
                    <w:top w:val="single" w:color="auto" w:sz="6" w:space="0"/>
                    <w:bottom w:val="single" w:color="auto" w:sz="6" w:space="0"/>
                  </w:tcBorders>
                  <w:shd w:val="clear" w:color="auto" w:fill="auto"/>
                  <w:vAlign w:val="center"/>
                </w:tcPr>
                <w:p>
                  <w:pPr>
                    <w:spacing w:line="0" w:lineRule="atLeast"/>
                    <w:jc w:val="left"/>
                    <w:rPr>
                      <w:color w:val="auto"/>
                      <w:sz w:val="18"/>
                      <w:szCs w:val="18"/>
                    </w:rPr>
                  </w:pPr>
                  <w:r>
                    <w:rPr>
                      <w:color w:val="auto"/>
                      <w:sz w:val="18"/>
                      <w:szCs w:val="18"/>
                    </w:rPr>
                    <w:t>1,1,1,2-四氯乙烷</w:t>
                  </w:r>
                </w:p>
              </w:tc>
              <w:tc>
                <w:tcPr>
                  <w:tcW w:w="992" w:type="dxa"/>
                  <w:tcBorders>
                    <w:top w:val="single" w:color="auto" w:sz="6" w:space="0"/>
                    <w:bottom w:val="single" w:color="auto" w:sz="6" w:space="0"/>
                  </w:tcBorders>
                  <w:shd w:val="clear" w:color="auto" w:fill="auto"/>
                  <w:vAlign w:val="center"/>
                </w:tcPr>
                <w:p>
                  <w:pPr>
                    <w:spacing w:line="0" w:lineRule="atLeast"/>
                    <w:jc w:val="left"/>
                    <w:rPr>
                      <w:color w:val="auto"/>
                      <w:sz w:val="18"/>
                      <w:szCs w:val="18"/>
                    </w:rPr>
                  </w:pPr>
                  <w:r>
                    <w:rPr>
                      <w:color w:val="auto"/>
                      <w:sz w:val="18"/>
                      <w:szCs w:val="18"/>
                    </w:rPr>
                    <w:t>1,1,2,2-四氯乙烷</w:t>
                  </w:r>
                </w:p>
              </w:tc>
              <w:tc>
                <w:tcPr>
                  <w:tcW w:w="647" w:type="dxa"/>
                  <w:tcBorders>
                    <w:top w:val="single" w:color="auto" w:sz="6" w:space="0"/>
                    <w:bottom w:val="single" w:color="auto" w:sz="6" w:space="0"/>
                  </w:tcBorders>
                  <w:shd w:val="clear" w:color="auto" w:fill="auto"/>
                  <w:vAlign w:val="center"/>
                </w:tcPr>
                <w:p>
                  <w:pPr>
                    <w:spacing w:line="0" w:lineRule="atLeast"/>
                    <w:jc w:val="left"/>
                    <w:rPr>
                      <w:color w:val="auto"/>
                      <w:sz w:val="18"/>
                      <w:szCs w:val="18"/>
                    </w:rPr>
                  </w:pPr>
                  <w:r>
                    <w:rPr>
                      <w:color w:val="auto"/>
                      <w:sz w:val="18"/>
                      <w:szCs w:val="18"/>
                    </w:rPr>
                    <w:t>四氯乙烯</w:t>
                  </w:r>
                </w:p>
              </w:tc>
              <w:tc>
                <w:tcPr>
                  <w:tcW w:w="850" w:type="dxa"/>
                  <w:tcBorders>
                    <w:top w:val="single" w:color="auto" w:sz="6" w:space="0"/>
                    <w:bottom w:val="single" w:color="auto" w:sz="6" w:space="0"/>
                  </w:tcBorders>
                  <w:shd w:val="clear" w:color="auto" w:fill="auto"/>
                  <w:vAlign w:val="center"/>
                </w:tcPr>
                <w:p>
                  <w:pPr>
                    <w:spacing w:line="0" w:lineRule="atLeast"/>
                    <w:jc w:val="left"/>
                    <w:rPr>
                      <w:color w:val="auto"/>
                      <w:sz w:val="18"/>
                      <w:szCs w:val="18"/>
                    </w:rPr>
                  </w:pPr>
                  <w:r>
                    <w:rPr>
                      <w:color w:val="auto"/>
                      <w:sz w:val="18"/>
                      <w:szCs w:val="18"/>
                    </w:rPr>
                    <w:t>1,1,1-三氯乙烷</w:t>
                  </w:r>
                </w:p>
              </w:tc>
              <w:tc>
                <w:tcPr>
                  <w:tcW w:w="851" w:type="dxa"/>
                  <w:tcBorders>
                    <w:top w:val="single" w:color="auto" w:sz="6" w:space="0"/>
                    <w:bottom w:val="single" w:color="auto" w:sz="6" w:space="0"/>
                  </w:tcBorders>
                  <w:shd w:val="clear" w:color="auto" w:fill="auto"/>
                  <w:vAlign w:val="center"/>
                </w:tcPr>
                <w:p>
                  <w:pPr>
                    <w:spacing w:line="0" w:lineRule="atLeast"/>
                    <w:jc w:val="left"/>
                    <w:rPr>
                      <w:color w:val="auto"/>
                      <w:sz w:val="18"/>
                      <w:szCs w:val="18"/>
                    </w:rPr>
                  </w:pPr>
                  <w:r>
                    <w:rPr>
                      <w:color w:val="auto"/>
                      <w:sz w:val="18"/>
                      <w:szCs w:val="18"/>
                    </w:rPr>
                    <w:t>1,1,2-三氯乙烷</w:t>
                  </w:r>
                </w:p>
              </w:tc>
              <w:tc>
                <w:tcPr>
                  <w:tcW w:w="709" w:type="dxa"/>
                  <w:tcBorders>
                    <w:top w:val="single" w:color="auto" w:sz="6" w:space="0"/>
                    <w:bottom w:val="single" w:color="auto" w:sz="6" w:space="0"/>
                  </w:tcBorders>
                  <w:shd w:val="clear" w:color="auto" w:fill="auto"/>
                  <w:vAlign w:val="center"/>
                </w:tcPr>
                <w:p>
                  <w:pPr>
                    <w:spacing w:line="0" w:lineRule="atLeast"/>
                    <w:jc w:val="left"/>
                    <w:rPr>
                      <w:color w:val="auto"/>
                      <w:sz w:val="18"/>
                      <w:szCs w:val="18"/>
                    </w:rPr>
                  </w:pPr>
                  <w:r>
                    <w:rPr>
                      <w:color w:val="auto"/>
                      <w:sz w:val="18"/>
                      <w:szCs w:val="18"/>
                    </w:rPr>
                    <w:t>三氯乙烯</w:t>
                  </w:r>
                </w:p>
              </w:tc>
              <w:tc>
                <w:tcPr>
                  <w:tcW w:w="850" w:type="dxa"/>
                  <w:tcBorders>
                    <w:top w:val="single" w:color="auto" w:sz="6" w:space="0"/>
                    <w:bottom w:val="single" w:color="auto" w:sz="6" w:space="0"/>
                  </w:tcBorders>
                  <w:shd w:val="clear" w:color="auto" w:fill="auto"/>
                  <w:vAlign w:val="center"/>
                </w:tcPr>
                <w:p>
                  <w:pPr>
                    <w:spacing w:line="0" w:lineRule="atLeast"/>
                    <w:jc w:val="left"/>
                    <w:rPr>
                      <w:color w:val="auto"/>
                      <w:sz w:val="18"/>
                      <w:szCs w:val="18"/>
                    </w:rPr>
                  </w:pPr>
                  <w:r>
                    <w:rPr>
                      <w:color w:val="auto"/>
                      <w:sz w:val="18"/>
                      <w:szCs w:val="18"/>
                    </w:rPr>
                    <w:t>1,2,3-三氯丙烷</w:t>
                  </w:r>
                </w:p>
              </w:tc>
              <w:tc>
                <w:tcPr>
                  <w:tcW w:w="709" w:type="dxa"/>
                  <w:tcBorders>
                    <w:top w:val="single" w:color="auto" w:sz="6" w:space="0"/>
                    <w:bottom w:val="single" w:color="auto" w:sz="6" w:space="0"/>
                  </w:tcBorders>
                  <w:shd w:val="clear" w:color="auto" w:fill="auto"/>
                  <w:vAlign w:val="center"/>
                </w:tcPr>
                <w:p>
                  <w:pPr>
                    <w:spacing w:line="0" w:lineRule="atLeast"/>
                    <w:jc w:val="left"/>
                    <w:rPr>
                      <w:color w:val="auto"/>
                      <w:sz w:val="18"/>
                      <w:szCs w:val="18"/>
                    </w:rPr>
                  </w:pPr>
                  <w:r>
                    <w:rPr>
                      <w:color w:val="auto"/>
                      <w:sz w:val="18"/>
                      <w:szCs w:val="18"/>
                    </w:rPr>
                    <w:t>氯乙烯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03" w:type="dxa"/>
                  <w:tcBorders>
                    <w:top w:val="single" w:color="auto" w:sz="6" w:space="0"/>
                  </w:tcBorders>
                  <w:shd w:val="clear" w:color="auto" w:fill="auto"/>
                  <w:vAlign w:val="center"/>
                </w:tcPr>
                <w:p>
                  <w:pPr>
                    <w:ind w:left="-160" w:leftChars="-50" w:right="-160" w:rightChars="-50"/>
                    <w:jc w:val="center"/>
                    <w:rPr>
                      <w:bCs/>
                      <w:color w:val="auto"/>
                      <w:sz w:val="18"/>
                      <w:szCs w:val="18"/>
                    </w:rPr>
                  </w:pPr>
                  <w:r>
                    <w:rPr>
                      <w:color w:val="auto"/>
                      <w:sz w:val="18"/>
                      <w:szCs w:val="18"/>
                    </w:rPr>
                    <w:t>XW1(0-0.5m)</w:t>
                  </w:r>
                </w:p>
              </w:tc>
              <w:tc>
                <w:tcPr>
                  <w:tcW w:w="851" w:type="dxa"/>
                  <w:tcBorders>
                    <w:top w:val="single" w:color="auto" w:sz="6" w:space="0"/>
                  </w:tcBorders>
                  <w:shd w:val="clear" w:color="auto" w:fill="auto"/>
                  <w:vAlign w:val="center"/>
                </w:tcPr>
                <w:p>
                  <w:pPr>
                    <w:jc w:val="left"/>
                    <w:rPr>
                      <w:color w:val="auto"/>
                      <w:sz w:val="18"/>
                      <w:szCs w:val="18"/>
                    </w:rPr>
                  </w:pPr>
                  <w:r>
                    <w:rPr>
                      <w:color w:val="auto"/>
                      <w:sz w:val="18"/>
                      <w:szCs w:val="18"/>
                    </w:rPr>
                    <w:t>N.D</w:t>
                  </w:r>
                </w:p>
              </w:tc>
              <w:tc>
                <w:tcPr>
                  <w:tcW w:w="992" w:type="dxa"/>
                  <w:tcBorders>
                    <w:top w:val="single" w:color="auto" w:sz="6" w:space="0"/>
                  </w:tcBorders>
                  <w:shd w:val="clear" w:color="auto" w:fill="auto"/>
                  <w:vAlign w:val="center"/>
                </w:tcPr>
                <w:p>
                  <w:pPr>
                    <w:jc w:val="left"/>
                    <w:rPr>
                      <w:color w:val="auto"/>
                      <w:sz w:val="18"/>
                      <w:szCs w:val="18"/>
                    </w:rPr>
                  </w:pPr>
                  <w:r>
                    <w:rPr>
                      <w:color w:val="auto"/>
                      <w:sz w:val="18"/>
                      <w:szCs w:val="18"/>
                    </w:rPr>
                    <w:t>N.D</w:t>
                  </w:r>
                </w:p>
              </w:tc>
              <w:tc>
                <w:tcPr>
                  <w:tcW w:w="992" w:type="dxa"/>
                  <w:tcBorders>
                    <w:top w:val="single" w:color="auto" w:sz="6" w:space="0"/>
                  </w:tcBorders>
                  <w:shd w:val="clear" w:color="auto" w:fill="auto"/>
                  <w:vAlign w:val="center"/>
                </w:tcPr>
                <w:p>
                  <w:pPr>
                    <w:jc w:val="left"/>
                    <w:rPr>
                      <w:color w:val="auto"/>
                      <w:sz w:val="18"/>
                      <w:szCs w:val="18"/>
                    </w:rPr>
                  </w:pPr>
                  <w:r>
                    <w:rPr>
                      <w:color w:val="auto"/>
                      <w:sz w:val="18"/>
                      <w:szCs w:val="18"/>
                    </w:rPr>
                    <w:t>N.D</w:t>
                  </w:r>
                </w:p>
              </w:tc>
              <w:tc>
                <w:tcPr>
                  <w:tcW w:w="647" w:type="dxa"/>
                  <w:tcBorders>
                    <w:top w:val="single" w:color="auto" w:sz="6" w:space="0"/>
                  </w:tcBorders>
                  <w:shd w:val="clear" w:color="auto" w:fill="auto"/>
                  <w:vAlign w:val="center"/>
                </w:tcPr>
                <w:p>
                  <w:pPr>
                    <w:jc w:val="left"/>
                    <w:rPr>
                      <w:color w:val="auto"/>
                      <w:sz w:val="18"/>
                      <w:szCs w:val="18"/>
                    </w:rPr>
                  </w:pPr>
                  <w:r>
                    <w:rPr>
                      <w:color w:val="auto"/>
                      <w:sz w:val="18"/>
                      <w:szCs w:val="18"/>
                    </w:rPr>
                    <w:t>N.D</w:t>
                  </w:r>
                </w:p>
              </w:tc>
              <w:tc>
                <w:tcPr>
                  <w:tcW w:w="850" w:type="dxa"/>
                  <w:tcBorders>
                    <w:top w:val="single" w:color="auto" w:sz="6" w:space="0"/>
                  </w:tcBorders>
                  <w:shd w:val="clear" w:color="auto" w:fill="auto"/>
                  <w:vAlign w:val="center"/>
                </w:tcPr>
                <w:p>
                  <w:pPr>
                    <w:jc w:val="left"/>
                    <w:rPr>
                      <w:color w:val="auto"/>
                      <w:sz w:val="18"/>
                      <w:szCs w:val="18"/>
                    </w:rPr>
                  </w:pPr>
                  <w:r>
                    <w:rPr>
                      <w:color w:val="auto"/>
                      <w:sz w:val="18"/>
                      <w:szCs w:val="18"/>
                    </w:rPr>
                    <w:t>N.D</w:t>
                  </w:r>
                </w:p>
              </w:tc>
              <w:tc>
                <w:tcPr>
                  <w:tcW w:w="851" w:type="dxa"/>
                  <w:tcBorders>
                    <w:top w:val="single" w:color="auto" w:sz="6" w:space="0"/>
                  </w:tcBorders>
                  <w:shd w:val="clear" w:color="auto" w:fill="auto"/>
                  <w:vAlign w:val="center"/>
                </w:tcPr>
                <w:p>
                  <w:pPr>
                    <w:jc w:val="left"/>
                    <w:rPr>
                      <w:color w:val="auto"/>
                      <w:sz w:val="18"/>
                      <w:szCs w:val="18"/>
                    </w:rPr>
                  </w:pPr>
                  <w:r>
                    <w:rPr>
                      <w:color w:val="auto"/>
                      <w:sz w:val="18"/>
                      <w:szCs w:val="18"/>
                    </w:rPr>
                    <w:t>N.D</w:t>
                  </w:r>
                </w:p>
              </w:tc>
              <w:tc>
                <w:tcPr>
                  <w:tcW w:w="709" w:type="dxa"/>
                  <w:tcBorders>
                    <w:top w:val="single" w:color="auto" w:sz="6" w:space="0"/>
                  </w:tcBorders>
                  <w:shd w:val="clear" w:color="auto" w:fill="auto"/>
                  <w:vAlign w:val="center"/>
                </w:tcPr>
                <w:p>
                  <w:pPr>
                    <w:jc w:val="left"/>
                    <w:rPr>
                      <w:color w:val="auto"/>
                      <w:sz w:val="18"/>
                      <w:szCs w:val="18"/>
                    </w:rPr>
                  </w:pPr>
                  <w:r>
                    <w:rPr>
                      <w:color w:val="auto"/>
                      <w:sz w:val="18"/>
                      <w:szCs w:val="18"/>
                    </w:rPr>
                    <w:t>N.D</w:t>
                  </w:r>
                </w:p>
              </w:tc>
              <w:tc>
                <w:tcPr>
                  <w:tcW w:w="850" w:type="dxa"/>
                  <w:tcBorders>
                    <w:top w:val="single" w:color="auto" w:sz="6" w:space="0"/>
                  </w:tcBorders>
                  <w:shd w:val="clear" w:color="auto" w:fill="auto"/>
                  <w:vAlign w:val="center"/>
                </w:tcPr>
                <w:p>
                  <w:pPr>
                    <w:jc w:val="left"/>
                    <w:rPr>
                      <w:color w:val="auto"/>
                      <w:sz w:val="18"/>
                      <w:szCs w:val="18"/>
                    </w:rPr>
                  </w:pPr>
                  <w:r>
                    <w:rPr>
                      <w:color w:val="auto"/>
                      <w:sz w:val="18"/>
                      <w:szCs w:val="18"/>
                    </w:rPr>
                    <w:t>N.D</w:t>
                  </w:r>
                </w:p>
              </w:tc>
              <w:tc>
                <w:tcPr>
                  <w:tcW w:w="709" w:type="dxa"/>
                  <w:tcBorders>
                    <w:top w:val="single" w:color="auto" w:sz="6" w:space="0"/>
                  </w:tcBorders>
                  <w:shd w:val="clear" w:color="auto" w:fill="auto"/>
                  <w:vAlign w:val="center"/>
                </w:tcPr>
                <w:p>
                  <w:pPr>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03" w:type="dxa"/>
                  <w:shd w:val="clear" w:color="auto" w:fill="auto"/>
                  <w:vAlign w:val="center"/>
                </w:tcPr>
                <w:p>
                  <w:pPr>
                    <w:ind w:left="-160" w:leftChars="-50" w:right="-160" w:rightChars="-50"/>
                    <w:jc w:val="center"/>
                    <w:rPr>
                      <w:bCs/>
                      <w:color w:val="auto"/>
                      <w:sz w:val="18"/>
                      <w:szCs w:val="18"/>
                    </w:rPr>
                  </w:pPr>
                  <w:r>
                    <w:rPr>
                      <w:color w:val="auto"/>
                      <w:sz w:val="18"/>
                      <w:szCs w:val="18"/>
                    </w:rPr>
                    <w:t>XW1 (0.5-1m)</w:t>
                  </w:r>
                </w:p>
              </w:tc>
              <w:tc>
                <w:tcPr>
                  <w:tcW w:w="851"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647"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851"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03" w:type="dxa"/>
                  <w:shd w:val="clear" w:color="auto" w:fill="auto"/>
                  <w:vAlign w:val="center"/>
                </w:tcPr>
                <w:p>
                  <w:pPr>
                    <w:ind w:left="-160" w:leftChars="-50" w:right="-160" w:rightChars="-50"/>
                    <w:jc w:val="center"/>
                    <w:rPr>
                      <w:bCs/>
                      <w:color w:val="auto"/>
                      <w:sz w:val="18"/>
                      <w:szCs w:val="18"/>
                    </w:rPr>
                  </w:pPr>
                  <w:r>
                    <w:rPr>
                      <w:color w:val="auto"/>
                      <w:sz w:val="18"/>
                      <w:szCs w:val="18"/>
                    </w:rPr>
                    <w:t>XW2(0-0.5m)</w:t>
                  </w:r>
                </w:p>
              </w:tc>
              <w:tc>
                <w:tcPr>
                  <w:tcW w:w="851"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647"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851"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03" w:type="dxa"/>
                  <w:shd w:val="clear" w:color="auto" w:fill="auto"/>
                  <w:vAlign w:val="center"/>
                </w:tcPr>
                <w:p>
                  <w:pPr>
                    <w:ind w:left="-160" w:leftChars="-50" w:right="-160" w:rightChars="-50"/>
                    <w:jc w:val="center"/>
                    <w:rPr>
                      <w:bCs/>
                      <w:color w:val="auto"/>
                      <w:sz w:val="18"/>
                      <w:szCs w:val="18"/>
                    </w:rPr>
                  </w:pPr>
                  <w:r>
                    <w:rPr>
                      <w:color w:val="auto"/>
                      <w:sz w:val="18"/>
                      <w:szCs w:val="18"/>
                    </w:rPr>
                    <w:t>XW2(0.5-1m)</w:t>
                  </w:r>
                </w:p>
              </w:tc>
              <w:tc>
                <w:tcPr>
                  <w:tcW w:w="851"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647"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851"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03" w:type="dxa"/>
                  <w:shd w:val="clear" w:color="auto" w:fill="auto"/>
                  <w:vAlign w:val="center"/>
                </w:tcPr>
                <w:p>
                  <w:pPr>
                    <w:ind w:left="-160" w:leftChars="-50" w:right="-160" w:rightChars="-50"/>
                    <w:jc w:val="center"/>
                    <w:rPr>
                      <w:bCs/>
                      <w:color w:val="auto"/>
                      <w:sz w:val="18"/>
                      <w:szCs w:val="18"/>
                    </w:rPr>
                  </w:pPr>
                  <w:r>
                    <w:rPr>
                      <w:color w:val="auto"/>
                      <w:sz w:val="18"/>
                      <w:szCs w:val="18"/>
                    </w:rPr>
                    <w:t>XW2(1.-1.5m)</w:t>
                  </w:r>
                </w:p>
              </w:tc>
              <w:tc>
                <w:tcPr>
                  <w:tcW w:w="851"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647"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851"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03" w:type="dxa"/>
                  <w:shd w:val="clear" w:color="auto" w:fill="auto"/>
                  <w:vAlign w:val="center"/>
                </w:tcPr>
                <w:p>
                  <w:pPr>
                    <w:ind w:left="-160" w:leftChars="-50" w:right="-160" w:rightChars="-50"/>
                    <w:jc w:val="center"/>
                    <w:rPr>
                      <w:bCs/>
                      <w:color w:val="auto"/>
                      <w:sz w:val="18"/>
                      <w:szCs w:val="18"/>
                    </w:rPr>
                  </w:pPr>
                  <w:r>
                    <w:rPr>
                      <w:color w:val="auto"/>
                      <w:sz w:val="18"/>
                      <w:szCs w:val="18"/>
                    </w:rPr>
                    <w:t>XW3(0-0.5m)</w:t>
                  </w:r>
                </w:p>
              </w:tc>
              <w:tc>
                <w:tcPr>
                  <w:tcW w:w="851"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647"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851"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03" w:type="dxa"/>
                  <w:shd w:val="clear" w:color="auto" w:fill="auto"/>
                  <w:vAlign w:val="center"/>
                </w:tcPr>
                <w:p>
                  <w:pPr>
                    <w:ind w:left="-160" w:leftChars="-50" w:right="-160" w:rightChars="-50"/>
                    <w:jc w:val="center"/>
                    <w:rPr>
                      <w:bCs/>
                      <w:color w:val="auto"/>
                      <w:sz w:val="18"/>
                      <w:szCs w:val="18"/>
                    </w:rPr>
                  </w:pPr>
                  <w:r>
                    <w:rPr>
                      <w:color w:val="auto"/>
                      <w:sz w:val="18"/>
                      <w:szCs w:val="18"/>
                    </w:rPr>
                    <w:t>XW3(0.5-1m)</w:t>
                  </w:r>
                </w:p>
              </w:tc>
              <w:tc>
                <w:tcPr>
                  <w:tcW w:w="851"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647"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851"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03" w:type="dxa"/>
                  <w:shd w:val="clear" w:color="auto" w:fill="auto"/>
                  <w:vAlign w:val="center"/>
                </w:tcPr>
                <w:p>
                  <w:pPr>
                    <w:ind w:left="-160" w:leftChars="-50" w:right="-160" w:rightChars="-50"/>
                    <w:jc w:val="center"/>
                    <w:rPr>
                      <w:bCs/>
                      <w:color w:val="auto"/>
                      <w:sz w:val="18"/>
                      <w:szCs w:val="18"/>
                    </w:rPr>
                  </w:pPr>
                  <w:r>
                    <w:rPr>
                      <w:color w:val="auto"/>
                      <w:sz w:val="18"/>
                      <w:szCs w:val="18"/>
                    </w:rPr>
                    <w:t>XW3(1.-1.5m)</w:t>
                  </w:r>
                </w:p>
              </w:tc>
              <w:tc>
                <w:tcPr>
                  <w:tcW w:w="851"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647"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851"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03" w:type="dxa"/>
                  <w:shd w:val="clear" w:color="auto" w:fill="auto"/>
                  <w:vAlign w:val="center"/>
                </w:tcPr>
                <w:p>
                  <w:pPr>
                    <w:ind w:left="-160" w:leftChars="-50" w:right="-160" w:rightChars="-50"/>
                    <w:jc w:val="center"/>
                    <w:rPr>
                      <w:bCs/>
                      <w:color w:val="auto"/>
                      <w:sz w:val="18"/>
                      <w:szCs w:val="18"/>
                    </w:rPr>
                  </w:pPr>
                  <w:r>
                    <w:rPr>
                      <w:color w:val="auto"/>
                      <w:sz w:val="18"/>
                      <w:szCs w:val="18"/>
                    </w:rPr>
                    <w:t>XW4(0-0.5m)</w:t>
                  </w:r>
                </w:p>
              </w:tc>
              <w:tc>
                <w:tcPr>
                  <w:tcW w:w="851"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647"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851"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03" w:type="dxa"/>
                  <w:shd w:val="clear" w:color="auto" w:fill="auto"/>
                  <w:vAlign w:val="center"/>
                </w:tcPr>
                <w:p>
                  <w:pPr>
                    <w:ind w:left="-160" w:leftChars="-50" w:right="-160" w:rightChars="-50"/>
                    <w:jc w:val="center"/>
                    <w:rPr>
                      <w:bCs/>
                      <w:color w:val="auto"/>
                      <w:sz w:val="18"/>
                      <w:szCs w:val="18"/>
                    </w:rPr>
                  </w:pPr>
                  <w:r>
                    <w:rPr>
                      <w:color w:val="auto"/>
                      <w:sz w:val="18"/>
                      <w:szCs w:val="18"/>
                    </w:rPr>
                    <w:t>XW4(0.5-1m)</w:t>
                  </w:r>
                </w:p>
              </w:tc>
              <w:tc>
                <w:tcPr>
                  <w:tcW w:w="851"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647"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851"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03" w:type="dxa"/>
                  <w:shd w:val="clear" w:color="auto" w:fill="auto"/>
                  <w:vAlign w:val="center"/>
                </w:tcPr>
                <w:p>
                  <w:pPr>
                    <w:ind w:left="-160" w:leftChars="-50" w:right="-160" w:rightChars="-50"/>
                    <w:jc w:val="center"/>
                    <w:rPr>
                      <w:bCs/>
                      <w:color w:val="auto"/>
                      <w:sz w:val="18"/>
                      <w:szCs w:val="18"/>
                    </w:rPr>
                  </w:pPr>
                  <w:r>
                    <w:rPr>
                      <w:color w:val="auto"/>
                      <w:sz w:val="18"/>
                      <w:szCs w:val="18"/>
                    </w:rPr>
                    <w:t>XW4(1.-1.5m)</w:t>
                  </w:r>
                </w:p>
              </w:tc>
              <w:tc>
                <w:tcPr>
                  <w:tcW w:w="851"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647"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851"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03" w:type="dxa"/>
                  <w:shd w:val="clear" w:color="auto" w:fill="auto"/>
                  <w:vAlign w:val="center"/>
                </w:tcPr>
                <w:p>
                  <w:pPr>
                    <w:ind w:left="-160" w:leftChars="-50" w:right="-160" w:rightChars="-50"/>
                    <w:jc w:val="center"/>
                    <w:rPr>
                      <w:bCs/>
                      <w:color w:val="auto"/>
                      <w:sz w:val="18"/>
                      <w:szCs w:val="18"/>
                    </w:rPr>
                  </w:pPr>
                  <w:r>
                    <w:rPr>
                      <w:color w:val="auto"/>
                      <w:sz w:val="18"/>
                      <w:szCs w:val="18"/>
                    </w:rPr>
                    <w:t>XW5(0-0.5m)</w:t>
                  </w:r>
                </w:p>
              </w:tc>
              <w:tc>
                <w:tcPr>
                  <w:tcW w:w="851"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647"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851"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03" w:type="dxa"/>
                  <w:shd w:val="clear" w:color="auto" w:fill="auto"/>
                  <w:vAlign w:val="center"/>
                </w:tcPr>
                <w:p>
                  <w:pPr>
                    <w:ind w:left="-160" w:leftChars="-50" w:right="-160" w:rightChars="-50"/>
                    <w:jc w:val="center"/>
                    <w:rPr>
                      <w:bCs/>
                      <w:color w:val="auto"/>
                      <w:sz w:val="18"/>
                      <w:szCs w:val="18"/>
                    </w:rPr>
                  </w:pPr>
                  <w:r>
                    <w:rPr>
                      <w:color w:val="auto"/>
                      <w:sz w:val="18"/>
                      <w:szCs w:val="18"/>
                    </w:rPr>
                    <w:t>XW5(0.5-1m)</w:t>
                  </w:r>
                </w:p>
              </w:tc>
              <w:tc>
                <w:tcPr>
                  <w:tcW w:w="851"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647"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851"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03" w:type="dxa"/>
                  <w:shd w:val="clear" w:color="auto" w:fill="auto"/>
                  <w:vAlign w:val="center"/>
                </w:tcPr>
                <w:p>
                  <w:pPr>
                    <w:ind w:left="-160" w:leftChars="-50" w:right="-160" w:rightChars="-50"/>
                    <w:jc w:val="center"/>
                    <w:rPr>
                      <w:bCs/>
                      <w:color w:val="auto"/>
                      <w:sz w:val="18"/>
                      <w:szCs w:val="18"/>
                    </w:rPr>
                  </w:pPr>
                  <w:r>
                    <w:rPr>
                      <w:color w:val="auto"/>
                      <w:sz w:val="18"/>
                      <w:szCs w:val="18"/>
                    </w:rPr>
                    <w:t>XW5(1.-1.5m)</w:t>
                  </w:r>
                </w:p>
              </w:tc>
              <w:tc>
                <w:tcPr>
                  <w:tcW w:w="851"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647"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851"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303" w:type="dxa"/>
                  <w:shd w:val="clear" w:color="auto" w:fill="auto"/>
                  <w:vAlign w:val="center"/>
                </w:tcPr>
                <w:p>
                  <w:pPr>
                    <w:ind w:left="-160" w:leftChars="-50" w:right="-160" w:rightChars="-50"/>
                    <w:jc w:val="center"/>
                    <w:rPr>
                      <w:color w:val="auto"/>
                      <w:sz w:val="18"/>
                      <w:szCs w:val="18"/>
                    </w:rPr>
                  </w:pPr>
                  <w:r>
                    <w:rPr>
                      <w:color w:val="auto"/>
                      <w:sz w:val="18"/>
                      <w:szCs w:val="18"/>
                    </w:rPr>
                    <w:t>XW6(0-0.5m)</w:t>
                  </w:r>
                </w:p>
              </w:tc>
              <w:tc>
                <w:tcPr>
                  <w:tcW w:w="851"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992" w:type="dxa"/>
                  <w:shd w:val="clear" w:color="auto" w:fill="auto"/>
                  <w:vAlign w:val="center"/>
                </w:tcPr>
                <w:p>
                  <w:pPr>
                    <w:jc w:val="left"/>
                    <w:rPr>
                      <w:color w:val="auto"/>
                      <w:sz w:val="18"/>
                      <w:szCs w:val="18"/>
                    </w:rPr>
                  </w:pPr>
                  <w:r>
                    <w:rPr>
                      <w:color w:val="auto"/>
                      <w:sz w:val="18"/>
                      <w:szCs w:val="18"/>
                    </w:rPr>
                    <w:t>N.D</w:t>
                  </w:r>
                </w:p>
              </w:tc>
              <w:tc>
                <w:tcPr>
                  <w:tcW w:w="647"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851"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c>
                <w:tcPr>
                  <w:tcW w:w="850" w:type="dxa"/>
                  <w:shd w:val="clear" w:color="auto" w:fill="auto"/>
                  <w:vAlign w:val="center"/>
                </w:tcPr>
                <w:p>
                  <w:pPr>
                    <w:jc w:val="left"/>
                    <w:rPr>
                      <w:color w:val="auto"/>
                      <w:sz w:val="18"/>
                      <w:szCs w:val="18"/>
                    </w:rPr>
                  </w:pPr>
                  <w:r>
                    <w:rPr>
                      <w:color w:val="auto"/>
                      <w:sz w:val="18"/>
                      <w:szCs w:val="18"/>
                    </w:rPr>
                    <w:t>N.D</w:t>
                  </w:r>
                </w:p>
              </w:tc>
              <w:tc>
                <w:tcPr>
                  <w:tcW w:w="709" w:type="dxa"/>
                  <w:shd w:val="clear" w:color="auto" w:fill="auto"/>
                  <w:vAlign w:val="center"/>
                </w:tcPr>
                <w:p>
                  <w:pPr>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6" w:hRule="atLeast"/>
                <w:jc w:val="center"/>
              </w:trPr>
              <w:tc>
                <w:tcPr>
                  <w:tcW w:w="1303" w:type="dxa"/>
                  <w:shd w:val="clear" w:color="auto" w:fill="auto"/>
                  <w:vAlign w:val="center"/>
                </w:tcPr>
                <w:p>
                  <w:pPr>
                    <w:ind w:left="-160" w:leftChars="-50" w:right="-160" w:rightChars="-50"/>
                    <w:jc w:val="center"/>
                    <w:rPr>
                      <w:color w:val="auto"/>
                      <w:sz w:val="18"/>
                      <w:szCs w:val="18"/>
                    </w:rPr>
                  </w:pPr>
                  <w:r>
                    <w:rPr>
                      <w:color w:val="auto"/>
                      <w:sz w:val="18"/>
                      <w:szCs w:val="18"/>
                    </w:rPr>
                    <w:t>备注</w:t>
                  </w:r>
                </w:p>
              </w:tc>
              <w:tc>
                <w:tcPr>
                  <w:tcW w:w="7451" w:type="dxa"/>
                  <w:gridSpan w:val="9"/>
                  <w:shd w:val="clear" w:color="auto" w:fill="auto"/>
                  <w:vAlign w:val="center"/>
                </w:tcPr>
                <w:p>
                  <w:pPr>
                    <w:jc w:val="left"/>
                    <w:rPr>
                      <w:color w:val="auto"/>
                      <w:sz w:val="18"/>
                      <w:szCs w:val="18"/>
                    </w:rPr>
                  </w:pPr>
                  <w:r>
                    <w:rPr>
                      <w:color w:val="auto"/>
                      <w:sz w:val="18"/>
                      <w:szCs w:val="18"/>
                    </w:rPr>
                    <w:t>1、N.D表示为检测结果低于分析方法的最低检出浓度。</w:t>
                  </w:r>
                </w:p>
              </w:tc>
            </w:tr>
          </w:tbl>
          <w:p>
            <w:pPr>
              <w:jc w:val="center"/>
              <w:rPr>
                <w:b/>
                <w:bCs/>
                <w:color w:val="auto"/>
                <w:sz w:val="24"/>
              </w:rPr>
            </w:pPr>
            <w:r>
              <w:rPr>
                <w:rFonts w:hint="eastAsia"/>
                <w:b/>
                <w:bCs/>
                <w:color w:val="auto"/>
                <w:sz w:val="24"/>
              </w:rPr>
              <w:t xml:space="preserve">续表11  </w:t>
            </w:r>
            <w:r>
              <w:rPr>
                <w:b/>
                <w:bCs/>
                <w:color w:val="auto"/>
                <w:sz w:val="24"/>
              </w:rPr>
              <w:t>土壤</w:t>
            </w:r>
            <w:r>
              <w:rPr>
                <w:rFonts w:hint="eastAsia"/>
                <w:b/>
                <w:bCs/>
                <w:color w:val="auto"/>
                <w:sz w:val="24"/>
              </w:rPr>
              <w:t>有机物</w:t>
            </w:r>
            <w:r>
              <w:rPr>
                <w:b/>
                <w:bCs/>
                <w:color w:val="auto"/>
                <w:sz w:val="24"/>
              </w:rPr>
              <w:t>检测数据基本情况</w:t>
            </w:r>
          </w:p>
          <w:tbl>
            <w:tblPr>
              <w:tblStyle w:val="43"/>
              <w:tblW w:w="888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2"/>
              <w:gridCol w:w="709"/>
              <w:gridCol w:w="567"/>
              <w:gridCol w:w="709"/>
              <w:gridCol w:w="850"/>
              <w:gridCol w:w="880"/>
              <w:gridCol w:w="850"/>
              <w:gridCol w:w="993"/>
              <w:gridCol w:w="1037"/>
              <w:gridCol w:w="709"/>
              <w:gridCol w:w="5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 w:type="dxa"/>
                  <w:vMerge w:val="restart"/>
                  <w:tcBorders>
                    <w:top w:val="single" w:color="auto" w:sz="12" w:space="0"/>
                    <w:bottom w:val="single" w:color="auto" w:sz="6" w:space="0"/>
                  </w:tcBorders>
                  <w:shd w:val="clear" w:color="auto" w:fill="auto"/>
                  <w:vAlign w:val="center"/>
                </w:tcPr>
                <w:p>
                  <w:pPr>
                    <w:jc w:val="center"/>
                    <w:rPr>
                      <w:rFonts w:eastAsiaTheme="minorEastAsia"/>
                      <w:bCs/>
                      <w:color w:val="auto"/>
                      <w:sz w:val="18"/>
                      <w:szCs w:val="18"/>
                    </w:rPr>
                  </w:pPr>
                  <w:r>
                    <w:rPr>
                      <w:rFonts w:eastAsiaTheme="minorEastAsia"/>
                      <w:bCs/>
                      <w:color w:val="auto"/>
                      <w:sz w:val="18"/>
                      <w:szCs w:val="18"/>
                    </w:rPr>
                    <w:t>样品标识</w:t>
                  </w:r>
                </w:p>
              </w:tc>
              <w:tc>
                <w:tcPr>
                  <w:tcW w:w="7871" w:type="dxa"/>
                  <w:gridSpan w:val="10"/>
                  <w:tcBorders>
                    <w:top w:val="single" w:color="auto" w:sz="12" w:space="0"/>
                    <w:bottom w:val="single" w:color="auto" w:sz="6" w:space="0"/>
                  </w:tcBorders>
                  <w:shd w:val="clear" w:color="auto" w:fill="auto"/>
                  <w:vAlign w:val="center"/>
                </w:tcPr>
                <w:p>
                  <w:pPr>
                    <w:jc w:val="left"/>
                    <w:rPr>
                      <w:rFonts w:eastAsiaTheme="minorEastAsia"/>
                      <w:color w:val="auto"/>
                      <w:sz w:val="18"/>
                      <w:szCs w:val="18"/>
                    </w:rPr>
                  </w:pPr>
                  <w:r>
                    <w:rPr>
                      <w:rFonts w:eastAsiaTheme="minorEastAsia"/>
                      <w:color w:val="auto"/>
                      <w:sz w:val="18"/>
                      <w:szCs w:val="18"/>
                    </w:rPr>
                    <w:t>检测项目及结果（mg/kg）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 w:type="dxa"/>
                  <w:vMerge w:val="continue"/>
                  <w:tcBorders>
                    <w:top w:val="single" w:color="auto" w:sz="6" w:space="0"/>
                    <w:bottom w:val="single" w:color="auto" w:sz="6" w:space="0"/>
                  </w:tcBorders>
                  <w:shd w:val="clear" w:color="auto" w:fill="auto"/>
                  <w:vAlign w:val="center"/>
                </w:tcPr>
                <w:p>
                  <w:pPr>
                    <w:jc w:val="center"/>
                    <w:rPr>
                      <w:rFonts w:eastAsiaTheme="minorEastAsia"/>
                      <w:color w:val="auto"/>
                      <w:sz w:val="18"/>
                      <w:szCs w:val="18"/>
                    </w:rPr>
                  </w:pPr>
                </w:p>
              </w:tc>
              <w:tc>
                <w:tcPr>
                  <w:tcW w:w="709" w:type="dxa"/>
                  <w:tcBorders>
                    <w:top w:val="single" w:color="auto" w:sz="6" w:space="0"/>
                    <w:bottom w:val="single" w:color="auto" w:sz="6" w:space="0"/>
                  </w:tcBorders>
                  <w:shd w:val="clear" w:color="auto" w:fill="auto"/>
                  <w:vAlign w:val="center"/>
                </w:tcPr>
                <w:p>
                  <w:pPr>
                    <w:spacing w:line="0" w:lineRule="atLeast"/>
                    <w:jc w:val="left"/>
                    <w:rPr>
                      <w:rFonts w:eastAsiaTheme="minorEastAsia"/>
                      <w:color w:val="auto"/>
                      <w:sz w:val="18"/>
                      <w:szCs w:val="18"/>
                    </w:rPr>
                  </w:pPr>
                  <w:r>
                    <w:rPr>
                      <w:rFonts w:eastAsiaTheme="minorEastAsia"/>
                      <w:color w:val="auto"/>
                      <w:sz w:val="18"/>
                      <w:szCs w:val="18"/>
                    </w:rPr>
                    <w:t>四氯化碳</w:t>
                  </w:r>
                </w:p>
              </w:tc>
              <w:tc>
                <w:tcPr>
                  <w:tcW w:w="567" w:type="dxa"/>
                  <w:tcBorders>
                    <w:top w:val="single" w:color="auto" w:sz="6" w:space="0"/>
                    <w:bottom w:val="single" w:color="auto" w:sz="6" w:space="0"/>
                  </w:tcBorders>
                  <w:shd w:val="clear" w:color="auto" w:fill="auto"/>
                  <w:vAlign w:val="center"/>
                </w:tcPr>
                <w:p>
                  <w:pPr>
                    <w:spacing w:line="0" w:lineRule="atLeast"/>
                    <w:jc w:val="left"/>
                    <w:rPr>
                      <w:rFonts w:eastAsiaTheme="minorEastAsia"/>
                      <w:color w:val="auto"/>
                      <w:sz w:val="18"/>
                      <w:szCs w:val="18"/>
                    </w:rPr>
                  </w:pPr>
                  <w:r>
                    <w:rPr>
                      <w:rFonts w:eastAsiaTheme="minorEastAsia"/>
                      <w:color w:val="auto"/>
                      <w:sz w:val="18"/>
                      <w:szCs w:val="18"/>
                    </w:rPr>
                    <w:t>氯仿</w:t>
                  </w:r>
                </w:p>
              </w:tc>
              <w:tc>
                <w:tcPr>
                  <w:tcW w:w="709" w:type="dxa"/>
                  <w:tcBorders>
                    <w:top w:val="single" w:color="auto" w:sz="6" w:space="0"/>
                    <w:bottom w:val="single" w:color="auto" w:sz="6" w:space="0"/>
                  </w:tcBorders>
                  <w:shd w:val="clear" w:color="auto" w:fill="auto"/>
                  <w:vAlign w:val="center"/>
                </w:tcPr>
                <w:p>
                  <w:pPr>
                    <w:spacing w:line="0" w:lineRule="atLeast"/>
                    <w:jc w:val="left"/>
                    <w:rPr>
                      <w:rFonts w:eastAsiaTheme="minorEastAsia"/>
                      <w:color w:val="auto"/>
                      <w:sz w:val="18"/>
                      <w:szCs w:val="18"/>
                    </w:rPr>
                  </w:pPr>
                  <w:r>
                    <w:rPr>
                      <w:rFonts w:eastAsiaTheme="minorEastAsia"/>
                      <w:color w:val="auto"/>
                      <w:sz w:val="18"/>
                      <w:szCs w:val="18"/>
                    </w:rPr>
                    <w:t>二氯甲烷</w:t>
                  </w:r>
                </w:p>
              </w:tc>
              <w:tc>
                <w:tcPr>
                  <w:tcW w:w="850" w:type="dxa"/>
                  <w:tcBorders>
                    <w:top w:val="single" w:color="auto" w:sz="6" w:space="0"/>
                    <w:bottom w:val="single" w:color="auto" w:sz="6" w:space="0"/>
                  </w:tcBorders>
                  <w:shd w:val="clear" w:color="auto" w:fill="auto"/>
                  <w:vAlign w:val="center"/>
                </w:tcPr>
                <w:p>
                  <w:pPr>
                    <w:spacing w:line="0" w:lineRule="atLeast"/>
                    <w:jc w:val="left"/>
                    <w:rPr>
                      <w:rFonts w:eastAsiaTheme="minorEastAsia"/>
                      <w:color w:val="auto"/>
                      <w:sz w:val="18"/>
                      <w:szCs w:val="18"/>
                    </w:rPr>
                  </w:pPr>
                  <w:r>
                    <w:rPr>
                      <w:rFonts w:eastAsiaTheme="minorEastAsia"/>
                      <w:color w:val="auto"/>
                      <w:sz w:val="18"/>
                      <w:szCs w:val="18"/>
                    </w:rPr>
                    <w:t>1,1-二氯乙烷</w:t>
                  </w:r>
                </w:p>
              </w:tc>
              <w:tc>
                <w:tcPr>
                  <w:tcW w:w="880" w:type="dxa"/>
                  <w:tcBorders>
                    <w:top w:val="single" w:color="auto" w:sz="6" w:space="0"/>
                    <w:bottom w:val="single" w:color="auto" w:sz="6" w:space="0"/>
                  </w:tcBorders>
                  <w:shd w:val="clear" w:color="auto" w:fill="auto"/>
                  <w:vAlign w:val="center"/>
                </w:tcPr>
                <w:p>
                  <w:pPr>
                    <w:spacing w:line="0" w:lineRule="atLeast"/>
                    <w:jc w:val="left"/>
                    <w:rPr>
                      <w:rFonts w:eastAsiaTheme="minorEastAsia"/>
                      <w:color w:val="auto"/>
                      <w:sz w:val="18"/>
                      <w:szCs w:val="18"/>
                    </w:rPr>
                  </w:pPr>
                  <w:r>
                    <w:rPr>
                      <w:rFonts w:eastAsiaTheme="minorEastAsia"/>
                      <w:color w:val="auto"/>
                      <w:sz w:val="18"/>
                      <w:szCs w:val="18"/>
                    </w:rPr>
                    <w:t>1,2-二氯乙烷</w:t>
                  </w:r>
                </w:p>
              </w:tc>
              <w:tc>
                <w:tcPr>
                  <w:tcW w:w="850" w:type="dxa"/>
                  <w:tcBorders>
                    <w:top w:val="single" w:color="auto" w:sz="6" w:space="0"/>
                    <w:bottom w:val="single" w:color="auto" w:sz="6" w:space="0"/>
                  </w:tcBorders>
                  <w:shd w:val="clear" w:color="auto" w:fill="auto"/>
                  <w:vAlign w:val="center"/>
                </w:tcPr>
                <w:p>
                  <w:pPr>
                    <w:spacing w:line="0" w:lineRule="atLeast"/>
                    <w:jc w:val="left"/>
                    <w:rPr>
                      <w:rFonts w:eastAsiaTheme="minorEastAsia"/>
                      <w:color w:val="auto"/>
                      <w:sz w:val="18"/>
                      <w:szCs w:val="18"/>
                    </w:rPr>
                  </w:pPr>
                  <w:r>
                    <w:rPr>
                      <w:rFonts w:eastAsiaTheme="minorEastAsia"/>
                      <w:color w:val="auto"/>
                      <w:sz w:val="18"/>
                      <w:szCs w:val="18"/>
                    </w:rPr>
                    <w:t>1,1-二氯乙烯</w:t>
                  </w:r>
                </w:p>
              </w:tc>
              <w:tc>
                <w:tcPr>
                  <w:tcW w:w="993" w:type="dxa"/>
                  <w:tcBorders>
                    <w:top w:val="single" w:color="auto" w:sz="6" w:space="0"/>
                    <w:bottom w:val="single" w:color="auto" w:sz="6" w:space="0"/>
                  </w:tcBorders>
                  <w:shd w:val="clear" w:color="auto" w:fill="auto"/>
                  <w:vAlign w:val="center"/>
                </w:tcPr>
                <w:p>
                  <w:pPr>
                    <w:spacing w:line="0" w:lineRule="atLeast"/>
                    <w:jc w:val="left"/>
                    <w:rPr>
                      <w:rFonts w:eastAsiaTheme="minorEastAsia"/>
                      <w:color w:val="auto"/>
                      <w:sz w:val="18"/>
                      <w:szCs w:val="18"/>
                    </w:rPr>
                  </w:pPr>
                  <w:r>
                    <w:rPr>
                      <w:rFonts w:eastAsiaTheme="minorEastAsia"/>
                      <w:color w:val="auto"/>
                      <w:sz w:val="18"/>
                      <w:szCs w:val="18"/>
                    </w:rPr>
                    <w:t>顺-1,2-二氯乙烯</w:t>
                  </w:r>
                </w:p>
              </w:tc>
              <w:tc>
                <w:tcPr>
                  <w:tcW w:w="1037" w:type="dxa"/>
                  <w:tcBorders>
                    <w:top w:val="single" w:color="auto" w:sz="6" w:space="0"/>
                    <w:bottom w:val="single" w:color="auto" w:sz="6" w:space="0"/>
                  </w:tcBorders>
                  <w:shd w:val="clear" w:color="auto" w:fill="auto"/>
                  <w:vAlign w:val="center"/>
                </w:tcPr>
                <w:p>
                  <w:pPr>
                    <w:spacing w:line="0" w:lineRule="atLeast"/>
                    <w:jc w:val="left"/>
                    <w:rPr>
                      <w:rFonts w:eastAsiaTheme="minorEastAsia"/>
                      <w:color w:val="auto"/>
                      <w:sz w:val="18"/>
                      <w:szCs w:val="18"/>
                    </w:rPr>
                  </w:pPr>
                  <w:r>
                    <w:rPr>
                      <w:rFonts w:eastAsiaTheme="minorEastAsia"/>
                      <w:color w:val="auto"/>
                      <w:sz w:val="18"/>
                      <w:szCs w:val="18"/>
                    </w:rPr>
                    <w:t>反-1,2-二氯乙烯</w:t>
                  </w:r>
                </w:p>
              </w:tc>
              <w:tc>
                <w:tcPr>
                  <w:tcW w:w="709" w:type="dxa"/>
                  <w:tcBorders>
                    <w:top w:val="single" w:color="auto" w:sz="6" w:space="0"/>
                    <w:bottom w:val="single" w:color="auto" w:sz="6" w:space="0"/>
                  </w:tcBorders>
                  <w:shd w:val="clear" w:color="auto" w:fill="auto"/>
                  <w:vAlign w:val="center"/>
                </w:tcPr>
                <w:p>
                  <w:pPr>
                    <w:spacing w:line="0" w:lineRule="atLeast"/>
                    <w:jc w:val="left"/>
                    <w:rPr>
                      <w:rFonts w:eastAsiaTheme="minorEastAsia"/>
                      <w:color w:val="auto"/>
                      <w:sz w:val="18"/>
                      <w:szCs w:val="18"/>
                    </w:rPr>
                  </w:pPr>
                  <w:r>
                    <w:rPr>
                      <w:rFonts w:eastAsiaTheme="minorEastAsia"/>
                      <w:color w:val="auto"/>
                      <w:sz w:val="18"/>
                      <w:szCs w:val="18"/>
                    </w:rPr>
                    <w:t>氯甲烷</w:t>
                  </w:r>
                </w:p>
              </w:tc>
              <w:tc>
                <w:tcPr>
                  <w:tcW w:w="567" w:type="dxa"/>
                  <w:tcBorders>
                    <w:top w:val="single" w:color="auto" w:sz="6" w:space="0"/>
                    <w:bottom w:val="single" w:color="auto" w:sz="6" w:space="0"/>
                  </w:tcBorders>
                  <w:shd w:val="clear" w:color="auto" w:fill="auto"/>
                  <w:vAlign w:val="center"/>
                </w:tcPr>
                <w:p>
                  <w:pPr>
                    <w:spacing w:line="0" w:lineRule="atLeast"/>
                    <w:jc w:val="left"/>
                    <w:rPr>
                      <w:rFonts w:eastAsiaTheme="minorEastAsia"/>
                      <w:color w:val="auto"/>
                      <w:sz w:val="18"/>
                      <w:szCs w:val="18"/>
                    </w:rPr>
                  </w:pPr>
                  <w:r>
                    <w:rPr>
                      <w:rFonts w:eastAsiaTheme="minorEastAsia"/>
                      <w:color w:val="auto"/>
                      <w:sz w:val="18"/>
                      <w:szCs w:val="18"/>
                    </w:rPr>
                    <w:t>苯胺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 w:type="dxa"/>
                  <w:shd w:val="clear" w:color="auto" w:fill="auto"/>
                  <w:vAlign w:val="center"/>
                </w:tcPr>
                <w:p>
                  <w:pPr>
                    <w:ind w:left="-160" w:leftChars="-50" w:right="-160" w:rightChars="-50"/>
                    <w:jc w:val="center"/>
                    <w:rPr>
                      <w:rFonts w:eastAsiaTheme="minorEastAsia"/>
                      <w:bCs/>
                      <w:color w:val="auto"/>
                      <w:sz w:val="18"/>
                      <w:szCs w:val="18"/>
                    </w:rPr>
                  </w:pPr>
                  <w:r>
                    <w:rPr>
                      <w:rFonts w:eastAsiaTheme="minorEastAsia"/>
                      <w:color w:val="auto"/>
                      <w:sz w:val="18"/>
                      <w:szCs w:val="18"/>
                    </w:rPr>
                    <w:t>XW3(0-0.5m)</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56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5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8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5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993"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103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56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 w:type="dxa"/>
                  <w:shd w:val="clear" w:color="auto" w:fill="auto"/>
                  <w:vAlign w:val="center"/>
                </w:tcPr>
                <w:p>
                  <w:pPr>
                    <w:ind w:left="-160" w:leftChars="-50" w:right="-160" w:rightChars="-50"/>
                    <w:jc w:val="center"/>
                    <w:rPr>
                      <w:rFonts w:eastAsiaTheme="minorEastAsia"/>
                      <w:bCs/>
                      <w:color w:val="auto"/>
                      <w:sz w:val="18"/>
                      <w:szCs w:val="18"/>
                    </w:rPr>
                  </w:pPr>
                  <w:r>
                    <w:rPr>
                      <w:rFonts w:eastAsiaTheme="minorEastAsia"/>
                      <w:color w:val="auto"/>
                      <w:sz w:val="18"/>
                      <w:szCs w:val="18"/>
                    </w:rPr>
                    <w:t>XW3(0.5-1m)</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56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5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8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5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993"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103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56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 w:type="dxa"/>
                  <w:shd w:val="clear" w:color="auto" w:fill="auto"/>
                  <w:vAlign w:val="center"/>
                </w:tcPr>
                <w:p>
                  <w:pPr>
                    <w:ind w:left="-160" w:leftChars="-50" w:right="-160" w:rightChars="-50"/>
                    <w:jc w:val="center"/>
                    <w:rPr>
                      <w:rFonts w:eastAsiaTheme="minorEastAsia"/>
                      <w:bCs/>
                      <w:color w:val="auto"/>
                      <w:sz w:val="18"/>
                      <w:szCs w:val="18"/>
                    </w:rPr>
                  </w:pPr>
                  <w:r>
                    <w:rPr>
                      <w:rFonts w:eastAsiaTheme="minorEastAsia"/>
                      <w:color w:val="auto"/>
                      <w:sz w:val="18"/>
                      <w:szCs w:val="18"/>
                    </w:rPr>
                    <w:t>XW3(1.-1.5m)</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56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5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8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5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993"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103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56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 w:type="dxa"/>
                  <w:shd w:val="clear" w:color="auto" w:fill="auto"/>
                  <w:vAlign w:val="center"/>
                </w:tcPr>
                <w:p>
                  <w:pPr>
                    <w:ind w:left="-160" w:leftChars="-50" w:right="-160" w:rightChars="-50"/>
                    <w:jc w:val="center"/>
                    <w:rPr>
                      <w:rFonts w:eastAsiaTheme="minorEastAsia"/>
                      <w:bCs/>
                      <w:color w:val="auto"/>
                      <w:sz w:val="18"/>
                      <w:szCs w:val="18"/>
                    </w:rPr>
                  </w:pPr>
                  <w:r>
                    <w:rPr>
                      <w:rFonts w:eastAsiaTheme="minorEastAsia"/>
                      <w:color w:val="auto"/>
                      <w:sz w:val="18"/>
                      <w:szCs w:val="18"/>
                    </w:rPr>
                    <w:t>XW4(0-0.5m)</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56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5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8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5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993"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103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56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 w:type="dxa"/>
                  <w:shd w:val="clear" w:color="auto" w:fill="auto"/>
                  <w:vAlign w:val="center"/>
                </w:tcPr>
                <w:p>
                  <w:pPr>
                    <w:ind w:left="-160" w:leftChars="-50" w:right="-160" w:rightChars="-50"/>
                    <w:jc w:val="center"/>
                    <w:rPr>
                      <w:rFonts w:eastAsiaTheme="minorEastAsia"/>
                      <w:bCs/>
                      <w:color w:val="auto"/>
                      <w:sz w:val="18"/>
                      <w:szCs w:val="18"/>
                    </w:rPr>
                  </w:pPr>
                  <w:r>
                    <w:rPr>
                      <w:rFonts w:eastAsiaTheme="minorEastAsia"/>
                      <w:color w:val="auto"/>
                      <w:sz w:val="18"/>
                      <w:szCs w:val="18"/>
                    </w:rPr>
                    <w:t>XW4(0.5-1m)</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56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5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8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5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993"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103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56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 w:type="dxa"/>
                  <w:shd w:val="clear" w:color="auto" w:fill="auto"/>
                  <w:vAlign w:val="center"/>
                </w:tcPr>
                <w:p>
                  <w:pPr>
                    <w:ind w:left="-160" w:leftChars="-50" w:right="-160" w:rightChars="-50"/>
                    <w:jc w:val="center"/>
                    <w:rPr>
                      <w:rFonts w:eastAsiaTheme="minorEastAsia"/>
                      <w:bCs/>
                      <w:color w:val="auto"/>
                      <w:sz w:val="18"/>
                      <w:szCs w:val="18"/>
                    </w:rPr>
                  </w:pPr>
                  <w:r>
                    <w:rPr>
                      <w:rFonts w:eastAsiaTheme="minorEastAsia"/>
                      <w:color w:val="auto"/>
                      <w:sz w:val="18"/>
                      <w:szCs w:val="18"/>
                    </w:rPr>
                    <w:t>XW4(1.-1.5m)</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56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5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8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5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993"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103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56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 w:type="dxa"/>
                  <w:shd w:val="clear" w:color="auto" w:fill="auto"/>
                  <w:vAlign w:val="center"/>
                </w:tcPr>
                <w:p>
                  <w:pPr>
                    <w:ind w:left="-160" w:leftChars="-50" w:right="-160" w:rightChars="-50"/>
                    <w:jc w:val="center"/>
                    <w:rPr>
                      <w:rFonts w:eastAsiaTheme="minorEastAsia"/>
                      <w:bCs/>
                      <w:color w:val="auto"/>
                      <w:sz w:val="18"/>
                      <w:szCs w:val="18"/>
                    </w:rPr>
                  </w:pPr>
                  <w:r>
                    <w:rPr>
                      <w:rFonts w:eastAsiaTheme="minorEastAsia"/>
                      <w:color w:val="auto"/>
                      <w:sz w:val="18"/>
                      <w:szCs w:val="18"/>
                    </w:rPr>
                    <w:t>XW5(0-0.5m)</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56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5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8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5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993"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103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56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 w:type="dxa"/>
                  <w:shd w:val="clear" w:color="auto" w:fill="auto"/>
                  <w:vAlign w:val="center"/>
                </w:tcPr>
                <w:p>
                  <w:pPr>
                    <w:ind w:left="-160" w:leftChars="-50" w:right="-160" w:rightChars="-50"/>
                    <w:jc w:val="center"/>
                    <w:rPr>
                      <w:rFonts w:eastAsiaTheme="minorEastAsia"/>
                      <w:bCs/>
                      <w:color w:val="auto"/>
                      <w:sz w:val="18"/>
                      <w:szCs w:val="18"/>
                    </w:rPr>
                  </w:pPr>
                  <w:r>
                    <w:rPr>
                      <w:rFonts w:eastAsiaTheme="minorEastAsia"/>
                      <w:color w:val="auto"/>
                      <w:sz w:val="18"/>
                      <w:szCs w:val="18"/>
                    </w:rPr>
                    <w:t>XW5(0.5-1m)</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56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5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8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5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993"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103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56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 w:type="dxa"/>
                  <w:shd w:val="clear" w:color="auto" w:fill="auto"/>
                  <w:vAlign w:val="center"/>
                </w:tcPr>
                <w:p>
                  <w:pPr>
                    <w:ind w:left="-160" w:leftChars="-50" w:right="-160" w:rightChars="-50"/>
                    <w:jc w:val="center"/>
                    <w:rPr>
                      <w:rFonts w:eastAsiaTheme="minorEastAsia"/>
                      <w:bCs/>
                      <w:color w:val="auto"/>
                      <w:sz w:val="18"/>
                      <w:szCs w:val="18"/>
                    </w:rPr>
                  </w:pPr>
                  <w:r>
                    <w:rPr>
                      <w:rFonts w:eastAsiaTheme="minorEastAsia"/>
                      <w:color w:val="auto"/>
                      <w:sz w:val="18"/>
                      <w:szCs w:val="18"/>
                    </w:rPr>
                    <w:t>XW5(1.-1.5m)</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56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5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8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5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993"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103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56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 w:type="dxa"/>
                  <w:shd w:val="clear" w:color="auto" w:fill="auto"/>
                  <w:vAlign w:val="center"/>
                </w:tcPr>
                <w:p>
                  <w:pPr>
                    <w:ind w:left="-160" w:leftChars="-50" w:right="-160" w:rightChars="-50"/>
                    <w:jc w:val="center"/>
                    <w:rPr>
                      <w:rFonts w:eastAsiaTheme="minorEastAsia"/>
                      <w:color w:val="auto"/>
                      <w:sz w:val="18"/>
                      <w:szCs w:val="18"/>
                    </w:rPr>
                  </w:pPr>
                  <w:r>
                    <w:rPr>
                      <w:rFonts w:eastAsiaTheme="minorEastAsia"/>
                      <w:color w:val="auto"/>
                      <w:sz w:val="18"/>
                      <w:szCs w:val="18"/>
                    </w:rPr>
                    <w:t>XW6(0-0.5m)</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56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5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8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850"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993"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103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709"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c>
                <w:tcPr>
                  <w:tcW w:w="567" w:type="dxa"/>
                  <w:shd w:val="clear" w:color="auto" w:fill="auto"/>
                  <w:vAlign w:val="center"/>
                </w:tcPr>
                <w:p>
                  <w:pPr>
                    <w:jc w:val="left"/>
                    <w:rPr>
                      <w:rFonts w:eastAsiaTheme="minorEastAsia"/>
                      <w:color w:val="auto"/>
                      <w:sz w:val="18"/>
                      <w:szCs w:val="18"/>
                    </w:rPr>
                  </w:pPr>
                  <w:r>
                    <w:rPr>
                      <w:rFonts w:eastAsiaTheme="minorEastAsia"/>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0" w:hRule="atLeast"/>
              </w:trPr>
              <w:tc>
                <w:tcPr>
                  <w:tcW w:w="1012" w:type="dxa"/>
                  <w:shd w:val="clear" w:color="auto" w:fill="auto"/>
                  <w:vAlign w:val="center"/>
                </w:tcPr>
                <w:p>
                  <w:pPr>
                    <w:ind w:left="-160" w:leftChars="-50" w:right="-160" w:rightChars="-50"/>
                    <w:jc w:val="center"/>
                    <w:rPr>
                      <w:rFonts w:eastAsiaTheme="minorEastAsia"/>
                      <w:color w:val="auto"/>
                      <w:sz w:val="18"/>
                      <w:szCs w:val="18"/>
                    </w:rPr>
                  </w:pPr>
                  <w:r>
                    <w:rPr>
                      <w:color w:val="auto"/>
                      <w:sz w:val="18"/>
                      <w:szCs w:val="18"/>
                    </w:rPr>
                    <w:t>备注</w:t>
                  </w:r>
                </w:p>
              </w:tc>
              <w:tc>
                <w:tcPr>
                  <w:tcW w:w="7871" w:type="dxa"/>
                  <w:gridSpan w:val="10"/>
                  <w:shd w:val="clear" w:color="auto" w:fill="auto"/>
                  <w:vAlign w:val="center"/>
                </w:tcPr>
                <w:p>
                  <w:pPr>
                    <w:jc w:val="left"/>
                    <w:rPr>
                      <w:rFonts w:eastAsiaTheme="minorEastAsia"/>
                      <w:color w:val="auto"/>
                      <w:sz w:val="18"/>
                      <w:szCs w:val="18"/>
                    </w:rPr>
                  </w:pPr>
                  <w:r>
                    <w:rPr>
                      <w:color w:val="auto"/>
                      <w:sz w:val="18"/>
                      <w:szCs w:val="18"/>
                    </w:rPr>
                    <w:t>1、N.D表示为检测结果低于分析方法的最低检出浓度。</w:t>
                  </w:r>
                </w:p>
              </w:tc>
            </w:tr>
          </w:tbl>
          <w:p>
            <w:pPr>
              <w:jc w:val="center"/>
              <w:rPr>
                <w:b/>
                <w:bCs/>
                <w:color w:val="auto"/>
                <w:sz w:val="24"/>
              </w:rPr>
            </w:pPr>
            <w:r>
              <w:rPr>
                <w:rFonts w:hint="eastAsia"/>
                <w:b/>
                <w:bCs/>
                <w:color w:val="auto"/>
                <w:sz w:val="24"/>
              </w:rPr>
              <w:t xml:space="preserve">续表11  </w:t>
            </w:r>
            <w:r>
              <w:rPr>
                <w:b/>
                <w:bCs/>
                <w:color w:val="auto"/>
                <w:sz w:val="24"/>
              </w:rPr>
              <w:t>土壤</w:t>
            </w:r>
            <w:r>
              <w:rPr>
                <w:rFonts w:hint="eastAsia"/>
                <w:b/>
                <w:bCs/>
                <w:color w:val="auto"/>
                <w:sz w:val="24"/>
              </w:rPr>
              <w:t>有机物</w:t>
            </w:r>
            <w:r>
              <w:rPr>
                <w:b/>
                <w:bCs/>
                <w:color w:val="auto"/>
                <w:sz w:val="24"/>
              </w:rPr>
              <w:t>检测数据基本情况</w:t>
            </w:r>
          </w:p>
          <w:tbl>
            <w:tblPr>
              <w:tblStyle w:val="43"/>
              <w:tblW w:w="8883" w:type="dxa"/>
              <w:jc w:val="righ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90"/>
              <w:gridCol w:w="706"/>
              <w:gridCol w:w="705"/>
              <w:gridCol w:w="845"/>
              <w:gridCol w:w="846"/>
              <w:gridCol w:w="815"/>
              <w:gridCol w:w="705"/>
              <w:gridCol w:w="565"/>
              <w:gridCol w:w="845"/>
              <w:gridCol w:w="987"/>
              <w:gridCol w:w="6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right"/>
              </w:trPr>
              <w:tc>
                <w:tcPr>
                  <w:tcW w:w="1190" w:type="dxa"/>
                  <w:vMerge w:val="restart"/>
                  <w:tcBorders>
                    <w:top w:val="single" w:color="auto" w:sz="12" w:space="0"/>
                    <w:bottom w:val="single" w:color="auto" w:sz="6" w:space="0"/>
                  </w:tcBorders>
                  <w:shd w:val="clear" w:color="auto" w:fill="auto"/>
                  <w:vAlign w:val="center"/>
                </w:tcPr>
                <w:p>
                  <w:pPr>
                    <w:jc w:val="center"/>
                    <w:rPr>
                      <w:bCs/>
                      <w:color w:val="auto"/>
                      <w:sz w:val="18"/>
                      <w:szCs w:val="18"/>
                    </w:rPr>
                  </w:pPr>
                  <w:r>
                    <w:rPr>
                      <w:bCs/>
                      <w:color w:val="auto"/>
                      <w:sz w:val="18"/>
                      <w:szCs w:val="18"/>
                    </w:rPr>
                    <w:t>样品标识</w:t>
                  </w:r>
                </w:p>
              </w:tc>
              <w:tc>
                <w:tcPr>
                  <w:tcW w:w="7693" w:type="dxa"/>
                  <w:gridSpan w:val="10"/>
                  <w:tcBorders>
                    <w:top w:val="single" w:color="auto" w:sz="12" w:space="0"/>
                    <w:bottom w:val="single" w:color="auto" w:sz="6" w:space="0"/>
                  </w:tcBorders>
                  <w:shd w:val="clear" w:color="auto" w:fill="auto"/>
                  <w:vAlign w:val="center"/>
                </w:tcPr>
                <w:p>
                  <w:pPr>
                    <w:jc w:val="left"/>
                    <w:rPr>
                      <w:color w:val="auto"/>
                      <w:sz w:val="18"/>
                      <w:szCs w:val="18"/>
                    </w:rPr>
                  </w:pPr>
                  <w:r>
                    <w:rPr>
                      <w:color w:val="auto"/>
                      <w:sz w:val="18"/>
                      <w:szCs w:val="18"/>
                    </w:rPr>
                    <w:t>检测项目及结果（mg/kg）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right"/>
              </w:trPr>
              <w:tc>
                <w:tcPr>
                  <w:tcW w:w="1190" w:type="dxa"/>
                  <w:vMerge w:val="continue"/>
                  <w:tcBorders>
                    <w:top w:val="single" w:color="auto" w:sz="6" w:space="0"/>
                    <w:bottom w:val="single" w:color="auto" w:sz="6" w:space="0"/>
                  </w:tcBorders>
                  <w:shd w:val="clear" w:color="auto" w:fill="auto"/>
                  <w:vAlign w:val="center"/>
                </w:tcPr>
                <w:p>
                  <w:pPr>
                    <w:jc w:val="center"/>
                    <w:rPr>
                      <w:color w:val="auto"/>
                      <w:sz w:val="18"/>
                      <w:szCs w:val="18"/>
                    </w:rPr>
                  </w:pPr>
                </w:p>
              </w:tc>
              <w:tc>
                <w:tcPr>
                  <w:tcW w:w="706" w:type="dxa"/>
                  <w:tcBorders>
                    <w:top w:val="single" w:color="auto" w:sz="6" w:space="0"/>
                    <w:bottom w:val="single" w:color="auto" w:sz="6" w:space="0"/>
                  </w:tcBorders>
                  <w:shd w:val="clear" w:color="auto" w:fill="auto"/>
                  <w:vAlign w:val="center"/>
                </w:tcPr>
                <w:p>
                  <w:pPr>
                    <w:spacing w:line="0" w:lineRule="atLeast"/>
                    <w:jc w:val="left"/>
                    <w:rPr>
                      <w:color w:val="auto"/>
                      <w:sz w:val="18"/>
                      <w:szCs w:val="18"/>
                    </w:rPr>
                  </w:pPr>
                  <w:r>
                    <w:rPr>
                      <w:color w:val="auto"/>
                      <w:sz w:val="18"/>
                      <w:szCs w:val="18"/>
                    </w:rPr>
                    <w:t>硝基苯</w:t>
                  </w:r>
                </w:p>
              </w:tc>
              <w:tc>
                <w:tcPr>
                  <w:tcW w:w="705" w:type="dxa"/>
                  <w:tcBorders>
                    <w:top w:val="single" w:color="auto" w:sz="6" w:space="0"/>
                    <w:bottom w:val="single" w:color="auto" w:sz="6" w:space="0"/>
                  </w:tcBorders>
                  <w:shd w:val="clear" w:color="auto" w:fill="auto"/>
                  <w:vAlign w:val="center"/>
                </w:tcPr>
                <w:p>
                  <w:pPr>
                    <w:spacing w:line="0" w:lineRule="atLeast"/>
                    <w:jc w:val="left"/>
                    <w:rPr>
                      <w:color w:val="auto"/>
                      <w:sz w:val="18"/>
                      <w:szCs w:val="18"/>
                    </w:rPr>
                  </w:pPr>
                  <w:r>
                    <w:rPr>
                      <w:color w:val="auto"/>
                      <w:sz w:val="18"/>
                      <w:szCs w:val="18"/>
                    </w:rPr>
                    <w:t>2-氯酚</w:t>
                  </w:r>
                </w:p>
              </w:tc>
              <w:tc>
                <w:tcPr>
                  <w:tcW w:w="845" w:type="dxa"/>
                  <w:tcBorders>
                    <w:top w:val="single" w:color="auto" w:sz="6" w:space="0"/>
                    <w:bottom w:val="single" w:color="auto" w:sz="6" w:space="0"/>
                  </w:tcBorders>
                  <w:shd w:val="clear" w:color="auto" w:fill="auto"/>
                  <w:vAlign w:val="center"/>
                </w:tcPr>
                <w:p>
                  <w:pPr>
                    <w:spacing w:line="0" w:lineRule="atLeast"/>
                    <w:jc w:val="left"/>
                    <w:rPr>
                      <w:color w:val="auto"/>
                      <w:sz w:val="18"/>
                      <w:szCs w:val="18"/>
                    </w:rPr>
                  </w:pPr>
                  <w:r>
                    <w:rPr>
                      <w:color w:val="auto"/>
                      <w:sz w:val="18"/>
                      <w:szCs w:val="18"/>
                    </w:rPr>
                    <w:t>苯并（a）蒽</w:t>
                  </w:r>
                </w:p>
              </w:tc>
              <w:tc>
                <w:tcPr>
                  <w:tcW w:w="846" w:type="dxa"/>
                  <w:tcBorders>
                    <w:top w:val="single" w:color="auto" w:sz="6" w:space="0"/>
                    <w:bottom w:val="single" w:color="auto" w:sz="6" w:space="0"/>
                  </w:tcBorders>
                  <w:shd w:val="clear" w:color="auto" w:fill="auto"/>
                  <w:vAlign w:val="center"/>
                </w:tcPr>
                <w:p>
                  <w:pPr>
                    <w:spacing w:line="0" w:lineRule="atLeast"/>
                    <w:jc w:val="left"/>
                    <w:rPr>
                      <w:color w:val="auto"/>
                      <w:sz w:val="18"/>
                      <w:szCs w:val="18"/>
                    </w:rPr>
                  </w:pPr>
                  <w:r>
                    <w:rPr>
                      <w:color w:val="auto"/>
                      <w:sz w:val="18"/>
                      <w:szCs w:val="18"/>
                    </w:rPr>
                    <w:t>苯并（a）芘</w:t>
                  </w:r>
                </w:p>
              </w:tc>
              <w:tc>
                <w:tcPr>
                  <w:tcW w:w="815" w:type="dxa"/>
                  <w:tcBorders>
                    <w:top w:val="single" w:color="auto" w:sz="6" w:space="0"/>
                    <w:bottom w:val="single" w:color="auto" w:sz="6" w:space="0"/>
                  </w:tcBorders>
                  <w:shd w:val="clear" w:color="auto" w:fill="auto"/>
                  <w:vAlign w:val="center"/>
                </w:tcPr>
                <w:p>
                  <w:pPr>
                    <w:spacing w:line="0" w:lineRule="atLeast"/>
                    <w:jc w:val="left"/>
                    <w:rPr>
                      <w:color w:val="auto"/>
                      <w:sz w:val="18"/>
                      <w:szCs w:val="18"/>
                    </w:rPr>
                  </w:pPr>
                  <w:r>
                    <w:rPr>
                      <w:color w:val="auto"/>
                      <w:sz w:val="18"/>
                      <w:szCs w:val="18"/>
                    </w:rPr>
                    <w:t>苯并（b）荧蒽</w:t>
                  </w:r>
                </w:p>
              </w:tc>
              <w:tc>
                <w:tcPr>
                  <w:tcW w:w="705" w:type="dxa"/>
                  <w:tcBorders>
                    <w:top w:val="single" w:color="auto" w:sz="6" w:space="0"/>
                    <w:bottom w:val="single" w:color="auto" w:sz="6" w:space="0"/>
                  </w:tcBorders>
                  <w:shd w:val="clear" w:color="auto" w:fill="auto"/>
                  <w:vAlign w:val="center"/>
                </w:tcPr>
                <w:p>
                  <w:pPr>
                    <w:spacing w:line="0" w:lineRule="atLeast"/>
                    <w:jc w:val="left"/>
                    <w:rPr>
                      <w:color w:val="auto"/>
                      <w:sz w:val="18"/>
                      <w:szCs w:val="18"/>
                    </w:rPr>
                  </w:pPr>
                  <w:r>
                    <w:rPr>
                      <w:color w:val="auto"/>
                      <w:sz w:val="18"/>
                      <w:szCs w:val="18"/>
                    </w:rPr>
                    <w:t>苯并（k）荧蒽</w:t>
                  </w:r>
                </w:p>
              </w:tc>
              <w:tc>
                <w:tcPr>
                  <w:tcW w:w="565" w:type="dxa"/>
                  <w:tcBorders>
                    <w:top w:val="single" w:color="auto" w:sz="6" w:space="0"/>
                    <w:bottom w:val="single" w:color="auto" w:sz="6" w:space="0"/>
                  </w:tcBorders>
                  <w:shd w:val="clear" w:color="auto" w:fill="auto"/>
                  <w:vAlign w:val="center"/>
                </w:tcPr>
                <w:p>
                  <w:pPr>
                    <w:spacing w:line="0" w:lineRule="atLeast"/>
                    <w:jc w:val="left"/>
                    <w:rPr>
                      <w:color w:val="auto"/>
                      <w:sz w:val="18"/>
                      <w:szCs w:val="18"/>
                    </w:rPr>
                  </w:pPr>
                  <w:r>
                    <w:rPr>
                      <w:color w:val="auto"/>
                      <w:sz w:val="18"/>
                      <w:szCs w:val="18"/>
                    </w:rPr>
                    <w:t>䓛</w:t>
                  </w:r>
                </w:p>
              </w:tc>
              <w:tc>
                <w:tcPr>
                  <w:tcW w:w="845" w:type="dxa"/>
                  <w:tcBorders>
                    <w:top w:val="single" w:color="auto" w:sz="6" w:space="0"/>
                    <w:bottom w:val="single" w:color="auto" w:sz="6" w:space="0"/>
                  </w:tcBorders>
                  <w:shd w:val="clear" w:color="auto" w:fill="auto"/>
                  <w:vAlign w:val="center"/>
                </w:tcPr>
                <w:p>
                  <w:pPr>
                    <w:spacing w:line="0" w:lineRule="atLeast"/>
                    <w:jc w:val="left"/>
                    <w:rPr>
                      <w:color w:val="auto"/>
                      <w:sz w:val="18"/>
                      <w:szCs w:val="18"/>
                    </w:rPr>
                  </w:pPr>
                  <w:r>
                    <w:rPr>
                      <w:color w:val="auto"/>
                      <w:sz w:val="18"/>
                      <w:szCs w:val="18"/>
                    </w:rPr>
                    <w:t>二苯并（a，h）蒽</w:t>
                  </w:r>
                </w:p>
              </w:tc>
              <w:tc>
                <w:tcPr>
                  <w:tcW w:w="987" w:type="dxa"/>
                  <w:tcBorders>
                    <w:top w:val="single" w:color="auto" w:sz="6" w:space="0"/>
                    <w:bottom w:val="single" w:color="auto" w:sz="6" w:space="0"/>
                  </w:tcBorders>
                  <w:shd w:val="clear" w:color="auto" w:fill="auto"/>
                  <w:vAlign w:val="center"/>
                </w:tcPr>
                <w:p>
                  <w:pPr>
                    <w:spacing w:line="0" w:lineRule="atLeast"/>
                    <w:jc w:val="left"/>
                    <w:rPr>
                      <w:color w:val="auto"/>
                      <w:sz w:val="18"/>
                      <w:szCs w:val="18"/>
                    </w:rPr>
                  </w:pPr>
                  <w:r>
                    <w:rPr>
                      <w:color w:val="auto"/>
                      <w:sz w:val="18"/>
                      <w:szCs w:val="18"/>
                    </w:rPr>
                    <w:t>茚并（123-c，d）芘</w:t>
                  </w:r>
                </w:p>
              </w:tc>
              <w:tc>
                <w:tcPr>
                  <w:tcW w:w="674" w:type="dxa"/>
                  <w:tcBorders>
                    <w:top w:val="single" w:color="auto" w:sz="6" w:space="0"/>
                    <w:bottom w:val="single" w:color="auto" w:sz="6" w:space="0"/>
                  </w:tcBorders>
                  <w:shd w:val="clear" w:color="auto" w:fill="auto"/>
                  <w:vAlign w:val="center"/>
                </w:tcPr>
                <w:p>
                  <w:pPr>
                    <w:spacing w:line="0" w:lineRule="atLeast"/>
                    <w:jc w:val="left"/>
                    <w:rPr>
                      <w:color w:val="auto"/>
                      <w:sz w:val="18"/>
                      <w:szCs w:val="18"/>
                    </w:rPr>
                  </w:pPr>
                  <w:r>
                    <w:rPr>
                      <w:color w:val="auto"/>
                      <w:sz w:val="18"/>
                      <w:szCs w:val="18"/>
                    </w:rPr>
                    <w:t>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right"/>
              </w:trPr>
              <w:tc>
                <w:tcPr>
                  <w:tcW w:w="1190" w:type="dxa"/>
                  <w:shd w:val="clear" w:color="auto" w:fill="auto"/>
                  <w:vAlign w:val="center"/>
                </w:tcPr>
                <w:p>
                  <w:pPr>
                    <w:ind w:left="-160" w:leftChars="-50" w:right="-160" w:rightChars="-50"/>
                    <w:jc w:val="center"/>
                    <w:rPr>
                      <w:bCs/>
                      <w:color w:val="auto"/>
                      <w:sz w:val="18"/>
                      <w:szCs w:val="18"/>
                    </w:rPr>
                  </w:pPr>
                  <w:r>
                    <w:rPr>
                      <w:color w:val="auto"/>
                      <w:sz w:val="18"/>
                      <w:szCs w:val="18"/>
                    </w:rPr>
                    <w:t>XW3(0-0.5m)</w:t>
                  </w:r>
                </w:p>
              </w:tc>
              <w:tc>
                <w:tcPr>
                  <w:tcW w:w="706" w:type="dxa"/>
                  <w:shd w:val="clear" w:color="auto" w:fill="auto"/>
                  <w:vAlign w:val="center"/>
                </w:tcPr>
                <w:p>
                  <w:pPr>
                    <w:jc w:val="left"/>
                    <w:rPr>
                      <w:color w:val="auto"/>
                      <w:sz w:val="18"/>
                      <w:szCs w:val="18"/>
                    </w:rPr>
                  </w:pPr>
                  <w:r>
                    <w:rPr>
                      <w:color w:val="auto"/>
                      <w:sz w:val="18"/>
                      <w:szCs w:val="18"/>
                    </w:rPr>
                    <w:t>N.D</w:t>
                  </w:r>
                </w:p>
              </w:tc>
              <w:tc>
                <w:tcPr>
                  <w:tcW w:w="705" w:type="dxa"/>
                  <w:shd w:val="clear" w:color="auto" w:fill="auto"/>
                  <w:vAlign w:val="center"/>
                </w:tcPr>
                <w:p>
                  <w:pPr>
                    <w:jc w:val="left"/>
                    <w:rPr>
                      <w:color w:val="auto"/>
                      <w:sz w:val="18"/>
                      <w:szCs w:val="18"/>
                    </w:rPr>
                  </w:pPr>
                  <w:r>
                    <w:rPr>
                      <w:color w:val="auto"/>
                      <w:sz w:val="18"/>
                      <w:szCs w:val="18"/>
                    </w:rPr>
                    <w:t>N.D</w:t>
                  </w:r>
                </w:p>
              </w:tc>
              <w:tc>
                <w:tcPr>
                  <w:tcW w:w="845" w:type="dxa"/>
                  <w:shd w:val="clear" w:color="auto" w:fill="auto"/>
                  <w:vAlign w:val="center"/>
                </w:tcPr>
                <w:p>
                  <w:pPr>
                    <w:jc w:val="left"/>
                    <w:rPr>
                      <w:color w:val="auto"/>
                      <w:sz w:val="18"/>
                      <w:szCs w:val="18"/>
                    </w:rPr>
                  </w:pPr>
                  <w:r>
                    <w:rPr>
                      <w:color w:val="auto"/>
                      <w:sz w:val="18"/>
                      <w:szCs w:val="18"/>
                    </w:rPr>
                    <w:t>0.116</w:t>
                  </w:r>
                </w:p>
              </w:tc>
              <w:tc>
                <w:tcPr>
                  <w:tcW w:w="846" w:type="dxa"/>
                  <w:shd w:val="clear" w:color="auto" w:fill="auto"/>
                  <w:vAlign w:val="center"/>
                </w:tcPr>
                <w:p>
                  <w:pPr>
                    <w:jc w:val="left"/>
                    <w:rPr>
                      <w:color w:val="auto"/>
                      <w:sz w:val="18"/>
                      <w:szCs w:val="18"/>
                    </w:rPr>
                  </w:pPr>
                  <w:r>
                    <w:rPr>
                      <w:color w:val="auto"/>
                      <w:sz w:val="18"/>
                      <w:szCs w:val="18"/>
                    </w:rPr>
                    <w:t>N.D</w:t>
                  </w:r>
                </w:p>
              </w:tc>
              <w:tc>
                <w:tcPr>
                  <w:tcW w:w="815" w:type="dxa"/>
                  <w:shd w:val="clear" w:color="auto" w:fill="auto"/>
                  <w:vAlign w:val="center"/>
                </w:tcPr>
                <w:p>
                  <w:pPr>
                    <w:jc w:val="left"/>
                    <w:rPr>
                      <w:color w:val="auto"/>
                      <w:sz w:val="18"/>
                      <w:szCs w:val="18"/>
                    </w:rPr>
                  </w:pPr>
                  <w:r>
                    <w:rPr>
                      <w:color w:val="auto"/>
                      <w:sz w:val="18"/>
                      <w:szCs w:val="18"/>
                    </w:rPr>
                    <w:t>N.D</w:t>
                  </w:r>
                </w:p>
              </w:tc>
              <w:tc>
                <w:tcPr>
                  <w:tcW w:w="705" w:type="dxa"/>
                  <w:shd w:val="clear" w:color="auto" w:fill="auto"/>
                  <w:vAlign w:val="center"/>
                </w:tcPr>
                <w:p>
                  <w:pPr>
                    <w:jc w:val="left"/>
                    <w:rPr>
                      <w:color w:val="auto"/>
                      <w:sz w:val="18"/>
                      <w:szCs w:val="18"/>
                    </w:rPr>
                  </w:pPr>
                  <w:r>
                    <w:rPr>
                      <w:color w:val="auto"/>
                      <w:sz w:val="18"/>
                      <w:szCs w:val="18"/>
                    </w:rPr>
                    <w:t>N.D</w:t>
                  </w:r>
                </w:p>
              </w:tc>
              <w:tc>
                <w:tcPr>
                  <w:tcW w:w="565" w:type="dxa"/>
                  <w:shd w:val="clear" w:color="auto" w:fill="auto"/>
                  <w:vAlign w:val="center"/>
                </w:tcPr>
                <w:p>
                  <w:pPr>
                    <w:jc w:val="left"/>
                    <w:rPr>
                      <w:color w:val="auto"/>
                      <w:sz w:val="18"/>
                      <w:szCs w:val="18"/>
                    </w:rPr>
                  </w:pPr>
                  <w:r>
                    <w:rPr>
                      <w:color w:val="auto"/>
                      <w:sz w:val="18"/>
                      <w:szCs w:val="18"/>
                    </w:rPr>
                    <w:t>N.D</w:t>
                  </w:r>
                </w:p>
              </w:tc>
              <w:tc>
                <w:tcPr>
                  <w:tcW w:w="845" w:type="dxa"/>
                  <w:shd w:val="clear" w:color="auto" w:fill="auto"/>
                  <w:vAlign w:val="center"/>
                </w:tcPr>
                <w:p>
                  <w:pPr>
                    <w:jc w:val="left"/>
                    <w:rPr>
                      <w:color w:val="auto"/>
                      <w:sz w:val="18"/>
                      <w:szCs w:val="18"/>
                    </w:rPr>
                  </w:pPr>
                  <w:r>
                    <w:rPr>
                      <w:color w:val="auto"/>
                      <w:sz w:val="18"/>
                      <w:szCs w:val="18"/>
                    </w:rPr>
                    <w:t>N.D</w:t>
                  </w:r>
                </w:p>
              </w:tc>
              <w:tc>
                <w:tcPr>
                  <w:tcW w:w="987" w:type="dxa"/>
                  <w:shd w:val="clear" w:color="auto" w:fill="auto"/>
                  <w:vAlign w:val="center"/>
                </w:tcPr>
                <w:p>
                  <w:pPr>
                    <w:jc w:val="left"/>
                    <w:rPr>
                      <w:color w:val="auto"/>
                      <w:sz w:val="18"/>
                      <w:szCs w:val="18"/>
                    </w:rPr>
                  </w:pPr>
                  <w:r>
                    <w:rPr>
                      <w:color w:val="auto"/>
                      <w:sz w:val="18"/>
                      <w:szCs w:val="18"/>
                    </w:rPr>
                    <w:t>N.D</w:t>
                  </w:r>
                </w:p>
              </w:tc>
              <w:tc>
                <w:tcPr>
                  <w:tcW w:w="674" w:type="dxa"/>
                  <w:shd w:val="clear" w:color="auto" w:fill="auto"/>
                  <w:vAlign w:val="center"/>
                </w:tcPr>
                <w:p>
                  <w:pPr>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right"/>
              </w:trPr>
              <w:tc>
                <w:tcPr>
                  <w:tcW w:w="1190" w:type="dxa"/>
                  <w:shd w:val="clear" w:color="auto" w:fill="auto"/>
                  <w:vAlign w:val="center"/>
                </w:tcPr>
                <w:p>
                  <w:pPr>
                    <w:ind w:left="-160" w:leftChars="-50" w:right="-160" w:rightChars="-50"/>
                    <w:jc w:val="center"/>
                    <w:rPr>
                      <w:bCs/>
                      <w:color w:val="auto"/>
                      <w:sz w:val="18"/>
                      <w:szCs w:val="18"/>
                    </w:rPr>
                  </w:pPr>
                  <w:r>
                    <w:rPr>
                      <w:color w:val="auto"/>
                      <w:sz w:val="18"/>
                      <w:szCs w:val="18"/>
                    </w:rPr>
                    <w:t>XW3(0.5-1m)</w:t>
                  </w:r>
                </w:p>
              </w:tc>
              <w:tc>
                <w:tcPr>
                  <w:tcW w:w="706" w:type="dxa"/>
                  <w:shd w:val="clear" w:color="auto" w:fill="auto"/>
                  <w:vAlign w:val="center"/>
                </w:tcPr>
                <w:p>
                  <w:pPr>
                    <w:jc w:val="left"/>
                    <w:rPr>
                      <w:color w:val="auto"/>
                      <w:sz w:val="18"/>
                      <w:szCs w:val="18"/>
                    </w:rPr>
                  </w:pPr>
                  <w:r>
                    <w:rPr>
                      <w:color w:val="auto"/>
                      <w:sz w:val="18"/>
                      <w:szCs w:val="18"/>
                    </w:rPr>
                    <w:t>N.D</w:t>
                  </w:r>
                </w:p>
              </w:tc>
              <w:tc>
                <w:tcPr>
                  <w:tcW w:w="705" w:type="dxa"/>
                  <w:shd w:val="clear" w:color="auto" w:fill="auto"/>
                  <w:vAlign w:val="center"/>
                </w:tcPr>
                <w:p>
                  <w:pPr>
                    <w:jc w:val="left"/>
                    <w:rPr>
                      <w:color w:val="auto"/>
                      <w:sz w:val="18"/>
                      <w:szCs w:val="18"/>
                    </w:rPr>
                  </w:pPr>
                  <w:r>
                    <w:rPr>
                      <w:color w:val="auto"/>
                      <w:sz w:val="18"/>
                      <w:szCs w:val="18"/>
                    </w:rPr>
                    <w:t>N.D</w:t>
                  </w:r>
                </w:p>
              </w:tc>
              <w:tc>
                <w:tcPr>
                  <w:tcW w:w="845" w:type="dxa"/>
                  <w:shd w:val="clear" w:color="auto" w:fill="auto"/>
                  <w:vAlign w:val="center"/>
                </w:tcPr>
                <w:p>
                  <w:pPr>
                    <w:jc w:val="left"/>
                    <w:rPr>
                      <w:color w:val="auto"/>
                      <w:sz w:val="18"/>
                      <w:szCs w:val="18"/>
                    </w:rPr>
                  </w:pPr>
                  <w:r>
                    <w:rPr>
                      <w:color w:val="auto"/>
                      <w:sz w:val="18"/>
                      <w:szCs w:val="18"/>
                    </w:rPr>
                    <w:t>0.140</w:t>
                  </w:r>
                </w:p>
              </w:tc>
              <w:tc>
                <w:tcPr>
                  <w:tcW w:w="846" w:type="dxa"/>
                  <w:shd w:val="clear" w:color="auto" w:fill="auto"/>
                  <w:vAlign w:val="center"/>
                </w:tcPr>
                <w:p>
                  <w:pPr>
                    <w:jc w:val="left"/>
                    <w:rPr>
                      <w:color w:val="auto"/>
                      <w:sz w:val="18"/>
                      <w:szCs w:val="18"/>
                    </w:rPr>
                  </w:pPr>
                  <w:r>
                    <w:rPr>
                      <w:color w:val="auto"/>
                      <w:sz w:val="18"/>
                      <w:szCs w:val="18"/>
                    </w:rPr>
                    <w:t>N.D</w:t>
                  </w:r>
                </w:p>
              </w:tc>
              <w:tc>
                <w:tcPr>
                  <w:tcW w:w="815" w:type="dxa"/>
                  <w:shd w:val="clear" w:color="auto" w:fill="auto"/>
                  <w:vAlign w:val="center"/>
                </w:tcPr>
                <w:p>
                  <w:pPr>
                    <w:jc w:val="left"/>
                    <w:rPr>
                      <w:color w:val="auto"/>
                      <w:sz w:val="18"/>
                      <w:szCs w:val="18"/>
                    </w:rPr>
                  </w:pPr>
                  <w:r>
                    <w:rPr>
                      <w:color w:val="auto"/>
                      <w:sz w:val="18"/>
                      <w:szCs w:val="18"/>
                    </w:rPr>
                    <w:t>N.D</w:t>
                  </w:r>
                </w:p>
              </w:tc>
              <w:tc>
                <w:tcPr>
                  <w:tcW w:w="705" w:type="dxa"/>
                  <w:shd w:val="clear" w:color="auto" w:fill="auto"/>
                  <w:vAlign w:val="center"/>
                </w:tcPr>
                <w:p>
                  <w:pPr>
                    <w:jc w:val="left"/>
                    <w:rPr>
                      <w:color w:val="auto"/>
                      <w:sz w:val="18"/>
                      <w:szCs w:val="18"/>
                    </w:rPr>
                  </w:pPr>
                  <w:r>
                    <w:rPr>
                      <w:color w:val="auto"/>
                      <w:sz w:val="18"/>
                      <w:szCs w:val="18"/>
                    </w:rPr>
                    <w:t>N.D</w:t>
                  </w:r>
                </w:p>
              </w:tc>
              <w:tc>
                <w:tcPr>
                  <w:tcW w:w="565" w:type="dxa"/>
                  <w:shd w:val="clear" w:color="auto" w:fill="auto"/>
                  <w:vAlign w:val="center"/>
                </w:tcPr>
                <w:p>
                  <w:pPr>
                    <w:jc w:val="left"/>
                    <w:rPr>
                      <w:color w:val="auto"/>
                      <w:sz w:val="18"/>
                      <w:szCs w:val="18"/>
                    </w:rPr>
                  </w:pPr>
                  <w:r>
                    <w:rPr>
                      <w:color w:val="auto"/>
                      <w:sz w:val="18"/>
                      <w:szCs w:val="18"/>
                    </w:rPr>
                    <w:t>N.D</w:t>
                  </w:r>
                </w:p>
              </w:tc>
              <w:tc>
                <w:tcPr>
                  <w:tcW w:w="845" w:type="dxa"/>
                  <w:shd w:val="clear" w:color="auto" w:fill="auto"/>
                  <w:vAlign w:val="center"/>
                </w:tcPr>
                <w:p>
                  <w:pPr>
                    <w:jc w:val="left"/>
                    <w:rPr>
                      <w:color w:val="auto"/>
                      <w:sz w:val="18"/>
                      <w:szCs w:val="18"/>
                    </w:rPr>
                  </w:pPr>
                  <w:r>
                    <w:rPr>
                      <w:color w:val="auto"/>
                      <w:sz w:val="18"/>
                      <w:szCs w:val="18"/>
                    </w:rPr>
                    <w:t>N.D</w:t>
                  </w:r>
                </w:p>
              </w:tc>
              <w:tc>
                <w:tcPr>
                  <w:tcW w:w="987" w:type="dxa"/>
                  <w:shd w:val="clear" w:color="auto" w:fill="auto"/>
                  <w:vAlign w:val="center"/>
                </w:tcPr>
                <w:p>
                  <w:pPr>
                    <w:jc w:val="left"/>
                    <w:rPr>
                      <w:color w:val="auto"/>
                      <w:sz w:val="18"/>
                      <w:szCs w:val="18"/>
                    </w:rPr>
                  </w:pPr>
                  <w:r>
                    <w:rPr>
                      <w:color w:val="auto"/>
                      <w:sz w:val="18"/>
                      <w:szCs w:val="18"/>
                    </w:rPr>
                    <w:t>N.D</w:t>
                  </w:r>
                </w:p>
              </w:tc>
              <w:tc>
                <w:tcPr>
                  <w:tcW w:w="674" w:type="dxa"/>
                  <w:shd w:val="clear" w:color="auto" w:fill="auto"/>
                  <w:vAlign w:val="center"/>
                </w:tcPr>
                <w:p>
                  <w:pPr>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right"/>
              </w:trPr>
              <w:tc>
                <w:tcPr>
                  <w:tcW w:w="1190" w:type="dxa"/>
                  <w:shd w:val="clear" w:color="auto" w:fill="auto"/>
                  <w:vAlign w:val="center"/>
                </w:tcPr>
                <w:p>
                  <w:pPr>
                    <w:ind w:left="-160" w:leftChars="-50" w:right="-160" w:rightChars="-50"/>
                    <w:jc w:val="center"/>
                    <w:rPr>
                      <w:bCs/>
                      <w:color w:val="auto"/>
                      <w:sz w:val="18"/>
                      <w:szCs w:val="18"/>
                    </w:rPr>
                  </w:pPr>
                  <w:r>
                    <w:rPr>
                      <w:color w:val="auto"/>
                      <w:sz w:val="18"/>
                      <w:szCs w:val="18"/>
                    </w:rPr>
                    <w:t>XW3(1.-1.5m)</w:t>
                  </w:r>
                </w:p>
              </w:tc>
              <w:tc>
                <w:tcPr>
                  <w:tcW w:w="706" w:type="dxa"/>
                  <w:shd w:val="clear" w:color="auto" w:fill="auto"/>
                  <w:vAlign w:val="center"/>
                </w:tcPr>
                <w:p>
                  <w:pPr>
                    <w:jc w:val="left"/>
                    <w:rPr>
                      <w:color w:val="auto"/>
                      <w:sz w:val="18"/>
                      <w:szCs w:val="18"/>
                    </w:rPr>
                  </w:pPr>
                  <w:r>
                    <w:rPr>
                      <w:color w:val="auto"/>
                      <w:sz w:val="18"/>
                      <w:szCs w:val="18"/>
                    </w:rPr>
                    <w:t>N.D</w:t>
                  </w:r>
                </w:p>
              </w:tc>
              <w:tc>
                <w:tcPr>
                  <w:tcW w:w="705" w:type="dxa"/>
                  <w:shd w:val="clear" w:color="auto" w:fill="auto"/>
                  <w:vAlign w:val="center"/>
                </w:tcPr>
                <w:p>
                  <w:pPr>
                    <w:jc w:val="left"/>
                    <w:rPr>
                      <w:color w:val="auto"/>
                      <w:sz w:val="18"/>
                      <w:szCs w:val="18"/>
                    </w:rPr>
                  </w:pPr>
                  <w:r>
                    <w:rPr>
                      <w:color w:val="auto"/>
                      <w:sz w:val="18"/>
                      <w:szCs w:val="18"/>
                    </w:rPr>
                    <w:t>N.D</w:t>
                  </w:r>
                </w:p>
              </w:tc>
              <w:tc>
                <w:tcPr>
                  <w:tcW w:w="845" w:type="dxa"/>
                  <w:shd w:val="clear" w:color="auto" w:fill="auto"/>
                  <w:vAlign w:val="center"/>
                </w:tcPr>
                <w:p>
                  <w:pPr>
                    <w:jc w:val="left"/>
                    <w:rPr>
                      <w:color w:val="auto"/>
                      <w:sz w:val="18"/>
                      <w:szCs w:val="18"/>
                    </w:rPr>
                  </w:pPr>
                  <w:r>
                    <w:rPr>
                      <w:color w:val="auto"/>
                      <w:sz w:val="18"/>
                      <w:szCs w:val="18"/>
                    </w:rPr>
                    <w:t>N.D</w:t>
                  </w:r>
                </w:p>
              </w:tc>
              <w:tc>
                <w:tcPr>
                  <w:tcW w:w="846" w:type="dxa"/>
                  <w:shd w:val="clear" w:color="auto" w:fill="auto"/>
                  <w:vAlign w:val="center"/>
                </w:tcPr>
                <w:p>
                  <w:pPr>
                    <w:jc w:val="left"/>
                    <w:rPr>
                      <w:color w:val="auto"/>
                      <w:sz w:val="18"/>
                      <w:szCs w:val="18"/>
                    </w:rPr>
                  </w:pPr>
                  <w:r>
                    <w:rPr>
                      <w:color w:val="auto"/>
                      <w:sz w:val="18"/>
                      <w:szCs w:val="18"/>
                    </w:rPr>
                    <w:t>N.D</w:t>
                  </w:r>
                </w:p>
              </w:tc>
              <w:tc>
                <w:tcPr>
                  <w:tcW w:w="815" w:type="dxa"/>
                  <w:shd w:val="clear" w:color="auto" w:fill="auto"/>
                  <w:vAlign w:val="center"/>
                </w:tcPr>
                <w:p>
                  <w:pPr>
                    <w:jc w:val="left"/>
                    <w:rPr>
                      <w:color w:val="auto"/>
                      <w:sz w:val="18"/>
                      <w:szCs w:val="18"/>
                    </w:rPr>
                  </w:pPr>
                  <w:r>
                    <w:rPr>
                      <w:color w:val="auto"/>
                      <w:sz w:val="18"/>
                      <w:szCs w:val="18"/>
                    </w:rPr>
                    <w:t>N.D</w:t>
                  </w:r>
                </w:p>
              </w:tc>
              <w:tc>
                <w:tcPr>
                  <w:tcW w:w="705" w:type="dxa"/>
                  <w:shd w:val="clear" w:color="auto" w:fill="auto"/>
                  <w:vAlign w:val="center"/>
                </w:tcPr>
                <w:p>
                  <w:pPr>
                    <w:jc w:val="left"/>
                    <w:rPr>
                      <w:color w:val="auto"/>
                      <w:sz w:val="18"/>
                      <w:szCs w:val="18"/>
                    </w:rPr>
                  </w:pPr>
                  <w:r>
                    <w:rPr>
                      <w:color w:val="auto"/>
                      <w:sz w:val="18"/>
                      <w:szCs w:val="18"/>
                    </w:rPr>
                    <w:t>N.D</w:t>
                  </w:r>
                </w:p>
              </w:tc>
              <w:tc>
                <w:tcPr>
                  <w:tcW w:w="565" w:type="dxa"/>
                  <w:shd w:val="clear" w:color="auto" w:fill="auto"/>
                  <w:vAlign w:val="center"/>
                </w:tcPr>
                <w:p>
                  <w:pPr>
                    <w:jc w:val="left"/>
                    <w:rPr>
                      <w:color w:val="auto"/>
                      <w:sz w:val="18"/>
                      <w:szCs w:val="18"/>
                    </w:rPr>
                  </w:pPr>
                  <w:r>
                    <w:rPr>
                      <w:color w:val="auto"/>
                      <w:sz w:val="18"/>
                      <w:szCs w:val="18"/>
                    </w:rPr>
                    <w:t>N.D</w:t>
                  </w:r>
                </w:p>
              </w:tc>
              <w:tc>
                <w:tcPr>
                  <w:tcW w:w="845" w:type="dxa"/>
                  <w:shd w:val="clear" w:color="auto" w:fill="auto"/>
                  <w:vAlign w:val="center"/>
                </w:tcPr>
                <w:p>
                  <w:pPr>
                    <w:jc w:val="left"/>
                    <w:rPr>
                      <w:color w:val="auto"/>
                      <w:sz w:val="18"/>
                      <w:szCs w:val="18"/>
                    </w:rPr>
                  </w:pPr>
                  <w:r>
                    <w:rPr>
                      <w:color w:val="auto"/>
                      <w:sz w:val="18"/>
                      <w:szCs w:val="18"/>
                    </w:rPr>
                    <w:t>N.D</w:t>
                  </w:r>
                </w:p>
              </w:tc>
              <w:tc>
                <w:tcPr>
                  <w:tcW w:w="987" w:type="dxa"/>
                  <w:shd w:val="clear" w:color="auto" w:fill="auto"/>
                  <w:vAlign w:val="center"/>
                </w:tcPr>
                <w:p>
                  <w:pPr>
                    <w:jc w:val="left"/>
                    <w:rPr>
                      <w:color w:val="auto"/>
                      <w:sz w:val="18"/>
                      <w:szCs w:val="18"/>
                    </w:rPr>
                  </w:pPr>
                  <w:r>
                    <w:rPr>
                      <w:color w:val="auto"/>
                      <w:sz w:val="18"/>
                      <w:szCs w:val="18"/>
                    </w:rPr>
                    <w:t>N.D</w:t>
                  </w:r>
                </w:p>
              </w:tc>
              <w:tc>
                <w:tcPr>
                  <w:tcW w:w="674" w:type="dxa"/>
                  <w:shd w:val="clear" w:color="auto" w:fill="auto"/>
                  <w:vAlign w:val="center"/>
                </w:tcPr>
                <w:p>
                  <w:pPr>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right"/>
              </w:trPr>
              <w:tc>
                <w:tcPr>
                  <w:tcW w:w="1190" w:type="dxa"/>
                  <w:shd w:val="clear" w:color="auto" w:fill="auto"/>
                  <w:vAlign w:val="center"/>
                </w:tcPr>
                <w:p>
                  <w:pPr>
                    <w:ind w:left="-160" w:leftChars="-50" w:right="-160" w:rightChars="-50"/>
                    <w:jc w:val="center"/>
                    <w:rPr>
                      <w:bCs/>
                      <w:color w:val="auto"/>
                      <w:sz w:val="18"/>
                      <w:szCs w:val="18"/>
                    </w:rPr>
                  </w:pPr>
                  <w:r>
                    <w:rPr>
                      <w:color w:val="auto"/>
                      <w:sz w:val="18"/>
                      <w:szCs w:val="18"/>
                    </w:rPr>
                    <w:t>XW4(0-0.5m)</w:t>
                  </w:r>
                </w:p>
              </w:tc>
              <w:tc>
                <w:tcPr>
                  <w:tcW w:w="706" w:type="dxa"/>
                  <w:shd w:val="clear" w:color="auto" w:fill="auto"/>
                  <w:vAlign w:val="center"/>
                </w:tcPr>
                <w:p>
                  <w:pPr>
                    <w:jc w:val="left"/>
                    <w:rPr>
                      <w:color w:val="auto"/>
                      <w:sz w:val="18"/>
                      <w:szCs w:val="18"/>
                    </w:rPr>
                  </w:pPr>
                  <w:r>
                    <w:rPr>
                      <w:color w:val="auto"/>
                      <w:sz w:val="18"/>
                      <w:szCs w:val="18"/>
                    </w:rPr>
                    <w:t>N.D</w:t>
                  </w:r>
                </w:p>
              </w:tc>
              <w:tc>
                <w:tcPr>
                  <w:tcW w:w="705" w:type="dxa"/>
                  <w:shd w:val="clear" w:color="auto" w:fill="auto"/>
                  <w:vAlign w:val="center"/>
                </w:tcPr>
                <w:p>
                  <w:pPr>
                    <w:jc w:val="left"/>
                    <w:rPr>
                      <w:color w:val="auto"/>
                      <w:sz w:val="18"/>
                      <w:szCs w:val="18"/>
                    </w:rPr>
                  </w:pPr>
                  <w:r>
                    <w:rPr>
                      <w:color w:val="auto"/>
                      <w:sz w:val="18"/>
                      <w:szCs w:val="18"/>
                    </w:rPr>
                    <w:t>N.D</w:t>
                  </w:r>
                </w:p>
              </w:tc>
              <w:tc>
                <w:tcPr>
                  <w:tcW w:w="845" w:type="dxa"/>
                  <w:shd w:val="clear" w:color="auto" w:fill="auto"/>
                  <w:vAlign w:val="center"/>
                </w:tcPr>
                <w:p>
                  <w:pPr>
                    <w:jc w:val="left"/>
                    <w:rPr>
                      <w:color w:val="auto"/>
                      <w:sz w:val="18"/>
                      <w:szCs w:val="18"/>
                    </w:rPr>
                  </w:pPr>
                  <w:r>
                    <w:rPr>
                      <w:color w:val="auto"/>
                      <w:sz w:val="18"/>
                      <w:szCs w:val="18"/>
                    </w:rPr>
                    <w:t>N.D</w:t>
                  </w:r>
                </w:p>
              </w:tc>
              <w:tc>
                <w:tcPr>
                  <w:tcW w:w="846" w:type="dxa"/>
                  <w:shd w:val="clear" w:color="auto" w:fill="auto"/>
                  <w:vAlign w:val="center"/>
                </w:tcPr>
                <w:p>
                  <w:pPr>
                    <w:jc w:val="left"/>
                    <w:rPr>
                      <w:color w:val="auto"/>
                      <w:sz w:val="18"/>
                      <w:szCs w:val="18"/>
                    </w:rPr>
                  </w:pPr>
                  <w:r>
                    <w:rPr>
                      <w:color w:val="auto"/>
                      <w:sz w:val="18"/>
                      <w:szCs w:val="18"/>
                    </w:rPr>
                    <w:t>N.D</w:t>
                  </w:r>
                </w:p>
              </w:tc>
              <w:tc>
                <w:tcPr>
                  <w:tcW w:w="815" w:type="dxa"/>
                  <w:shd w:val="clear" w:color="auto" w:fill="auto"/>
                  <w:vAlign w:val="center"/>
                </w:tcPr>
                <w:p>
                  <w:pPr>
                    <w:jc w:val="left"/>
                    <w:rPr>
                      <w:color w:val="auto"/>
                      <w:sz w:val="18"/>
                      <w:szCs w:val="18"/>
                    </w:rPr>
                  </w:pPr>
                  <w:r>
                    <w:rPr>
                      <w:color w:val="auto"/>
                      <w:sz w:val="18"/>
                      <w:szCs w:val="18"/>
                    </w:rPr>
                    <w:t>N.D</w:t>
                  </w:r>
                </w:p>
              </w:tc>
              <w:tc>
                <w:tcPr>
                  <w:tcW w:w="705" w:type="dxa"/>
                  <w:shd w:val="clear" w:color="auto" w:fill="auto"/>
                  <w:vAlign w:val="center"/>
                </w:tcPr>
                <w:p>
                  <w:pPr>
                    <w:jc w:val="left"/>
                    <w:rPr>
                      <w:color w:val="auto"/>
                      <w:sz w:val="18"/>
                      <w:szCs w:val="18"/>
                    </w:rPr>
                  </w:pPr>
                  <w:r>
                    <w:rPr>
                      <w:color w:val="auto"/>
                      <w:sz w:val="18"/>
                      <w:szCs w:val="18"/>
                    </w:rPr>
                    <w:t>N.D</w:t>
                  </w:r>
                </w:p>
              </w:tc>
              <w:tc>
                <w:tcPr>
                  <w:tcW w:w="565" w:type="dxa"/>
                  <w:shd w:val="clear" w:color="auto" w:fill="auto"/>
                  <w:vAlign w:val="center"/>
                </w:tcPr>
                <w:p>
                  <w:pPr>
                    <w:jc w:val="left"/>
                    <w:rPr>
                      <w:color w:val="auto"/>
                      <w:sz w:val="18"/>
                      <w:szCs w:val="18"/>
                    </w:rPr>
                  </w:pPr>
                  <w:r>
                    <w:rPr>
                      <w:color w:val="auto"/>
                      <w:sz w:val="18"/>
                      <w:szCs w:val="18"/>
                    </w:rPr>
                    <w:t>N.D</w:t>
                  </w:r>
                </w:p>
              </w:tc>
              <w:tc>
                <w:tcPr>
                  <w:tcW w:w="845" w:type="dxa"/>
                  <w:shd w:val="clear" w:color="auto" w:fill="auto"/>
                  <w:vAlign w:val="center"/>
                </w:tcPr>
                <w:p>
                  <w:pPr>
                    <w:jc w:val="left"/>
                    <w:rPr>
                      <w:color w:val="auto"/>
                      <w:sz w:val="18"/>
                      <w:szCs w:val="18"/>
                    </w:rPr>
                  </w:pPr>
                  <w:r>
                    <w:rPr>
                      <w:color w:val="auto"/>
                      <w:sz w:val="18"/>
                      <w:szCs w:val="18"/>
                    </w:rPr>
                    <w:t>N.D</w:t>
                  </w:r>
                </w:p>
              </w:tc>
              <w:tc>
                <w:tcPr>
                  <w:tcW w:w="987" w:type="dxa"/>
                  <w:shd w:val="clear" w:color="auto" w:fill="auto"/>
                  <w:vAlign w:val="center"/>
                </w:tcPr>
                <w:p>
                  <w:pPr>
                    <w:jc w:val="left"/>
                    <w:rPr>
                      <w:color w:val="auto"/>
                      <w:sz w:val="18"/>
                      <w:szCs w:val="18"/>
                    </w:rPr>
                  </w:pPr>
                  <w:r>
                    <w:rPr>
                      <w:color w:val="auto"/>
                      <w:sz w:val="18"/>
                      <w:szCs w:val="18"/>
                    </w:rPr>
                    <w:t>N.D</w:t>
                  </w:r>
                </w:p>
              </w:tc>
              <w:tc>
                <w:tcPr>
                  <w:tcW w:w="674" w:type="dxa"/>
                  <w:shd w:val="clear" w:color="auto" w:fill="auto"/>
                  <w:vAlign w:val="center"/>
                </w:tcPr>
                <w:p>
                  <w:pPr>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right"/>
              </w:trPr>
              <w:tc>
                <w:tcPr>
                  <w:tcW w:w="1190" w:type="dxa"/>
                  <w:shd w:val="clear" w:color="auto" w:fill="auto"/>
                  <w:vAlign w:val="center"/>
                </w:tcPr>
                <w:p>
                  <w:pPr>
                    <w:ind w:left="-160" w:leftChars="-50" w:right="-160" w:rightChars="-50"/>
                    <w:jc w:val="center"/>
                    <w:rPr>
                      <w:bCs/>
                      <w:color w:val="auto"/>
                      <w:sz w:val="18"/>
                      <w:szCs w:val="18"/>
                    </w:rPr>
                  </w:pPr>
                  <w:r>
                    <w:rPr>
                      <w:color w:val="auto"/>
                      <w:sz w:val="18"/>
                      <w:szCs w:val="18"/>
                    </w:rPr>
                    <w:t>XW4(0.5-1m)</w:t>
                  </w:r>
                </w:p>
              </w:tc>
              <w:tc>
                <w:tcPr>
                  <w:tcW w:w="706" w:type="dxa"/>
                  <w:shd w:val="clear" w:color="auto" w:fill="auto"/>
                  <w:vAlign w:val="center"/>
                </w:tcPr>
                <w:p>
                  <w:pPr>
                    <w:jc w:val="left"/>
                    <w:rPr>
                      <w:color w:val="auto"/>
                      <w:sz w:val="18"/>
                      <w:szCs w:val="18"/>
                    </w:rPr>
                  </w:pPr>
                  <w:r>
                    <w:rPr>
                      <w:color w:val="auto"/>
                      <w:sz w:val="18"/>
                      <w:szCs w:val="18"/>
                    </w:rPr>
                    <w:t>N.D</w:t>
                  </w:r>
                </w:p>
              </w:tc>
              <w:tc>
                <w:tcPr>
                  <w:tcW w:w="705" w:type="dxa"/>
                  <w:shd w:val="clear" w:color="auto" w:fill="auto"/>
                  <w:vAlign w:val="center"/>
                </w:tcPr>
                <w:p>
                  <w:pPr>
                    <w:jc w:val="left"/>
                    <w:rPr>
                      <w:color w:val="auto"/>
                      <w:sz w:val="18"/>
                      <w:szCs w:val="18"/>
                    </w:rPr>
                  </w:pPr>
                  <w:r>
                    <w:rPr>
                      <w:color w:val="auto"/>
                      <w:sz w:val="18"/>
                      <w:szCs w:val="18"/>
                    </w:rPr>
                    <w:t>N.D</w:t>
                  </w:r>
                </w:p>
              </w:tc>
              <w:tc>
                <w:tcPr>
                  <w:tcW w:w="845" w:type="dxa"/>
                  <w:shd w:val="clear" w:color="auto" w:fill="auto"/>
                  <w:vAlign w:val="center"/>
                </w:tcPr>
                <w:p>
                  <w:pPr>
                    <w:jc w:val="left"/>
                    <w:rPr>
                      <w:color w:val="auto"/>
                      <w:sz w:val="18"/>
                      <w:szCs w:val="18"/>
                    </w:rPr>
                  </w:pPr>
                  <w:r>
                    <w:rPr>
                      <w:color w:val="auto"/>
                      <w:sz w:val="18"/>
                      <w:szCs w:val="18"/>
                    </w:rPr>
                    <w:t>N.D</w:t>
                  </w:r>
                </w:p>
              </w:tc>
              <w:tc>
                <w:tcPr>
                  <w:tcW w:w="846" w:type="dxa"/>
                  <w:shd w:val="clear" w:color="auto" w:fill="auto"/>
                  <w:vAlign w:val="center"/>
                </w:tcPr>
                <w:p>
                  <w:pPr>
                    <w:jc w:val="left"/>
                    <w:rPr>
                      <w:color w:val="auto"/>
                      <w:sz w:val="18"/>
                      <w:szCs w:val="18"/>
                    </w:rPr>
                  </w:pPr>
                  <w:r>
                    <w:rPr>
                      <w:color w:val="auto"/>
                      <w:sz w:val="18"/>
                      <w:szCs w:val="18"/>
                    </w:rPr>
                    <w:t>N.D</w:t>
                  </w:r>
                </w:p>
              </w:tc>
              <w:tc>
                <w:tcPr>
                  <w:tcW w:w="815" w:type="dxa"/>
                  <w:shd w:val="clear" w:color="auto" w:fill="auto"/>
                  <w:vAlign w:val="center"/>
                </w:tcPr>
                <w:p>
                  <w:pPr>
                    <w:jc w:val="left"/>
                    <w:rPr>
                      <w:color w:val="auto"/>
                      <w:sz w:val="18"/>
                      <w:szCs w:val="18"/>
                    </w:rPr>
                  </w:pPr>
                  <w:r>
                    <w:rPr>
                      <w:color w:val="auto"/>
                      <w:sz w:val="18"/>
                      <w:szCs w:val="18"/>
                    </w:rPr>
                    <w:t>N.D</w:t>
                  </w:r>
                </w:p>
              </w:tc>
              <w:tc>
                <w:tcPr>
                  <w:tcW w:w="705" w:type="dxa"/>
                  <w:shd w:val="clear" w:color="auto" w:fill="auto"/>
                  <w:vAlign w:val="center"/>
                </w:tcPr>
                <w:p>
                  <w:pPr>
                    <w:jc w:val="left"/>
                    <w:rPr>
                      <w:color w:val="auto"/>
                      <w:sz w:val="18"/>
                      <w:szCs w:val="18"/>
                    </w:rPr>
                  </w:pPr>
                  <w:r>
                    <w:rPr>
                      <w:color w:val="auto"/>
                      <w:sz w:val="18"/>
                      <w:szCs w:val="18"/>
                    </w:rPr>
                    <w:t>N.D</w:t>
                  </w:r>
                </w:p>
              </w:tc>
              <w:tc>
                <w:tcPr>
                  <w:tcW w:w="565" w:type="dxa"/>
                  <w:shd w:val="clear" w:color="auto" w:fill="auto"/>
                  <w:vAlign w:val="center"/>
                </w:tcPr>
                <w:p>
                  <w:pPr>
                    <w:jc w:val="left"/>
                    <w:rPr>
                      <w:color w:val="auto"/>
                      <w:sz w:val="18"/>
                      <w:szCs w:val="18"/>
                    </w:rPr>
                  </w:pPr>
                  <w:r>
                    <w:rPr>
                      <w:color w:val="auto"/>
                      <w:sz w:val="18"/>
                      <w:szCs w:val="18"/>
                    </w:rPr>
                    <w:t>N.D</w:t>
                  </w:r>
                </w:p>
              </w:tc>
              <w:tc>
                <w:tcPr>
                  <w:tcW w:w="845" w:type="dxa"/>
                  <w:shd w:val="clear" w:color="auto" w:fill="auto"/>
                  <w:vAlign w:val="center"/>
                </w:tcPr>
                <w:p>
                  <w:pPr>
                    <w:jc w:val="left"/>
                    <w:rPr>
                      <w:color w:val="auto"/>
                      <w:sz w:val="18"/>
                      <w:szCs w:val="18"/>
                    </w:rPr>
                  </w:pPr>
                  <w:r>
                    <w:rPr>
                      <w:color w:val="auto"/>
                      <w:sz w:val="18"/>
                      <w:szCs w:val="18"/>
                    </w:rPr>
                    <w:t>N.D</w:t>
                  </w:r>
                </w:p>
              </w:tc>
              <w:tc>
                <w:tcPr>
                  <w:tcW w:w="987" w:type="dxa"/>
                  <w:shd w:val="clear" w:color="auto" w:fill="auto"/>
                  <w:vAlign w:val="center"/>
                </w:tcPr>
                <w:p>
                  <w:pPr>
                    <w:jc w:val="left"/>
                    <w:rPr>
                      <w:color w:val="auto"/>
                      <w:sz w:val="18"/>
                      <w:szCs w:val="18"/>
                    </w:rPr>
                  </w:pPr>
                  <w:r>
                    <w:rPr>
                      <w:color w:val="auto"/>
                      <w:sz w:val="18"/>
                      <w:szCs w:val="18"/>
                    </w:rPr>
                    <w:t>N.D</w:t>
                  </w:r>
                </w:p>
              </w:tc>
              <w:tc>
                <w:tcPr>
                  <w:tcW w:w="674" w:type="dxa"/>
                  <w:shd w:val="clear" w:color="auto" w:fill="auto"/>
                  <w:vAlign w:val="center"/>
                </w:tcPr>
                <w:p>
                  <w:pPr>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right"/>
              </w:trPr>
              <w:tc>
                <w:tcPr>
                  <w:tcW w:w="1190" w:type="dxa"/>
                  <w:shd w:val="clear" w:color="auto" w:fill="auto"/>
                  <w:vAlign w:val="center"/>
                </w:tcPr>
                <w:p>
                  <w:pPr>
                    <w:ind w:left="-160" w:leftChars="-50" w:right="-160" w:rightChars="-50"/>
                    <w:jc w:val="center"/>
                    <w:rPr>
                      <w:bCs/>
                      <w:color w:val="auto"/>
                      <w:sz w:val="18"/>
                      <w:szCs w:val="18"/>
                    </w:rPr>
                  </w:pPr>
                  <w:r>
                    <w:rPr>
                      <w:color w:val="auto"/>
                      <w:sz w:val="18"/>
                      <w:szCs w:val="18"/>
                    </w:rPr>
                    <w:t>XW4(1.-1.5m)</w:t>
                  </w:r>
                </w:p>
              </w:tc>
              <w:tc>
                <w:tcPr>
                  <w:tcW w:w="706" w:type="dxa"/>
                  <w:shd w:val="clear" w:color="auto" w:fill="auto"/>
                  <w:vAlign w:val="center"/>
                </w:tcPr>
                <w:p>
                  <w:pPr>
                    <w:jc w:val="left"/>
                    <w:rPr>
                      <w:color w:val="auto"/>
                      <w:sz w:val="18"/>
                      <w:szCs w:val="18"/>
                    </w:rPr>
                  </w:pPr>
                  <w:r>
                    <w:rPr>
                      <w:color w:val="auto"/>
                      <w:sz w:val="18"/>
                      <w:szCs w:val="18"/>
                    </w:rPr>
                    <w:t>N.D</w:t>
                  </w:r>
                </w:p>
              </w:tc>
              <w:tc>
                <w:tcPr>
                  <w:tcW w:w="705" w:type="dxa"/>
                  <w:shd w:val="clear" w:color="auto" w:fill="auto"/>
                  <w:vAlign w:val="center"/>
                </w:tcPr>
                <w:p>
                  <w:pPr>
                    <w:jc w:val="left"/>
                    <w:rPr>
                      <w:color w:val="auto"/>
                      <w:sz w:val="18"/>
                      <w:szCs w:val="18"/>
                    </w:rPr>
                  </w:pPr>
                  <w:r>
                    <w:rPr>
                      <w:color w:val="auto"/>
                      <w:sz w:val="18"/>
                      <w:szCs w:val="18"/>
                    </w:rPr>
                    <w:t>N.D</w:t>
                  </w:r>
                </w:p>
              </w:tc>
              <w:tc>
                <w:tcPr>
                  <w:tcW w:w="845" w:type="dxa"/>
                  <w:shd w:val="clear" w:color="auto" w:fill="auto"/>
                  <w:vAlign w:val="center"/>
                </w:tcPr>
                <w:p>
                  <w:pPr>
                    <w:jc w:val="left"/>
                    <w:rPr>
                      <w:color w:val="auto"/>
                      <w:sz w:val="18"/>
                      <w:szCs w:val="18"/>
                    </w:rPr>
                  </w:pPr>
                  <w:r>
                    <w:rPr>
                      <w:color w:val="auto"/>
                      <w:sz w:val="18"/>
                      <w:szCs w:val="18"/>
                    </w:rPr>
                    <w:t>N.D</w:t>
                  </w:r>
                </w:p>
              </w:tc>
              <w:tc>
                <w:tcPr>
                  <w:tcW w:w="846" w:type="dxa"/>
                  <w:shd w:val="clear" w:color="auto" w:fill="auto"/>
                  <w:vAlign w:val="center"/>
                </w:tcPr>
                <w:p>
                  <w:pPr>
                    <w:jc w:val="left"/>
                    <w:rPr>
                      <w:color w:val="auto"/>
                      <w:sz w:val="18"/>
                      <w:szCs w:val="18"/>
                    </w:rPr>
                  </w:pPr>
                  <w:r>
                    <w:rPr>
                      <w:color w:val="auto"/>
                      <w:sz w:val="18"/>
                      <w:szCs w:val="18"/>
                    </w:rPr>
                    <w:t>N.D</w:t>
                  </w:r>
                </w:p>
              </w:tc>
              <w:tc>
                <w:tcPr>
                  <w:tcW w:w="815" w:type="dxa"/>
                  <w:shd w:val="clear" w:color="auto" w:fill="auto"/>
                  <w:vAlign w:val="center"/>
                </w:tcPr>
                <w:p>
                  <w:pPr>
                    <w:jc w:val="left"/>
                    <w:rPr>
                      <w:color w:val="auto"/>
                      <w:sz w:val="18"/>
                      <w:szCs w:val="18"/>
                    </w:rPr>
                  </w:pPr>
                  <w:r>
                    <w:rPr>
                      <w:color w:val="auto"/>
                      <w:sz w:val="18"/>
                      <w:szCs w:val="18"/>
                    </w:rPr>
                    <w:t>N.D</w:t>
                  </w:r>
                </w:p>
              </w:tc>
              <w:tc>
                <w:tcPr>
                  <w:tcW w:w="705" w:type="dxa"/>
                  <w:shd w:val="clear" w:color="auto" w:fill="auto"/>
                  <w:vAlign w:val="center"/>
                </w:tcPr>
                <w:p>
                  <w:pPr>
                    <w:jc w:val="left"/>
                    <w:rPr>
                      <w:color w:val="auto"/>
                      <w:sz w:val="18"/>
                      <w:szCs w:val="18"/>
                    </w:rPr>
                  </w:pPr>
                  <w:r>
                    <w:rPr>
                      <w:color w:val="auto"/>
                      <w:sz w:val="18"/>
                      <w:szCs w:val="18"/>
                    </w:rPr>
                    <w:t>N.D</w:t>
                  </w:r>
                </w:p>
              </w:tc>
              <w:tc>
                <w:tcPr>
                  <w:tcW w:w="565" w:type="dxa"/>
                  <w:shd w:val="clear" w:color="auto" w:fill="auto"/>
                  <w:vAlign w:val="center"/>
                </w:tcPr>
                <w:p>
                  <w:pPr>
                    <w:jc w:val="left"/>
                    <w:rPr>
                      <w:color w:val="auto"/>
                      <w:sz w:val="18"/>
                      <w:szCs w:val="18"/>
                    </w:rPr>
                  </w:pPr>
                  <w:r>
                    <w:rPr>
                      <w:color w:val="auto"/>
                      <w:sz w:val="18"/>
                      <w:szCs w:val="18"/>
                    </w:rPr>
                    <w:t>N.D</w:t>
                  </w:r>
                </w:p>
              </w:tc>
              <w:tc>
                <w:tcPr>
                  <w:tcW w:w="845" w:type="dxa"/>
                  <w:shd w:val="clear" w:color="auto" w:fill="auto"/>
                  <w:vAlign w:val="center"/>
                </w:tcPr>
                <w:p>
                  <w:pPr>
                    <w:jc w:val="left"/>
                    <w:rPr>
                      <w:color w:val="auto"/>
                      <w:sz w:val="18"/>
                      <w:szCs w:val="18"/>
                    </w:rPr>
                  </w:pPr>
                  <w:r>
                    <w:rPr>
                      <w:color w:val="auto"/>
                      <w:sz w:val="18"/>
                      <w:szCs w:val="18"/>
                    </w:rPr>
                    <w:t>N.D</w:t>
                  </w:r>
                </w:p>
              </w:tc>
              <w:tc>
                <w:tcPr>
                  <w:tcW w:w="987" w:type="dxa"/>
                  <w:shd w:val="clear" w:color="auto" w:fill="auto"/>
                  <w:vAlign w:val="center"/>
                </w:tcPr>
                <w:p>
                  <w:pPr>
                    <w:jc w:val="left"/>
                    <w:rPr>
                      <w:color w:val="auto"/>
                      <w:sz w:val="18"/>
                      <w:szCs w:val="18"/>
                    </w:rPr>
                  </w:pPr>
                  <w:r>
                    <w:rPr>
                      <w:color w:val="auto"/>
                      <w:sz w:val="18"/>
                      <w:szCs w:val="18"/>
                    </w:rPr>
                    <w:t>N.D</w:t>
                  </w:r>
                </w:p>
              </w:tc>
              <w:tc>
                <w:tcPr>
                  <w:tcW w:w="674" w:type="dxa"/>
                  <w:shd w:val="clear" w:color="auto" w:fill="auto"/>
                  <w:vAlign w:val="center"/>
                </w:tcPr>
                <w:p>
                  <w:pPr>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right"/>
              </w:trPr>
              <w:tc>
                <w:tcPr>
                  <w:tcW w:w="1190" w:type="dxa"/>
                  <w:shd w:val="clear" w:color="auto" w:fill="auto"/>
                  <w:vAlign w:val="center"/>
                </w:tcPr>
                <w:p>
                  <w:pPr>
                    <w:ind w:left="-160" w:leftChars="-50" w:right="-160" w:rightChars="-50"/>
                    <w:jc w:val="center"/>
                    <w:rPr>
                      <w:bCs/>
                      <w:color w:val="auto"/>
                      <w:sz w:val="18"/>
                      <w:szCs w:val="18"/>
                    </w:rPr>
                  </w:pPr>
                  <w:r>
                    <w:rPr>
                      <w:color w:val="auto"/>
                      <w:sz w:val="18"/>
                      <w:szCs w:val="18"/>
                    </w:rPr>
                    <w:t>XW5(0-0.5m)</w:t>
                  </w:r>
                </w:p>
              </w:tc>
              <w:tc>
                <w:tcPr>
                  <w:tcW w:w="706" w:type="dxa"/>
                  <w:shd w:val="clear" w:color="auto" w:fill="auto"/>
                  <w:vAlign w:val="center"/>
                </w:tcPr>
                <w:p>
                  <w:pPr>
                    <w:jc w:val="left"/>
                    <w:rPr>
                      <w:color w:val="auto"/>
                      <w:sz w:val="18"/>
                      <w:szCs w:val="18"/>
                    </w:rPr>
                  </w:pPr>
                  <w:r>
                    <w:rPr>
                      <w:color w:val="auto"/>
                      <w:sz w:val="18"/>
                      <w:szCs w:val="18"/>
                    </w:rPr>
                    <w:t>N.D</w:t>
                  </w:r>
                </w:p>
              </w:tc>
              <w:tc>
                <w:tcPr>
                  <w:tcW w:w="705" w:type="dxa"/>
                  <w:shd w:val="clear" w:color="auto" w:fill="auto"/>
                  <w:vAlign w:val="center"/>
                </w:tcPr>
                <w:p>
                  <w:pPr>
                    <w:jc w:val="left"/>
                    <w:rPr>
                      <w:color w:val="auto"/>
                      <w:sz w:val="18"/>
                      <w:szCs w:val="18"/>
                    </w:rPr>
                  </w:pPr>
                  <w:r>
                    <w:rPr>
                      <w:color w:val="auto"/>
                      <w:sz w:val="18"/>
                      <w:szCs w:val="18"/>
                    </w:rPr>
                    <w:t>N.D</w:t>
                  </w:r>
                </w:p>
              </w:tc>
              <w:tc>
                <w:tcPr>
                  <w:tcW w:w="845" w:type="dxa"/>
                  <w:shd w:val="clear" w:color="auto" w:fill="auto"/>
                  <w:vAlign w:val="center"/>
                </w:tcPr>
                <w:p>
                  <w:pPr>
                    <w:jc w:val="left"/>
                    <w:rPr>
                      <w:color w:val="auto"/>
                      <w:sz w:val="18"/>
                      <w:szCs w:val="18"/>
                    </w:rPr>
                  </w:pPr>
                  <w:r>
                    <w:rPr>
                      <w:color w:val="auto"/>
                      <w:sz w:val="18"/>
                      <w:szCs w:val="18"/>
                    </w:rPr>
                    <w:t>N.D</w:t>
                  </w:r>
                </w:p>
              </w:tc>
              <w:tc>
                <w:tcPr>
                  <w:tcW w:w="846" w:type="dxa"/>
                  <w:shd w:val="clear" w:color="auto" w:fill="auto"/>
                  <w:vAlign w:val="center"/>
                </w:tcPr>
                <w:p>
                  <w:pPr>
                    <w:jc w:val="left"/>
                    <w:rPr>
                      <w:color w:val="auto"/>
                      <w:sz w:val="18"/>
                      <w:szCs w:val="18"/>
                    </w:rPr>
                  </w:pPr>
                  <w:r>
                    <w:rPr>
                      <w:color w:val="auto"/>
                      <w:sz w:val="18"/>
                      <w:szCs w:val="18"/>
                    </w:rPr>
                    <w:t>N.D</w:t>
                  </w:r>
                </w:p>
              </w:tc>
              <w:tc>
                <w:tcPr>
                  <w:tcW w:w="815" w:type="dxa"/>
                  <w:shd w:val="clear" w:color="auto" w:fill="auto"/>
                  <w:vAlign w:val="center"/>
                </w:tcPr>
                <w:p>
                  <w:pPr>
                    <w:jc w:val="left"/>
                    <w:rPr>
                      <w:color w:val="auto"/>
                      <w:sz w:val="18"/>
                      <w:szCs w:val="18"/>
                    </w:rPr>
                  </w:pPr>
                  <w:r>
                    <w:rPr>
                      <w:color w:val="auto"/>
                      <w:sz w:val="18"/>
                      <w:szCs w:val="18"/>
                    </w:rPr>
                    <w:t>N.D</w:t>
                  </w:r>
                </w:p>
              </w:tc>
              <w:tc>
                <w:tcPr>
                  <w:tcW w:w="705" w:type="dxa"/>
                  <w:shd w:val="clear" w:color="auto" w:fill="auto"/>
                  <w:vAlign w:val="center"/>
                </w:tcPr>
                <w:p>
                  <w:pPr>
                    <w:jc w:val="left"/>
                    <w:rPr>
                      <w:color w:val="auto"/>
                      <w:sz w:val="18"/>
                      <w:szCs w:val="18"/>
                    </w:rPr>
                  </w:pPr>
                  <w:r>
                    <w:rPr>
                      <w:color w:val="auto"/>
                      <w:sz w:val="18"/>
                      <w:szCs w:val="18"/>
                    </w:rPr>
                    <w:t>N.D</w:t>
                  </w:r>
                </w:p>
              </w:tc>
              <w:tc>
                <w:tcPr>
                  <w:tcW w:w="565" w:type="dxa"/>
                  <w:shd w:val="clear" w:color="auto" w:fill="auto"/>
                  <w:vAlign w:val="center"/>
                </w:tcPr>
                <w:p>
                  <w:pPr>
                    <w:jc w:val="left"/>
                    <w:rPr>
                      <w:color w:val="auto"/>
                      <w:sz w:val="18"/>
                      <w:szCs w:val="18"/>
                    </w:rPr>
                  </w:pPr>
                  <w:r>
                    <w:rPr>
                      <w:color w:val="auto"/>
                      <w:sz w:val="18"/>
                      <w:szCs w:val="18"/>
                    </w:rPr>
                    <w:t>N.D</w:t>
                  </w:r>
                </w:p>
              </w:tc>
              <w:tc>
                <w:tcPr>
                  <w:tcW w:w="845" w:type="dxa"/>
                  <w:shd w:val="clear" w:color="auto" w:fill="auto"/>
                  <w:vAlign w:val="center"/>
                </w:tcPr>
                <w:p>
                  <w:pPr>
                    <w:jc w:val="left"/>
                    <w:rPr>
                      <w:color w:val="auto"/>
                      <w:sz w:val="18"/>
                      <w:szCs w:val="18"/>
                    </w:rPr>
                  </w:pPr>
                  <w:r>
                    <w:rPr>
                      <w:color w:val="auto"/>
                      <w:sz w:val="18"/>
                      <w:szCs w:val="18"/>
                    </w:rPr>
                    <w:t>N.D</w:t>
                  </w:r>
                </w:p>
              </w:tc>
              <w:tc>
                <w:tcPr>
                  <w:tcW w:w="987" w:type="dxa"/>
                  <w:shd w:val="clear" w:color="auto" w:fill="auto"/>
                  <w:vAlign w:val="center"/>
                </w:tcPr>
                <w:p>
                  <w:pPr>
                    <w:jc w:val="left"/>
                    <w:rPr>
                      <w:color w:val="auto"/>
                      <w:sz w:val="18"/>
                      <w:szCs w:val="18"/>
                    </w:rPr>
                  </w:pPr>
                  <w:r>
                    <w:rPr>
                      <w:color w:val="auto"/>
                      <w:sz w:val="18"/>
                      <w:szCs w:val="18"/>
                    </w:rPr>
                    <w:t>N.D</w:t>
                  </w:r>
                </w:p>
              </w:tc>
              <w:tc>
                <w:tcPr>
                  <w:tcW w:w="674" w:type="dxa"/>
                  <w:shd w:val="clear" w:color="auto" w:fill="auto"/>
                  <w:vAlign w:val="center"/>
                </w:tcPr>
                <w:p>
                  <w:pPr>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right"/>
              </w:trPr>
              <w:tc>
                <w:tcPr>
                  <w:tcW w:w="1190" w:type="dxa"/>
                  <w:shd w:val="clear" w:color="auto" w:fill="auto"/>
                  <w:vAlign w:val="center"/>
                </w:tcPr>
                <w:p>
                  <w:pPr>
                    <w:ind w:left="-160" w:leftChars="-50" w:right="-160" w:rightChars="-50"/>
                    <w:jc w:val="center"/>
                    <w:rPr>
                      <w:bCs/>
                      <w:color w:val="auto"/>
                      <w:sz w:val="18"/>
                      <w:szCs w:val="18"/>
                    </w:rPr>
                  </w:pPr>
                  <w:r>
                    <w:rPr>
                      <w:color w:val="auto"/>
                      <w:sz w:val="18"/>
                      <w:szCs w:val="18"/>
                    </w:rPr>
                    <w:t>XW5(0.5-1m)</w:t>
                  </w:r>
                </w:p>
              </w:tc>
              <w:tc>
                <w:tcPr>
                  <w:tcW w:w="706" w:type="dxa"/>
                  <w:shd w:val="clear" w:color="auto" w:fill="auto"/>
                  <w:vAlign w:val="center"/>
                </w:tcPr>
                <w:p>
                  <w:pPr>
                    <w:jc w:val="left"/>
                    <w:rPr>
                      <w:color w:val="auto"/>
                      <w:sz w:val="18"/>
                      <w:szCs w:val="18"/>
                    </w:rPr>
                  </w:pPr>
                  <w:r>
                    <w:rPr>
                      <w:color w:val="auto"/>
                      <w:sz w:val="18"/>
                      <w:szCs w:val="18"/>
                    </w:rPr>
                    <w:t>N.D</w:t>
                  </w:r>
                </w:p>
              </w:tc>
              <w:tc>
                <w:tcPr>
                  <w:tcW w:w="705" w:type="dxa"/>
                  <w:shd w:val="clear" w:color="auto" w:fill="auto"/>
                  <w:vAlign w:val="center"/>
                </w:tcPr>
                <w:p>
                  <w:pPr>
                    <w:jc w:val="left"/>
                    <w:rPr>
                      <w:color w:val="auto"/>
                      <w:sz w:val="18"/>
                      <w:szCs w:val="18"/>
                    </w:rPr>
                  </w:pPr>
                  <w:r>
                    <w:rPr>
                      <w:color w:val="auto"/>
                      <w:sz w:val="18"/>
                      <w:szCs w:val="18"/>
                    </w:rPr>
                    <w:t>N.D</w:t>
                  </w:r>
                </w:p>
              </w:tc>
              <w:tc>
                <w:tcPr>
                  <w:tcW w:w="845" w:type="dxa"/>
                  <w:shd w:val="clear" w:color="auto" w:fill="auto"/>
                  <w:vAlign w:val="center"/>
                </w:tcPr>
                <w:p>
                  <w:pPr>
                    <w:jc w:val="left"/>
                    <w:rPr>
                      <w:color w:val="auto"/>
                      <w:sz w:val="18"/>
                      <w:szCs w:val="18"/>
                    </w:rPr>
                  </w:pPr>
                  <w:r>
                    <w:rPr>
                      <w:color w:val="auto"/>
                      <w:sz w:val="18"/>
                      <w:szCs w:val="18"/>
                    </w:rPr>
                    <w:t>N.D</w:t>
                  </w:r>
                </w:p>
              </w:tc>
              <w:tc>
                <w:tcPr>
                  <w:tcW w:w="846" w:type="dxa"/>
                  <w:shd w:val="clear" w:color="auto" w:fill="auto"/>
                  <w:vAlign w:val="center"/>
                </w:tcPr>
                <w:p>
                  <w:pPr>
                    <w:jc w:val="left"/>
                    <w:rPr>
                      <w:color w:val="auto"/>
                      <w:sz w:val="18"/>
                      <w:szCs w:val="18"/>
                    </w:rPr>
                  </w:pPr>
                  <w:r>
                    <w:rPr>
                      <w:color w:val="auto"/>
                      <w:sz w:val="18"/>
                      <w:szCs w:val="18"/>
                    </w:rPr>
                    <w:t>N.D</w:t>
                  </w:r>
                </w:p>
              </w:tc>
              <w:tc>
                <w:tcPr>
                  <w:tcW w:w="815" w:type="dxa"/>
                  <w:shd w:val="clear" w:color="auto" w:fill="auto"/>
                  <w:vAlign w:val="center"/>
                </w:tcPr>
                <w:p>
                  <w:pPr>
                    <w:jc w:val="left"/>
                    <w:rPr>
                      <w:color w:val="auto"/>
                      <w:sz w:val="18"/>
                      <w:szCs w:val="18"/>
                    </w:rPr>
                  </w:pPr>
                  <w:r>
                    <w:rPr>
                      <w:color w:val="auto"/>
                      <w:sz w:val="18"/>
                      <w:szCs w:val="18"/>
                    </w:rPr>
                    <w:t>N.D</w:t>
                  </w:r>
                </w:p>
              </w:tc>
              <w:tc>
                <w:tcPr>
                  <w:tcW w:w="705" w:type="dxa"/>
                  <w:shd w:val="clear" w:color="auto" w:fill="auto"/>
                  <w:vAlign w:val="center"/>
                </w:tcPr>
                <w:p>
                  <w:pPr>
                    <w:jc w:val="left"/>
                    <w:rPr>
                      <w:color w:val="auto"/>
                      <w:sz w:val="18"/>
                      <w:szCs w:val="18"/>
                    </w:rPr>
                  </w:pPr>
                  <w:r>
                    <w:rPr>
                      <w:color w:val="auto"/>
                      <w:sz w:val="18"/>
                      <w:szCs w:val="18"/>
                    </w:rPr>
                    <w:t>N.D</w:t>
                  </w:r>
                </w:p>
              </w:tc>
              <w:tc>
                <w:tcPr>
                  <w:tcW w:w="565" w:type="dxa"/>
                  <w:shd w:val="clear" w:color="auto" w:fill="auto"/>
                  <w:vAlign w:val="center"/>
                </w:tcPr>
                <w:p>
                  <w:pPr>
                    <w:jc w:val="left"/>
                    <w:rPr>
                      <w:color w:val="auto"/>
                      <w:sz w:val="18"/>
                      <w:szCs w:val="18"/>
                    </w:rPr>
                  </w:pPr>
                  <w:r>
                    <w:rPr>
                      <w:color w:val="auto"/>
                      <w:sz w:val="18"/>
                      <w:szCs w:val="18"/>
                    </w:rPr>
                    <w:t>N.D</w:t>
                  </w:r>
                </w:p>
              </w:tc>
              <w:tc>
                <w:tcPr>
                  <w:tcW w:w="845" w:type="dxa"/>
                  <w:shd w:val="clear" w:color="auto" w:fill="auto"/>
                  <w:vAlign w:val="center"/>
                </w:tcPr>
                <w:p>
                  <w:pPr>
                    <w:jc w:val="left"/>
                    <w:rPr>
                      <w:color w:val="auto"/>
                      <w:sz w:val="18"/>
                      <w:szCs w:val="18"/>
                    </w:rPr>
                  </w:pPr>
                  <w:r>
                    <w:rPr>
                      <w:color w:val="auto"/>
                      <w:sz w:val="18"/>
                      <w:szCs w:val="18"/>
                    </w:rPr>
                    <w:t>N.D</w:t>
                  </w:r>
                </w:p>
              </w:tc>
              <w:tc>
                <w:tcPr>
                  <w:tcW w:w="987" w:type="dxa"/>
                  <w:shd w:val="clear" w:color="auto" w:fill="auto"/>
                  <w:vAlign w:val="center"/>
                </w:tcPr>
                <w:p>
                  <w:pPr>
                    <w:jc w:val="left"/>
                    <w:rPr>
                      <w:color w:val="auto"/>
                      <w:sz w:val="18"/>
                      <w:szCs w:val="18"/>
                    </w:rPr>
                  </w:pPr>
                  <w:r>
                    <w:rPr>
                      <w:color w:val="auto"/>
                      <w:sz w:val="18"/>
                      <w:szCs w:val="18"/>
                    </w:rPr>
                    <w:t>N.D</w:t>
                  </w:r>
                </w:p>
              </w:tc>
              <w:tc>
                <w:tcPr>
                  <w:tcW w:w="674" w:type="dxa"/>
                  <w:shd w:val="clear" w:color="auto" w:fill="auto"/>
                  <w:vAlign w:val="center"/>
                </w:tcPr>
                <w:p>
                  <w:pPr>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right"/>
              </w:trPr>
              <w:tc>
                <w:tcPr>
                  <w:tcW w:w="1190" w:type="dxa"/>
                  <w:shd w:val="clear" w:color="auto" w:fill="auto"/>
                  <w:vAlign w:val="center"/>
                </w:tcPr>
                <w:p>
                  <w:pPr>
                    <w:ind w:left="-160" w:leftChars="-50" w:right="-160" w:rightChars="-50"/>
                    <w:jc w:val="center"/>
                    <w:rPr>
                      <w:bCs/>
                      <w:color w:val="auto"/>
                      <w:sz w:val="18"/>
                      <w:szCs w:val="18"/>
                    </w:rPr>
                  </w:pPr>
                  <w:r>
                    <w:rPr>
                      <w:color w:val="auto"/>
                      <w:sz w:val="18"/>
                      <w:szCs w:val="18"/>
                    </w:rPr>
                    <w:t>XW5(1.-1.5m)</w:t>
                  </w:r>
                </w:p>
              </w:tc>
              <w:tc>
                <w:tcPr>
                  <w:tcW w:w="706" w:type="dxa"/>
                  <w:shd w:val="clear" w:color="auto" w:fill="auto"/>
                  <w:vAlign w:val="center"/>
                </w:tcPr>
                <w:p>
                  <w:pPr>
                    <w:jc w:val="left"/>
                    <w:rPr>
                      <w:color w:val="auto"/>
                      <w:sz w:val="18"/>
                      <w:szCs w:val="18"/>
                    </w:rPr>
                  </w:pPr>
                  <w:r>
                    <w:rPr>
                      <w:color w:val="auto"/>
                      <w:sz w:val="18"/>
                      <w:szCs w:val="18"/>
                    </w:rPr>
                    <w:t>N.D</w:t>
                  </w:r>
                </w:p>
              </w:tc>
              <w:tc>
                <w:tcPr>
                  <w:tcW w:w="705" w:type="dxa"/>
                  <w:shd w:val="clear" w:color="auto" w:fill="auto"/>
                  <w:vAlign w:val="center"/>
                </w:tcPr>
                <w:p>
                  <w:pPr>
                    <w:jc w:val="left"/>
                    <w:rPr>
                      <w:color w:val="auto"/>
                      <w:sz w:val="18"/>
                      <w:szCs w:val="18"/>
                    </w:rPr>
                  </w:pPr>
                  <w:r>
                    <w:rPr>
                      <w:color w:val="auto"/>
                      <w:sz w:val="18"/>
                      <w:szCs w:val="18"/>
                    </w:rPr>
                    <w:t>N.D</w:t>
                  </w:r>
                </w:p>
              </w:tc>
              <w:tc>
                <w:tcPr>
                  <w:tcW w:w="845" w:type="dxa"/>
                  <w:shd w:val="clear" w:color="auto" w:fill="auto"/>
                  <w:vAlign w:val="center"/>
                </w:tcPr>
                <w:p>
                  <w:pPr>
                    <w:jc w:val="left"/>
                    <w:rPr>
                      <w:color w:val="auto"/>
                      <w:sz w:val="18"/>
                      <w:szCs w:val="18"/>
                    </w:rPr>
                  </w:pPr>
                  <w:r>
                    <w:rPr>
                      <w:color w:val="auto"/>
                      <w:sz w:val="18"/>
                      <w:szCs w:val="18"/>
                    </w:rPr>
                    <w:t>N.D</w:t>
                  </w:r>
                </w:p>
              </w:tc>
              <w:tc>
                <w:tcPr>
                  <w:tcW w:w="846" w:type="dxa"/>
                  <w:shd w:val="clear" w:color="auto" w:fill="auto"/>
                  <w:vAlign w:val="center"/>
                </w:tcPr>
                <w:p>
                  <w:pPr>
                    <w:jc w:val="left"/>
                    <w:rPr>
                      <w:color w:val="auto"/>
                      <w:sz w:val="18"/>
                      <w:szCs w:val="18"/>
                    </w:rPr>
                  </w:pPr>
                  <w:r>
                    <w:rPr>
                      <w:color w:val="auto"/>
                      <w:sz w:val="18"/>
                      <w:szCs w:val="18"/>
                    </w:rPr>
                    <w:t>N.D</w:t>
                  </w:r>
                </w:p>
              </w:tc>
              <w:tc>
                <w:tcPr>
                  <w:tcW w:w="815" w:type="dxa"/>
                  <w:shd w:val="clear" w:color="auto" w:fill="auto"/>
                  <w:vAlign w:val="center"/>
                </w:tcPr>
                <w:p>
                  <w:pPr>
                    <w:jc w:val="left"/>
                    <w:rPr>
                      <w:color w:val="auto"/>
                      <w:sz w:val="18"/>
                      <w:szCs w:val="18"/>
                    </w:rPr>
                  </w:pPr>
                  <w:r>
                    <w:rPr>
                      <w:color w:val="auto"/>
                      <w:sz w:val="18"/>
                      <w:szCs w:val="18"/>
                    </w:rPr>
                    <w:t>N.D</w:t>
                  </w:r>
                </w:p>
              </w:tc>
              <w:tc>
                <w:tcPr>
                  <w:tcW w:w="705" w:type="dxa"/>
                  <w:shd w:val="clear" w:color="auto" w:fill="auto"/>
                  <w:vAlign w:val="center"/>
                </w:tcPr>
                <w:p>
                  <w:pPr>
                    <w:jc w:val="left"/>
                    <w:rPr>
                      <w:color w:val="auto"/>
                      <w:sz w:val="18"/>
                      <w:szCs w:val="18"/>
                    </w:rPr>
                  </w:pPr>
                  <w:r>
                    <w:rPr>
                      <w:color w:val="auto"/>
                      <w:sz w:val="18"/>
                      <w:szCs w:val="18"/>
                    </w:rPr>
                    <w:t>N.D</w:t>
                  </w:r>
                </w:p>
              </w:tc>
              <w:tc>
                <w:tcPr>
                  <w:tcW w:w="565" w:type="dxa"/>
                  <w:shd w:val="clear" w:color="auto" w:fill="auto"/>
                  <w:vAlign w:val="center"/>
                </w:tcPr>
                <w:p>
                  <w:pPr>
                    <w:jc w:val="left"/>
                    <w:rPr>
                      <w:color w:val="auto"/>
                      <w:sz w:val="18"/>
                      <w:szCs w:val="18"/>
                    </w:rPr>
                  </w:pPr>
                  <w:r>
                    <w:rPr>
                      <w:color w:val="auto"/>
                      <w:sz w:val="18"/>
                      <w:szCs w:val="18"/>
                    </w:rPr>
                    <w:t>N.D</w:t>
                  </w:r>
                </w:p>
              </w:tc>
              <w:tc>
                <w:tcPr>
                  <w:tcW w:w="845" w:type="dxa"/>
                  <w:shd w:val="clear" w:color="auto" w:fill="auto"/>
                  <w:vAlign w:val="center"/>
                </w:tcPr>
                <w:p>
                  <w:pPr>
                    <w:jc w:val="left"/>
                    <w:rPr>
                      <w:color w:val="auto"/>
                      <w:sz w:val="18"/>
                      <w:szCs w:val="18"/>
                    </w:rPr>
                  </w:pPr>
                  <w:r>
                    <w:rPr>
                      <w:color w:val="auto"/>
                      <w:sz w:val="18"/>
                      <w:szCs w:val="18"/>
                    </w:rPr>
                    <w:t>N.D</w:t>
                  </w:r>
                </w:p>
              </w:tc>
              <w:tc>
                <w:tcPr>
                  <w:tcW w:w="987" w:type="dxa"/>
                  <w:shd w:val="clear" w:color="auto" w:fill="auto"/>
                  <w:vAlign w:val="center"/>
                </w:tcPr>
                <w:p>
                  <w:pPr>
                    <w:jc w:val="left"/>
                    <w:rPr>
                      <w:color w:val="auto"/>
                      <w:sz w:val="18"/>
                      <w:szCs w:val="18"/>
                    </w:rPr>
                  </w:pPr>
                  <w:r>
                    <w:rPr>
                      <w:color w:val="auto"/>
                      <w:sz w:val="18"/>
                      <w:szCs w:val="18"/>
                    </w:rPr>
                    <w:t>N.D</w:t>
                  </w:r>
                </w:p>
              </w:tc>
              <w:tc>
                <w:tcPr>
                  <w:tcW w:w="674" w:type="dxa"/>
                  <w:shd w:val="clear" w:color="auto" w:fill="auto"/>
                  <w:vAlign w:val="center"/>
                </w:tcPr>
                <w:p>
                  <w:pPr>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right"/>
              </w:trPr>
              <w:tc>
                <w:tcPr>
                  <w:tcW w:w="1190" w:type="dxa"/>
                  <w:shd w:val="clear" w:color="auto" w:fill="auto"/>
                  <w:vAlign w:val="center"/>
                </w:tcPr>
                <w:p>
                  <w:pPr>
                    <w:ind w:left="-160" w:leftChars="-50" w:right="-160" w:rightChars="-50"/>
                    <w:jc w:val="center"/>
                    <w:rPr>
                      <w:color w:val="auto"/>
                      <w:sz w:val="18"/>
                      <w:szCs w:val="18"/>
                    </w:rPr>
                  </w:pPr>
                  <w:r>
                    <w:rPr>
                      <w:color w:val="auto"/>
                      <w:sz w:val="18"/>
                      <w:szCs w:val="18"/>
                    </w:rPr>
                    <w:t>XW6(0-0.5m)</w:t>
                  </w:r>
                </w:p>
              </w:tc>
              <w:tc>
                <w:tcPr>
                  <w:tcW w:w="706" w:type="dxa"/>
                  <w:shd w:val="clear" w:color="auto" w:fill="auto"/>
                  <w:vAlign w:val="center"/>
                </w:tcPr>
                <w:p>
                  <w:pPr>
                    <w:jc w:val="left"/>
                    <w:rPr>
                      <w:color w:val="auto"/>
                      <w:sz w:val="18"/>
                      <w:szCs w:val="18"/>
                    </w:rPr>
                  </w:pPr>
                  <w:r>
                    <w:rPr>
                      <w:color w:val="auto"/>
                      <w:sz w:val="18"/>
                      <w:szCs w:val="18"/>
                    </w:rPr>
                    <w:t>N.D</w:t>
                  </w:r>
                </w:p>
              </w:tc>
              <w:tc>
                <w:tcPr>
                  <w:tcW w:w="705" w:type="dxa"/>
                  <w:shd w:val="clear" w:color="auto" w:fill="auto"/>
                  <w:vAlign w:val="center"/>
                </w:tcPr>
                <w:p>
                  <w:pPr>
                    <w:jc w:val="left"/>
                    <w:rPr>
                      <w:color w:val="auto"/>
                      <w:sz w:val="18"/>
                      <w:szCs w:val="18"/>
                    </w:rPr>
                  </w:pPr>
                  <w:r>
                    <w:rPr>
                      <w:color w:val="auto"/>
                      <w:sz w:val="18"/>
                      <w:szCs w:val="18"/>
                    </w:rPr>
                    <w:t>N.D</w:t>
                  </w:r>
                </w:p>
              </w:tc>
              <w:tc>
                <w:tcPr>
                  <w:tcW w:w="845" w:type="dxa"/>
                  <w:shd w:val="clear" w:color="auto" w:fill="auto"/>
                  <w:vAlign w:val="center"/>
                </w:tcPr>
                <w:p>
                  <w:pPr>
                    <w:jc w:val="left"/>
                    <w:rPr>
                      <w:color w:val="auto"/>
                      <w:sz w:val="18"/>
                      <w:szCs w:val="18"/>
                    </w:rPr>
                  </w:pPr>
                  <w:r>
                    <w:rPr>
                      <w:color w:val="auto"/>
                      <w:sz w:val="18"/>
                      <w:szCs w:val="18"/>
                    </w:rPr>
                    <w:t>N.D</w:t>
                  </w:r>
                </w:p>
              </w:tc>
              <w:tc>
                <w:tcPr>
                  <w:tcW w:w="846" w:type="dxa"/>
                  <w:shd w:val="clear" w:color="auto" w:fill="auto"/>
                  <w:vAlign w:val="center"/>
                </w:tcPr>
                <w:p>
                  <w:pPr>
                    <w:jc w:val="left"/>
                    <w:rPr>
                      <w:color w:val="auto"/>
                      <w:sz w:val="18"/>
                      <w:szCs w:val="18"/>
                    </w:rPr>
                  </w:pPr>
                  <w:r>
                    <w:rPr>
                      <w:color w:val="auto"/>
                      <w:sz w:val="18"/>
                      <w:szCs w:val="18"/>
                    </w:rPr>
                    <w:t>N.D</w:t>
                  </w:r>
                </w:p>
              </w:tc>
              <w:tc>
                <w:tcPr>
                  <w:tcW w:w="815" w:type="dxa"/>
                  <w:shd w:val="clear" w:color="auto" w:fill="auto"/>
                  <w:vAlign w:val="center"/>
                </w:tcPr>
                <w:p>
                  <w:pPr>
                    <w:jc w:val="left"/>
                    <w:rPr>
                      <w:color w:val="auto"/>
                      <w:sz w:val="18"/>
                      <w:szCs w:val="18"/>
                    </w:rPr>
                  </w:pPr>
                  <w:r>
                    <w:rPr>
                      <w:color w:val="auto"/>
                      <w:sz w:val="18"/>
                      <w:szCs w:val="18"/>
                    </w:rPr>
                    <w:t>N.D</w:t>
                  </w:r>
                </w:p>
              </w:tc>
              <w:tc>
                <w:tcPr>
                  <w:tcW w:w="705" w:type="dxa"/>
                  <w:shd w:val="clear" w:color="auto" w:fill="auto"/>
                  <w:vAlign w:val="center"/>
                </w:tcPr>
                <w:p>
                  <w:pPr>
                    <w:jc w:val="left"/>
                    <w:rPr>
                      <w:color w:val="auto"/>
                      <w:sz w:val="18"/>
                      <w:szCs w:val="18"/>
                    </w:rPr>
                  </w:pPr>
                  <w:r>
                    <w:rPr>
                      <w:color w:val="auto"/>
                      <w:sz w:val="18"/>
                      <w:szCs w:val="18"/>
                    </w:rPr>
                    <w:t>N.D</w:t>
                  </w:r>
                </w:p>
              </w:tc>
              <w:tc>
                <w:tcPr>
                  <w:tcW w:w="565" w:type="dxa"/>
                  <w:shd w:val="clear" w:color="auto" w:fill="auto"/>
                  <w:vAlign w:val="center"/>
                </w:tcPr>
                <w:p>
                  <w:pPr>
                    <w:jc w:val="left"/>
                    <w:rPr>
                      <w:color w:val="auto"/>
                      <w:sz w:val="18"/>
                      <w:szCs w:val="18"/>
                    </w:rPr>
                  </w:pPr>
                  <w:r>
                    <w:rPr>
                      <w:color w:val="auto"/>
                      <w:sz w:val="18"/>
                      <w:szCs w:val="18"/>
                    </w:rPr>
                    <w:t>N.D</w:t>
                  </w:r>
                </w:p>
              </w:tc>
              <w:tc>
                <w:tcPr>
                  <w:tcW w:w="845" w:type="dxa"/>
                  <w:shd w:val="clear" w:color="auto" w:fill="auto"/>
                  <w:vAlign w:val="center"/>
                </w:tcPr>
                <w:p>
                  <w:pPr>
                    <w:jc w:val="left"/>
                    <w:rPr>
                      <w:color w:val="auto"/>
                      <w:sz w:val="18"/>
                      <w:szCs w:val="18"/>
                    </w:rPr>
                  </w:pPr>
                  <w:r>
                    <w:rPr>
                      <w:color w:val="auto"/>
                      <w:sz w:val="18"/>
                      <w:szCs w:val="18"/>
                    </w:rPr>
                    <w:t>N.D</w:t>
                  </w:r>
                </w:p>
              </w:tc>
              <w:tc>
                <w:tcPr>
                  <w:tcW w:w="987" w:type="dxa"/>
                  <w:shd w:val="clear" w:color="auto" w:fill="auto"/>
                  <w:vAlign w:val="center"/>
                </w:tcPr>
                <w:p>
                  <w:pPr>
                    <w:jc w:val="left"/>
                    <w:rPr>
                      <w:color w:val="auto"/>
                      <w:sz w:val="18"/>
                      <w:szCs w:val="18"/>
                    </w:rPr>
                  </w:pPr>
                  <w:r>
                    <w:rPr>
                      <w:color w:val="auto"/>
                      <w:sz w:val="18"/>
                      <w:szCs w:val="18"/>
                    </w:rPr>
                    <w:t>N.D</w:t>
                  </w:r>
                </w:p>
              </w:tc>
              <w:tc>
                <w:tcPr>
                  <w:tcW w:w="674" w:type="dxa"/>
                  <w:shd w:val="clear" w:color="auto" w:fill="auto"/>
                  <w:vAlign w:val="center"/>
                </w:tcPr>
                <w:p>
                  <w:pPr>
                    <w:jc w:val="left"/>
                    <w:rPr>
                      <w:color w:val="auto"/>
                      <w:sz w:val="18"/>
                      <w:szCs w:val="18"/>
                    </w:rPr>
                  </w:pPr>
                  <w:r>
                    <w:rPr>
                      <w:color w:val="auto"/>
                      <w:sz w:val="18"/>
                      <w:szCs w:val="18"/>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right"/>
              </w:trPr>
              <w:tc>
                <w:tcPr>
                  <w:tcW w:w="1190" w:type="dxa"/>
                  <w:shd w:val="clear" w:color="auto" w:fill="auto"/>
                  <w:vAlign w:val="center"/>
                </w:tcPr>
                <w:p>
                  <w:pPr>
                    <w:ind w:left="-160" w:leftChars="-50" w:right="-160" w:rightChars="-50"/>
                    <w:jc w:val="center"/>
                    <w:rPr>
                      <w:color w:val="auto"/>
                      <w:sz w:val="18"/>
                      <w:szCs w:val="18"/>
                    </w:rPr>
                  </w:pPr>
                  <w:r>
                    <w:rPr>
                      <w:color w:val="auto"/>
                      <w:sz w:val="18"/>
                      <w:szCs w:val="18"/>
                    </w:rPr>
                    <w:t>备注</w:t>
                  </w:r>
                </w:p>
              </w:tc>
              <w:tc>
                <w:tcPr>
                  <w:tcW w:w="7693" w:type="dxa"/>
                  <w:gridSpan w:val="10"/>
                  <w:shd w:val="clear" w:color="auto" w:fill="auto"/>
                  <w:vAlign w:val="center"/>
                </w:tcPr>
                <w:p>
                  <w:pPr>
                    <w:jc w:val="left"/>
                    <w:rPr>
                      <w:color w:val="auto"/>
                      <w:sz w:val="18"/>
                      <w:szCs w:val="18"/>
                    </w:rPr>
                  </w:pPr>
                  <w:r>
                    <w:rPr>
                      <w:color w:val="auto"/>
                      <w:sz w:val="18"/>
                      <w:szCs w:val="18"/>
                    </w:rPr>
                    <w:t>1、N.D表示为检测结果低于分析方法的最低检出浓度。</w:t>
                  </w:r>
                </w:p>
              </w:tc>
            </w:tr>
          </w:tbl>
          <w:p>
            <w:pPr>
              <w:ind w:firstLine="480" w:firstLineChars="200"/>
              <w:jc w:val="left"/>
              <w:rPr>
                <w:color w:val="auto"/>
              </w:rPr>
            </w:pPr>
            <w:r>
              <w:rPr>
                <w:rFonts w:hint="eastAsia"/>
                <w:color w:val="auto"/>
                <w:sz w:val="24"/>
              </w:rPr>
              <w:t>检测数据表明：本场地中各土壤样品中各监测因子均低于《土壤环境质量 建设用地土壤污染风险管控标准》（GB36600-2018）第二类用地筛选值。</w:t>
            </w:r>
          </w:p>
          <w:p>
            <w:pPr>
              <w:ind w:firstLine="480" w:firstLineChars="200"/>
              <w:jc w:val="left"/>
              <w:rPr>
                <w:color w:val="auto"/>
                <w:sz w:val="24"/>
              </w:rPr>
            </w:pPr>
            <w:r>
              <w:rPr>
                <w:rFonts w:hint="eastAsia"/>
                <w:color w:val="auto"/>
                <w:sz w:val="24"/>
              </w:rPr>
              <w:t>（2）池塘环境质量</w:t>
            </w:r>
          </w:p>
          <w:p>
            <w:pPr>
              <w:ind w:firstLine="480" w:firstLineChars="200"/>
              <w:jc w:val="left"/>
              <w:rPr>
                <w:color w:val="auto"/>
                <w:sz w:val="24"/>
              </w:rPr>
            </w:pPr>
            <w:r>
              <w:rPr>
                <w:rFonts w:hint="eastAsia"/>
                <w:color w:val="auto"/>
                <w:sz w:val="24"/>
              </w:rPr>
              <w:t>场地调查对本项目范围内的池塘进行布点，布设4个监测点位分析场地范围内地表水及底泥环境情况，地表水点位编号分别是XWS2-1、XWS3-1、XWS4-1、XWS5-1；底泥点位编号分别是XWS2-2、XWS3-2、XWS4-2、XWS5-2。</w:t>
            </w:r>
          </w:p>
          <w:p>
            <w:pPr>
              <w:jc w:val="center"/>
              <w:rPr>
                <w:b/>
                <w:bCs/>
                <w:color w:val="auto"/>
                <w:sz w:val="24"/>
              </w:rPr>
            </w:pPr>
            <w:r>
              <w:rPr>
                <w:rFonts w:hint="eastAsia"/>
                <w:b/>
                <w:bCs/>
                <w:color w:val="auto"/>
                <w:sz w:val="24"/>
              </w:rPr>
              <w:t>表12</w:t>
            </w:r>
            <w:r>
              <w:rPr>
                <w:b/>
                <w:bCs/>
                <w:color w:val="auto"/>
                <w:sz w:val="24"/>
              </w:rPr>
              <w:t xml:space="preserve">  </w:t>
            </w:r>
            <w:r>
              <w:rPr>
                <w:rFonts w:hint="eastAsia"/>
                <w:b/>
                <w:bCs/>
                <w:color w:val="auto"/>
                <w:sz w:val="24"/>
              </w:rPr>
              <w:t>地表水/底泥点位基本情况</w:t>
            </w:r>
          </w:p>
          <w:tbl>
            <w:tblPr>
              <w:tblStyle w:val="44"/>
              <w:tblpPr w:leftFromText="180" w:rightFromText="180" w:vertAnchor="text" w:horzAnchor="page" w:tblpXSpec="center" w:tblpY="237"/>
              <w:tblOverlap w:val="never"/>
              <w:tblW w:w="8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04"/>
              <w:gridCol w:w="1559"/>
              <w:gridCol w:w="1560"/>
              <w:gridCol w:w="141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534" w:type="dxa"/>
                  <w:shd w:val="clear" w:color="auto" w:fill="auto"/>
                  <w:vAlign w:val="center"/>
                </w:tcPr>
                <w:p>
                  <w:pPr>
                    <w:autoSpaceDE w:val="0"/>
                    <w:autoSpaceDN w:val="0"/>
                    <w:spacing w:line="0" w:lineRule="atLeast"/>
                    <w:jc w:val="left"/>
                    <w:rPr>
                      <w:color w:val="auto"/>
                      <w:sz w:val="21"/>
                      <w:szCs w:val="21"/>
                    </w:rPr>
                  </w:pPr>
                  <w:r>
                    <w:rPr>
                      <w:color w:val="auto"/>
                      <w:sz w:val="21"/>
                      <w:szCs w:val="21"/>
                    </w:rPr>
                    <w:t>序</w:t>
                  </w:r>
                </w:p>
                <w:p>
                  <w:pPr>
                    <w:autoSpaceDE w:val="0"/>
                    <w:autoSpaceDN w:val="0"/>
                    <w:spacing w:line="0" w:lineRule="atLeast"/>
                    <w:jc w:val="left"/>
                    <w:rPr>
                      <w:color w:val="auto"/>
                      <w:sz w:val="21"/>
                      <w:szCs w:val="21"/>
                    </w:rPr>
                  </w:pPr>
                  <w:r>
                    <w:rPr>
                      <w:color w:val="auto"/>
                      <w:sz w:val="21"/>
                      <w:szCs w:val="21"/>
                    </w:rPr>
                    <w:t>号</w:t>
                  </w:r>
                </w:p>
              </w:tc>
              <w:tc>
                <w:tcPr>
                  <w:tcW w:w="1304" w:type="dxa"/>
                  <w:shd w:val="clear" w:color="auto" w:fill="auto"/>
                  <w:vAlign w:val="center"/>
                </w:tcPr>
                <w:p>
                  <w:pPr>
                    <w:autoSpaceDE w:val="0"/>
                    <w:autoSpaceDN w:val="0"/>
                    <w:spacing w:line="0" w:lineRule="atLeast"/>
                    <w:jc w:val="left"/>
                    <w:rPr>
                      <w:color w:val="auto"/>
                      <w:sz w:val="21"/>
                      <w:szCs w:val="21"/>
                    </w:rPr>
                  </w:pPr>
                  <w:r>
                    <w:rPr>
                      <w:color w:val="auto"/>
                      <w:sz w:val="21"/>
                      <w:szCs w:val="21"/>
                    </w:rPr>
                    <w:t>采样</w:t>
                  </w:r>
                </w:p>
                <w:p>
                  <w:pPr>
                    <w:autoSpaceDE w:val="0"/>
                    <w:autoSpaceDN w:val="0"/>
                    <w:spacing w:line="0" w:lineRule="atLeast"/>
                    <w:jc w:val="left"/>
                    <w:rPr>
                      <w:color w:val="auto"/>
                      <w:sz w:val="21"/>
                      <w:szCs w:val="21"/>
                    </w:rPr>
                  </w:pPr>
                  <w:r>
                    <w:rPr>
                      <w:color w:val="auto"/>
                      <w:sz w:val="21"/>
                      <w:szCs w:val="21"/>
                    </w:rPr>
                    <w:t>点编号</w:t>
                  </w:r>
                </w:p>
              </w:tc>
              <w:tc>
                <w:tcPr>
                  <w:tcW w:w="1559" w:type="dxa"/>
                  <w:shd w:val="clear" w:color="auto" w:fill="auto"/>
                  <w:vAlign w:val="center"/>
                </w:tcPr>
                <w:p>
                  <w:pPr>
                    <w:autoSpaceDE w:val="0"/>
                    <w:autoSpaceDN w:val="0"/>
                    <w:spacing w:line="0" w:lineRule="atLeast"/>
                    <w:jc w:val="left"/>
                    <w:rPr>
                      <w:color w:val="auto"/>
                      <w:sz w:val="21"/>
                      <w:szCs w:val="21"/>
                    </w:rPr>
                  </w:pPr>
                  <w:r>
                    <w:rPr>
                      <w:color w:val="auto"/>
                      <w:sz w:val="21"/>
                      <w:szCs w:val="21"/>
                    </w:rPr>
                    <w:t>东经</w:t>
                  </w:r>
                </w:p>
              </w:tc>
              <w:tc>
                <w:tcPr>
                  <w:tcW w:w="1560" w:type="dxa"/>
                  <w:shd w:val="clear" w:color="auto" w:fill="auto"/>
                  <w:vAlign w:val="center"/>
                </w:tcPr>
                <w:p>
                  <w:pPr>
                    <w:autoSpaceDE w:val="0"/>
                    <w:autoSpaceDN w:val="0"/>
                    <w:spacing w:line="0" w:lineRule="atLeast"/>
                    <w:jc w:val="left"/>
                    <w:rPr>
                      <w:color w:val="auto"/>
                      <w:sz w:val="21"/>
                      <w:szCs w:val="21"/>
                    </w:rPr>
                  </w:pPr>
                  <w:r>
                    <w:rPr>
                      <w:color w:val="auto"/>
                      <w:sz w:val="21"/>
                      <w:szCs w:val="21"/>
                    </w:rPr>
                    <w:t>北纬</w:t>
                  </w:r>
                </w:p>
              </w:tc>
              <w:tc>
                <w:tcPr>
                  <w:tcW w:w="1417" w:type="dxa"/>
                  <w:shd w:val="clear" w:color="auto" w:fill="auto"/>
                  <w:vAlign w:val="center"/>
                </w:tcPr>
                <w:p>
                  <w:pPr>
                    <w:autoSpaceDE w:val="0"/>
                    <w:autoSpaceDN w:val="0"/>
                    <w:spacing w:line="0" w:lineRule="atLeast"/>
                    <w:jc w:val="left"/>
                    <w:rPr>
                      <w:color w:val="auto"/>
                      <w:sz w:val="21"/>
                      <w:szCs w:val="21"/>
                    </w:rPr>
                  </w:pPr>
                  <w:r>
                    <w:rPr>
                      <w:color w:val="auto"/>
                      <w:sz w:val="21"/>
                      <w:szCs w:val="21"/>
                    </w:rPr>
                    <w:t>位置区域</w:t>
                  </w:r>
                </w:p>
              </w:tc>
              <w:tc>
                <w:tcPr>
                  <w:tcW w:w="2552" w:type="dxa"/>
                  <w:shd w:val="clear" w:color="auto" w:fill="auto"/>
                </w:tcPr>
                <w:p>
                  <w:pPr>
                    <w:autoSpaceDE w:val="0"/>
                    <w:autoSpaceDN w:val="0"/>
                    <w:spacing w:line="0" w:lineRule="atLeast"/>
                    <w:jc w:val="left"/>
                    <w:rPr>
                      <w:color w:val="auto"/>
                      <w:sz w:val="21"/>
                      <w:szCs w:val="21"/>
                    </w:rPr>
                  </w:pPr>
                  <w:r>
                    <w:rPr>
                      <w:color w:val="auto"/>
                      <w:sz w:val="21"/>
                      <w:szCs w:val="21"/>
                    </w:rPr>
                    <w:t>检测因子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534" w:type="dxa"/>
                  <w:shd w:val="clear" w:color="auto" w:fill="auto"/>
                  <w:vAlign w:val="center"/>
                </w:tcPr>
                <w:p>
                  <w:pPr>
                    <w:autoSpaceDE w:val="0"/>
                    <w:autoSpaceDN w:val="0"/>
                    <w:spacing w:line="0" w:lineRule="atLeast"/>
                    <w:jc w:val="left"/>
                    <w:rPr>
                      <w:color w:val="auto"/>
                      <w:sz w:val="21"/>
                      <w:szCs w:val="21"/>
                    </w:rPr>
                  </w:pPr>
                  <w:r>
                    <w:rPr>
                      <w:rFonts w:hint="eastAsia"/>
                      <w:color w:val="auto"/>
                      <w:sz w:val="21"/>
                      <w:szCs w:val="21"/>
                    </w:rPr>
                    <w:t>1</w:t>
                  </w:r>
                </w:p>
              </w:tc>
              <w:tc>
                <w:tcPr>
                  <w:tcW w:w="1304" w:type="dxa"/>
                  <w:shd w:val="clear" w:color="auto" w:fill="auto"/>
                  <w:vAlign w:val="center"/>
                </w:tcPr>
                <w:p>
                  <w:pPr>
                    <w:autoSpaceDE w:val="0"/>
                    <w:autoSpaceDN w:val="0"/>
                    <w:spacing w:line="0" w:lineRule="atLeast"/>
                    <w:jc w:val="left"/>
                    <w:rPr>
                      <w:color w:val="auto"/>
                      <w:sz w:val="21"/>
                      <w:szCs w:val="21"/>
                    </w:rPr>
                  </w:pPr>
                  <w:r>
                    <w:rPr>
                      <w:color w:val="auto"/>
                      <w:sz w:val="21"/>
                      <w:szCs w:val="21"/>
                    </w:rPr>
                    <w:t>XWS2-1</w:t>
                  </w:r>
                </w:p>
              </w:tc>
              <w:tc>
                <w:tcPr>
                  <w:tcW w:w="1559" w:type="dxa"/>
                  <w:shd w:val="clear" w:color="auto" w:fill="auto"/>
                  <w:vAlign w:val="center"/>
                </w:tcPr>
                <w:p>
                  <w:pPr>
                    <w:autoSpaceDE w:val="0"/>
                    <w:autoSpaceDN w:val="0"/>
                    <w:spacing w:line="0" w:lineRule="atLeast"/>
                    <w:jc w:val="left"/>
                    <w:rPr>
                      <w:color w:val="auto"/>
                      <w:sz w:val="21"/>
                      <w:szCs w:val="21"/>
                    </w:rPr>
                  </w:pPr>
                  <w:r>
                    <w:rPr>
                      <w:color w:val="auto"/>
                      <w:sz w:val="21"/>
                      <w:szCs w:val="21"/>
                    </w:rPr>
                    <w:t>113° 4'3.37"</w:t>
                  </w:r>
                </w:p>
              </w:tc>
              <w:tc>
                <w:tcPr>
                  <w:tcW w:w="1560" w:type="dxa"/>
                  <w:shd w:val="clear" w:color="auto" w:fill="auto"/>
                  <w:vAlign w:val="center"/>
                </w:tcPr>
                <w:p>
                  <w:pPr>
                    <w:autoSpaceDE w:val="0"/>
                    <w:autoSpaceDN w:val="0"/>
                    <w:spacing w:line="0" w:lineRule="atLeast"/>
                    <w:jc w:val="left"/>
                    <w:rPr>
                      <w:color w:val="auto"/>
                      <w:sz w:val="21"/>
                      <w:szCs w:val="21"/>
                    </w:rPr>
                  </w:pPr>
                  <w:r>
                    <w:rPr>
                      <w:color w:val="auto"/>
                      <w:sz w:val="21"/>
                      <w:szCs w:val="21"/>
                    </w:rPr>
                    <w:t>27°51'57.26"</w:t>
                  </w:r>
                </w:p>
              </w:tc>
              <w:tc>
                <w:tcPr>
                  <w:tcW w:w="1417" w:type="dxa"/>
                  <w:vMerge w:val="restart"/>
                  <w:shd w:val="clear" w:color="auto" w:fill="auto"/>
                  <w:vAlign w:val="center"/>
                </w:tcPr>
                <w:p>
                  <w:pPr>
                    <w:autoSpaceDE w:val="0"/>
                    <w:autoSpaceDN w:val="0"/>
                    <w:spacing w:line="0" w:lineRule="atLeast"/>
                    <w:jc w:val="left"/>
                    <w:rPr>
                      <w:color w:val="auto"/>
                      <w:sz w:val="21"/>
                      <w:szCs w:val="21"/>
                    </w:rPr>
                  </w:pPr>
                  <w:r>
                    <w:rPr>
                      <w:color w:val="auto"/>
                      <w:sz w:val="21"/>
                      <w:szCs w:val="21"/>
                    </w:rPr>
                    <w:t>铜塘湾片区居民区池塘</w:t>
                  </w:r>
                </w:p>
              </w:tc>
              <w:tc>
                <w:tcPr>
                  <w:tcW w:w="2552" w:type="dxa"/>
                  <w:vMerge w:val="restart"/>
                  <w:shd w:val="clear" w:color="auto" w:fill="auto"/>
                </w:tcPr>
                <w:p>
                  <w:pPr>
                    <w:autoSpaceDE w:val="0"/>
                    <w:autoSpaceDN w:val="0"/>
                    <w:spacing w:line="0" w:lineRule="atLeast"/>
                    <w:jc w:val="left"/>
                    <w:rPr>
                      <w:color w:val="auto"/>
                      <w:sz w:val="21"/>
                      <w:szCs w:val="21"/>
                    </w:rPr>
                  </w:pPr>
                  <w:r>
                    <w:rPr>
                      <w:color w:val="auto"/>
                      <w:sz w:val="21"/>
                      <w:szCs w:val="21"/>
                    </w:rPr>
                    <w:t>pH值、COD、BOD5、SS、溶解氧、氨氮、石油类、铜、锌、镉、铅、总镉、六价铬、汞、砷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534" w:type="dxa"/>
                  <w:shd w:val="clear" w:color="auto" w:fill="auto"/>
                  <w:vAlign w:val="center"/>
                </w:tcPr>
                <w:p>
                  <w:pPr>
                    <w:autoSpaceDE w:val="0"/>
                    <w:autoSpaceDN w:val="0"/>
                    <w:spacing w:line="0" w:lineRule="atLeast"/>
                    <w:jc w:val="left"/>
                    <w:rPr>
                      <w:color w:val="auto"/>
                      <w:sz w:val="21"/>
                      <w:szCs w:val="21"/>
                    </w:rPr>
                  </w:pPr>
                  <w:r>
                    <w:rPr>
                      <w:rFonts w:hint="eastAsia"/>
                      <w:color w:val="auto"/>
                      <w:sz w:val="21"/>
                      <w:szCs w:val="21"/>
                    </w:rPr>
                    <w:t>2</w:t>
                  </w:r>
                </w:p>
              </w:tc>
              <w:tc>
                <w:tcPr>
                  <w:tcW w:w="1304" w:type="dxa"/>
                  <w:shd w:val="clear" w:color="auto" w:fill="auto"/>
                  <w:vAlign w:val="center"/>
                </w:tcPr>
                <w:p>
                  <w:pPr>
                    <w:autoSpaceDE w:val="0"/>
                    <w:autoSpaceDN w:val="0"/>
                    <w:spacing w:line="0" w:lineRule="atLeast"/>
                    <w:jc w:val="left"/>
                    <w:rPr>
                      <w:color w:val="auto"/>
                      <w:sz w:val="21"/>
                      <w:szCs w:val="21"/>
                    </w:rPr>
                  </w:pPr>
                  <w:r>
                    <w:rPr>
                      <w:color w:val="auto"/>
                      <w:sz w:val="21"/>
                      <w:szCs w:val="21"/>
                    </w:rPr>
                    <w:t>XWS3-1</w:t>
                  </w:r>
                </w:p>
              </w:tc>
              <w:tc>
                <w:tcPr>
                  <w:tcW w:w="1559" w:type="dxa"/>
                  <w:shd w:val="clear" w:color="auto" w:fill="auto"/>
                  <w:vAlign w:val="center"/>
                </w:tcPr>
                <w:p>
                  <w:pPr>
                    <w:autoSpaceDE w:val="0"/>
                    <w:autoSpaceDN w:val="0"/>
                    <w:spacing w:line="0" w:lineRule="atLeast"/>
                    <w:jc w:val="left"/>
                    <w:rPr>
                      <w:color w:val="auto"/>
                      <w:sz w:val="21"/>
                      <w:szCs w:val="21"/>
                    </w:rPr>
                  </w:pPr>
                  <w:r>
                    <w:rPr>
                      <w:color w:val="auto"/>
                      <w:sz w:val="21"/>
                      <w:szCs w:val="21"/>
                    </w:rPr>
                    <w:t>113° 4'4.80"</w:t>
                  </w:r>
                </w:p>
              </w:tc>
              <w:tc>
                <w:tcPr>
                  <w:tcW w:w="1560" w:type="dxa"/>
                  <w:shd w:val="clear" w:color="auto" w:fill="auto"/>
                  <w:vAlign w:val="center"/>
                </w:tcPr>
                <w:p>
                  <w:pPr>
                    <w:autoSpaceDE w:val="0"/>
                    <w:autoSpaceDN w:val="0"/>
                    <w:spacing w:line="0" w:lineRule="atLeast"/>
                    <w:jc w:val="left"/>
                    <w:rPr>
                      <w:color w:val="auto"/>
                      <w:sz w:val="21"/>
                      <w:szCs w:val="21"/>
                    </w:rPr>
                  </w:pPr>
                  <w:r>
                    <w:rPr>
                      <w:color w:val="auto"/>
                      <w:sz w:val="21"/>
                      <w:szCs w:val="21"/>
                    </w:rPr>
                    <w:t>27°51'57.45"</w:t>
                  </w:r>
                </w:p>
              </w:tc>
              <w:tc>
                <w:tcPr>
                  <w:tcW w:w="1417" w:type="dxa"/>
                  <w:vMerge w:val="continue"/>
                  <w:shd w:val="clear" w:color="auto" w:fill="auto"/>
                  <w:vAlign w:val="center"/>
                </w:tcPr>
                <w:p>
                  <w:pPr>
                    <w:autoSpaceDE w:val="0"/>
                    <w:autoSpaceDN w:val="0"/>
                    <w:spacing w:line="0" w:lineRule="atLeast"/>
                    <w:jc w:val="left"/>
                    <w:rPr>
                      <w:color w:val="auto"/>
                      <w:sz w:val="21"/>
                      <w:szCs w:val="21"/>
                    </w:rPr>
                  </w:pPr>
                </w:p>
              </w:tc>
              <w:tc>
                <w:tcPr>
                  <w:tcW w:w="2552" w:type="dxa"/>
                  <w:vMerge w:val="continue"/>
                  <w:shd w:val="clear" w:color="auto" w:fill="auto"/>
                </w:tcPr>
                <w:p>
                  <w:pPr>
                    <w:autoSpaceDE w:val="0"/>
                    <w:autoSpaceDN w:val="0"/>
                    <w:spacing w:line="0" w:lineRule="atLeast"/>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jc w:val="center"/>
              </w:trPr>
              <w:tc>
                <w:tcPr>
                  <w:tcW w:w="534" w:type="dxa"/>
                  <w:shd w:val="clear" w:color="auto" w:fill="auto"/>
                  <w:vAlign w:val="center"/>
                </w:tcPr>
                <w:p>
                  <w:pPr>
                    <w:autoSpaceDE w:val="0"/>
                    <w:autoSpaceDN w:val="0"/>
                    <w:spacing w:line="0" w:lineRule="atLeast"/>
                    <w:jc w:val="left"/>
                    <w:rPr>
                      <w:color w:val="auto"/>
                      <w:sz w:val="21"/>
                      <w:szCs w:val="21"/>
                    </w:rPr>
                  </w:pPr>
                  <w:r>
                    <w:rPr>
                      <w:rFonts w:hint="eastAsia"/>
                      <w:color w:val="auto"/>
                      <w:sz w:val="21"/>
                      <w:szCs w:val="21"/>
                    </w:rPr>
                    <w:t>3</w:t>
                  </w:r>
                </w:p>
              </w:tc>
              <w:tc>
                <w:tcPr>
                  <w:tcW w:w="1304" w:type="dxa"/>
                  <w:shd w:val="clear" w:color="auto" w:fill="auto"/>
                  <w:vAlign w:val="center"/>
                </w:tcPr>
                <w:p>
                  <w:pPr>
                    <w:autoSpaceDE w:val="0"/>
                    <w:autoSpaceDN w:val="0"/>
                    <w:spacing w:line="0" w:lineRule="atLeast"/>
                    <w:jc w:val="left"/>
                    <w:rPr>
                      <w:color w:val="auto"/>
                      <w:sz w:val="21"/>
                      <w:szCs w:val="21"/>
                    </w:rPr>
                  </w:pPr>
                  <w:r>
                    <w:rPr>
                      <w:color w:val="auto"/>
                      <w:sz w:val="21"/>
                      <w:szCs w:val="21"/>
                    </w:rPr>
                    <w:t>XWS4-1</w:t>
                  </w:r>
                </w:p>
              </w:tc>
              <w:tc>
                <w:tcPr>
                  <w:tcW w:w="1559" w:type="dxa"/>
                  <w:shd w:val="clear" w:color="auto" w:fill="auto"/>
                  <w:vAlign w:val="center"/>
                </w:tcPr>
                <w:p>
                  <w:pPr>
                    <w:autoSpaceDE w:val="0"/>
                    <w:autoSpaceDN w:val="0"/>
                    <w:spacing w:line="0" w:lineRule="atLeast"/>
                    <w:jc w:val="left"/>
                    <w:rPr>
                      <w:color w:val="auto"/>
                      <w:sz w:val="21"/>
                      <w:szCs w:val="21"/>
                    </w:rPr>
                  </w:pPr>
                  <w:r>
                    <w:rPr>
                      <w:color w:val="auto"/>
                      <w:sz w:val="21"/>
                      <w:szCs w:val="21"/>
                    </w:rPr>
                    <w:t>113° 4'5.50"</w:t>
                  </w:r>
                </w:p>
              </w:tc>
              <w:tc>
                <w:tcPr>
                  <w:tcW w:w="1560" w:type="dxa"/>
                  <w:shd w:val="clear" w:color="auto" w:fill="auto"/>
                  <w:vAlign w:val="center"/>
                </w:tcPr>
                <w:p>
                  <w:pPr>
                    <w:autoSpaceDE w:val="0"/>
                    <w:autoSpaceDN w:val="0"/>
                    <w:spacing w:line="0" w:lineRule="atLeast"/>
                    <w:jc w:val="left"/>
                    <w:rPr>
                      <w:color w:val="auto"/>
                      <w:sz w:val="21"/>
                      <w:szCs w:val="21"/>
                    </w:rPr>
                  </w:pPr>
                  <w:r>
                    <w:rPr>
                      <w:color w:val="auto"/>
                      <w:sz w:val="21"/>
                      <w:szCs w:val="21"/>
                    </w:rPr>
                    <w:t>27°51'56.76"</w:t>
                  </w:r>
                </w:p>
              </w:tc>
              <w:tc>
                <w:tcPr>
                  <w:tcW w:w="1417" w:type="dxa"/>
                  <w:vMerge w:val="continue"/>
                  <w:shd w:val="clear" w:color="auto" w:fill="auto"/>
                  <w:vAlign w:val="center"/>
                </w:tcPr>
                <w:p>
                  <w:pPr>
                    <w:autoSpaceDE w:val="0"/>
                    <w:autoSpaceDN w:val="0"/>
                    <w:spacing w:line="0" w:lineRule="atLeast"/>
                    <w:jc w:val="left"/>
                    <w:rPr>
                      <w:color w:val="auto"/>
                      <w:sz w:val="21"/>
                      <w:szCs w:val="21"/>
                    </w:rPr>
                  </w:pPr>
                </w:p>
              </w:tc>
              <w:tc>
                <w:tcPr>
                  <w:tcW w:w="2552" w:type="dxa"/>
                  <w:vMerge w:val="continue"/>
                  <w:shd w:val="clear" w:color="auto" w:fill="auto"/>
                </w:tcPr>
                <w:p>
                  <w:pPr>
                    <w:autoSpaceDE w:val="0"/>
                    <w:autoSpaceDN w:val="0"/>
                    <w:spacing w:line="0" w:lineRule="atLeast"/>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jc w:val="center"/>
              </w:trPr>
              <w:tc>
                <w:tcPr>
                  <w:tcW w:w="534" w:type="dxa"/>
                  <w:shd w:val="clear" w:color="auto" w:fill="auto"/>
                  <w:vAlign w:val="center"/>
                </w:tcPr>
                <w:p>
                  <w:pPr>
                    <w:autoSpaceDE w:val="0"/>
                    <w:autoSpaceDN w:val="0"/>
                    <w:spacing w:line="0" w:lineRule="atLeast"/>
                    <w:jc w:val="left"/>
                    <w:rPr>
                      <w:color w:val="auto"/>
                      <w:sz w:val="21"/>
                      <w:szCs w:val="21"/>
                    </w:rPr>
                  </w:pPr>
                  <w:r>
                    <w:rPr>
                      <w:rFonts w:hint="eastAsia"/>
                      <w:color w:val="auto"/>
                      <w:sz w:val="21"/>
                      <w:szCs w:val="21"/>
                    </w:rPr>
                    <w:t>4</w:t>
                  </w:r>
                </w:p>
              </w:tc>
              <w:tc>
                <w:tcPr>
                  <w:tcW w:w="1304" w:type="dxa"/>
                  <w:shd w:val="clear" w:color="auto" w:fill="auto"/>
                  <w:vAlign w:val="center"/>
                </w:tcPr>
                <w:p>
                  <w:pPr>
                    <w:autoSpaceDE w:val="0"/>
                    <w:autoSpaceDN w:val="0"/>
                    <w:spacing w:line="0" w:lineRule="atLeast"/>
                    <w:jc w:val="left"/>
                    <w:rPr>
                      <w:color w:val="auto"/>
                      <w:sz w:val="21"/>
                      <w:szCs w:val="21"/>
                    </w:rPr>
                  </w:pPr>
                  <w:r>
                    <w:rPr>
                      <w:color w:val="auto"/>
                      <w:sz w:val="21"/>
                      <w:szCs w:val="21"/>
                    </w:rPr>
                    <w:t>XWS5-1</w:t>
                  </w:r>
                </w:p>
              </w:tc>
              <w:tc>
                <w:tcPr>
                  <w:tcW w:w="1559" w:type="dxa"/>
                  <w:shd w:val="clear" w:color="auto" w:fill="auto"/>
                  <w:vAlign w:val="center"/>
                </w:tcPr>
                <w:p>
                  <w:pPr>
                    <w:autoSpaceDE w:val="0"/>
                    <w:autoSpaceDN w:val="0"/>
                    <w:spacing w:line="0" w:lineRule="atLeast"/>
                    <w:jc w:val="left"/>
                    <w:rPr>
                      <w:color w:val="auto"/>
                      <w:sz w:val="21"/>
                      <w:szCs w:val="21"/>
                    </w:rPr>
                  </w:pPr>
                  <w:r>
                    <w:rPr>
                      <w:color w:val="auto"/>
                      <w:sz w:val="21"/>
                      <w:szCs w:val="21"/>
                    </w:rPr>
                    <w:t>113° 4'5.76"</w:t>
                  </w:r>
                </w:p>
              </w:tc>
              <w:tc>
                <w:tcPr>
                  <w:tcW w:w="1560" w:type="dxa"/>
                  <w:shd w:val="clear" w:color="auto" w:fill="auto"/>
                  <w:vAlign w:val="center"/>
                </w:tcPr>
                <w:p>
                  <w:pPr>
                    <w:autoSpaceDE w:val="0"/>
                    <w:autoSpaceDN w:val="0"/>
                    <w:spacing w:line="0" w:lineRule="atLeast"/>
                    <w:jc w:val="left"/>
                    <w:rPr>
                      <w:color w:val="auto"/>
                      <w:sz w:val="21"/>
                      <w:szCs w:val="21"/>
                    </w:rPr>
                  </w:pPr>
                  <w:r>
                    <w:rPr>
                      <w:color w:val="auto"/>
                      <w:sz w:val="21"/>
                      <w:szCs w:val="21"/>
                    </w:rPr>
                    <w:t>27°51'55.91"</w:t>
                  </w:r>
                </w:p>
              </w:tc>
              <w:tc>
                <w:tcPr>
                  <w:tcW w:w="1417" w:type="dxa"/>
                  <w:vMerge w:val="continue"/>
                  <w:shd w:val="clear" w:color="auto" w:fill="auto"/>
                  <w:vAlign w:val="center"/>
                </w:tcPr>
                <w:p>
                  <w:pPr>
                    <w:autoSpaceDE w:val="0"/>
                    <w:autoSpaceDN w:val="0"/>
                    <w:spacing w:line="0" w:lineRule="atLeast"/>
                    <w:jc w:val="left"/>
                    <w:rPr>
                      <w:color w:val="auto"/>
                      <w:sz w:val="21"/>
                      <w:szCs w:val="21"/>
                    </w:rPr>
                  </w:pPr>
                </w:p>
              </w:tc>
              <w:tc>
                <w:tcPr>
                  <w:tcW w:w="2552" w:type="dxa"/>
                  <w:vMerge w:val="continue"/>
                  <w:shd w:val="clear" w:color="auto" w:fill="auto"/>
                </w:tcPr>
                <w:p>
                  <w:pPr>
                    <w:autoSpaceDE w:val="0"/>
                    <w:autoSpaceDN w:val="0"/>
                    <w:spacing w:line="0" w:lineRule="atLeast"/>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534" w:type="dxa"/>
                  <w:shd w:val="clear" w:color="auto" w:fill="auto"/>
                  <w:vAlign w:val="center"/>
                </w:tcPr>
                <w:p>
                  <w:pPr>
                    <w:autoSpaceDE w:val="0"/>
                    <w:autoSpaceDN w:val="0"/>
                    <w:spacing w:line="0" w:lineRule="atLeast"/>
                    <w:jc w:val="left"/>
                    <w:rPr>
                      <w:color w:val="auto"/>
                      <w:sz w:val="21"/>
                      <w:szCs w:val="21"/>
                    </w:rPr>
                  </w:pPr>
                  <w:r>
                    <w:rPr>
                      <w:rFonts w:hint="eastAsia"/>
                      <w:color w:val="auto"/>
                      <w:sz w:val="21"/>
                      <w:szCs w:val="21"/>
                    </w:rPr>
                    <w:t>5</w:t>
                  </w:r>
                </w:p>
              </w:tc>
              <w:tc>
                <w:tcPr>
                  <w:tcW w:w="1304" w:type="dxa"/>
                  <w:shd w:val="clear" w:color="auto" w:fill="auto"/>
                  <w:vAlign w:val="center"/>
                </w:tcPr>
                <w:p>
                  <w:pPr>
                    <w:autoSpaceDE w:val="0"/>
                    <w:autoSpaceDN w:val="0"/>
                    <w:spacing w:line="0" w:lineRule="atLeast"/>
                    <w:jc w:val="left"/>
                    <w:rPr>
                      <w:color w:val="auto"/>
                      <w:sz w:val="21"/>
                      <w:szCs w:val="21"/>
                    </w:rPr>
                  </w:pPr>
                  <w:r>
                    <w:rPr>
                      <w:color w:val="auto"/>
                      <w:sz w:val="21"/>
                      <w:szCs w:val="21"/>
                    </w:rPr>
                    <w:t>XWS2-2</w:t>
                  </w:r>
                </w:p>
              </w:tc>
              <w:tc>
                <w:tcPr>
                  <w:tcW w:w="1559" w:type="dxa"/>
                  <w:shd w:val="clear" w:color="auto" w:fill="auto"/>
                  <w:vAlign w:val="center"/>
                </w:tcPr>
                <w:p>
                  <w:pPr>
                    <w:autoSpaceDE w:val="0"/>
                    <w:autoSpaceDN w:val="0"/>
                    <w:spacing w:line="0" w:lineRule="atLeast"/>
                    <w:jc w:val="left"/>
                    <w:rPr>
                      <w:color w:val="auto"/>
                      <w:sz w:val="21"/>
                      <w:szCs w:val="21"/>
                    </w:rPr>
                  </w:pPr>
                  <w:r>
                    <w:rPr>
                      <w:color w:val="auto"/>
                      <w:sz w:val="21"/>
                      <w:szCs w:val="21"/>
                    </w:rPr>
                    <w:t>113° 4'3.37"</w:t>
                  </w:r>
                </w:p>
              </w:tc>
              <w:tc>
                <w:tcPr>
                  <w:tcW w:w="1560" w:type="dxa"/>
                  <w:shd w:val="clear" w:color="auto" w:fill="auto"/>
                  <w:vAlign w:val="center"/>
                </w:tcPr>
                <w:p>
                  <w:pPr>
                    <w:autoSpaceDE w:val="0"/>
                    <w:autoSpaceDN w:val="0"/>
                    <w:spacing w:line="0" w:lineRule="atLeast"/>
                    <w:jc w:val="left"/>
                    <w:rPr>
                      <w:color w:val="auto"/>
                      <w:sz w:val="21"/>
                      <w:szCs w:val="21"/>
                    </w:rPr>
                  </w:pPr>
                  <w:r>
                    <w:rPr>
                      <w:color w:val="auto"/>
                      <w:sz w:val="21"/>
                      <w:szCs w:val="21"/>
                    </w:rPr>
                    <w:t>27°51'57.26"</w:t>
                  </w:r>
                </w:p>
              </w:tc>
              <w:tc>
                <w:tcPr>
                  <w:tcW w:w="1417" w:type="dxa"/>
                  <w:vMerge w:val="restart"/>
                  <w:shd w:val="clear" w:color="auto" w:fill="auto"/>
                  <w:vAlign w:val="center"/>
                </w:tcPr>
                <w:p>
                  <w:pPr>
                    <w:autoSpaceDE w:val="0"/>
                    <w:autoSpaceDN w:val="0"/>
                    <w:spacing w:line="0" w:lineRule="atLeast"/>
                    <w:jc w:val="left"/>
                    <w:rPr>
                      <w:color w:val="auto"/>
                      <w:sz w:val="21"/>
                      <w:szCs w:val="21"/>
                    </w:rPr>
                  </w:pPr>
                  <w:r>
                    <w:rPr>
                      <w:color w:val="auto"/>
                      <w:sz w:val="21"/>
                      <w:szCs w:val="21"/>
                    </w:rPr>
                    <w:t>铜塘湾片区居民区池塘</w:t>
                  </w:r>
                </w:p>
              </w:tc>
              <w:tc>
                <w:tcPr>
                  <w:tcW w:w="2552" w:type="dxa"/>
                  <w:vMerge w:val="restart"/>
                  <w:shd w:val="clear" w:color="auto" w:fill="auto"/>
                </w:tcPr>
                <w:p>
                  <w:pPr>
                    <w:pStyle w:val="165"/>
                    <w:tabs>
                      <w:tab w:val="left" w:pos="2596"/>
                    </w:tabs>
                    <w:spacing w:line="0" w:lineRule="atLeast"/>
                    <w:jc w:val="left"/>
                    <w:rPr>
                      <w:color w:val="auto"/>
                      <w:kern w:val="2"/>
                      <w:sz w:val="21"/>
                      <w:szCs w:val="21"/>
                      <w:lang w:eastAsia="zh-CN"/>
                    </w:rPr>
                  </w:pPr>
                  <w:r>
                    <w:rPr>
                      <w:color w:val="auto"/>
                      <w:kern w:val="2"/>
                      <w:sz w:val="21"/>
                      <w:szCs w:val="21"/>
                      <w:lang w:eastAsia="zh-CN"/>
                    </w:rPr>
                    <w:t>pH值</w:t>
                  </w:r>
                </w:p>
                <w:p>
                  <w:pPr>
                    <w:pStyle w:val="165"/>
                    <w:tabs>
                      <w:tab w:val="left" w:pos="2596"/>
                    </w:tabs>
                    <w:spacing w:line="0" w:lineRule="atLeast"/>
                    <w:jc w:val="left"/>
                    <w:rPr>
                      <w:color w:val="auto"/>
                      <w:kern w:val="2"/>
                      <w:sz w:val="21"/>
                      <w:szCs w:val="21"/>
                      <w:lang w:eastAsia="zh-CN"/>
                    </w:rPr>
                  </w:pPr>
                  <w:r>
                    <w:rPr>
                      <w:color w:val="auto"/>
                      <w:kern w:val="2"/>
                      <w:sz w:val="21"/>
                      <w:szCs w:val="21"/>
                      <w:lang w:eastAsia="zh-CN"/>
                    </w:rPr>
                    <w:t>总量：砷、铅、铜、镉、六价铬、汞、镍</w:t>
                  </w:r>
                </w:p>
                <w:p>
                  <w:pPr>
                    <w:autoSpaceDE w:val="0"/>
                    <w:autoSpaceDN w:val="0"/>
                    <w:spacing w:line="0" w:lineRule="atLeast"/>
                    <w:jc w:val="left"/>
                    <w:rPr>
                      <w:color w:val="auto"/>
                      <w:sz w:val="21"/>
                      <w:szCs w:val="21"/>
                    </w:rPr>
                  </w:pPr>
                  <w:r>
                    <w:rPr>
                      <w:color w:val="auto"/>
                      <w:sz w:val="21"/>
                      <w:szCs w:val="21"/>
                    </w:rPr>
                    <w:t>水浸+酸浸：砷、铅、铜、镉、六价铬、汞、镍、镉、锌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534" w:type="dxa"/>
                  <w:shd w:val="clear" w:color="auto" w:fill="auto"/>
                  <w:vAlign w:val="center"/>
                </w:tcPr>
                <w:p>
                  <w:pPr>
                    <w:autoSpaceDE w:val="0"/>
                    <w:autoSpaceDN w:val="0"/>
                    <w:spacing w:line="0" w:lineRule="atLeast"/>
                    <w:jc w:val="left"/>
                    <w:rPr>
                      <w:color w:val="auto"/>
                      <w:sz w:val="21"/>
                      <w:szCs w:val="21"/>
                    </w:rPr>
                  </w:pPr>
                  <w:r>
                    <w:rPr>
                      <w:rFonts w:hint="eastAsia"/>
                      <w:color w:val="auto"/>
                      <w:sz w:val="21"/>
                      <w:szCs w:val="21"/>
                    </w:rPr>
                    <w:t>6</w:t>
                  </w:r>
                </w:p>
              </w:tc>
              <w:tc>
                <w:tcPr>
                  <w:tcW w:w="1304" w:type="dxa"/>
                  <w:shd w:val="clear" w:color="auto" w:fill="auto"/>
                  <w:vAlign w:val="center"/>
                </w:tcPr>
                <w:p>
                  <w:pPr>
                    <w:autoSpaceDE w:val="0"/>
                    <w:autoSpaceDN w:val="0"/>
                    <w:spacing w:line="0" w:lineRule="atLeast"/>
                    <w:jc w:val="left"/>
                    <w:rPr>
                      <w:color w:val="auto"/>
                      <w:sz w:val="21"/>
                      <w:szCs w:val="21"/>
                    </w:rPr>
                  </w:pPr>
                  <w:r>
                    <w:rPr>
                      <w:color w:val="auto"/>
                      <w:sz w:val="21"/>
                      <w:szCs w:val="21"/>
                    </w:rPr>
                    <w:t>XWS3-2</w:t>
                  </w:r>
                </w:p>
              </w:tc>
              <w:tc>
                <w:tcPr>
                  <w:tcW w:w="1559" w:type="dxa"/>
                  <w:shd w:val="clear" w:color="auto" w:fill="auto"/>
                  <w:vAlign w:val="center"/>
                </w:tcPr>
                <w:p>
                  <w:pPr>
                    <w:autoSpaceDE w:val="0"/>
                    <w:autoSpaceDN w:val="0"/>
                    <w:spacing w:line="0" w:lineRule="atLeast"/>
                    <w:jc w:val="left"/>
                    <w:rPr>
                      <w:color w:val="auto"/>
                      <w:sz w:val="21"/>
                      <w:szCs w:val="21"/>
                    </w:rPr>
                  </w:pPr>
                  <w:r>
                    <w:rPr>
                      <w:color w:val="auto"/>
                      <w:sz w:val="21"/>
                      <w:szCs w:val="21"/>
                    </w:rPr>
                    <w:t>113° 4'4.80"</w:t>
                  </w:r>
                </w:p>
              </w:tc>
              <w:tc>
                <w:tcPr>
                  <w:tcW w:w="1560" w:type="dxa"/>
                  <w:shd w:val="clear" w:color="auto" w:fill="auto"/>
                  <w:vAlign w:val="center"/>
                </w:tcPr>
                <w:p>
                  <w:pPr>
                    <w:autoSpaceDE w:val="0"/>
                    <w:autoSpaceDN w:val="0"/>
                    <w:spacing w:line="0" w:lineRule="atLeast"/>
                    <w:jc w:val="left"/>
                    <w:rPr>
                      <w:color w:val="auto"/>
                      <w:sz w:val="21"/>
                      <w:szCs w:val="21"/>
                    </w:rPr>
                  </w:pPr>
                  <w:r>
                    <w:rPr>
                      <w:color w:val="auto"/>
                      <w:sz w:val="21"/>
                      <w:szCs w:val="21"/>
                    </w:rPr>
                    <w:t>27°51'57.45"</w:t>
                  </w:r>
                </w:p>
              </w:tc>
              <w:tc>
                <w:tcPr>
                  <w:tcW w:w="1417" w:type="dxa"/>
                  <w:vMerge w:val="continue"/>
                  <w:shd w:val="clear" w:color="auto" w:fill="auto"/>
                  <w:vAlign w:val="center"/>
                </w:tcPr>
                <w:p>
                  <w:pPr>
                    <w:pStyle w:val="165"/>
                    <w:jc w:val="left"/>
                    <w:rPr>
                      <w:color w:val="auto"/>
                      <w:sz w:val="21"/>
                      <w:szCs w:val="21"/>
                      <w:lang w:eastAsia="zh-CN"/>
                    </w:rPr>
                  </w:pPr>
                </w:p>
              </w:tc>
              <w:tc>
                <w:tcPr>
                  <w:tcW w:w="2552" w:type="dxa"/>
                  <w:vMerge w:val="continue"/>
                  <w:shd w:val="clear" w:color="auto" w:fill="auto"/>
                </w:tcPr>
                <w:p>
                  <w:pPr>
                    <w:pStyle w:val="165"/>
                    <w:spacing w:line="0" w:lineRule="atLeast"/>
                    <w:jc w:val="left"/>
                    <w:rPr>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534" w:type="dxa"/>
                  <w:shd w:val="clear" w:color="auto" w:fill="auto"/>
                  <w:vAlign w:val="center"/>
                </w:tcPr>
                <w:p>
                  <w:pPr>
                    <w:autoSpaceDE w:val="0"/>
                    <w:autoSpaceDN w:val="0"/>
                    <w:spacing w:line="0" w:lineRule="atLeast"/>
                    <w:jc w:val="left"/>
                    <w:rPr>
                      <w:color w:val="auto"/>
                      <w:sz w:val="21"/>
                      <w:szCs w:val="21"/>
                    </w:rPr>
                  </w:pPr>
                  <w:r>
                    <w:rPr>
                      <w:rFonts w:hint="eastAsia"/>
                      <w:color w:val="auto"/>
                      <w:sz w:val="21"/>
                      <w:szCs w:val="21"/>
                    </w:rPr>
                    <w:t>7</w:t>
                  </w:r>
                </w:p>
              </w:tc>
              <w:tc>
                <w:tcPr>
                  <w:tcW w:w="1304" w:type="dxa"/>
                  <w:shd w:val="clear" w:color="auto" w:fill="auto"/>
                  <w:vAlign w:val="center"/>
                </w:tcPr>
                <w:p>
                  <w:pPr>
                    <w:autoSpaceDE w:val="0"/>
                    <w:autoSpaceDN w:val="0"/>
                    <w:spacing w:line="0" w:lineRule="atLeast"/>
                    <w:jc w:val="left"/>
                    <w:rPr>
                      <w:color w:val="auto"/>
                      <w:sz w:val="21"/>
                      <w:szCs w:val="21"/>
                    </w:rPr>
                  </w:pPr>
                  <w:r>
                    <w:rPr>
                      <w:color w:val="auto"/>
                      <w:sz w:val="21"/>
                      <w:szCs w:val="21"/>
                    </w:rPr>
                    <w:t>XWS4-2</w:t>
                  </w:r>
                </w:p>
              </w:tc>
              <w:tc>
                <w:tcPr>
                  <w:tcW w:w="1559" w:type="dxa"/>
                  <w:shd w:val="clear" w:color="auto" w:fill="auto"/>
                  <w:vAlign w:val="center"/>
                </w:tcPr>
                <w:p>
                  <w:pPr>
                    <w:autoSpaceDE w:val="0"/>
                    <w:autoSpaceDN w:val="0"/>
                    <w:spacing w:line="0" w:lineRule="atLeast"/>
                    <w:jc w:val="left"/>
                    <w:rPr>
                      <w:color w:val="auto"/>
                      <w:sz w:val="21"/>
                      <w:szCs w:val="21"/>
                    </w:rPr>
                  </w:pPr>
                  <w:r>
                    <w:rPr>
                      <w:color w:val="auto"/>
                      <w:sz w:val="21"/>
                      <w:szCs w:val="21"/>
                    </w:rPr>
                    <w:t>113° 4'5.50"</w:t>
                  </w:r>
                </w:p>
              </w:tc>
              <w:tc>
                <w:tcPr>
                  <w:tcW w:w="1560" w:type="dxa"/>
                  <w:shd w:val="clear" w:color="auto" w:fill="auto"/>
                  <w:vAlign w:val="center"/>
                </w:tcPr>
                <w:p>
                  <w:pPr>
                    <w:autoSpaceDE w:val="0"/>
                    <w:autoSpaceDN w:val="0"/>
                    <w:spacing w:line="0" w:lineRule="atLeast"/>
                    <w:jc w:val="left"/>
                    <w:rPr>
                      <w:color w:val="auto"/>
                      <w:sz w:val="21"/>
                      <w:szCs w:val="21"/>
                    </w:rPr>
                  </w:pPr>
                  <w:r>
                    <w:rPr>
                      <w:color w:val="auto"/>
                      <w:sz w:val="21"/>
                      <w:szCs w:val="21"/>
                    </w:rPr>
                    <w:t>27°51'56.76"</w:t>
                  </w:r>
                </w:p>
              </w:tc>
              <w:tc>
                <w:tcPr>
                  <w:tcW w:w="1417" w:type="dxa"/>
                  <w:vMerge w:val="continue"/>
                  <w:shd w:val="clear" w:color="auto" w:fill="auto"/>
                  <w:vAlign w:val="center"/>
                </w:tcPr>
                <w:p>
                  <w:pPr>
                    <w:pStyle w:val="165"/>
                    <w:jc w:val="left"/>
                    <w:rPr>
                      <w:color w:val="auto"/>
                      <w:sz w:val="21"/>
                      <w:szCs w:val="21"/>
                      <w:lang w:eastAsia="zh-CN"/>
                    </w:rPr>
                  </w:pPr>
                </w:p>
              </w:tc>
              <w:tc>
                <w:tcPr>
                  <w:tcW w:w="2552" w:type="dxa"/>
                  <w:vMerge w:val="continue"/>
                  <w:shd w:val="clear" w:color="auto" w:fill="auto"/>
                </w:tcPr>
                <w:p>
                  <w:pPr>
                    <w:pStyle w:val="165"/>
                    <w:spacing w:line="0" w:lineRule="atLeast"/>
                    <w:jc w:val="left"/>
                    <w:rPr>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jc w:val="center"/>
              </w:trPr>
              <w:tc>
                <w:tcPr>
                  <w:tcW w:w="534" w:type="dxa"/>
                  <w:shd w:val="clear" w:color="auto" w:fill="auto"/>
                  <w:vAlign w:val="center"/>
                </w:tcPr>
                <w:p>
                  <w:pPr>
                    <w:autoSpaceDE w:val="0"/>
                    <w:autoSpaceDN w:val="0"/>
                    <w:spacing w:line="0" w:lineRule="atLeast"/>
                    <w:jc w:val="left"/>
                    <w:rPr>
                      <w:color w:val="auto"/>
                      <w:sz w:val="21"/>
                      <w:szCs w:val="21"/>
                    </w:rPr>
                  </w:pPr>
                  <w:r>
                    <w:rPr>
                      <w:rFonts w:hint="eastAsia"/>
                      <w:color w:val="auto"/>
                      <w:sz w:val="21"/>
                      <w:szCs w:val="21"/>
                    </w:rPr>
                    <w:t>8</w:t>
                  </w:r>
                </w:p>
              </w:tc>
              <w:tc>
                <w:tcPr>
                  <w:tcW w:w="1304" w:type="dxa"/>
                  <w:shd w:val="clear" w:color="auto" w:fill="auto"/>
                  <w:vAlign w:val="center"/>
                </w:tcPr>
                <w:p>
                  <w:pPr>
                    <w:autoSpaceDE w:val="0"/>
                    <w:autoSpaceDN w:val="0"/>
                    <w:spacing w:line="0" w:lineRule="atLeast"/>
                    <w:jc w:val="left"/>
                    <w:rPr>
                      <w:color w:val="auto"/>
                      <w:sz w:val="21"/>
                      <w:szCs w:val="21"/>
                    </w:rPr>
                  </w:pPr>
                  <w:r>
                    <w:rPr>
                      <w:color w:val="auto"/>
                      <w:sz w:val="21"/>
                      <w:szCs w:val="21"/>
                    </w:rPr>
                    <w:t>XWS5-2</w:t>
                  </w:r>
                </w:p>
              </w:tc>
              <w:tc>
                <w:tcPr>
                  <w:tcW w:w="1559" w:type="dxa"/>
                  <w:shd w:val="clear" w:color="auto" w:fill="auto"/>
                  <w:vAlign w:val="center"/>
                </w:tcPr>
                <w:p>
                  <w:pPr>
                    <w:autoSpaceDE w:val="0"/>
                    <w:autoSpaceDN w:val="0"/>
                    <w:spacing w:line="0" w:lineRule="atLeast"/>
                    <w:jc w:val="left"/>
                    <w:rPr>
                      <w:color w:val="auto"/>
                      <w:sz w:val="21"/>
                      <w:szCs w:val="21"/>
                    </w:rPr>
                  </w:pPr>
                  <w:r>
                    <w:rPr>
                      <w:color w:val="auto"/>
                      <w:sz w:val="21"/>
                      <w:szCs w:val="21"/>
                    </w:rPr>
                    <w:t>113° 4'5.76"</w:t>
                  </w:r>
                </w:p>
              </w:tc>
              <w:tc>
                <w:tcPr>
                  <w:tcW w:w="1560" w:type="dxa"/>
                  <w:shd w:val="clear" w:color="auto" w:fill="auto"/>
                  <w:vAlign w:val="center"/>
                </w:tcPr>
                <w:p>
                  <w:pPr>
                    <w:autoSpaceDE w:val="0"/>
                    <w:autoSpaceDN w:val="0"/>
                    <w:spacing w:line="0" w:lineRule="atLeast"/>
                    <w:jc w:val="left"/>
                    <w:rPr>
                      <w:color w:val="auto"/>
                      <w:sz w:val="21"/>
                      <w:szCs w:val="21"/>
                    </w:rPr>
                  </w:pPr>
                  <w:r>
                    <w:rPr>
                      <w:color w:val="auto"/>
                      <w:sz w:val="21"/>
                      <w:szCs w:val="21"/>
                    </w:rPr>
                    <w:t>27°51'55.91"</w:t>
                  </w:r>
                </w:p>
              </w:tc>
              <w:tc>
                <w:tcPr>
                  <w:tcW w:w="1417" w:type="dxa"/>
                  <w:vMerge w:val="continue"/>
                  <w:shd w:val="clear" w:color="auto" w:fill="auto"/>
                  <w:vAlign w:val="center"/>
                </w:tcPr>
                <w:p>
                  <w:pPr>
                    <w:pStyle w:val="165"/>
                    <w:jc w:val="left"/>
                    <w:rPr>
                      <w:color w:val="auto"/>
                      <w:sz w:val="21"/>
                      <w:szCs w:val="21"/>
                      <w:lang w:eastAsia="zh-CN"/>
                    </w:rPr>
                  </w:pPr>
                </w:p>
              </w:tc>
              <w:tc>
                <w:tcPr>
                  <w:tcW w:w="2552" w:type="dxa"/>
                  <w:vMerge w:val="continue"/>
                  <w:shd w:val="clear" w:color="auto" w:fill="auto"/>
                </w:tcPr>
                <w:p>
                  <w:pPr>
                    <w:pStyle w:val="165"/>
                    <w:spacing w:line="0" w:lineRule="atLeast"/>
                    <w:jc w:val="left"/>
                    <w:rPr>
                      <w:color w:val="auto"/>
                      <w:sz w:val="21"/>
                      <w:szCs w:val="21"/>
                      <w:lang w:eastAsia="zh-CN"/>
                    </w:rPr>
                  </w:pPr>
                </w:p>
              </w:tc>
            </w:tr>
          </w:tbl>
          <w:p>
            <w:pPr>
              <w:ind w:firstLine="480" w:firstLineChars="200"/>
              <w:jc w:val="left"/>
              <w:rPr>
                <w:color w:val="auto"/>
                <w:sz w:val="24"/>
              </w:rPr>
            </w:pPr>
            <w:r>
              <w:rPr>
                <w:rFonts w:hint="eastAsia"/>
                <w:color w:val="auto"/>
                <w:sz w:val="24"/>
              </w:rPr>
              <w:t>地表水检测结果见表13。</w:t>
            </w:r>
          </w:p>
          <w:p>
            <w:pPr>
              <w:jc w:val="center"/>
              <w:rPr>
                <w:b/>
                <w:bCs/>
                <w:color w:val="auto"/>
                <w:sz w:val="24"/>
              </w:rPr>
            </w:pPr>
            <w:r>
              <w:rPr>
                <w:rFonts w:hint="eastAsia"/>
                <w:b/>
                <w:bCs/>
                <w:color w:val="auto"/>
                <w:sz w:val="24"/>
              </w:rPr>
              <w:t>表13  地表水</w:t>
            </w:r>
            <w:r>
              <w:rPr>
                <w:b/>
                <w:bCs/>
                <w:color w:val="auto"/>
                <w:sz w:val="24"/>
              </w:rPr>
              <w:t>检测数据基本情况</w:t>
            </w:r>
          </w:p>
          <w:tbl>
            <w:tblPr>
              <w:tblStyle w:val="43"/>
              <w:tblW w:w="85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2"/>
              <w:gridCol w:w="993"/>
              <w:gridCol w:w="992"/>
              <w:gridCol w:w="992"/>
              <w:gridCol w:w="142"/>
              <w:gridCol w:w="850"/>
              <w:gridCol w:w="993"/>
              <w:gridCol w:w="850"/>
              <w:gridCol w:w="992"/>
              <w:gridCol w:w="7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 w:type="dxa"/>
                  <w:vMerge w:val="restart"/>
                  <w:tcBorders>
                    <w:top w:val="single" w:color="auto" w:sz="6" w:space="0"/>
                  </w:tcBorders>
                  <w:shd w:val="clear" w:color="auto" w:fill="auto"/>
                  <w:vAlign w:val="center"/>
                </w:tcPr>
                <w:p>
                  <w:pPr>
                    <w:spacing w:line="0" w:lineRule="atLeast"/>
                    <w:jc w:val="center"/>
                    <w:rPr>
                      <w:color w:val="auto"/>
                      <w:sz w:val="21"/>
                      <w:szCs w:val="21"/>
                    </w:rPr>
                  </w:pPr>
                  <w:r>
                    <w:rPr>
                      <w:bCs/>
                      <w:color w:val="auto"/>
                      <w:sz w:val="21"/>
                      <w:szCs w:val="21"/>
                    </w:rPr>
                    <w:t>样品标识</w:t>
                  </w:r>
                </w:p>
              </w:tc>
              <w:tc>
                <w:tcPr>
                  <w:tcW w:w="7550" w:type="dxa"/>
                  <w:gridSpan w:val="9"/>
                  <w:tcBorders>
                    <w:top w:val="single" w:color="auto" w:sz="6" w:space="0"/>
                    <w:bottom w:val="single" w:color="auto" w:sz="6" w:space="0"/>
                  </w:tcBorders>
                  <w:shd w:val="clear" w:color="auto" w:fill="auto"/>
                  <w:vAlign w:val="center"/>
                </w:tcPr>
                <w:p>
                  <w:pPr>
                    <w:spacing w:line="0" w:lineRule="atLeast"/>
                    <w:jc w:val="center"/>
                    <w:rPr>
                      <w:color w:val="auto"/>
                      <w:sz w:val="21"/>
                      <w:szCs w:val="21"/>
                    </w:rPr>
                  </w:pPr>
                  <w:r>
                    <w:rPr>
                      <w:color w:val="auto"/>
                      <w:sz w:val="21"/>
                      <w:szCs w:val="21"/>
                    </w:rPr>
                    <w:t>检测项目及结果（mg/L,pH值为无量纲）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 w:type="dxa"/>
                  <w:vMerge w:val="continue"/>
                  <w:tcBorders>
                    <w:bottom w:val="single" w:color="auto" w:sz="6" w:space="0"/>
                  </w:tcBorders>
                  <w:shd w:val="clear" w:color="auto" w:fill="auto"/>
                  <w:vAlign w:val="center"/>
                </w:tcPr>
                <w:p>
                  <w:pPr>
                    <w:spacing w:line="0" w:lineRule="atLeast"/>
                    <w:jc w:val="center"/>
                    <w:rPr>
                      <w:color w:val="auto"/>
                      <w:sz w:val="21"/>
                      <w:szCs w:val="21"/>
                    </w:rPr>
                  </w:pPr>
                </w:p>
              </w:tc>
              <w:tc>
                <w:tcPr>
                  <w:tcW w:w="993" w:type="dxa"/>
                  <w:tcBorders>
                    <w:top w:val="single" w:color="auto" w:sz="6" w:space="0"/>
                    <w:bottom w:val="single" w:color="auto" w:sz="6" w:space="0"/>
                  </w:tcBorders>
                  <w:shd w:val="clear" w:color="auto" w:fill="auto"/>
                  <w:vAlign w:val="center"/>
                </w:tcPr>
                <w:p>
                  <w:pPr>
                    <w:spacing w:line="0" w:lineRule="atLeast"/>
                    <w:jc w:val="center"/>
                    <w:rPr>
                      <w:color w:val="auto"/>
                      <w:sz w:val="21"/>
                      <w:szCs w:val="21"/>
                    </w:rPr>
                  </w:pPr>
                  <w:r>
                    <w:rPr>
                      <w:color w:val="auto"/>
                      <w:sz w:val="21"/>
                      <w:szCs w:val="21"/>
                    </w:rPr>
                    <w:t>pH值</w:t>
                  </w:r>
                </w:p>
              </w:tc>
              <w:tc>
                <w:tcPr>
                  <w:tcW w:w="992" w:type="dxa"/>
                  <w:tcBorders>
                    <w:top w:val="single" w:color="auto" w:sz="6" w:space="0"/>
                    <w:bottom w:val="single" w:color="auto" w:sz="6" w:space="0"/>
                  </w:tcBorders>
                  <w:shd w:val="clear" w:color="auto" w:fill="auto"/>
                  <w:vAlign w:val="center"/>
                </w:tcPr>
                <w:p>
                  <w:pPr>
                    <w:spacing w:line="0" w:lineRule="atLeast"/>
                    <w:jc w:val="center"/>
                    <w:rPr>
                      <w:color w:val="auto"/>
                      <w:sz w:val="21"/>
                      <w:szCs w:val="21"/>
                    </w:rPr>
                  </w:pPr>
                  <w:r>
                    <w:rPr>
                      <w:color w:val="auto"/>
                      <w:sz w:val="21"/>
                      <w:szCs w:val="21"/>
                    </w:rPr>
                    <w:t>化学需氧量</w:t>
                  </w:r>
                </w:p>
              </w:tc>
              <w:tc>
                <w:tcPr>
                  <w:tcW w:w="1134" w:type="dxa"/>
                  <w:gridSpan w:val="2"/>
                  <w:tcBorders>
                    <w:top w:val="single" w:color="auto" w:sz="6" w:space="0"/>
                    <w:bottom w:val="single" w:color="auto" w:sz="6" w:space="0"/>
                  </w:tcBorders>
                  <w:shd w:val="clear" w:color="auto" w:fill="auto"/>
                  <w:vAlign w:val="center"/>
                </w:tcPr>
                <w:p>
                  <w:pPr>
                    <w:spacing w:line="0" w:lineRule="atLeast"/>
                    <w:jc w:val="center"/>
                    <w:rPr>
                      <w:color w:val="auto"/>
                      <w:sz w:val="21"/>
                      <w:szCs w:val="21"/>
                    </w:rPr>
                  </w:pPr>
                  <w:r>
                    <w:rPr>
                      <w:color w:val="auto"/>
                      <w:sz w:val="21"/>
                      <w:szCs w:val="21"/>
                    </w:rPr>
                    <w:t>五日生化需氧量</w:t>
                  </w:r>
                </w:p>
              </w:tc>
              <w:tc>
                <w:tcPr>
                  <w:tcW w:w="850" w:type="dxa"/>
                  <w:tcBorders>
                    <w:top w:val="single" w:color="auto" w:sz="6" w:space="0"/>
                    <w:bottom w:val="single" w:color="auto" w:sz="6" w:space="0"/>
                  </w:tcBorders>
                  <w:shd w:val="clear" w:color="auto" w:fill="auto"/>
                  <w:vAlign w:val="center"/>
                </w:tcPr>
                <w:p>
                  <w:pPr>
                    <w:spacing w:line="0" w:lineRule="atLeast"/>
                    <w:jc w:val="center"/>
                    <w:rPr>
                      <w:color w:val="auto"/>
                      <w:sz w:val="21"/>
                      <w:szCs w:val="21"/>
                    </w:rPr>
                  </w:pPr>
                  <w:r>
                    <w:rPr>
                      <w:color w:val="auto"/>
                      <w:sz w:val="21"/>
                      <w:szCs w:val="21"/>
                    </w:rPr>
                    <w:t>悬浮物</w:t>
                  </w:r>
                </w:p>
              </w:tc>
              <w:tc>
                <w:tcPr>
                  <w:tcW w:w="993" w:type="dxa"/>
                  <w:tcBorders>
                    <w:top w:val="single" w:color="auto" w:sz="6" w:space="0"/>
                    <w:bottom w:val="single" w:color="auto" w:sz="6" w:space="0"/>
                  </w:tcBorders>
                  <w:shd w:val="clear" w:color="auto" w:fill="auto"/>
                  <w:vAlign w:val="center"/>
                </w:tcPr>
                <w:p>
                  <w:pPr>
                    <w:spacing w:line="0" w:lineRule="atLeast"/>
                    <w:jc w:val="center"/>
                    <w:rPr>
                      <w:color w:val="auto"/>
                      <w:sz w:val="21"/>
                      <w:szCs w:val="21"/>
                    </w:rPr>
                  </w:pPr>
                  <w:r>
                    <w:rPr>
                      <w:color w:val="auto"/>
                      <w:sz w:val="21"/>
                      <w:szCs w:val="21"/>
                    </w:rPr>
                    <w:t>溶解氧</w:t>
                  </w:r>
                </w:p>
              </w:tc>
              <w:tc>
                <w:tcPr>
                  <w:tcW w:w="850" w:type="dxa"/>
                  <w:tcBorders>
                    <w:top w:val="single" w:color="auto" w:sz="6" w:space="0"/>
                    <w:bottom w:val="single" w:color="auto" w:sz="6" w:space="0"/>
                  </w:tcBorders>
                  <w:shd w:val="clear" w:color="auto" w:fill="auto"/>
                  <w:vAlign w:val="center"/>
                </w:tcPr>
                <w:p>
                  <w:pPr>
                    <w:spacing w:line="0" w:lineRule="atLeast"/>
                    <w:jc w:val="center"/>
                    <w:rPr>
                      <w:color w:val="auto"/>
                      <w:sz w:val="21"/>
                      <w:szCs w:val="21"/>
                    </w:rPr>
                  </w:pPr>
                  <w:r>
                    <w:rPr>
                      <w:color w:val="auto"/>
                      <w:sz w:val="21"/>
                      <w:szCs w:val="21"/>
                    </w:rPr>
                    <w:t>氨氮</w:t>
                  </w:r>
                </w:p>
              </w:tc>
              <w:tc>
                <w:tcPr>
                  <w:tcW w:w="992" w:type="dxa"/>
                  <w:tcBorders>
                    <w:top w:val="single" w:color="auto" w:sz="6" w:space="0"/>
                    <w:bottom w:val="single" w:color="auto" w:sz="6" w:space="0"/>
                  </w:tcBorders>
                  <w:shd w:val="clear" w:color="auto" w:fill="auto"/>
                  <w:vAlign w:val="center"/>
                </w:tcPr>
                <w:p>
                  <w:pPr>
                    <w:spacing w:line="0" w:lineRule="atLeast"/>
                    <w:jc w:val="center"/>
                    <w:rPr>
                      <w:color w:val="auto"/>
                      <w:sz w:val="21"/>
                      <w:szCs w:val="21"/>
                    </w:rPr>
                  </w:pPr>
                  <w:r>
                    <w:rPr>
                      <w:color w:val="auto"/>
                      <w:sz w:val="21"/>
                      <w:szCs w:val="21"/>
                    </w:rPr>
                    <w:t>石油类</w:t>
                  </w:r>
                </w:p>
              </w:tc>
              <w:tc>
                <w:tcPr>
                  <w:tcW w:w="746" w:type="dxa"/>
                  <w:tcBorders>
                    <w:top w:val="single" w:color="auto" w:sz="6" w:space="0"/>
                    <w:bottom w:val="single" w:color="auto" w:sz="6" w:space="0"/>
                  </w:tcBorders>
                  <w:shd w:val="clear" w:color="auto" w:fill="auto"/>
                  <w:vAlign w:val="center"/>
                </w:tcPr>
                <w:p>
                  <w:pPr>
                    <w:spacing w:line="0" w:lineRule="atLeast"/>
                    <w:jc w:val="center"/>
                    <w:rPr>
                      <w:color w:val="auto"/>
                      <w:sz w:val="21"/>
                      <w:szCs w:val="21"/>
                    </w:rPr>
                  </w:pPr>
                  <w:r>
                    <w:rPr>
                      <w:color w:val="auto"/>
                      <w:sz w:val="21"/>
                      <w:szCs w:val="21"/>
                    </w:rPr>
                    <w:t>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 w:type="dxa"/>
                  <w:tcBorders>
                    <w:top w:val="single" w:color="auto" w:sz="6" w:space="0"/>
                  </w:tcBorders>
                  <w:shd w:val="clear" w:color="auto" w:fill="auto"/>
                  <w:vAlign w:val="center"/>
                </w:tcPr>
                <w:p>
                  <w:pPr>
                    <w:ind w:left="-160" w:leftChars="-50" w:right="-160" w:rightChars="-50"/>
                    <w:jc w:val="center"/>
                    <w:rPr>
                      <w:bCs/>
                      <w:color w:val="auto"/>
                      <w:sz w:val="21"/>
                      <w:szCs w:val="21"/>
                    </w:rPr>
                  </w:pPr>
                  <w:r>
                    <w:rPr>
                      <w:color w:val="auto"/>
                      <w:sz w:val="21"/>
                      <w:szCs w:val="21"/>
                    </w:rPr>
                    <w:t>XWS2-1</w:t>
                  </w:r>
                </w:p>
              </w:tc>
              <w:tc>
                <w:tcPr>
                  <w:tcW w:w="993" w:type="dxa"/>
                  <w:tcBorders>
                    <w:top w:val="single" w:color="auto" w:sz="6" w:space="0"/>
                  </w:tcBorders>
                  <w:shd w:val="clear" w:color="auto" w:fill="auto"/>
                  <w:vAlign w:val="center"/>
                </w:tcPr>
                <w:p>
                  <w:pPr>
                    <w:jc w:val="center"/>
                    <w:rPr>
                      <w:color w:val="auto"/>
                      <w:sz w:val="21"/>
                      <w:szCs w:val="21"/>
                    </w:rPr>
                  </w:pPr>
                  <w:r>
                    <w:rPr>
                      <w:color w:val="auto"/>
                      <w:sz w:val="21"/>
                      <w:szCs w:val="21"/>
                    </w:rPr>
                    <w:t>7.33</w:t>
                  </w:r>
                </w:p>
              </w:tc>
              <w:tc>
                <w:tcPr>
                  <w:tcW w:w="992" w:type="dxa"/>
                  <w:tcBorders>
                    <w:top w:val="single" w:color="auto" w:sz="6" w:space="0"/>
                  </w:tcBorders>
                  <w:shd w:val="clear" w:color="auto" w:fill="auto"/>
                  <w:vAlign w:val="center"/>
                </w:tcPr>
                <w:p>
                  <w:pPr>
                    <w:jc w:val="center"/>
                    <w:rPr>
                      <w:color w:val="auto"/>
                      <w:sz w:val="21"/>
                      <w:szCs w:val="21"/>
                    </w:rPr>
                  </w:pPr>
                  <w:r>
                    <w:rPr>
                      <w:color w:val="auto"/>
                      <w:sz w:val="21"/>
                      <w:szCs w:val="21"/>
                    </w:rPr>
                    <w:t>22</w:t>
                  </w:r>
                </w:p>
              </w:tc>
              <w:tc>
                <w:tcPr>
                  <w:tcW w:w="1134" w:type="dxa"/>
                  <w:gridSpan w:val="2"/>
                  <w:tcBorders>
                    <w:top w:val="single" w:color="auto" w:sz="6" w:space="0"/>
                  </w:tcBorders>
                  <w:shd w:val="clear" w:color="auto" w:fill="auto"/>
                  <w:vAlign w:val="center"/>
                </w:tcPr>
                <w:p>
                  <w:pPr>
                    <w:jc w:val="center"/>
                    <w:rPr>
                      <w:color w:val="auto"/>
                      <w:sz w:val="21"/>
                      <w:szCs w:val="21"/>
                    </w:rPr>
                  </w:pPr>
                  <w:r>
                    <w:rPr>
                      <w:color w:val="auto"/>
                      <w:sz w:val="21"/>
                      <w:szCs w:val="21"/>
                    </w:rPr>
                    <w:t>5.7</w:t>
                  </w:r>
                </w:p>
              </w:tc>
              <w:tc>
                <w:tcPr>
                  <w:tcW w:w="850" w:type="dxa"/>
                  <w:tcBorders>
                    <w:top w:val="single" w:color="auto" w:sz="6" w:space="0"/>
                  </w:tcBorders>
                  <w:shd w:val="clear" w:color="auto" w:fill="auto"/>
                  <w:vAlign w:val="center"/>
                </w:tcPr>
                <w:p>
                  <w:pPr>
                    <w:jc w:val="center"/>
                    <w:rPr>
                      <w:color w:val="auto"/>
                      <w:sz w:val="21"/>
                      <w:szCs w:val="21"/>
                    </w:rPr>
                  </w:pPr>
                  <w:r>
                    <w:rPr>
                      <w:color w:val="auto"/>
                      <w:sz w:val="21"/>
                      <w:szCs w:val="21"/>
                    </w:rPr>
                    <w:t>20</w:t>
                  </w:r>
                </w:p>
              </w:tc>
              <w:tc>
                <w:tcPr>
                  <w:tcW w:w="993" w:type="dxa"/>
                  <w:tcBorders>
                    <w:top w:val="single" w:color="auto" w:sz="6" w:space="0"/>
                  </w:tcBorders>
                  <w:shd w:val="clear" w:color="auto" w:fill="auto"/>
                  <w:vAlign w:val="center"/>
                </w:tcPr>
                <w:p>
                  <w:pPr>
                    <w:jc w:val="center"/>
                    <w:rPr>
                      <w:color w:val="auto"/>
                      <w:sz w:val="21"/>
                      <w:szCs w:val="21"/>
                    </w:rPr>
                  </w:pPr>
                  <w:r>
                    <w:rPr>
                      <w:color w:val="auto"/>
                      <w:sz w:val="21"/>
                      <w:szCs w:val="21"/>
                    </w:rPr>
                    <w:t>7.46</w:t>
                  </w:r>
                </w:p>
              </w:tc>
              <w:tc>
                <w:tcPr>
                  <w:tcW w:w="850" w:type="dxa"/>
                  <w:tcBorders>
                    <w:top w:val="single" w:color="auto" w:sz="6" w:space="0"/>
                  </w:tcBorders>
                  <w:shd w:val="clear" w:color="auto" w:fill="auto"/>
                  <w:vAlign w:val="center"/>
                </w:tcPr>
                <w:p>
                  <w:pPr>
                    <w:jc w:val="center"/>
                    <w:rPr>
                      <w:color w:val="auto"/>
                      <w:sz w:val="21"/>
                      <w:szCs w:val="21"/>
                    </w:rPr>
                  </w:pPr>
                  <w:r>
                    <w:rPr>
                      <w:color w:val="auto"/>
                      <w:sz w:val="21"/>
                      <w:szCs w:val="21"/>
                    </w:rPr>
                    <w:t>0.552</w:t>
                  </w:r>
                </w:p>
              </w:tc>
              <w:tc>
                <w:tcPr>
                  <w:tcW w:w="992" w:type="dxa"/>
                  <w:tcBorders>
                    <w:top w:val="single" w:color="auto" w:sz="6" w:space="0"/>
                  </w:tcBorders>
                  <w:shd w:val="clear" w:color="auto" w:fill="auto"/>
                  <w:vAlign w:val="center"/>
                </w:tcPr>
                <w:p>
                  <w:pPr>
                    <w:jc w:val="center"/>
                    <w:rPr>
                      <w:color w:val="auto"/>
                      <w:sz w:val="21"/>
                      <w:szCs w:val="21"/>
                    </w:rPr>
                  </w:pPr>
                  <w:r>
                    <w:rPr>
                      <w:color w:val="auto"/>
                      <w:sz w:val="21"/>
                      <w:szCs w:val="21"/>
                    </w:rPr>
                    <w:t>0.01</w:t>
                  </w:r>
                </w:p>
              </w:tc>
              <w:tc>
                <w:tcPr>
                  <w:tcW w:w="746" w:type="dxa"/>
                  <w:tcBorders>
                    <w:top w:val="single" w:color="auto" w:sz="6" w:space="0"/>
                  </w:tcBorders>
                  <w:shd w:val="clear" w:color="auto" w:fill="auto"/>
                  <w:vAlign w:val="center"/>
                </w:tcPr>
                <w:p>
                  <w:pPr>
                    <w:jc w:val="center"/>
                    <w:rPr>
                      <w:color w:val="auto"/>
                      <w:sz w:val="21"/>
                      <w:szCs w:val="21"/>
                    </w:rPr>
                  </w:pPr>
                  <w:r>
                    <w:rPr>
                      <w:color w:val="auto"/>
                      <w:sz w:val="21"/>
                      <w:szCs w:val="21"/>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 w:type="dxa"/>
                  <w:shd w:val="clear" w:color="auto" w:fill="auto"/>
                  <w:vAlign w:val="center"/>
                </w:tcPr>
                <w:p>
                  <w:pPr>
                    <w:ind w:left="-160" w:leftChars="-50" w:right="-160" w:rightChars="-50"/>
                    <w:jc w:val="center"/>
                    <w:rPr>
                      <w:bCs/>
                      <w:color w:val="auto"/>
                      <w:sz w:val="21"/>
                      <w:szCs w:val="21"/>
                    </w:rPr>
                  </w:pPr>
                  <w:r>
                    <w:rPr>
                      <w:color w:val="auto"/>
                      <w:sz w:val="21"/>
                      <w:szCs w:val="21"/>
                    </w:rPr>
                    <w:t>XWS3-1</w:t>
                  </w:r>
                </w:p>
              </w:tc>
              <w:tc>
                <w:tcPr>
                  <w:tcW w:w="993" w:type="dxa"/>
                  <w:shd w:val="clear" w:color="auto" w:fill="auto"/>
                  <w:vAlign w:val="center"/>
                </w:tcPr>
                <w:p>
                  <w:pPr>
                    <w:jc w:val="center"/>
                    <w:rPr>
                      <w:color w:val="auto"/>
                      <w:sz w:val="21"/>
                      <w:szCs w:val="21"/>
                    </w:rPr>
                  </w:pPr>
                  <w:r>
                    <w:rPr>
                      <w:color w:val="auto"/>
                      <w:sz w:val="21"/>
                      <w:szCs w:val="21"/>
                    </w:rPr>
                    <w:t>7.27</w:t>
                  </w:r>
                </w:p>
              </w:tc>
              <w:tc>
                <w:tcPr>
                  <w:tcW w:w="992" w:type="dxa"/>
                  <w:shd w:val="clear" w:color="auto" w:fill="auto"/>
                  <w:vAlign w:val="center"/>
                </w:tcPr>
                <w:p>
                  <w:pPr>
                    <w:jc w:val="center"/>
                    <w:rPr>
                      <w:color w:val="auto"/>
                      <w:sz w:val="21"/>
                      <w:szCs w:val="21"/>
                    </w:rPr>
                  </w:pPr>
                  <w:r>
                    <w:rPr>
                      <w:color w:val="auto"/>
                      <w:sz w:val="21"/>
                      <w:szCs w:val="21"/>
                    </w:rPr>
                    <w:t>28</w:t>
                  </w:r>
                </w:p>
              </w:tc>
              <w:tc>
                <w:tcPr>
                  <w:tcW w:w="1134" w:type="dxa"/>
                  <w:gridSpan w:val="2"/>
                  <w:shd w:val="clear" w:color="auto" w:fill="auto"/>
                  <w:vAlign w:val="center"/>
                </w:tcPr>
                <w:p>
                  <w:pPr>
                    <w:jc w:val="center"/>
                    <w:rPr>
                      <w:color w:val="auto"/>
                      <w:sz w:val="21"/>
                      <w:szCs w:val="21"/>
                    </w:rPr>
                  </w:pPr>
                  <w:r>
                    <w:rPr>
                      <w:color w:val="auto"/>
                      <w:sz w:val="21"/>
                      <w:szCs w:val="21"/>
                    </w:rPr>
                    <w:t>6.9</w:t>
                  </w:r>
                </w:p>
              </w:tc>
              <w:tc>
                <w:tcPr>
                  <w:tcW w:w="850" w:type="dxa"/>
                  <w:shd w:val="clear" w:color="auto" w:fill="auto"/>
                  <w:vAlign w:val="center"/>
                </w:tcPr>
                <w:p>
                  <w:pPr>
                    <w:jc w:val="center"/>
                    <w:rPr>
                      <w:color w:val="auto"/>
                      <w:sz w:val="21"/>
                      <w:szCs w:val="21"/>
                    </w:rPr>
                  </w:pPr>
                  <w:r>
                    <w:rPr>
                      <w:color w:val="auto"/>
                      <w:sz w:val="21"/>
                      <w:szCs w:val="21"/>
                    </w:rPr>
                    <w:t>14</w:t>
                  </w:r>
                </w:p>
              </w:tc>
              <w:tc>
                <w:tcPr>
                  <w:tcW w:w="993" w:type="dxa"/>
                  <w:shd w:val="clear" w:color="auto" w:fill="auto"/>
                  <w:vAlign w:val="center"/>
                </w:tcPr>
                <w:p>
                  <w:pPr>
                    <w:jc w:val="center"/>
                    <w:rPr>
                      <w:color w:val="auto"/>
                      <w:sz w:val="21"/>
                      <w:szCs w:val="21"/>
                    </w:rPr>
                  </w:pPr>
                  <w:r>
                    <w:rPr>
                      <w:color w:val="auto"/>
                      <w:sz w:val="21"/>
                      <w:szCs w:val="21"/>
                    </w:rPr>
                    <w:t>7.51</w:t>
                  </w:r>
                </w:p>
              </w:tc>
              <w:tc>
                <w:tcPr>
                  <w:tcW w:w="850" w:type="dxa"/>
                  <w:shd w:val="clear" w:color="auto" w:fill="auto"/>
                  <w:vAlign w:val="center"/>
                </w:tcPr>
                <w:p>
                  <w:pPr>
                    <w:jc w:val="center"/>
                    <w:rPr>
                      <w:color w:val="auto"/>
                      <w:sz w:val="21"/>
                      <w:szCs w:val="21"/>
                    </w:rPr>
                  </w:pPr>
                  <w:r>
                    <w:rPr>
                      <w:color w:val="auto"/>
                      <w:sz w:val="21"/>
                      <w:szCs w:val="21"/>
                    </w:rPr>
                    <w:t>0.228</w:t>
                  </w:r>
                </w:p>
              </w:tc>
              <w:tc>
                <w:tcPr>
                  <w:tcW w:w="992" w:type="dxa"/>
                  <w:shd w:val="clear" w:color="auto" w:fill="auto"/>
                  <w:vAlign w:val="center"/>
                </w:tcPr>
                <w:p>
                  <w:pPr>
                    <w:jc w:val="center"/>
                    <w:rPr>
                      <w:color w:val="auto"/>
                      <w:sz w:val="21"/>
                      <w:szCs w:val="21"/>
                    </w:rPr>
                  </w:pPr>
                  <w:r>
                    <w:rPr>
                      <w:color w:val="auto"/>
                      <w:sz w:val="21"/>
                      <w:szCs w:val="21"/>
                    </w:rPr>
                    <w:t>0.01</w:t>
                  </w:r>
                </w:p>
              </w:tc>
              <w:tc>
                <w:tcPr>
                  <w:tcW w:w="746" w:type="dxa"/>
                  <w:shd w:val="clear" w:color="auto" w:fill="auto"/>
                  <w:vAlign w:val="center"/>
                </w:tcPr>
                <w:p>
                  <w:pPr>
                    <w:jc w:val="center"/>
                    <w:rPr>
                      <w:color w:val="auto"/>
                      <w:sz w:val="21"/>
                      <w:szCs w:val="21"/>
                    </w:rPr>
                  </w:pPr>
                  <w:r>
                    <w:rPr>
                      <w:color w:val="auto"/>
                      <w:sz w:val="21"/>
                      <w:szCs w:val="21"/>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 w:type="dxa"/>
                  <w:shd w:val="clear" w:color="auto" w:fill="auto"/>
                  <w:vAlign w:val="center"/>
                </w:tcPr>
                <w:p>
                  <w:pPr>
                    <w:ind w:left="-160" w:leftChars="-50" w:right="-160" w:rightChars="-50"/>
                    <w:jc w:val="center"/>
                    <w:rPr>
                      <w:bCs/>
                      <w:color w:val="auto"/>
                      <w:sz w:val="21"/>
                      <w:szCs w:val="21"/>
                    </w:rPr>
                  </w:pPr>
                  <w:r>
                    <w:rPr>
                      <w:color w:val="auto"/>
                      <w:sz w:val="21"/>
                      <w:szCs w:val="21"/>
                    </w:rPr>
                    <w:t>XWS4-1</w:t>
                  </w:r>
                </w:p>
              </w:tc>
              <w:tc>
                <w:tcPr>
                  <w:tcW w:w="993" w:type="dxa"/>
                  <w:shd w:val="clear" w:color="auto" w:fill="auto"/>
                  <w:vAlign w:val="center"/>
                </w:tcPr>
                <w:p>
                  <w:pPr>
                    <w:jc w:val="center"/>
                    <w:rPr>
                      <w:color w:val="auto"/>
                      <w:sz w:val="21"/>
                      <w:szCs w:val="21"/>
                    </w:rPr>
                  </w:pPr>
                  <w:r>
                    <w:rPr>
                      <w:color w:val="auto"/>
                      <w:sz w:val="21"/>
                      <w:szCs w:val="21"/>
                    </w:rPr>
                    <w:t>7.29</w:t>
                  </w:r>
                </w:p>
              </w:tc>
              <w:tc>
                <w:tcPr>
                  <w:tcW w:w="992" w:type="dxa"/>
                  <w:shd w:val="clear" w:color="auto" w:fill="auto"/>
                  <w:vAlign w:val="center"/>
                </w:tcPr>
                <w:p>
                  <w:pPr>
                    <w:jc w:val="center"/>
                    <w:rPr>
                      <w:color w:val="auto"/>
                      <w:sz w:val="21"/>
                      <w:szCs w:val="21"/>
                    </w:rPr>
                  </w:pPr>
                  <w:r>
                    <w:rPr>
                      <w:color w:val="auto"/>
                      <w:sz w:val="21"/>
                      <w:szCs w:val="21"/>
                    </w:rPr>
                    <w:t>13</w:t>
                  </w:r>
                </w:p>
              </w:tc>
              <w:tc>
                <w:tcPr>
                  <w:tcW w:w="1134" w:type="dxa"/>
                  <w:gridSpan w:val="2"/>
                  <w:shd w:val="clear" w:color="auto" w:fill="auto"/>
                  <w:vAlign w:val="center"/>
                </w:tcPr>
                <w:p>
                  <w:pPr>
                    <w:jc w:val="center"/>
                    <w:rPr>
                      <w:color w:val="auto"/>
                      <w:sz w:val="21"/>
                      <w:szCs w:val="21"/>
                    </w:rPr>
                  </w:pPr>
                  <w:r>
                    <w:rPr>
                      <w:color w:val="auto"/>
                      <w:sz w:val="21"/>
                      <w:szCs w:val="21"/>
                    </w:rPr>
                    <w:t>N.D</w:t>
                  </w:r>
                </w:p>
              </w:tc>
              <w:tc>
                <w:tcPr>
                  <w:tcW w:w="850" w:type="dxa"/>
                  <w:shd w:val="clear" w:color="auto" w:fill="auto"/>
                  <w:vAlign w:val="center"/>
                </w:tcPr>
                <w:p>
                  <w:pPr>
                    <w:jc w:val="center"/>
                    <w:rPr>
                      <w:color w:val="auto"/>
                      <w:sz w:val="21"/>
                      <w:szCs w:val="21"/>
                    </w:rPr>
                  </w:pPr>
                  <w:r>
                    <w:rPr>
                      <w:color w:val="auto"/>
                      <w:sz w:val="21"/>
                      <w:szCs w:val="21"/>
                    </w:rPr>
                    <w:t>5</w:t>
                  </w:r>
                </w:p>
              </w:tc>
              <w:tc>
                <w:tcPr>
                  <w:tcW w:w="993" w:type="dxa"/>
                  <w:shd w:val="clear" w:color="auto" w:fill="auto"/>
                  <w:vAlign w:val="center"/>
                </w:tcPr>
                <w:p>
                  <w:pPr>
                    <w:jc w:val="center"/>
                    <w:rPr>
                      <w:color w:val="auto"/>
                      <w:sz w:val="21"/>
                      <w:szCs w:val="21"/>
                    </w:rPr>
                  </w:pPr>
                  <w:r>
                    <w:rPr>
                      <w:color w:val="auto"/>
                      <w:sz w:val="21"/>
                      <w:szCs w:val="21"/>
                    </w:rPr>
                    <w:t>7.22</w:t>
                  </w:r>
                </w:p>
              </w:tc>
              <w:tc>
                <w:tcPr>
                  <w:tcW w:w="850" w:type="dxa"/>
                  <w:shd w:val="clear" w:color="auto" w:fill="auto"/>
                  <w:vAlign w:val="center"/>
                </w:tcPr>
                <w:p>
                  <w:pPr>
                    <w:jc w:val="center"/>
                    <w:rPr>
                      <w:color w:val="auto"/>
                      <w:sz w:val="21"/>
                      <w:szCs w:val="21"/>
                    </w:rPr>
                  </w:pPr>
                  <w:r>
                    <w:rPr>
                      <w:color w:val="auto"/>
                      <w:sz w:val="21"/>
                      <w:szCs w:val="21"/>
                    </w:rPr>
                    <w:t>0.669</w:t>
                  </w:r>
                </w:p>
              </w:tc>
              <w:tc>
                <w:tcPr>
                  <w:tcW w:w="992" w:type="dxa"/>
                  <w:shd w:val="clear" w:color="auto" w:fill="auto"/>
                  <w:vAlign w:val="center"/>
                </w:tcPr>
                <w:p>
                  <w:pPr>
                    <w:jc w:val="center"/>
                    <w:rPr>
                      <w:color w:val="auto"/>
                      <w:sz w:val="21"/>
                      <w:szCs w:val="21"/>
                    </w:rPr>
                  </w:pPr>
                  <w:r>
                    <w:rPr>
                      <w:color w:val="auto"/>
                      <w:sz w:val="21"/>
                      <w:szCs w:val="21"/>
                    </w:rPr>
                    <w:t>N.D</w:t>
                  </w:r>
                </w:p>
              </w:tc>
              <w:tc>
                <w:tcPr>
                  <w:tcW w:w="746" w:type="dxa"/>
                  <w:shd w:val="clear" w:color="auto" w:fill="auto"/>
                  <w:vAlign w:val="center"/>
                </w:tcPr>
                <w:p>
                  <w:pPr>
                    <w:jc w:val="center"/>
                    <w:rPr>
                      <w:color w:val="auto"/>
                      <w:sz w:val="21"/>
                      <w:szCs w:val="21"/>
                    </w:rPr>
                  </w:pPr>
                  <w:r>
                    <w:rPr>
                      <w:color w:val="auto"/>
                      <w:sz w:val="21"/>
                      <w:szCs w:val="21"/>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 w:type="dxa"/>
                  <w:shd w:val="clear" w:color="auto" w:fill="auto"/>
                  <w:vAlign w:val="center"/>
                </w:tcPr>
                <w:p>
                  <w:pPr>
                    <w:ind w:left="-160" w:leftChars="-50" w:right="-160" w:rightChars="-50"/>
                    <w:jc w:val="center"/>
                    <w:rPr>
                      <w:color w:val="auto"/>
                      <w:sz w:val="21"/>
                      <w:szCs w:val="21"/>
                    </w:rPr>
                  </w:pPr>
                  <w:r>
                    <w:rPr>
                      <w:color w:val="auto"/>
                      <w:sz w:val="21"/>
                      <w:szCs w:val="21"/>
                    </w:rPr>
                    <w:t>XWS5-1</w:t>
                  </w:r>
                </w:p>
              </w:tc>
              <w:tc>
                <w:tcPr>
                  <w:tcW w:w="993" w:type="dxa"/>
                  <w:shd w:val="clear" w:color="auto" w:fill="auto"/>
                  <w:vAlign w:val="center"/>
                </w:tcPr>
                <w:p>
                  <w:pPr>
                    <w:jc w:val="center"/>
                    <w:rPr>
                      <w:color w:val="auto"/>
                      <w:sz w:val="21"/>
                      <w:szCs w:val="21"/>
                    </w:rPr>
                  </w:pPr>
                  <w:r>
                    <w:rPr>
                      <w:color w:val="auto"/>
                      <w:sz w:val="21"/>
                      <w:szCs w:val="21"/>
                    </w:rPr>
                    <w:t>7.45</w:t>
                  </w:r>
                </w:p>
              </w:tc>
              <w:tc>
                <w:tcPr>
                  <w:tcW w:w="992" w:type="dxa"/>
                  <w:shd w:val="clear" w:color="auto" w:fill="auto"/>
                  <w:vAlign w:val="center"/>
                </w:tcPr>
                <w:p>
                  <w:pPr>
                    <w:jc w:val="center"/>
                    <w:rPr>
                      <w:color w:val="auto"/>
                      <w:sz w:val="21"/>
                      <w:szCs w:val="21"/>
                    </w:rPr>
                  </w:pPr>
                  <w:r>
                    <w:rPr>
                      <w:color w:val="auto"/>
                      <w:sz w:val="21"/>
                      <w:szCs w:val="21"/>
                    </w:rPr>
                    <w:t>26</w:t>
                  </w:r>
                </w:p>
              </w:tc>
              <w:tc>
                <w:tcPr>
                  <w:tcW w:w="1134" w:type="dxa"/>
                  <w:gridSpan w:val="2"/>
                  <w:shd w:val="clear" w:color="auto" w:fill="auto"/>
                  <w:vAlign w:val="center"/>
                </w:tcPr>
                <w:p>
                  <w:pPr>
                    <w:jc w:val="center"/>
                    <w:rPr>
                      <w:color w:val="auto"/>
                      <w:sz w:val="21"/>
                      <w:szCs w:val="21"/>
                    </w:rPr>
                  </w:pPr>
                  <w:r>
                    <w:rPr>
                      <w:color w:val="auto"/>
                      <w:sz w:val="21"/>
                      <w:szCs w:val="21"/>
                    </w:rPr>
                    <w:t>6.5</w:t>
                  </w:r>
                </w:p>
              </w:tc>
              <w:tc>
                <w:tcPr>
                  <w:tcW w:w="850" w:type="dxa"/>
                  <w:shd w:val="clear" w:color="auto" w:fill="auto"/>
                  <w:vAlign w:val="center"/>
                </w:tcPr>
                <w:p>
                  <w:pPr>
                    <w:jc w:val="center"/>
                    <w:rPr>
                      <w:color w:val="auto"/>
                      <w:sz w:val="21"/>
                      <w:szCs w:val="21"/>
                    </w:rPr>
                  </w:pPr>
                  <w:r>
                    <w:rPr>
                      <w:color w:val="auto"/>
                      <w:sz w:val="21"/>
                      <w:szCs w:val="21"/>
                    </w:rPr>
                    <w:t>11</w:t>
                  </w:r>
                </w:p>
              </w:tc>
              <w:tc>
                <w:tcPr>
                  <w:tcW w:w="993" w:type="dxa"/>
                  <w:shd w:val="clear" w:color="auto" w:fill="auto"/>
                  <w:vAlign w:val="center"/>
                </w:tcPr>
                <w:p>
                  <w:pPr>
                    <w:jc w:val="center"/>
                    <w:rPr>
                      <w:color w:val="auto"/>
                      <w:sz w:val="21"/>
                      <w:szCs w:val="21"/>
                    </w:rPr>
                  </w:pPr>
                  <w:r>
                    <w:rPr>
                      <w:color w:val="auto"/>
                      <w:sz w:val="21"/>
                      <w:szCs w:val="21"/>
                    </w:rPr>
                    <w:t>7.37</w:t>
                  </w:r>
                </w:p>
              </w:tc>
              <w:tc>
                <w:tcPr>
                  <w:tcW w:w="850" w:type="dxa"/>
                  <w:shd w:val="clear" w:color="auto" w:fill="auto"/>
                  <w:vAlign w:val="center"/>
                </w:tcPr>
                <w:p>
                  <w:pPr>
                    <w:jc w:val="center"/>
                    <w:rPr>
                      <w:color w:val="auto"/>
                      <w:sz w:val="21"/>
                      <w:szCs w:val="21"/>
                    </w:rPr>
                  </w:pPr>
                  <w:r>
                    <w:rPr>
                      <w:color w:val="auto"/>
                      <w:sz w:val="21"/>
                      <w:szCs w:val="21"/>
                    </w:rPr>
                    <w:t>0.470</w:t>
                  </w:r>
                </w:p>
              </w:tc>
              <w:tc>
                <w:tcPr>
                  <w:tcW w:w="992" w:type="dxa"/>
                  <w:shd w:val="clear" w:color="auto" w:fill="auto"/>
                  <w:vAlign w:val="center"/>
                </w:tcPr>
                <w:p>
                  <w:pPr>
                    <w:jc w:val="center"/>
                    <w:rPr>
                      <w:color w:val="auto"/>
                      <w:sz w:val="21"/>
                      <w:szCs w:val="21"/>
                    </w:rPr>
                  </w:pPr>
                  <w:r>
                    <w:rPr>
                      <w:color w:val="auto"/>
                      <w:sz w:val="21"/>
                      <w:szCs w:val="21"/>
                    </w:rPr>
                    <w:t>0.01</w:t>
                  </w:r>
                </w:p>
              </w:tc>
              <w:tc>
                <w:tcPr>
                  <w:tcW w:w="746" w:type="dxa"/>
                  <w:shd w:val="clear" w:color="auto" w:fill="auto"/>
                  <w:vAlign w:val="center"/>
                </w:tcPr>
                <w:p>
                  <w:pPr>
                    <w:jc w:val="center"/>
                    <w:rPr>
                      <w:color w:val="auto"/>
                      <w:sz w:val="21"/>
                      <w:szCs w:val="21"/>
                    </w:rPr>
                  </w:pPr>
                  <w:r>
                    <w:rPr>
                      <w:color w:val="auto"/>
                      <w:sz w:val="21"/>
                      <w:szCs w:val="21"/>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 w:type="dxa"/>
                  <w:vMerge w:val="restart"/>
                  <w:shd w:val="clear" w:color="auto" w:fill="auto"/>
                  <w:vAlign w:val="center"/>
                </w:tcPr>
                <w:p>
                  <w:pPr>
                    <w:spacing w:line="0" w:lineRule="atLeast"/>
                    <w:ind w:left="-160" w:leftChars="-50" w:right="-160" w:rightChars="-50"/>
                    <w:jc w:val="center"/>
                    <w:rPr>
                      <w:color w:val="auto"/>
                      <w:sz w:val="21"/>
                      <w:szCs w:val="21"/>
                    </w:rPr>
                  </w:pPr>
                  <w:r>
                    <w:rPr>
                      <w:bCs/>
                      <w:color w:val="auto"/>
                      <w:sz w:val="21"/>
                      <w:szCs w:val="21"/>
                    </w:rPr>
                    <w:t>样品标识</w:t>
                  </w:r>
                </w:p>
              </w:tc>
              <w:tc>
                <w:tcPr>
                  <w:tcW w:w="7550" w:type="dxa"/>
                  <w:gridSpan w:val="9"/>
                  <w:shd w:val="clear" w:color="auto" w:fill="auto"/>
                  <w:vAlign w:val="center"/>
                </w:tcPr>
                <w:p>
                  <w:pPr>
                    <w:spacing w:line="0" w:lineRule="atLeast"/>
                    <w:jc w:val="center"/>
                    <w:rPr>
                      <w:color w:val="auto"/>
                      <w:sz w:val="21"/>
                      <w:szCs w:val="21"/>
                    </w:rPr>
                  </w:pPr>
                  <w:r>
                    <w:rPr>
                      <w:color w:val="auto"/>
                      <w:sz w:val="21"/>
                      <w:szCs w:val="21"/>
                    </w:rPr>
                    <w:t>检测项目及结果（mg/L,pH值为无量纲）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 w:type="dxa"/>
                  <w:vMerge w:val="continue"/>
                  <w:shd w:val="clear" w:color="auto" w:fill="auto"/>
                  <w:vAlign w:val="center"/>
                </w:tcPr>
                <w:p>
                  <w:pPr>
                    <w:spacing w:line="0" w:lineRule="atLeast"/>
                    <w:ind w:left="-160" w:leftChars="-50" w:right="-160" w:rightChars="-50"/>
                    <w:jc w:val="center"/>
                    <w:rPr>
                      <w:color w:val="auto"/>
                      <w:sz w:val="21"/>
                      <w:szCs w:val="21"/>
                    </w:rPr>
                  </w:pPr>
                </w:p>
              </w:tc>
              <w:tc>
                <w:tcPr>
                  <w:tcW w:w="993" w:type="dxa"/>
                  <w:tcBorders>
                    <w:top w:val="single" w:color="auto" w:sz="6" w:space="0"/>
                    <w:bottom w:val="single" w:color="auto" w:sz="6" w:space="0"/>
                  </w:tcBorders>
                  <w:shd w:val="clear" w:color="auto" w:fill="auto"/>
                  <w:vAlign w:val="center"/>
                </w:tcPr>
                <w:p>
                  <w:pPr>
                    <w:spacing w:line="0" w:lineRule="atLeast"/>
                    <w:jc w:val="center"/>
                    <w:rPr>
                      <w:color w:val="auto"/>
                      <w:sz w:val="21"/>
                      <w:szCs w:val="21"/>
                    </w:rPr>
                  </w:pPr>
                  <w:r>
                    <w:rPr>
                      <w:color w:val="auto"/>
                      <w:sz w:val="21"/>
                      <w:szCs w:val="21"/>
                    </w:rPr>
                    <w:t>铜</w:t>
                  </w:r>
                </w:p>
              </w:tc>
              <w:tc>
                <w:tcPr>
                  <w:tcW w:w="992" w:type="dxa"/>
                  <w:tcBorders>
                    <w:top w:val="single" w:color="auto" w:sz="6" w:space="0"/>
                    <w:bottom w:val="single" w:color="auto" w:sz="6" w:space="0"/>
                  </w:tcBorders>
                  <w:shd w:val="clear" w:color="auto" w:fill="auto"/>
                  <w:vAlign w:val="center"/>
                </w:tcPr>
                <w:p>
                  <w:pPr>
                    <w:spacing w:line="0" w:lineRule="atLeast"/>
                    <w:jc w:val="center"/>
                    <w:rPr>
                      <w:color w:val="auto"/>
                      <w:sz w:val="21"/>
                      <w:szCs w:val="21"/>
                    </w:rPr>
                  </w:pPr>
                  <w:r>
                    <w:rPr>
                      <w:color w:val="auto"/>
                      <w:sz w:val="21"/>
                      <w:szCs w:val="21"/>
                    </w:rPr>
                    <w:t>锌</w:t>
                  </w:r>
                </w:p>
              </w:tc>
              <w:tc>
                <w:tcPr>
                  <w:tcW w:w="992" w:type="dxa"/>
                  <w:tcBorders>
                    <w:top w:val="single" w:color="auto" w:sz="6" w:space="0"/>
                    <w:bottom w:val="single" w:color="auto" w:sz="6" w:space="0"/>
                  </w:tcBorders>
                  <w:shd w:val="clear" w:color="auto" w:fill="auto"/>
                  <w:vAlign w:val="center"/>
                </w:tcPr>
                <w:p>
                  <w:pPr>
                    <w:spacing w:line="0" w:lineRule="atLeast"/>
                    <w:jc w:val="center"/>
                    <w:rPr>
                      <w:color w:val="auto"/>
                      <w:sz w:val="21"/>
                      <w:szCs w:val="21"/>
                    </w:rPr>
                  </w:pPr>
                  <w:r>
                    <w:rPr>
                      <w:color w:val="auto"/>
                      <w:sz w:val="21"/>
                      <w:szCs w:val="21"/>
                    </w:rPr>
                    <w:t>砷</w:t>
                  </w:r>
                </w:p>
              </w:tc>
              <w:tc>
                <w:tcPr>
                  <w:tcW w:w="992" w:type="dxa"/>
                  <w:gridSpan w:val="2"/>
                  <w:tcBorders>
                    <w:top w:val="single" w:color="auto" w:sz="6" w:space="0"/>
                    <w:bottom w:val="single" w:color="auto" w:sz="6" w:space="0"/>
                  </w:tcBorders>
                  <w:shd w:val="clear" w:color="auto" w:fill="auto"/>
                  <w:vAlign w:val="center"/>
                </w:tcPr>
                <w:p>
                  <w:pPr>
                    <w:spacing w:line="0" w:lineRule="atLeast"/>
                    <w:jc w:val="center"/>
                    <w:rPr>
                      <w:color w:val="auto"/>
                      <w:sz w:val="21"/>
                      <w:szCs w:val="21"/>
                    </w:rPr>
                  </w:pPr>
                  <w:r>
                    <w:rPr>
                      <w:color w:val="auto"/>
                      <w:sz w:val="21"/>
                      <w:szCs w:val="21"/>
                    </w:rPr>
                    <w:t>镉</w:t>
                  </w:r>
                </w:p>
              </w:tc>
              <w:tc>
                <w:tcPr>
                  <w:tcW w:w="993" w:type="dxa"/>
                  <w:tcBorders>
                    <w:top w:val="single" w:color="auto" w:sz="6" w:space="0"/>
                    <w:bottom w:val="single" w:color="auto" w:sz="6" w:space="0"/>
                  </w:tcBorders>
                  <w:shd w:val="clear" w:color="auto" w:fill="auto"/>
                  <w:vAlign w:val="center"/>
                </w:tcPr>
                <w:p>
                  <w:pPr>
                    <w:spacing w:line="0" w:lineRule="atLeast"/>
                    <w:jc w:val="center"/>
                    <w:rPr>
                      <w:color w:val="auto"/>
                      <w:sz w:val="21"/>
                      <w:szCs w:val="21"/>
                    </w:rPr>
                  </w:pPr>
                  <w:r>
                    <w:rPr>
                      <w:color w:val="auto"/>
                      <w:sz w:val="21"/>
                      <w:szCs w:val="21"/>
                    </w:rPr>
                    <w:t>铅</w:t>
                  </w:r>
                </w:p>
              </w:tc>
              <w:tc>
                <w:tcPr>
                  <w:tcW w:w="850" w:type="dxa"/>
                  <w:tcBorders>
                    <w:top w:val="single" w:color="auto" w:sz="6" w:space="0"/>
                    <w:bottom w:val="single" w:color="auto" w:sz="6" w:space="0"/>
                  </w:tcBorders>
                  <w:shd w:val="clear" w:color="auto" w:fill="auto"/>
                  <w:vAlign w:val="center"/>
                </w:tcPr>
                <w:p>
                  <w:pPr>
                    <w:spacing w:line="0" w:lineRule="atLeast"/>
                    <w:jc w:val="center"/>
                    <w:rPr>
                      <w:color w:val="auto"/>
                      <w:sz w:val="21"/>
                      <w:szCs w:val="21"/>
                    </w:rPr>
                  </w:pPr>
                  <w:r>
                    <w:rPr>
                      <w:color w:val="auto"/>
                      <w:sz w:val="21"/>
                      <w:szCs w:val="21"/>
                    </w:rPr>
                    <w:t>六价铬</w:t>
                  </w:r>
                </w:p>
              </w:tc>
              <w:tc>
                <w:tcPr>
                  <w:tcW w:w="992" w:type="dxa"/>
                  <w:tcBorders>
                    <w:top w:val="single" w:color="auto" w:sz="6" w:space="0"/>
                    <w:bottom w:val="single" w:color="auto" w:sz="6" w:space="0"/>
                  </w:tcBorders>
                  <w:shd w:val="clear" w:color="auto" w:fill="auto"/>
                  <w:vAlign w:val="center"/>
                </w:tcPr>
                <w:p>
                  <w:pPr>
                    <w:spacing w:line="0" w:lineRule="atLeast"/>
                    <w:jc w:val="center"/>
                    <w:rPr>
                      <w:color w:val="auto"/>
                      <w:sz w:val="21"/>
                      <w:szCs w:val="21"/>
                    </w:rPr>
                  </w:pPr>
                  <w:r>
                    <w:rPr>
                      <w:color w:val="auto"/>
                      <w:sz w:val="21"/>
                      <w:szCs w:val="21"/>
                    </w:rPr>
                    <w:t>汞</w:t>
                  </w:r>
                </w:p>
              </w:tc>
              <w:tc>
                <w:tcPr>
                  <w:tcW w:w="746" w:type="dxa"/>
                  <w:shd w:val="clear" w:color="auto" w:fill="auto"/>
                  <w:vAlign w:val="center"/>
                </w:tcPr>
                <w:p>
                  <w:pPr>
                    <w:spacing w:line="0" w:lineRule="atLeast"/>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 w:type="dxa"/>
                  <w:shd w:val="clear" w:color="auto" w:fill="auto"/>
                  <w:vAlign w:val="center"/>
                </w:tcPr>
                <w:p>
                  <w:pPr>
                    <w:ind w:left="-160" w:leftChars="-50" w:right="-160" w:rightChars="-50"/>
                    <w:jc w:val="center"/>
                    <w:rPr>
                      <w:color w:val="auto"/>
                      <w:sz w:val="21"/>
                      <w:szCs w:val="21"/>
                    </w:rPr>
                  </w:pPr>
                  <w:r>
                    <w:rPr>
                      <w:color w:val="auto"/>
                      <w:sz w:val="21"/>
                      <w:szCs w:val="21"/>
                    </w:rPr>
                    <w:t>XWS2-1</w:t>
                  </w:r>
                </w:p>
              </w:tc>
              <w:tc>
                <w:tcPr>
                  <w:tcW w:w="993" w:type="dxa"/>
                  <w:tcBorders>
                    <w:top w:val="single" w:color="auto" w:sz="6" w:space="0"/>
                  </w:tcBorders>
                  <w:shd w:val="clear" w:color="auto" w:fill="auto"/>
                  <w:vAlign w:val="center"/>
                </w:tcPr>
                <w:p>
                  <w:pPr>
                    <w:jc w:val="center"/>
                    <w:rPr>
                      <w:color w:val="auto"/>
                      <w:sz w:val="21"/>
                      <w:szCs w:val="21"/>
                    </w:rPr>
                  </w:pPr>
                  <w:r>
                    <w:rPr>
                      <w:color w:val="auto"/>
                      <w:sz w:val="21"/>
                      <w:szCs w:val="21"/>
                    </w:rPr>
                    <w:t>0.00070</w:t>
                  </w:r>
                </w:p>
              </w:tc>
              <w:tc>
                <w:tcPr>
                  <w:tcW w:w="992" w:type="dxa"/>
                  <w:tcBorders>
                    <w:top w:val="single" w:color="auto" w:sz="6" w:space="0"/>
                  </w:tcBorders>
                  <w:shd w:val="clear" w:color="auto" w:fill="auto"/>
                  <w:vAlign w:val="center"/>
                </w:tcPr>
                <w:p>
                  <w:pPr>
                    <w:jc w:val="center"/>
                    <w:rPr>
                      <w:color w:val="auto"/>
                      <w:sz w:val="21"/>
                      <w:szCs w:val="21"/>
                    </w:rPr>
                  </w:pPr>
                  <w:r>
                    <w:rPr>
                      <w:color w:val="auto"/>
                      <w:sz w:val="21"/>
                      <w:szCs w:val="21"/>
                    </w:rPr>
                    <w:t>0.009</w:t>
                  </w:r>
                </w:p>
              </w:tc>
              <w:tc>
                <w:tcPr>
                  <w:tcW w:w="992" w:type="dxa"/>
                  <w:tcBorders>
                    <w:top w:val="single" w:color="auto" w:sz="6" w:space="0"/>
                  </w:tcBorders>
                  <w:shd w:val="clear" w:color="auto" w:fill="auto"/>
                  <w:vAlign w:val="center"/>
                </w:tcPr>
                <w:p>
                  <w:pPr>
                    <w:jc w:val="center"/>
                    <w:rPr>
                      <w:color w:val="auto"/>
                      <w:sz w:val="21"/>
                      <w:szCs w:val="21"/>
                    </w:rPr>
                  </w:pPr>
                  <w:r>
                    <w:rPr>
                      <w:color w:val="auto"/>
                      <w:sz w:val="21"/>
                      <w:szCs w:val="21"/>
                    </w:rPr>
                    <w:t>0.00658</w:t>
                  </w:r>
                </w:p>
              </w:tc>
              <w:tc>
                <w:tcPr>
                  <w:tcW w:w="992" w:type="dxa"/>
                  <w:gridSpan w:val="2"/>
                  <w:tcBorders>
                    <w:top w:val="single" w:color="auto" w:sz="6" w:space="0"/>
                  </w:tcBorders>
                  <w:shd w:val="clear" w:color="auto" w:fill="auto"/>
                  <w:vAlign w:val="center"/>
                </w:tcPr>
                <w:p>
                  <w:pPr>
                    <w:jc w:val="center"/>
                    <w:rPr>
                      <w:color w:val="auto"/>
                      <w:sz w:val="21"/>
                      <w:szCs w:val="21"/>
                    </w:rPr>
                  </w:pPr>
                  <w:r>
                    <w:rPr>
                      <w:color w:val="auto"/>
                      <w:sz w:val="21"/>
                      <w:szCs w:val="21"/>
                    </w:rPr>
                    <w:t>0.00010</w:t>
                  </w:r>
                </w:p>
              </w:tc>
              <w:tc>
                <w:tcPr>
                  <w:tcW w:w="993" w:type="dxa"/>
                  <w:tcBorders>
                    <w:top w:val="single" w:color="auto" w:sz="6" w:space="0"/>
                  </w:tcBorders>
                  <w:shd w:val="clear" w:color="auto" w:fill="auto"/>
                  <w:vAlign w:val="center"/>
                </w:tcPr>
                <w:p>
                  <w:pPr>
                    <w:jc w:val="center"/>
                    <w:rPr>
                      <w:color w:val="auto"/>
                      <w:sz w:val="21"/>
                      <w:szCs w:val="21"/>
                    </w:rPr>
                  </w:pPr>
                  <w:r>
                    <w:rPr>
                      <w:color w:val="auto"/>
                      <w:sz w:val="21"/>
                      <w:szCs w:val="21"/>
                    </w:rPr>
                    <w:t>0.00061</w:t>
                  </w:r>
                </w:p>
              </w:tc>
              <w:tc>
                <w:tcPr>
                  <w:tcW w:w="850" w:type="dxa"/>
                  <w:tcBorders>
                    <w:top w:val="single" w:color="auto" w:sz="6" w:space="0"/>
                  </w:tcBorders>
                  <w:shd w:val="clear" w:color="auto" w:fill="auto"/>
                  <w:vAlign w:val="center"/>
                </w:tcPr>
                <w:p>
                  <w:pPr>
                    <w:jc w:val="center"/>
                    <w:rPr>
                      <w:color w:val="auto"/>
                      <w:sz w:val="21"/>
                      <w:szCs w:val="21"/>
                    </w:rPr>
                  </w:pPr>
                  <w:r>
                    <w:rPr>
                      <w:color w:val="auto"/>
                      <w:sz w:val="21"/>
                      <w:szCs w:val="21"/>
                    </w:rPr>
                    <w:t>N.D</w:t>
                  </w:r>
                </w:p>
              </w:tc>
              <w:tc>
                <w:tcPr>
                  <w:tcW w:w="992" w:type="dxa"/>
                  <w:tcBorders>
                    <w:top w:val="single" w:color="auto" w:sz="6" w:space="0"/>
                  </w:tcBorders>
                  <w:shd w:val="clear" w:color="auto" w:fill="auto"/>
                  <w:vAlign w:val="center"/>
                </w:tcPr>
                <w:p>
                  <w:pPr>
                    <w:jc w:val="center"/>
                    <w:rPr>
                      <w:color w:val="auto"/>
                      <w:sz w:val="21"/>
                      <w:szCs w:val="21"/>
                    </w:rPr>
                  </w:pPr>
                  <w:r>
                    <w:rPr>
                      <w:color w:val="auto"/>
                      <w:sz w:val="21"/>
                      <w:szCs w:val="21"/>
                    </w:rPr>
                    <w:t>0.00016</w:t>
                  </w:r>
                </w:p>
              </w:tc>
              <w:tc>
                <w:tcPr>
                  <w:tcW w:w="746" w:type="dxa"/>
                  <w:shd w:val="clear" w:color="auto" w:fill="auto"/>
                  <w:vAlign w:val="center"/>
                </w:tcPr>
                <w:p>
                  <w:pPr>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 w:type="dxa"/>
                  <w:shd w:val="clear" w:color="auto" w:fill="auto"/>
                  <w:vAlign w:val="center"/>
                </w:tcPr>
                <w:p>
                  <w:pPr>
                    <w:ind w:left="-160" w:leftChars="-50" w:right="-160" w:rightChars="-50"/>
                    <w:jc w:val="center"/>
                    <w:rPr>
                      <w:color w:val="auto"/>
                      <w:sz w:val="21"/>
                      <w:szCs w:val="21"/>
                    </w:rPr>
                  </w:pPr>
                  <w:r>
                    <w:rPr>
                      <w:color w:val="auto"/>
                      <w:sz w:val="21"/>
                      <w:szCs w:val="21"/>
                    </w:rPr>
                    <w:t>XWS3-1</w:t>
                  </w:r>
                </w:p>
              </w:tc>
              <w:tc>
                <w:tcPr>
                  <w:tcW w:w="993" w:type="dxa"/>
                  <w:shd w:val="clear" w:color="auto" w:fill="auto"/>
                  <w:vAlign w:val="center"/>
                </w:tcPr>
                <w:p>
                  <w:pPr>
                    <w:jc w:val="center"/>
                    <w:rPr>
                      <w:color w:val="auto"/>
                      <w:sz w:val="21"/>
                      <w:szCs w:val="21"/>
                    </w:rPr>
                  </w:pPr>
                  <w:r>
                    <w:rPr>
                      <w:color w:val="auto"/>
                      <w:sz w:val="21"/>
                      <w:szCs w:val="21"/>
                    </w:rPr>
                    <w:t>0.00141</w:t>
                  </w:r>
                </w:p>
              </w:tc>
              <w:tc>
                <w:tcPr>
                  <w:tcW w:w="992" w:type="dxa"/>
                  <w:shd w:val="clear" w:color="auto" w:fill="auto"/>
                  <w:vAlign w:val="center"/>
                </w:tcPr>
                <w:p>
                  <w:pPr>
                    <w:jc w:val="center"/>
                    <w:rPr>
                      <w:color w:val="auto"/>
                      <w:sz w:val="21"/>
                      <w:szCs w:val="21"/>
                    </w:rPr>
                  </w:pPr>
                  <w:r>
                    <w:rPr>
                      <w:color w:val="auto"/>
                      <w:sz w:val="21"/>
                      <w:szCs w:val="21"/>
                    </w:rPr>
                    <w:t>0.0164</w:t>
                  </w:r>
                </w:p>
              </w:tc>
              <w:tc>
                <w:tcPr>
                  <w:tcW w:w="992" w:type="dxa"/>
                  <w:shd w:val="clear" w:color="auto" w:fill="auto"/>
                  <w:vAlign w:val="center"/>
                </w:tcPr>
                <w:p>
                  <w:pPr>
                    <w:jc w:val="center"/>
                    <w:rPr>
                      <w:color w:val="auto"/>
                      <w:sz w:val="21"/>
                      <w:szCs w:val="21"/>
                    </w:rPr>
                  </w:pPr>
                  <w:r>
                    <w:rPr>
                      <w:color w:val="auto"/>
                      <w:sz w:val="21"/>
                      <w:szCs w:val="21"/>
                    </w:rPr>
                    <w:t>0.00356</w:t>
                  </w:r>
                </w:p>
              </w:tc>
              <w:tc>
                <w:tcPr>
                  <w:tcW w:w="992" w:type="dxa"/>
                  <w:gridSpan w:val="2"/>
                  <w:shd w:val="clear" w:color="auto" w:fill="auto"/>
                  <w:vAlign w:val="center"/>
                </w:tcPr>
                <w:p>
                  <w:pPr>
                    <w:jc w:val="center"/>
                    <w:rPr>
                      <w:color w:val="auto"/>
                      <w:sz w:val="21"/>
                      <w:szCs w:val="21"/>
                    </w:rPr>
                  </w:pPr>
                  <w:r>
                    <w:rPr>
                      <w:color w:val="auto"/>
                      <w:sz w:val="21"/>
                      <w:szCs w:val="21"/>
                    </w:rPr>
                    <w:t>0.00015</w:t>
                  </w:r>
                </w:p>
              </w:tc>
              <w:tc>
                <w:tcPr>
                  <w:tcW w:w="993" w:type="dxa"/>
                  <w:shd w:val="clear" w:color="auto" w:fill="auto"/>
                  <w:vAlign w:val="center"/>
                </w:tcPr>
                <w:p>
                  <w:pPr>
                    <w:jc w:val="center"/>
                    <w:rPr>
                      <w:color w:val="auto"/>
                      <w:sz w:val="21"/>
                      <w:szCs w:val="21"/>
                    </w:rPr>
                  </w:pPr>
                  <w:r>
                    <w:rPr>
                      <w:color w:val="auto"/>
                      <w:sz w:val="21"/>
                      <w:szCs w:val="21"/>
                    </w:rPr>
                    <w:t>0.00052</w:t>
                  </w:r>
                </w:p>
              </w:tc>
              <w:tc>
                <w:tcPr>
                  <w:tcW w:w="850" w:type="dxa"/>
                  <w:shd w:val="clear" w:color="auto" w:fill="auto"/>
                  <w:vAlign w:val="center"/>
                </w:tcPr>
                <w:p>
                  <w:pPr>
                    <w:jc w:val="center"/>
                    <w:rPr>
                      <w:color w:val="auto"/>
                      <w:sz w:val="21"/>
                      <w:szCs w:val="21"/>
                    </w:rPr>
                  </w:pPr>
                  <w:r>
                    <w:rPr>
                      <w:color w:val="auto"/>
                      <w:sz w:val="21"/>
                      <w:szCs w:val="21"/>
                    </w:rPr>
                    <w:t>N.D</w:t>
                  </w:r>
                </w:p>
              </w:tc>
              <w:tc>
                <w:tcPr>
                  <w:tcW w:w="992" w:type="dxa"/>
                  <w:shd w:val="clear" w:color="auto" w:fill="auto"/>
                  <w:vAlign w:val="center"/>
                </w:tcPr>
                <w:p>
                  <w:pPr>
                    <w:jc w:val="center"/>
                    <w:rPr>
                      <w:color w:val="auto"/>
                      <w:sz w:val="21"/>
                      <w:szCs w:val="21"/>
                    </w:rPr>
                  </w:pPr>
                  <w:r>
                    <w:rPr>
                      <w:color w:val="auto"/>
                      <w:sz w:val="21"/>
                      <w:szCs w:val="21"/>
                    </w:rPr>
                    <w:t>0.00012</w:t>
                  </w:r>
                </w:p>
              </w:tc>
              <w:tc>
                <w:tcPr>
                  <w:tcW w:w="746" w:type="dxa"/>
                  <w:shd w:val="clear" w:color="auto" w:fill="auto"/>
                  <w:vAlign w:val="center"/>
                </w:tcPr>
                <w:p>
                  <w:pPr>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 w:type="dxa"/>
                  <w:shd w:val="clear" w:color="auto" w:fill="auto"/>
                  <w:vAlign w:val="center"/>
                </w:tcPr>
                <w:p>
                  <w:pPr>
                    <w:ind w:left="-160" w:leftChars="-50" w:right="-160" w:rightChars="-50"/>
                    <w:jc w:val="center"/>
                    <w:rPr>
                      <w:color w:val="auto"/>
                      <w:sz w:val="21"/>
                      <w:szCs w:val="21"/>
                    </w:rPr>
                  </w:pPr>
                  <w:r>
                    <w:rPr>
                      <w:color w:val="auto"/>
                      <w:sz w:val="21"/>
                      <w:szCs w:val="21"/>
                    </w:rPr>
                    <w:t>XWS4-1</w:t>
                  </w:r>
                </w:p>
              </w:tc>
              <w:tc>
                <w:tcPr>
                  <w:tcW w:w="993" w:type="dxa"/>
                  <w:shd w:val="clear" w:color="auto" w:fill="auto"/>
                  <w:vAlign w:val="center"/>
                </w:tcPr>
                <w:p>
                  <w:pPr>
                    <w:jc w:val="center"/>
                    <w:rPr>
                      <w:color w:val="auto"/>
                      <w:sz w:val="21"/>
                      <w:szCs w:val="21"/>
                    </w:rPr>
                  </w:pPr>
                  <w:r>
                    <w:rPr>
                      <w:color w:val="auto"/>
                      <w:sz w:val="21"/>
                      <w:szCs w:val="21"/>
                    </w:rPr>
                    <w:t>0.00067</w:t>
                  </w:r>
                </w:p>
              </w:tc>
              <w:tc>
                <w:tcPr>
                  <w:tcW w:w="992" w:type="dxa"/>
                  <w:shd w:val="clear" w:color="auto" w:fill="auto"/>
                  <w:vAlign w:val="center"/>
                </w:tcPr>
                <w:p>
                  <w:pPr>
                    <w:jc w:val="center"/>
                    <w:rPr>
                      <w:color w:val="auto"/>
                      <w:sz w:val="21"/>
                      <w:szCs w:val="21"/>
                    </w:rPr>
                  </w:pPr>
                  <w:r>
                    <w:rPr>
                      <w:color w:val="auto"/>
                      <w:sz w:val="21"/>
                      <w:szCs w:val="21"/>
                    </w:rPr>
                    <w:t>0.00755</w:t>
                  </w:r>
                </w:p>
              </w:tc>
              <w:tc>
                <w:tcPr>
                  <w:tcW w:w="992" w:type="dxa"/>
                  <w:shd w:val="clear" w:color="auto" w:fill="auto"/>
                  <w:vAlign w:val="center"/>
                </w:tcPr>
                <w:p>
                  <w:pPr>
                    <w:jc w:val="center"/>
                    <w:rPr>
                      <w:color w:val="auto"/>
                      <w:sz w:val="21"/>
                      <w:szCs w:val="21"/>
                    </w:rPr>
                  </w:pPr>
                  <w:r>
                    <w:rPr>
                      <w:color w:val="auto"/>
                      <w:sz w:val="21"/>
                      <w:szCs w:val="21"/>
                    </w:rPr>
                    <w:t>0.00287</w:t>
                  </w:r>
                </w:p>
              </w:tc>
              <w:tc>
                <w:tcPr>
                  <w:tcW w:w="992" w:type="dxa"/>
                  <w:gridSpan w:val="2"/>
                  <w:shd w:val="clear" w:color="auto" w:fill="auto"/>
                  <w:vAlign w:val="center"/>
                </w:tcPr>
                <w:p>
                  <w:pPr>
                    <w:jc w:val="center"/>
                    <w:rPr>
                      <w:color w:val="auto"/>
                      <w:sz w:val="21"/>
                      <w:szCs w:val="21"/>
                    </w:rPr>
                  </w:pPr>
                  <w:r>
                    <w:rPr>
                      <w:color w:val="auto"/>
                      <w:sz w:val="21"/>
                      <w:szCs w:val="21"/>
                    </w:rPr>
                    <w:t>N.D</w:t>
                  </w:r>
                </w:p>
              </w:tc>
              <w:tc>
                <w:tcPr>
                  <w:tcW w:w="993" w:type="dxa"/>
                  <w:shd w:val="clear" w:color="auto" w:fill="auto"/>
                  <w:vAlign w:val="center"/>
                </w:tcPr>
                <w:p>
                  <w:pPr>
                    <w:jc w:val="center"/>
                    <w:rPr>
                      <w:color w:val="auto"/>
                      <w:sz w:val="21"/>
                      <w:szCs w:val="21"/>
                    </w:rPr>
                  </w:pPr>
                  <w:r>
                    <w:rPr>
                      <w:color w:val="auto"/>
                      <w:sz w:val="21"/>
                      <w:szCs w:val="21"/>
                    </w:rPr>
                    <w:t>0.00036</w:t>
                  </w:r>
                </w:p>
              </w:tc>
              <w:tc>
                <w:tcPr>
                  <w:tcW w:w="850" w:type="dxa"/>
                  <w:shd w:val="clear" w:color="auto" w:fill="auto"/>
                  <w:vAlign w:val="center"/>
                </w:tcPr>
                <w:p>
                  <w:pPr>
                    <w:jc w:val="center"/>
                    <w:rPr>
                      <w:color w:val="auto"/>
                      <w:sz w:val="21"/>
                      <w:szCs w:val="21"/>
                    </w:rPr>
                  </w:pPr>
                  <w:r>
                    <w:rPr>
                      <w:color w:val="auto"/>
                      <w:sz w:val="21"/>
                      <w:szCs w:val="21"/>
                    </w:rPr>
                    <w:t>N.D</w:t>
                  </w:r>
                </w:p>
              </w:tc>
              <w:tc>
                <w:tcPr>
                  <w:tcW w:w="992" w:type="dxa"/>
                  <w:shd w:val="clear" w:color="auto" w:fill="auto"/>
                  <w:vAlign w:val="center"/>
                </w:tcPr>
                <w:p>
                  <w:pPr>
                    <w:jc w:val="center"/>
                    <w:rPr>
                      <w:color w:val="auto"/>
                      <w:sz w:val="21"/>
                      <w:szCs w:val="21"/>
                    </w:rPr>
                  </w:pPr>
                  <w:r>
                    <w:rPr>
                      <w:color w:val="auto"/>
                      <w:sz w:val="21"/>
                      <w:szCs w:val="21"/>
                    </w:rPr>
                    <w:t>0.00016</w:t>
                  </w:r>
                </w:p>
              </w:tc>
              <w:tc>
                <w:tcPr>
                  <w:tcW w:w="746" w:type="dxa"/>
                  <w:shd w:val="clear" w:color="auto" w:fill="auto"/>
                  <w:vAlign w:val="center"/>
                </w:tcPr>
                <w:p>
                  <w:pPr>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 w:type="dxa"/>
                  <w:shd w:val="clear" w:color="auto" w:fill="auto"/>
                  <w:vAlign w:val="center"/>
                </w:tcPr>
                <w:p>
                  <w:pPr>
                    <w:ind w:left="-160" w:leftChars="-50" w:right="-160" w:rightChars="-50"/>
                    <w:jc w:val="center"/>
                    <w:rPr>
                      <w:color w:val="auto"/>
                      <w:sz w:val="21"/>
                      <w:szCs w:val="21"/>
                    </w:rPr>
                  </w:pPr>
                  <w:r>
                    <w:rPr>
                      <w:color w:val="auto"/>
                      <w:sz w:val="21"/>
                      <w:szCs w:val="21"/>
                    </w:rPr>
                    <w:t>XWS5-1</w:t>
                  </w:r>
                </w:p>
              </w:tc>
              <w:tc>
                <w:tcPr>
                  <w:tcW w:w="993" w:type="dxa"/>
                  <w:shd w:val="clear" w:color="auto" w:fill="auto"/>
                  <w:vAlign w:val="center"/>
                </w:tcPr>
                <w:p>
                  <w:pPr>
                    <w:jc w:val="center"/>
                    <w:rPr>
                      <w:color w:val="auto"/>
                      <w:sz w:val="21"/>
                      <w:szCs w:val="21"/>
                    </w:rPr>
                  </w:pPr>
                  <w:r>
                    <w:rPr>
                      <w:color w:val="auto"/>
                      <w:sz w:val="21"/>
                      <w:szCs w:val="21"/>
                    </w:rPr>
                    <w:t>0.00098</w:t>
                  </w:r>
                </w:p>
              </w:tc>
              <w:tc>
                <w:tcPr>
                  <w:tcW w:w="992" w:type="dxa"/>
                  <w:shd w:val="clear" w:color="auto" w:fill="auto"/>
                  <w:vAlign w:val="center"/>
                </w:tcPr>
                <w:p>
                  <w:pPr>
                    <w:jc w:val="center"/>
                    <w:rPr>
                      <w:color w:val="auto"/>
                      <w:sz w:val="21"/>
                      <w:szCs w:val="21"/>
                    </w:rPr>
                  </w:pPr>
                  <w:r>
                    <w:rPr>
                      <w:color w:val="auto"/>
                      <w:sz w:val="21"/>
                      <w:szCs w:val="21"/>
                    </w:rPr>
                    <w:t>0.00912</w:t>
                  </w:r>
                </w:p>
              </w:tc>
              <w:tc>
                <w:tcPr>
                  <w:tcW w:w="992" w:type="dxa"/>
                  <w:shd w:val="clear" w:color="auto" w:fill="auto"/>
                  <w:vAlign w:val="center"/>
                </w:tcPr>
                <w:p>
                  <w:pPr>
                    <w:jc w:val="center"/>
                    <w:rPr>
                      <w:color w:val="auto"/>
                      <w:sz w:val="21"/>
                      <w:szCs w:val="21"/>
                    </w:rPr>
                  </w:pPr>
                  <w:r>
                    <w:rPr>
                      <w:color w:val="auto"/>
                      <w:sz w:val="21"/>
                      <w:szCs w:val="21"/>
                    </w:rPr>
                    <w:t>0.00314</w:t>
                  </w:r>
                </w:p>
              </w:tc>
              <w:tc>
                <w:tcPr>
                  <w:tcW w:w="992" w:type="dxa"/>
                  <w:gridSpan w:val="2"/>
                  <w:shd w:val="clear" w:color="auto" w:fill="auto"/>
                  <w:vAlign w:val="center"/>
                </w:tcPr>
                <w:p>
                  <w:pPr>
                    <w:jc w:val="center"/>
                    <w:rPr>
                      <w:color w:val="auto"/>
                      <w:sz w:val="21"/>
                      <w:szCs w:val="21"/>
                    </w:rPr>
                  </w:pPr>
                  <w:r>
                    <w:rPr>
                      <w:color w:val="auto"/>
                      <w:sz w:val="21"/>
                      <w:szCs w:val="21"/>
                    </w:rPr>
                    <w:t>0.00009</w:t>
                  </w:r>
                </w:p>
              </w:tc>
              <w:tc>
                <w:tcPr>
                  <w:tcW w:w="993" w:type="dxa"/>
                  <w:shd w:val="clear" w:color="auto" w:fill="auto"/>
                  <w:vAlign w:val="center"/>
                </w:tcPr>
                <w:p>
                  <w:pPr>
                    <w:jc w:val="center"/>
                    <w:rPr>
                      <w:color w:val="auto"/>
                      <w:sz w:val="21"/>
                      <w:szCs w:val="21"/>
                    </w:rPr>
                  </w:pPr>
                  <w:r>
                    <w:rPr>
                      <w:color w:val="auto"/>
                      <w:sz w:val="21"/>
                      <w:szCs w:val="21"/>
                    </w:rPr>
                    <w:t>0.00049</w:t>
                  </w:r>
                </w:p>
              </w:tc>
              <w:tc>
                <w:tcPr>
                  <w:tcW w:w="850" w:type="dxa"/>
                  <w:shd w:val="clear" w:color="auto" w:fill="auto"/>
                  <w:vAlign w:val="center"/>
                </w:tcPr>
                <w:p>
                  <w:pPr>
                    <w:jc w:val="center"/>
                    <w:rPr>
                      <w:color w:val="auto"/>
                      <w:sz w:val="21"/>
                      <w:szCs w:val="21"/>
                    </w:rPr>
                  </w:pPr>
                  <w:r>
                    <w:rPr>
                      <w:color w:val="auto"/>
                      <w:sz w:val="21"/>
                      <w:szCs w:val="21"/>
                    </w:rPr>
                    <w:t>N.D</w:t>
                  </w:r>
                </w:p>
              </w:tc>
              <w:tc>
                <w:tcPr>
                  <w:tcW w:w="992" w:type="dxa"/>
                  <w:shd w:val="clear" w:color="auto" w:fill="auto"/>
                  <w:vAlign w:val="center"/>
                </w:tcPr>
                <w:p>
                  <w:pPr>
                    <w:jc w:val="center"/>
                    <w:rPr>
                      <w:color w:val="auto"/>
                      <w:sz w:val="21"/>
                      <w:szCs w:val="21"/>
                    </w:rPr>
                  </w:pPr>
                  <w:r>
                    <w:rPr>
                      <w:color w:val="auto"/>
                      <w:sz w:val="21"/>
                      <w:szCs w:val="21"/>
                    </w:rPr>
                    <w:t>0.00010</w:t>
                  </w:r>
                </w:p>
              </w:tc>
              <w:tc>
                <w:tcPr>
                  <w:tcW w:w="746" w:type="dxa"/>
                  <w:shd w:val="clear" w:color="auto" w:fill="auto"/>
                  <w:vAlign w:val="center"/>
                </w:tcPr>
                <w:p>
                  <w:pPr>
                    <w:jc w:val="center"/>
                    <w:rPr>
                      <w:color w:val="auto"/>
                      <w:sz w:val="21"/>
                      <w:szCs w:val="21"/>
                    </w:rPr>
                  </w:pPr>
                </w:p>
              </w:tc>
            </w:tr>
          </w:tbl>
          <w:p>
            <w:pPr>
              <w:ind w:firstLine="480" w:firstLineChars="200"/>
              <w:jc w:val="left"/>
              <w:rPr>
                <w:color w:val="auto"/>
                <w:sz w:val="24"/>
              </w:rPr>
            </w:pPr>
            <w:r>
              <w:rPr>
                <w:rFonts w:hint="eastAsia"/>
                <w:color w:val="auto"/>
                <w:sz w:val="24"/>
              </w:rPr>
              <w:t>场地范围内各地表水质量标准符合《地表水环境质量标准》Ⅴ类标准。</w:t>
            </w:r>
          </w:p>
          <w:p>
            <w:pPr>
              <w:ind w:firstLine="480" w:firstLineChars="200"/>
              <w:jc w:val="left"/>
              <w:rPr>
                <w:color w:val="auto"/>
                <w:sz w:val="24"/>
              </w:rPr>
            </w:pPr>
            <w:r>
              <w:rPr>
                <w:rFonts w:hint="eastAsia"/>
                <w:color w:val="auto"/>
                <w:sz w:val="24"/>
              </w:rPr>
              <w:t>池塘底泥检测结果见表14~表15。</w:t>
            </w:r>
          </w:p>
          <w:p>
            <w:pPr>
              <w:jc w:val="center"/>
              <w:rPr>
                <w:b/>
                <w:bCs/>
                <w:color w:val="auto"/>
                <w:sz w:val="24"/>
              </w:rPr>
            </w:pPr>
            <w:r>
              <w:rPr>
                <w:rFonts w:hint="eastAsia"/>
                <w:b/>
                <w:bCs/>
                <w:color w:val="auto"/>
                <w:sz w:val="24"/>
              </w:rPr>
              <w:t>表14  池塘底泥（沉积物）重金属酸浸检测数据表</w:t>
            </w:r>
          </w:p>
          <w:tbl>
            <w:tblPr>
              <w:tblStyle w:val="43"/>
              <w:tblW w:w="8791" w:type="dxa"/>
              <w:jc w:val="righ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28"/>
              <w:gridCol w:w="708"/>
              <w:gridCol w:w="709"/>
              <w:gridCol w:w="590"/>
              <w:gridCol w:w="828"/>
              <w:gridCol w:w="850"/>
              <w:gridCol w:w="585"/>
              <w:gridCol w:w="850"/>
              <w:gridCol w:w="993"/>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right"/>
              </w:trPr>
              <w:tc>
                <w:tcPr>
                  <w:tcW w:w="1828" w:type="dxa"/>
                  <w:vMerge w:val="restart"/>
                  <w:tcBorders>
                    <w:top w:val="single" w:color="auto" w:sz="12" w:space="0"/>
                    <w:bottom w:val="single" w:color="auto" w:sz="6" w:space="0"/>
                  </w:tcBorders>
                  <w:shd w:val="clear" w:color="auto" w:fill="auto"/>
                  <w:vAlign w:val="center"/>
                </w:tcPr>
                <w:p>
                  <w:pPr>
                    <w:jc w:val="center"/>
                    <w:rPr>
                      <w:bCs/>
                      <w:color w:val="auto"/>
                      <w:sz w:val="21"/>
                      <w:szCs w:val="21"/>
                    </w:rPr>
                  </w:pPr>
                  <w:r>
                    <w:rPr>
                      <w:bCs/>
                      <w:color w:val="auto"/>
                      <w:sz w:val="21"/>
                      <w:szCs w:val="21"/>
                    </w:rPr>
                    <w:t>样品标识</w:t>
                  </w:r>
                </w:p>
              </w:tc>
              <w:tc>
                <w:tcPr>
                  <w:tcW w:w="6963" w:type="dxa"/>
                  <w:gridSpan w:val="9"/>
                  <w:tcBorders>
                    <w:top w:val="single" w:color="auto" w:sz="12" w:space="0"/>
                    <w:bottom w:val="single" w:color="auto" w:sz="6" w:space="0"/>
                  </w:tcBorders>
                  <w:shd w:val="clear" w:color="auto" w:fill="auto"/>
                  <w:vAlign w:val="center"/>
                </w:tcPr>
                <w:p>
                  <w:pPr>
                    <w:jc w:val="center"/>
                    <w:rPr>
                      <w:color w:val="auto"/>
                      <w:sz w:val="21"/>
                      <w:szCs w:val="21"/>
                    </w:rPr>
                  </w:pPr>
                  <w:r>
                    <w:rPr>
                      <w:color w:val="auto"/>
                      <w:sz w:val="21"/>
                      <w:szCs w:val="21"/>
                    </w:rPr>
                    <w:t>检测项目及结果（mg/L）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right"/>
              </w:trPr>
              <w:tc>
                <w:tcPr>
                  <w:tcW w:w="1828" w:type="dxa"/>
                  <w:vMerge w:val="continue"/>
                  <w:tcBorders>
                    <w:top w:val="single" w:color="auto" w:sz="6" w:space="0"/>
                    <w:bottom w:val="single" w:color="auto" w:sz="6" w:space="0"/>
                  </w:tcBorders>
                  <w:shd w:val="clear" w:color="auto" w:fill="auto"/>
                  <w:vAlign w:val="center"/>
                </w:tcPr>
                <w:p>
                  <w:pPr>
                    <w:jc w:val="center"/>
                    <w:rPr>
                      <w:color w:val="auto"/>
                      <w:sz w:val="21"/>
                      <w:szCs w:val="21"/>
                    </w:rPr>
                  </w:pPr>
                </w:p>
              </w:tc>
              <w:tc>
                <w:tcPr>
                  <w:tcW w:w="708" w:type="dxa"/>
                  <w:tcBorders>
                    <w:top w:val="single" w:color="auto" w:sz="6" w:space="0"/>
                    <w:bottom w:val="single" w:color="auto" w:sz="6" w:space="0"/>
                  </w:tcBorders>
                  <w:shd w:val="clear" w:color="auto" w:fill="auto"/>
                  <w:vAlign w:val="center"/>
                </w:tcPr>
                <w:p>
                  <w:pPr>
                    <w:jc w:val="center"/>
                    <w:rPr>
                      <w:color w:val="auto"/>
                      <w:sz w:val="21"/>
                      <w:szCs w:val="21"/>
                    </w:rPr>
                  </w:pPr>
                  <w:r>
                    <w:rPr>
                      <w:color w:val="auto"/>
                      <w:sz w:val="21"/>
                      <w:szCs w:val="21"/>
                    </w:rPr>
                    <w:t>铬</w:t>
                  </w:r>
                </w:p>
              </w:tc>
              <w:tc>
                <w:tcPr>
                  <w:tcW w:w="709" w:type="dxa"/>
                  <w:tcBorders>
                    <w:top w:val="single" w:color="auto" w:sz="6" w:space="0"/>
                    <w:bottom w:val="single" w:color="auto" w:sz="6" w:space="0"/>
                  </w:tcBorders>
                  <w:shd w:val="clear" w:color="auto" w:fill="auto"/>
                  <w:vAlign w:val="center"/>
                </w:tcPr>
                <w:p>
                  <w:pPr>
                    <w:jc w:val="center"/>
                    <w:rPr>
                      <w:color w:val="auto"/>
                      <w:sz w:val="21"/>
                      <w:szCs w:val="21"/>
                    </w:rPr>
                  </w:pPr>
                  <w:r>
                    <w:rPr>
                      <w:color w:val="auto"/>
                      <w:sz w:val="21"/>
                      <w:szCs w:val="21"/>
                    </w:rPr>
                    <w:t>镍</w:t>
                  </w:r>
                </w:p>
              </w:tc>
              <w:tc>
                <w:tcPr>
                  <w:tcW w:w="590" w:type="dxa"/>
                  <w:tcBorders>
                    <w:top w:val="single" w:color="auto" w:sz="6" w:space="0"/>
                    <w:bottom w:val="single" w:color="auto" w:sz="6" w:space="0"/>
                  </w:tcBorders>
                  <w:shd w:val="clear" w:color="auto" w:fill="auto"/>
                  <w:vAlign w:val="center"/>
                </w:tcPr>
                <w:p>
                  <w:pPr>
                    <w:jc w:val="center"/>
                    <w:rPr>
                      <w:color w:val="auto"/>
                      <w:sz w:val="21"/>
                      <w:szCs w:val="21"/>
                    </w:rPr>
                  </w:pPr>
                  <w:r>
                    <w:rPr>
                      <w:color w:val="auto"/>
                      <w:sz w:val="21"/>
                      <w:szCs w:val="21"/>
                    </w:rPr>
                    <w:t>铜</w:t>
                  </w:r>
                </w:p>
              </w:tc>
              <w:tc>
                <w:tcPr>
                  <w:tcW w:w="828" w:type="dxa"/>
                  <w:tcBorders>
                    <w:top w:val="single" w:color="auto" w:sz="6" w:space="0"/>
                    <w:bottom w:val="single" w:color="auto" w:sz="6" w:space="0"/>
                  </w:tcBorders>
                  <w:shd w:val="clear" w:color="auto" w:fill="auto"/>
                  <w:vAlign w:val="center"/>
                </w:tcPr>
                <w:p>
                  <w:pPr>
                    <w:jc w:val="center"/>
                    <w:rPr>
                      <w:color w:val="auto"/>
                      <w:sz w:val="21"/>
                      <w:szCs w:val="21"/>
                    </w:rPr>
                  </w:pPr>
                  <w:r>
                    <w:rPr>
                      <w:color w:val="auto"/>
                      <w:sz w:val="21"/>
                      <w:szCs w:val="21"/>
                    </w:rPr>
                    <w:t>锌</w:t>
                  </w:r>
                </w:p>
              </w:tc>
              <w:tc>
                <w:tcPr>
                  <w:tcW w:w="850" w:type="dxa"/>
                  <w:tcBorders>
                    <w:top w:val="single" w:color="auto" w:sz="6" w:space="0"/>
                    <w:bottom w:val="single" w:color="auto" w:sz="6" w:space="0"/>
                  </w:tcBorders>
                  <w:shd w:val="clear" w:color="auto" w:fill="auto"/>
                  <w:vAlign w:val="center"/>
                </w:tcPr>
                <w:p>
                  <w:pPr>
                    <w:jc w:val="center"/>
                    <w:rPr>
                      <w:color w:val="auto"/>
                      <w:sz w:val="21"/>
                      <w:szCs w:val="21"/>
                    </w:rPr>
                  </w:pPr>
                  <w:r>
                    <w:rPr>
                      <w:color w:val="auto"/>
                      <w:sz w:val="21"/>
                      <w:szCs w:val="21"/>
                    </w:rPr>
                    <w:t>砷</w:t>
                  </w:r>
                </w:p>
              </w:tc>
              <w:tc>
                <w:tcPr>
                  <w:tcW w:w="585" w:type="dxa"/>
                  <w:tcBorders>
                    <w:top w:val="single" w:color="auto" w:sz="6" w:space="0"/>
                    <w:bottom w:val="single" w:color="auto" w:sz="6" w:space="0"/>
                  </w:tcBorders>
                  <w:shd w:val="clear" w:color="auto" w:fill="auto"/>
                  <w:vAlign w:val="center"/>
                </w:tcPr>
                <w:p>
                  <w:pPr>
                    <w:jc w:val="center"/>
                    <w:rPr>
                      <w:color w:val="auto"/>
                      <w:sz w:val="21"/>
                      <w:szCs w:val="21"/>
                    </w:rPr>
                  </w:pPr>
                  <w:r>
                    <w:rPr>
                      <w:color w:val="auto"/>
                      <w:sz w:val="21"/>
                      <w:szCs w:val="21"/>
                    </w:rPr>
                    <w:t>镉</w:t>
                  </w:r>
                </w:p>
              </w:tc>
              <w:tc>
                <w:tcPr>
                  <w:tcW w:w="850" w:type="dxa"/>
                  <w:tcBorders>
                    <w:top w:val="single" w:color="auto" w:sz="6" w:space="0"/>
                    <w:bottom w:val="single" w:color="auto" w:sz="6" w:space="0"/>
                  </w:tcBorders>
                  <w:shd w:val="clear" w:color="auto" w:fill="auto"/>
                  <w:vAlign w:val="center"/>
                </w:tcPr>
                <w:p>
                  <w:pPr>
                    <w:jc w:val="center"/>
                    <w:rPr>
                      <w:color w:val="auto"/>
                      <w:sz w:val="21"/>
                      <w:szCs w:val="21"/>
                    </w:rPr>
                  </w:pPr>
                  <w:r>
                    <w:rPr>
                      <w:color w:val="auto"/>
                      <w:sz w:val="21"/>
                      <w:szCs w:val="21"/>
                    </w:rPr>
                    <w:t>铅</w:t>
                  </w:r>
                </w:p>
              </w:tc>
              <w:tc>
                <w:tcPr>
                  <w:tcW w:w="993" w:type="dxa"/>
                  <w:tcBorders>
                    <w:top w:val="single" w:color="auto" w:sz="6" w:space="0"/>
                    <w:bottom w:val="single" w:color="auto" w:sz="6" w:space="0"/>
                  </w:tcBorders>
                  <w:shd w:val="clear" w:color="auto" w:fill="auto"/>
                  <w:vAlign w:val="center"/>
                </w:tcPr>
                <w:p>
                  <w:pPr>
                    <w:jc w:val="center"/>
                    <w:rPr>
                      <w:color w:val="auto"/>
                      <w:sz w:val="21"/>
                      <w:szCs w:val="21"/>
                    </w:rPr>
                  </w:pPr>
                  <w:r>
                    <w:rPr>
                      <w:color w:val="auto"/>
                      <w:sz w:val="21"/>
                      <w:szCs w:val="21"/>
                    </w:rPr>
                    <w:t>汞</w:t>
                  </w:r>
                </w:p>
              </w:tc>
              <w:tc>
                <w:tcPr>
                  <w:tcW w:w="850" w:type="dxa"/>
                  <w:tcBorders>
                    <w:top w:val="single" w:color="auto" w:sz="6" w:space="0"/>
                    <w:bottom w:val="single" w:color="auto" w:sz="6" w:space="0"/>
                  </w:tcBorders>
                  <w:shd w:val="clear" w:color="auto" w:fill="auto"/>
                  <w:vAlign w:val="center"/>
                </w:tcPr>
                <w:p>
                  <w:pPr>
                    <w:jc w:val="center"/>
                    <w:rPr>
                      <w:color w:val="auto"/>
                      <w:sz w:val="21"/>
                      <w:szCs w:val="21"/>
                    </w:rPr>
                  </w:pPr>
                  <w:r>
                    <w:rPr>
                      <w:color w:val="auto"/>
                      <w:sz w:val="21"/>
                      <w:szCs w:val="21"/>
                    </w:rPr>
                    <w:t>六价铬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right"/>
              </w:trPr>
              <w:tc>
                <w:tcPr>
                  <w:tcW w:w="1828" w:type="dxa"/>
                  <w:shd w:val="clear" w:color="auto" w:fill="auto"/>
                  <w:vAlign w:val="center"/>
                </w:tcPr>
                <w:p>
                  <w:pPr>
                    <w:ind w:left="-160" w:leftChars="-50" w:right="-160" w:rightChars="-50"/>
                    <w:jc w:val="center"/>
                    <w:rPr>
                      <w:bCs/>
                      <w:color w:val="auto"/>
                      <w:sz w:val="21"/>
                      <w:szCs w:val="21"/>
                    </w:rPr>
                  </w:pPr>
                  <w:r>
                    <w:rPr>
                      <w:color w:val="auto"/>
                      <w:sz w:val="21"/>
                      <w:szCs w:val="21"/>
                    </w:rPr>
                    <w:t>XWS2-2 (0-20cm)</w:t>
                  </w:r>
                </w:p>
              </w:tc>
              <w:tc>
                <w:tcPr>
                  <w:tcW w:w="708" w:type="dxa"/>
                  <w:shd w:val="clear" w:color="auto" w:fill="auto"/>
                  <w:vAlign w:val="center"/>
                </w:tcPr>
                <w:p>
                  <w:pPr>
                    <w:jc w:val="center"/>
                    <w:rPr>
                      <w:color w:val="auto"/>
                      <w:sz w:val="21"/>
                      <w:szCs w:val="21"/>
                    </w:rPr>
                  </w:pPr>
                  <w:r>
                    <w:rPr>
                      <w:color w:val="auto"/>
                      <w:sz w:val="21"/>
                      <w:szCs w:val="21"/>
                    </w:rPr>
                    <w:t>N.D</w:t>
                  </w:r>
                </w:p>
              </w:tc>
              <w:tc>
                <w:tcPr>
                  <w:tcW w:w="709" w:type="dxa"/>
                  <w:shd w:val="clear" w:color="auto" w:fill="auto"/>
                  <w:vAlign w:val="center"/>
                </w:tcPr>
                <w:p>
                  <w:pPr>
                    <w:jc w:val="center"/>
                    <w:rPr>
                      <w:color w:val="auto"/>
                      <w:sz w:val="21"/>
                      <w:szCs w:val="21"/>
                    </w:rPr>
                  </w:pPr>
                  <w:r>
                    <w:rPr>
                      <w:color w:val="auto"/>
                      <w:sz w:val="21"/>
                      <w:szCs w:val="21"/>
                    </w:rPr>
                    <w:t>N.D</w:t>
                  </w:r>
                </w:p>
              </w:tc>
              <w:tc>
                <w:tcPr>
                  <w:tcW w:w="590" w:type="dxa"/>
                  <w:shd w:val="clear" w:color="auto" w:fill="auto"/>
                  <w:vAlign w:val="center"/>
                </w:tcPr>
                <w:p>
                  <w:pPr>
                    <w:jc w:val="center"/>
                    <w:rPr>
                      <w:color w:val="auto"/>
                      <w:sz w:val="21"/>
                      <w:szCs w:val="21"/>
                    </w:rPr>
                  </w:pPr>
                  <w:r>
                    <w:rPr>
                      <w:color w:val="auto"/>
                      <w:sz w:val="21"/>
                      <w:szCs w:val="21"/>
                    </w:rPr>
                    <w:t>N.D</w:t>
                  </w:r>
                </w:p>
              </w:tc>
              <w:tc>
                <w:tcPr>
                  <w:tcW w:w="828" w:type="dxa"/>
                  <w:shd w:val="clear" w:color="auto" w:fill="auto"/>
                  <w:vAlign w:val="center"/>
                </w:tcPr>
                <w:p>
                  <w:pPr>
                    <w:jc w:val="center"/>
                    <w:rPr>
                      <w:color w:val="auto"/>
                      <w:sz w:val="21"/>
                      <w:szCs w:val="21"/>
                    </w:rPr>
                  </w:pPr>
                  <w:r>
                    <w:rPr>
                      <w:color w:val="auto"/>
                      <w:sz w:val="21"/>
                      <w:szCs w:val="21"/>
                    </w:rPr>
                    <w:t>N.D</w:t>
                  </w:r>
                </w:p>
              </w:tc>
              <w:tc>
                <w:tcPr>
                  <w:tcW w:w="850" w:type="dxa"/>
                  <w:shd w:val="clear" w:color="auto" w:fill="auto"/>
                  <w:vAlign w:val="center"/>
                </w:tcPr>
                <w:p>
                  <w:pPr>
                    <w:jc w:val="center"/>
                    <w:rPr>
                      <w:color w:val="auto"/>
                      <w:sz w:val="21"/>
                      <w:szCs w:val="21"/>
                    </w:rPr>
                  </w:pPr>
                  <w:r>
                    <w:rPr>
                      <w:color w:val="auto"/>
                      <w:sz w:val="21"/>
                      <w:szCs w:val="21"/>
                    </w:rPr>
                    <w:t>0.0018</w:t>
                  </w:r>
                </w:p>
              </w:tc>
              <w:tc>
                <w:tcPr>
                  <w:tcW w:w="585" w:type="dxa"/>
                  <w:shd w:val="clear" w:color="auto" w:fill="auto"/>
                  <w:vAlign w:val="center"/>
                </w:tcPr>
                <w:p>
                  <w:pPr>
                    <w:jc w:val="center"/>
                    <w:rPr>
                      <w:color w:val="auto"/>
                      <w:sz w:val="21"/>
                      <w:szCs w:val="21"/>
                    </w:rPr>
                  </w:pPr>
                  <w:r>
                    <w:rPr>
                      <w:color w:val="auto"/>
                      <w:sz w:val="21"/>
                      <w:szCs w:val="21"/>
                    </w:rPr>
                    <w:t>N.D</w:t>
                  </w:r>
                </w:p>
              </w:tc>
              <w:tc>
                <w:tcPr>
                  <w:tcW w:w="850" w:type="dxa"/>
                  <w:shd w:val="clear" w:color="auto" w:fill="auto"/>
                  <w:vAlign w:val="center"/>
                </w:tcPr>
                <w:p>
                  <w:pPr>
                    <w:jc w:val="center"/>
                    <w:rPr>
                      <w:color w:val="auto"/>
                      <w:sz w:val="21"/>
                      <w:szCs w:val="21"/>
                    </w:rPr>
                  </w:pPr>
                  <w:r>
                    <w:rPr>
                      <w:color w:val="auto"/>
                      <w:sz w:val="21"/>
                      <w:szCs w:val="21"/>
                    </w:rPr>
                    <w:t>N.D</w:t>
                  </w:r>
                </w:p>
              </w:tc>
              <w:tc>
                <w:tcPr>
                  <w:tcW w:w="993" w:type="dxa"/>
                  <w:shd w:val="clear" w:color="auto" w:fill="auto"/>
                  <w:vAlign w:val="center"/>
                </w:tcPr>
                <w:p>
                  <w:pPr>
                    <w:jc w:val="center"/>
                    <w:rPr>
                      <w:color w:val="auto"/>
                      <w:sz w:val="21"/>
                      <w:szCs w:val="21"/>
                    </w:rPr>
                  </w:pPr>
                  <w:r>
                    <w:rPr>
                      <w:color w:val="auto"/>
                      <w:sz w:val="21"/>
                      <w:szCs w:val="21"/>
                    </w:rPr>
                    <w:t>0.00025</w:t>
                  </w:r>
                </w:p>
              </w:tc>
              <w:tc>
                <w:tcPr>
                  <w:tcW w:w="850" w:type="dxa"/>
                  <w:shd w:val="clear" w:color="auto" w:fill="auto"/>
                  <w:vAlign w:val="center"/>
                </w:tcPr>
                <w:p>
                  <w:pPr>
                    <w:jc w:val="center"/>
                    <w:rPr>
                      <w:color w:val="auto"/>
                      <w:sz w:val="21"/>
                      <w:szCs w:val="21"/>
                    </w:rPr>
                  </w:pPr>
                  <w:r>
                    <w:rPr>
                      <w:color w:val="auto"/>
                      <w:sz w:val="21"/>
                      <w:szCs w:val="21"/>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right"/>
              </w:trPr>
              <w:tc>
                <w:tcPr>
                  <w:tcW w:w="1828" w:type="dxa"/>
                  <w:shd w:val="clear" w:color="auto" w:fill="auto"/>
                  <w:vAlign w:val="center"/>
                </w:tcPr>
                <w:p>
                  <w:pPr>
                    <w:ind w:left="-160" w:leftChars="-50" w:right="-160" w:rightChars="-50"/>
                    <w:jc w:val="center"/>
                    <w:rPr>
                      <w:bCs/>
                      <w:color w:val="auto"/>
                      <w:sz w:val="21"/>
                      <w:szCs w:val="21"/>
                    </w:rPr>
                  </w:pPr>
                  <w:r>
                    <w:rPr>
                      <w:color w:val="auto"/>
                      <w:sz w:val="21"/>
                      <w:szCs w:val="21"/>
                    </w:rPr>
                    <w:t xml:space="preserve">XWS3-2 (0-20cm) </w:t>
                  </w:r>
                </w:p>
              </w:tc>
              <w:tc>
                <w:tcPr>
                  <w:tcW w:w="708" w:type="dxa"/>
                  <w:shd w:val="clear" w:color="auto" w:fill="auto"/>
                  <w:vAlign w:val="center"/>
                </w:tcPr>
                <w:p>
                  <w:pPr>
                    <w:jc w:val="center"/>
                    <w:rPr>
                      <w:color w:val="auto"/>
                      <w:sz w:val="21"/>
                      <w:szCs w:val="21"/>
                    </w:rPr>
                  </w:pPr>
                  <w:r>
                    <w:rPr>
                      <w:color w:val="auto"/>
                      <w:sz w:val="21"/>
                      <w:szCs w:val="21"/>
                    </w:rPr>
                    <w:t>N.D</w:t>
                  </w:r>
                </w:p>
              </w:tc>
              <w:tc>
                <w:tcPr>
                  <w:tcW w:w="709" w:type="dxa"/>
                  <w:shd w:val="clear" w:color="auto" w:fill="auto"/>
                  <w:vAlign w:val="center"/>
                </w:tcPr>
                <w:p>
                  <w:pPr>
                    <w:jc w:val="center"/>
                    <w:rPr>
                      <w:color w:val="auto"/>
                      <w:sz w:val="21"/>
                      <w:szCs w:val="21"/>
                    </w:rPr>
                  </w:pPr>
                  <w:r>
                    <w:rPr>
                      <w:color w:val="auto"/>
                      <w:sz w:val="21"/>
                      <w:szCs w:val="21"/>
                    </w:rPr>
                    <w:t>N.D</w:t>
                  </w:r>
                </w:p>
              </w:tc>
              <w:tc>
                <w:tcPr>
                  <w:tcW w:w="590" w:type="dxa"/>
                  <w:shd w:val="clear" w:color="auto" w:fill="auto"/>
                  <w:vAlign w:val="center"/>
                </w:tcPr>
                <w:p>
                  <w:pPr>
                    <w:jc w:val="center"/>
                    <w:rPr>
                      <w:color w:val="auto"/>
                      <w:sz w:val="21"/>
                      <w:szCs w:val="21"/>
                    </w:rPr>
                  </w:pPr>
                  <w:r>
                    <w:rPr>
                      <w:color w:val="auto"/>
                      <w:sz w:val="21"/>
                      <w:szCs w:val="21"/>
                    </w:rPr>
                    <w:t>N.D</w:t>
                  </w:r>
                </w:p>
              </w:tc>
              <w:tc>
                <w:tcPr>
                  <w:tcW w:w="828" w:type="dxa"/>
                  <w:shd w:val="clear" w:color="auto" w:fill="auto"/>
                  <w:vAlign w:val="center"/>
                </w:tcPr>
                <w:p>
                  <w:pPr>
                    <w:jc w:val="center"/>
                    <w:rPr>
                      <w:color w:val="auto"/>
                      <w:sz w:val="21"/>
                      <w:szCs w:val="21"/>
                    </w:rPr>
                  </w:pPr>
                  <w:r>
                    <w:rPr>
                      <w:color w:val="auto"/>
                      <w:sz w:val="21"/>
                      <w:szCs w:val="21"/>
                    </w:rPr>
                    <w:t>0.0079</w:t>
                  </w:r>
                </w:p>
              </w:tc>
              <w:tc>
                <w:tcPr>
                  <w:tcW w:w="850" w:type="dxa"/>
                  <w:shd w:val="clear" w:color="auto" w:fill="auto"/>
                  <w:vAlign w:val="center"/>
                </w:tcPr>
                <w:p>
                  <w:pPr>
                    <w:jc w:val="center"/>
                    <w:rPr>
                      <w:color w:val="auto"/>
                      <w:sz w:val="21"/>
                      <w:szCs w:val="21"/>
                    </w:rPr>
                  </w:pPr>
                  <w:r>
                    <w:rPr>
                      <w:color w:val="auto"/>
                      <w:sz w:val="21"/>
                      <w:szCs w:val="21"/>
                    </w:rPr>
                    <w:t>0.0046</w:t>
                  </w:r>
                </w:p>
              </w:tc>
              <w:tc>
                <w:tcPr>
                  <w:tcW w:w="585" w:type="dxa"/>
                  <w:shd w:val="clear" w:color="auto" w:fill="auto"/>
                  <w:vAlign w:val="center"/>
                </w:tcPr>
                <w:p>
                  <w:pPr>
                    <w:jc w:val="center"/>
                    <w:rPr>
                      <w:color w:val="auto"/>
                      <w:sz w:val="21"/>
                      <w:szCs w:val="21"/>
                    </w:rPr>
                  </w:pPr>
                  <w:r>
                    <w:rPr>
                      <w:color w:val="auto"/>
                      <w:sz w:val="21"/>
                      <w:szCs w:val="21"/>
                    </w:rPr>
                    <w:t>N.D</w:t>
                  </w:r>
                </w:p>
              </w:tc>
              <w:tc>
                <w:tcPr>
                  <w:tcW w:w="850" w:type="dxa"/>
                  <w:shd w:val="clear" w:color="auto" w:fill="auto"/>
                  <w:vAlign w:val="center"/>
                </w:tcPr>
                <w:p>
                  <w:pPr>
                    <w:jc w:val="center"/>
                    <w:rPr>
                      <w:color w:val="auto"/>
                      <w:sz w:val="21"/>
                      <w:szCs w:val="21"/>
                    </w:rPr>
                  </w:pPr>
                  <w:r>
                    <w:rPr>
                      <w:color w:val="auto"/>
                      <w:sz w:val="21"/>
                      <w:szCs w:val="21"/>
                    </w:rPr>
                    <w:t>0.0056</w:t>
                  </w:r>
                </w:p>
              </w:tc>
              <w:tc>
                <w:tcPr>
                  <w:tcW w:w="993" w:type="dxa"/>
                  <w:shd w:val="clear" w:color="auto" w:fill="auto"/>
                  <w:vAlign w:val="center"/>
                </w:tcPr>
                <w:p>
                  <w:pPr>
                    <w:jc w:val="center"/>
                    <w:rPr>
                      <w:color w:val="auto"/>
                      <w:sz w:val="21"/>
                      <w:szCs w:val="21"/>
                    </w:rPr>
                  </w:pPr>
                  <w:r>
                    <w:rPr>
                      <w:color w:val="auto"/>
                      <w:sz w:val="21"/>
                      <w:szCs w:val="21"/>
                    </w:rPr>
                    <w:t>0.00007</w:t>
                  </w:r>
                </w:p>
              </w:tc>
              <w:tc>
                <w:tcPr>
                  <w:tcW w:w="850" w:type="dxa"/>
                  <w:shd w:val="clear" w:color="auto" w:fill="auto"/>
                  <w:vAlign w:val="center"/>
                </w:tcPr>
                <w:p>
                  <w:pPr>
                    <w:jc w:val="center"/>
                    <w:rPr>
                      <w:color w:val="auto"/>
                      <w:sz w:val="21"/>
                      <w:szCs w:val="21"/>
                    </w:rPr>
                  </w:pPr>
                  <w:r>
                    <w:rPr>
                      <w:color w:val="auto"/>
                      <w:sz w:val="21"/>
                      <w:szCs w:val="21"/>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right"/>
              </w:trPr>
              <w:tc>
                <w:tcPr>
                  <w:tcW w:w="1828" w:type="dxa"/>
                  <w:shd w:val="clear" w:color="auto" w:fill="auto"/>
                  <w:vAlign w:val="center"/>
                </w:tcPr>
                <w:p>
                  <w:pPr>
                    <w:ind w:left="-160" w:leftChars="-50" w:right="-160" w:rightChars="-50"/>
                    <w:jc w:val="center"/>
                    <w:rPr>
                      <w:color w:val="auto"/>
                      <w:sz w:val="21"/>
                      <w:szCs w:val="21"/>
                    </w:rPr>
                  </w:pPr>
                  <w:r>
                    <w:rPr>
                      <w:color w:val="auto"/>
                      <w:sz w:val="21"/>
                      <w:szCs w:val="21"/>
                    </w:rPr>
                    <w:t>XWS4-2 (0-20cm)</w:t>
                  </w:r>
                </w:p>
              </w:tc>
              <w:tc>
                <w:tcPr>
                  <w:tcW w:w="708" w:type="dxa"/>
                  <w:shd w:val="clear" w:color="auto" w:fill="auto"/>
                  <w:vAlign w:val="center"/>
                </w:tcPr>
                <w:p>
                  <w:pPr>
                    <w:jc w:val="center"/>
                    <w:rPr>
                      <w:color w:val="auto"/>
                      <w:sz w:val="21"/>
                      <w:szCs w:val="21"/>
                    </w:rPr>
                  </w:pPr>
                  <w:r>
                    <w:rPr>
                      <w:color w:val="auto"/>
                      <w:sz w:val="21"/>
                      <w:szCs w:val="21"/>
                    </w:rPr>
                    <w:t>N.D</w:t>
                  </w:r>
                </w:p>
              </w:tc>
              <w:tc>
                <w:tcPr>
                  <w:tcW w:w="709" w:type="dxa"/>
                  <w:shd w:val="clear" w:color="auto" w:fill="auto"/>
                  <w:vAlign w:val="center"/>
                </w:tcPr>
                <w:p>
                  <w:pPr>
                    <w:jc w:val="center"/>
                    <w:rPr>
                      <w:color w:val="auto"/>
                      <w:sz w:val="21"/>
                      <w:szCs w:val="21"/>
                    </w:rPr>
                  </w:pPr>
                  <w:r>
                    <w:rPr>
                      <w:color w:val="auto"/>
                      <w:sz w:val="21"/>
                      <w:szCs w:val="21"/>
                    </w:rPr>
                    <w:t>N.D</w:t>
                  </w:r>
                </w:p>
              </w:tc>
              <w:tc>
                <w:tcPr>
                  <w:tcW w:w="590" w:type="dxa"/>
                  <w:shd w:val="clear" w:color="auto" w:fill="auto"/>
                  <w:vAlign w:val="center"/>
                </w:tcPr>
                <w:p>
                  <w:pPr>
                    <w:jc w:val="center"/>
                    <w:rPr>
                      <w:color w:val="auto"/>
                      <w:sz w:val="21"/>
                      <w:szCs w:val="21"/>
                    </w:rPr>
                  </w:pPr>
                  <w:r>
                    <w:rPr>
                      <w:color w:val="auto"/>
                      <w:sz w:val="21"/>
                      <w:szCs w:val="21"/>
                    </w:rPr>
                    <w:t>N.D</w:t>
                  </w:r>
                </w:p>
              </w:tc>
              <w:tc>
                <w:tcPr>
                  <w:tcW w:w="828" w:type="dxa"/>
                  <w:shd w:val="clear" w:color="auto" w:fill="auto"/>
                  <w:vAlign w:val="center"/>
                </w:tcPr>
                <w:p>
                  <w:pPr>
                    <w:jc w:val="center"/>
                    <w:rPr>
                      <w:color w:val="auto"/>
                      <w:sz w:val="21"/>
                      <w:szCs w:val="21"/>
                    </w:rPr>
                  </w:pPr>
                  <w:r>
                    <w:rPr>
                      <w:color w:val="auto"/>
                      <w:sz w:val="21"/>
                      <w:szCs w:val="21"/>
                    </w:rPr>
                    <w:t>N.D</w:t>
                  </w:r>
                </w:p>
              </w:tc>
              <w:tc>
                <w:tcPr>
                  <w:tcW w:w="850" w:type="dxa"/>
                  <w:shd w:val="clear" w:color="auto" w:fill="auto"/>
                  <w:vAlign w:val="center"/>
                </w:tcPr>
                <w:p>
                  <w:pPr>
                    <w:jc w:val="center"/>
                    <w:rPr>
                      <w:color w:val="auto"/>
                      <w:sz w:val="21"/>
                      <w:szCs w:val="21"/>
                    </w:rPr>
                  </w:pPr>
                  <w:r>
                    <w:rPr>
                      <w:color w:val="auto"/>
                      <w:sz w:val="21"/>
                      <w:szCs w:val="21"/>
                    </w:rPr>
                    <w:t>0.0056</w:t>
                  </w:r>
                </w:p>
              </w:tc>
              <w:tc>
                <w:tcPr>
                  <w:tcW w:w="585" w:type="dxa"/>
                  <w:shd w:val="clear" w:color="auto" w:fill="auto"/>
                  <w:vAlign w:val="center"/>
                </w:tcPr>
                <w:p>
                  <w:pPr>
                    <w:jc w:val="center"/>
                    <w:rPr>
                      <w:color w:val="auto"/>
                      <w:sz w:val="21"/>
                      <w:szCs w:val="21"/>
                    </w:rPr>
                  </w:pPr>
                  <w:r>
                    <w:rPr>
                      <w:color w:val="auto"/>
                      <w:sz w:val="21"/>
                      <w:szCs w:val="21"/>
                    </w:rPr>
                    <w:t>N.D</w:t>
                  </w:r>
                </w:p>
              </w:tc>
              <w:tc>
                <w:tcPr>
                  <w:tcW w:w="850" w:type="dxa"/>
                  <w:shd w:val="clear" w:color="auto" w:fill="auto"/>
                  <w:vAlign w:val="center"/>
                </w:tcPr>
                <w:p>
                  <w:pPr>
                    <w:jc w:val="center"/>
                    <w:rPr>
                      <w:color w:val="auto"/>
                      <w:sz w:val="21"/>
                      <w:szCs w:val="21"/>
                    </w:rPr>
                  </w:pPr>
                  <w:r>
                    <w:rPr>
                      <w:color w:val="auto"/>
                      <w:sz w:val="21"/>
                      <w:szCs w:val="21"/>
                    </w:rPr>
                    <w:t>N.D</w:t>
                  </w:r>
                </w:p>
              </w:tc>
              <w:tc>
                <w:tcPr>
                  <w:tcW w:w="993" w:type="dxa"/>
                  <w:shd w:val="clear" w:color="auto" w:fill="auto"/>
                  <w:vAlign w:val="center"/>
                </w:tcPr>
                <w:p>
                  <w:pPr>
                    <w:jc w:val="center"/>
                    <w:rPr>
                      <w:color w:val="auto"/>
                      <w:sz w:val="21"/>
                      <w:szCs w:val="21"/>
                    </w:rPr>
                  </w:pPr>
                  <w:r>
                    <w:rPr>
                      <w:color w:val="auto"/>
                      <w:sz w:val="21"/>
                      <w:szCs w:val="21"/>
                    </w:rPr>
                    <w:t>0.00025</w:t>
                  </w:r>
                </w:p>
              </w:tc>
              <w:tc>
                <w:tcPr>
                  <w:tcW w:w="850" w:type="dxa"/>
                  <w:shd w:val="clear" w:color="auto" w:fill="auto"/>
                  <w:vAlign w:val="center"/>
                </w:tcPr>
                <w:p>
                  <w:pPr>
                    <w:jc w:val="center"/>
                    <w:rPr>
                      <w:color w:val="auto"/>
                      <w:sz w:val="21"/>
                      <w:szCs w:val="21"/>
                    </w:rPr>
                  </w:pPr>
                  <w:r>
                    <w:rPr>
                      <w:color w:val="auto"/>
                      <w:sz w:val="21"/>
                      <w:szCs w:val="21"/>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right"/>
              </w:trPr>
              <w:tc>
                <w:tcPr>
                  <w:tcW w:w="1828" w:type="dxa"/>
                  <w:shd w:val="clear" w:color="auto" w:fill="auto"/>
                  <w:vAlign w:val="center"/>
                </w:tcPr>
                <w:p>
                  <w:pPr>
                    <w:ind w:left="-160" w:leftChars="-50" w:right="-160" w:rightChars="-50"/>
                    <w:jc w:val="center"/>
                    <w:rPr>
                      <w:bCs/>
                      <w:color w:val="auto"/>
                      <w:sz w:val="21"/>
                      <w:szCs w:val="21"/>
                    </w:rPr>
                  </w:pPr>
                  <w:r>
                    <w:rPr>
                      <w:color w:val="auto"/>
                      <w:sz w:val="21"/>
                      <w:szCs w:val="21"/>
                    </w:rPr>
                    <w:t>XWS5-2 (0-20cm)</w:t>
                  </w:r>
                </w:p>
              </w:tc>
              <w:tc>
                <w:tcPr>
                  <w:tcW w:w="708" w:type="dxa"/>
                  <w:shd w:val="clear" w:color="auto" w:fill="auto"/>
                  <w:vAlign w:val="center"/>
                </w:tcPr>
                <w:p>
                  <w:pPr>
                    <w:jc w:val="center"/>
                    <w:rPr>
                      <w:color w:val="auto"/>
                      <w:sz w:val="21"/>
                      <w:szCs w:val="21"/>
                    </w:rPr>
                  </w:pPr>
                  <w:r>
                    <w:rPr>
                      <w:color w:val="auto"/>
                      <w:sz w:val="21"/>
                      <w:szCs w:val="21"/>
                    </w:rPr>
                    <w:t>N.D</w:t>
                  </w:r>
                </w:p>
              </w:tc>
              <w:tc>
                <w:tcPr>
                  <w:tcW w:w="709" w:type="dxa"/>
                  <w:shd w:val="clear" w:color="auto" w:fill="auto"/>
                  <w:vAlign w:val="center"/>
                </w:tcPr>
                <w:p>
                  <w:pPr>
                    <w:jc w:val="center"/>
                    <w:rPr>
                      <w:color w:val="auto"/>
                      <w:sz w:val="21"/>
                      <w:szCs w:val="21"/>
                    </w:rPr>
                  </w:pPr>
                  <w:r>
                    <w:rPr>
                      <w:color w:val="auto"/>
                      <w:sz w:val="21"/>
                      <w:szCs w:val="21"/>
                    </w:rPr>
                    <w:t>N.D</w:t>
                  </w:r>
                </w:p>
              </w:tc>
              <w:tc>
                <w:tcPr>
                  <w:tcW w:w="590" w:type="dxa"/>
                  <w:shd w:val="clear" w:color="auto" w:fill="auto"/>
                  <w:vAlign w:val="center"/>
                </w:tcPr>
                <w:p>
                  <w:pPr>
                    <w:jc w:val="center"/>
                    <w:rPr>
                      <w:color w:val="auto"/>
                      <w:sz w:val="21"/>
                      <w:szCs w:val="21"/>
                    </w:rPr>
                  </w:pPr>
                  <w:r>
                    <w:rPr>
                      <w:color w:val="auto"/>
                      <w:sz w:val="21"/>
                      <w:szCs w:val="21"/>
                    </w:rPr>
                    <w:t>N.D</w:t>
                  </w:r>
                </w:p>
              </w:tc>
              <w:tc>
                <w:tcPr>
                  <w:tcW w:w="828" w:type="dxa"/>
                  <w:shd w:val="clear" w:color="auto" w:fill="auto"/>
                  <w:vAlign w:val="center"/>
                </w:tcPr>
                <w:p>
                  <w:pPr>
                    <w:jc w:val="center"/>
                    <w:rPr>
                      <w:color w:val="auto"/>
                      <w:sz w:val="21"/>
                      <w:szCs w:val="21"/>
                    </w:rPr>
                  </w:pPr>
                  <w:r>
                    <w:rPr>
                      <w:color w:val="auto"/>
                      <w:sz w:val="21"/>
                      <w:szCs w:val="21"/>
                    </w:rPr>
                    <w:t>0.410</w:t>
                  </w:r>
                </w:p>
              </w:tc>
              <w:tc>
                <w:tcPr>
                  <w:tcW w:w="850" w:type="dxa"/>
                  <w:shd w:val="clear" w:color="auto" w:fill="auto"/>
                  <w:vAlign w:val="center"/>
                </w:tcPr>
                <w:p>
                  <w:pPr>
                    <w:jc w:val="center"/>
                    <w:rPr>
                      <w:color w:val="auto"/>
                      <w:sz w:val="21"/>
                      <w:szCs w:val="21"/>
                    </w:rPr>
                  </w:pPr>
                  <w:r>
                    <w:rPr>
                      <w:color w:val="auto"/>
                      <w:sz w:val="21"/>
                      <w:szCs w:val="21"/>
                    </w:rPr>
                    <w:t>0.0036</w:t>
                  </w:r>
                </w:p>
              </w:tc>
              <w:tc>
                <w:tcPr>
                  <w:tcW w:w="585" w:type="dxa"/>
                  <w:shd w:val="clear" w:color="auto" w:fill="auto"/>
                  <w:vAlign w:val="center"/>
                </w:tcPr>
                <w:p>
                  <w:pPr>
                    <w:jc w:val="center"/>
                    <w:rPr>
                      <w:color w:val="auto"/>
                      <w:sz w:val="21"/>
                      <w:szCs w:val="21"/>
                    </w:rPr>
                  </w:pPr>
                  <w:r>
                    <w:rPr>
                      <w:color w:val="auto"/>
                      <w:sz w:val="21"/>
                      <w:szCs w:val="21"/>
                    </w:rPr>
                    <w:t>N.D</w:t>
                  </w:r>
                </w:p>
              </w:tc>
              <w:tc>
                <w:tcPr>
                  <w:tcW w:w="850" w:type="dxa"/>
                  <w:shd w:val="clear" w:color="auto" w:fill="auto"/>
                  <w:vAlign w:val="center"/>
                </w:tcPr>
                <w:p>
                  <w:pPr>
                    <w:jc w:val="center"/>
                    <w:rPr>
                      <w:color w:val="auto"/>
                      <w:sz w:val="21"/>
                      <w:szCs w:val="21"/>
                    </w:rPr>
                  </w:pPr>
                  <w:r>
                    <w:rPr>
                      <w:color w:val="auto"/>
                      <w:sz w:val="21"/>
                      <w:szCs w:val="21"/>
                    </w:rPr>
                    <w:t>0.314</w:t>
                  </w:r>
                </w:p>
              </w:tc>
              <w:tc>
                <w:tcPr>
                  <w:tcW w:w="993" w:type="dxa"/>
                  <w:shd w:val="clear" w:color="auto" w:fill="auto"/>
                  <w:vAlign w:val="center"/>
                </w:tcPr>
                <w:p>
                  <w:pPr>
                    <w:jc w:val="center"/>
                    <w:rPr>
                      <w:color w:val="auto"/>
                      <w:sz w:val="21"/>
                      <w:szCs w:val="21"/>
                    </w:rPr>
                  </w:pPr>
                  <w:r>
                    <w:rPr>
                      <w:color w:val="auto"/>
                      <w:sz w:val="21"/>
                      <w:szCs w:val="21"/>
                    </w:rPr>
                    <w:t>0.00032</w:t>
                  </w:r>
                </w:p>
              </w:tc>
              <w:tc>
                <w:tcPr>
                  <w:tcW w:w="850" w:type="dxa"/>
                  <w:shd w:val="clear" w:color="auto" w:fill="auto"/>
                  <w:vAlign w:val="center"/>
                </w:tcPr>
                <w:p>
                  <w:pPr>
                    <w:jc w:val="center"/>
                    <w:rPr>
                      <w:color w:val="auto"/>
                      <w:sz w:val="21"/>
                      <w:szCs w:val="21"/>
                    </w:rPr>
                  </w:pPr>
                  <w:r>
                    <w:rPr>
                      <w:color w:val="auto"/>
                      <w:sz w:val="21"/>
                      <w:szCs w:val="21"/>
                    </w:rPr>
                    <w:t>N.D</w:t>
                  </w:r>
                </w:p>
              </w:tc>
            </w:tr>
          </w:tbl>
          <w:p>
            <w:pPr>
              <w:jc w:val="center"/>
              <w:rPr>
                <w:b/>
                <w:bCs/>
                <w:color w:val="auto"/>
                <w:sz w:val="24"/>
              </w:rPr>
            </w:pPr>
            <w:r>
              <w:rPr>
                <w:rFonts w:hint="eastAsia"/>
                <w:b/>
                <w:bCs/>
                <w:color w:val="auto"/>
                <w:sz w:val="24"/>
              </w:rPr>
              <w:t>表15  池塘底泥（沉积物）重金属总量检测数据表</w:t>
            </w:r>
          </w:p>
          <w:tbl>
            <w:tblPr>
              <w:tblStyle w:val="43"/>
              <w:tblW w:w="828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51"/>
              <w:gridCol w:w="851"/>
              <w:gridCol w:w="850"/>
              <w:gridCol w:w="851"/>
              <w:gridCol w:w="830"/>
              <w:gridCol w:w="681"/>
              <w:gridCol w:w="850"/>
              <w:gridCol w:w="757"/>
              <w:gridCol w:w="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9" w:hRule="atLeast"/>
                <w:jc w:val="center"/>
              </w:trPr>
              <w:tc>
                <w:tcPr>
                  <w:tcW w:w="1951" w:type="dxa"/>
                  <w:vMerge w:val="restart"/>
                  <w:shd w:val="clear" w:color="auto" w:fill="auto"/>
                  <w:vAlign w:val="center"/>
                </w:tcPr>
                <w:p>
                  <w:pPr>
                    <w:jc w:val="center"/>
                    <w:rPr>
                      <w:bCs/>
                      <w:color w:val="auto"/>
                      <w:sz w:val="21"/>
                      <w:szCs w:val="21"/>
                    </w:rPr>
                  </w:pPr>
                  <w:r>
                    <w:rPr>
                      <w:bCs/>
                      <w:color w:val="auto"/>
                      <w:sz w:val="21"/>
                      <w:szCs w:val="21"/>
                    </w:rPr>
                    <w:t>样品标识</w:t>
                  </w:r>
                </w:p>
              </w:tc>
              <w:tc>
                <w:tcPr>
                  <w:tcW w:w="6331" w:type="dxa"/>
                  <w:gridSpan w:val="8"/>
                  <w:shd w:val="clear" w:color="auto" w:fill="auto"/>
                  <w:vAlign w:val="center"/>
                </w:tcPr>
                <w:p>
                  <w:pPr>
                    <w:jc w:val="center"/>
                    <w:rPr>
                      <w:color w:val="auto"/>
                      <w:sz w:val="21"/>
                      <w:szCs w:val="21"/>
                    </w:rPr>
                  </w:pPr>
                  <w:r>
                    <w:rPr>
                      <w:color w:val="auto"/>
                      <w:sz w:val="21"/>
                      <w:szCs w:val="21"/>
                    </w:rPr>
                    <w:t>检测项目及结果（mg/L,pH值为无量纲）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951" w:type="dxa"/>
                  <w:vMerge w:val="continue"/>
                  <w:shd w:val="clear" w:color="auto" w:fill="auto"/>
                  <w:vAlign w:val="center"/>
                </w:tcPr>
                <w:p>
                  <w:pPr>
                    <w:jc w:val="center"/>
                    <w:rPr>
                      <w:color w:val="auto"/>
                      <w:sz w:val="21"/>
                      <w:szCs w:val="21"/>
                    </w:rPr>
                  </w:pPr>
                </w:p>
              </w:tc>
              <w:tc>
                <w:tcPr>
                  <w:tcW w:w="851" w:type="dxa"/>
                  <w:shd w:val="clear" w:color="auto" w:fill="auto"/>
                  <w:vAlign w:val="center"/>
                </w:tcPr>
                <w:p>
                  <w:pPr>
                    <w:jc w:val="center"/>
                    <w:rPr>
                      <w:color w:val="auto"/>
                      <w:sz w:val="21"/>
                      <w:szCs w:val="21"/>
                    </w:rPr>
                  </w:pPr>
                  <w:r>
                    <w:rPr>
                      <w:color w:val="auto"/>
                      <w:sz w:val="21"/>
                      <w:szCs w:val="21"/>
                    </w:rPr>
                    <w:t>pH值</w:t>
                  </w:r>
                </w:p>
              </w:tc>
              <w:tc>
                <w:tcPr>
                  <w:tcW w:w="850" w:type="dxa"/>
                  <w:shd w:val="clear" w:color="auto" w:fill="auto"/>
                  <w:vAlign w:val="center"/>
                </w:tcPr>
                <w:p>
                  <w:pPr>
                    <w:jc w:val="center"/>
                    <w:rPr>
                      <w:color w:val="auto"/>
                      <w:sz w:val="21"/>
                      <w:szCs w:val="21"/>
                    </w:rPr>
                  </w:pPr>
                  <w:r>
                    <w:rPr>
                      <w:color w:val="auto"/>
                      <w:sz w:val="21"/>
                      <w:szCs w:val="21"/>
                    </w:rPr>
                    <w:t>镉</w:t>
                  </w:r>
                </w:p>
              </w:tc>
              <w:tc>
                <w:tcPr>
                  <w:tcW w:w="851" w:type="dxa"/>
                  <w:shd w:val="clear" w:color="auto" w:fill="auto"/>
                  <w:vAlign w:val="center"/>
                </w:tcPr>
                <w:p>
                  <w:pPr>
                    <w:jc w:val="center"/>
                    <w:rPr>
                      <w:color w:val="auto"/>
                      <w:sz w:val="21"/>
                      <w:szCs w:val="21"/>
                    </w:rPr>
                  </w:pPr>
                  <w:r>
                    <w:rPr>
                      <w:color w:val="auto"/>
                      <w:sz w:val="21"/>
                      <w:szCs w:val="21"/>
                    </w:rPr>
                    <w:t>铜</w:t>
                  </w:r>
                </w:p>
              </w:tc>
              <w:tc>
                <w:tcPr>
                  <w:tcW w:w="830" w:type="dxa"/>
                  <w:shd w:val="clear" w:color="auto" w:fill="auto"/>
                  <w:vAlign w:val="center"/>
                </w:tcPr>
                <w:p>
                  <w:pPr>
                    <w:jc w:val="center"/>
                    <w:rPr>
                      <w:color w:val="auto"/>
                      <w:sz w:val="21"/>
                      <w:szCs w:val="21"/>
                    </w:rPr>
                  </w:pPr>
                  <w:r>
                    <w:rPr>
                      <w:color w:val="auto"/>
                      <w:sz w:val="21"/>
                      <w:szCs w:val="21"/>
                    </w:rPr>
                    <w:t>镍</w:t>
                  </w:r>
                </w:p>
              </w:tc>
              <w:tc>
                <w:tcPr>
                  <w:tcW w:w="681" w:type="dxa"/>
                  <w:shd w:val="clear" w:color="auto" w:fill="auto"/>
                  <w:vAlign w:val="center"/>
                </w:tcPr>
                <w:p>
                  <w:pPr>
                    <w:jc w:val="center"/>
                    <w:rPr>
                      <w:color w:val="auto"/>
                      <w:sz w:val="21"/>
                      <w:szCs w:val="21"/>
                    </w:rPr>
                  </w:pPr>
                  <w:r>
                    <w:rPr>
                      <w:color w:val="auto"/>
                      <w:sz w:val="21"/>
                      <w:szCs w:val="21"/>
                    </w:rPr>
                    <w:t>铅</w:t>
                  </w:r>
                </w:p>
              </w:tc>
              <w:tc>
                <w:tcPr>
                  <w:tcW w:w="850" w:type="dxa"/>
                  <w:shd w:val="clear" w:color="auto" w:fill="auto"/>
                  <w:vAlign w:val="center"/>
                </w:tcPr>
                <w:p>
                  <w:pPr>
                    <w:jc w:val="center"/>
                    <w:rPr>
                      <w:color w:val="auto"/>
                      <w:sz w:val="21"/>
                      <w:szCs w:val="21"/>
                    </w:rPr>
                  </w:pPr>
                  <w:r>
                    <w:rPr>
                      <w:color w:val="auto"/>
                      <w:sz w:val="21"/>
                      <w:szCs w:val="21"/>
                    </w:rPr>
                    <w:t>六价铬</w:t>
                  </w:r>
                </w:p>
              </w:tc>
              <w:tc>
                <w:tcPr>
                  <w:tcW w:w="757" w:type="dxa"/>
                  <w:shd w:val="clear" w:color="auto" w:fill="auto"/>
                  <w:vAlign w:val="center"/>
                </w:tcPr>
                <w:p>
                  <w:pPr>
                    <w:jc w:val="center"/>
                    <w:rPr>
                      <w:color w:val="auto"/>
                      <w:sz w:val="21"/>
                      <w:szCs w:val="21"/>
                    </w:rPr>
                  </w:pPr>
                  <w:r>
                    <w:rPr>
                      <w:color w:val="auto"/>
                      <w:sz w:val="21"/>
                      <w:szCs w:val="21"/>
                    </w:rPr>
                    <w:t>汞</w:t>
                  </w:r>
                </w:p>
              </w:tc>
              <w:tc>
                <w:tcPr>
                  <w:tcW w:w="661" w:type="dxa"/>
                  <w:shd w:val="clear" w:color="auto" w:fill="auto"/>
                  <w:vAlign w:val="center"/>
                </w:tcPr>
                <w:p>
                  <w:pPr>
                    <w:jc w:val="center"/>
                    <w:rPr>
                      <w:color w:val="auto"/>
                      <w:sz w:val="21"/>
                      <w:szCs w:val="21"/>
                    </w:rPr>
                  </w:pPr>
                  <w:r>
                    <w:rPr>
                      <w:color w:val="auto"/>
                      <w:sz w:val="21"/>
                      <w:szCs w:val="21"/>
                    </w:rPr>
                    <w:t>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951" w:type="dxa"/>
                  <w:shd w:val="clear" w:color="auto" w:fill="auto"/>
                  <w:vAlign w:val="center"/>
                </w:tcPr>
                <w:p>
                  <w:pPr>
                    <w:ind w:left="-160" w:leftChars="-50" w:right="-160" w:rightChars="-50"/>
                    <w:jc w:val="center"/>
                    <w:rPr>
                      <w:bCs/>
                      <w:color w:val="auto"/>
                      <w:sz w:val="21"/>
                      <w:szCs w:val="21"/>
                    </w:rPr>
                  </w:pPr>
                  <w:r>
                    <w:rPr>
                      <w:color w:val="auto"/>
                      <w:sz w:val="21"/>
                      <w:szCs w:val="21"/>
                    </w:rPr>
                    <w:t>XWS1-2 (0-20cm)</w:t>
                  </w:r>
                </w:p>
              </w:tc>
              <w:tc>
                <w:tcPr>
                  <w:tcW w:w="851" w:type="dxa"/>
                  <w:shd w:val="clear" w:color="auto" w:fill="auto"/>
                  <w:vAlign w:val="center"/>
                </w:tcPr>
                <w:p>
                  <w:pPr>
                    <w:jc w:val="center"/>
                    <w:rPr>
                      <w:color w:val="auto"/>
                      <w:sz w:val="21"/>
                      <w:szCs w:val="21"/>
                    </w:rPr>
                  </w:pPr>
                  <w:r>
                    <w:rPr>
                      <w:color w:val="auto"/>
                      <w:sz w:val="21"/>
                      <w:szCs w:val="21"/>
                    </w:rPr>
                    <w:t>7.1</w:t>
                  </w:r>
                </w:p>
              </w:tc>
              <w:tc>
                <w:tcPr>
                  <w:tcW w:w="850" w:type="dxa"/>
                  <w:shd w:val="clear" w:color="auto" w:fill="auto"/>
                  <w:vAlign w:val="center"/>
                </w:tcPr>
                <w:p>
                  <w:pPr>
                    <w:jc w:val="center"/>
                    <w:rPr>
                      <w:color w:val="auto"/>
                      <w:sz w:val="21"/>
                      <w:szCs w:val="21"/>
                    </w:rPr>
                  </w:pPr>
                  <w:r>
                    <w:rPr>
                      <w:color w:val="auto"/>
                      <w:sz w:val="21"/>
                      <w:szCs w:val="21"/>
                    </w:rPr>
                    <w:t>11.0</w:t>
                  </w:r>
                </w:p>
              </w:tc>
              <w:tc>
                <w:tcPr>
                  <w:tcW w:w="851" w:type="dxa"/>
                  <w:shd w:val="clear" w:color="auto" w:fill="auto"/>
                  <w:vAlign w:val="center"/>
                </w:tcPr>
                <w:p>
                  <w:pPr>
                    <w:jc w:val="center"/>
                    <w:rPr>
                      <w:color w:val="auto"/>
                      <w:sz w:val="21"/>
                      <w:szCs w:val="21"/>
                    </w:rPr>
                  </w:pPr>
                  <w:r>
                    <w:rPr>
                      <w:color w:val="auto"/>
                      <w:sz w:val="21"/>
                      <w:szCs w:val="21"/>
                    </w:rPr>
                    <w:t>64</w:t>
                  </w:r>
                </w:p>
              </w:tc>
              <w:tc>
                <w:tcPr>
                  <w:tcW w:w="830" w:type="dxa"/>
                  <w:shd w:val="clear" w:color="auto" w:fill="auto"/>
                  <w:vAlign w:val="center"/>
                </w:tcPr>
                <w:p>
                  <w:pPr>
                    <w:jc w:val="center"/>
                    <w:rPr>
                      <w:color w:val="auto"/>
                      <w:sz w:val="21"/>
                      <w:szCs w:val="21"/>
                    </w:rPr>
                  </w:pPr>
                  <w:r>
                    <w:rPr>
                      <w:color w:val="auto"/>
                      <w:sz w:val="21"/>
                      <w:szCs w:val="21"/>
                    </w:rPr>
                    <w:t>23</w:t>
                  </w:r>
                </w:p>
              </w:tc>
              <w:tc>
                <w:tcPr>
                  <w:tcW w:w="681" w:type="dxa"/>
                  <w:shd w:val="clear" w:color="auto" w:fill="auto"/>
                  <w:vAlign w:val="center"/>
                </w:tcPr>
                <w:p>
                  <w:pPr>
                    <w:jc w:val="center"/>
                    <w:rPr>
                      <w:color w:val="auto"/>
                      <w:sz w:val="21"/>
                      <w:szCs w:val="21"/>
                    </w:rPr>
                  </w:pPr>
                  <w:r>
                    <w:rPr>
                      <w:color w:val="auto"/>
                      <w:sz w:val="21"/>
                      <w:szCs w:val="21"/>
                    </w:rPr>
                    <w:t>362</w:t>
                  </w:r>
                </w:p>
              </w:tc>
              <w:tc>
                <w:tcPr>
                  <w:tcW w:w="850" w:type="dxa"/>
                  <w:shd w:val="clear" w:color="auto" w:fill="auto"/>
                  <w:vAlign w:val="center"/>
                </w:tcPr>
                <w:p>
                  <w:pPr>
                    <w:jc w:val="center"/>
                    <w:rPr>
                      <w:color w:val="auto"/>
                      <w:sz w:val="21"/>
                      <w:szCs w:val="21"/>
                    </w:rPr>
                  </w:pPr>
                  <w:r>
                    <w:rPr>
                      <w:color w:val="auto"/>
                      <w:sz w:val="21"/>
                      <w:szCs w:val="21"/>
                    </w:rPr>
                    <w:t>N.D</w:t>
                  </w:r>
                </w:p>
              </w:tc>
              <w:tc>
                <w:tcPr>
                  <w:tcW w:w="757" w:type="dxa"/>
                  <w:shd w:val="clear" w:color="auto" w:fill="auto"/>
                  <w:vAlign w:val="center"/>
                </w:tcPr>
                <w:p>
                  <w:pPr>
                    <w:jc w:val="center"/>
                    <w:rPr>
                      <w:color w:val="auto"/>
                      <w:sz w:val="21"/>
                      <w:szCs w:val="21"/>
                    </w:rPr>
                  </w:pPr>
                  <w:r>
                    <w:rPr>
                      <w:color w:val="auto"/>
                      <w:sz w:val="21"/>
                      <w:szCs w:val="21"/>
                    </w:rPr>
                    <w:t>1.54</w:t>
                  </w:r>
                </w:p>
              </w:tc>
              <w:tc>
                <w:tcPr>
                  <w:tcW w:w="661" w:type="dxa"/>
                  <w:shd w:val="clear" w:color="auto" w:fill="auto"/>
                  <w:vAlign w:val="center"/>
                </w:tcPr>
                <w:p>
                  <w:pPr>
                    <w:jc w:val="center"/>
                    <w:rPr>
                      <w:color w:val="auto"/>
                      <w:sz w:val="21"/>
                      <w:szCs w:val="21"/>
                    </w:rPr>
                  </w:pPr>
                  <w:r>
                    <w:rPr>
                      <w:color w:val="auto"/>
                      <w:sz w:val="21"/>
                      <w:szCs w:val="21"/>
                    </w:rPr>
                    <w:t>54.9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951" w:type="dxa"/>
                  <w:shd w:val="clear" w:color="auto" w:fill="auto"/>
                  <w:vAlign w:val="center"/>
                </w:tcPr>
                <w:p>
                  <w:pPr>
                    <w:ind w:left="-160" w:leftChars="-50" w:right="-160" w:rightChars="-50"/>
                    <w:jc w:val="center"/>
                    <w:rPr>
                      <w:bCs/>
                      <w:color w:val="auto"/>
                      <w:sz w:val="21"/>
                      <w:szCs w:val="21"/>
                    </w:rPr>
                  </w:pPr>
                  <w:r>
                    <w:rPr>
                      <w:color w:val="auto"/>
                      <w:sz w:val="21"/>
                      <w:szCs w:val="21"/>
                    </w:rPr>
                    <w:t>XWS2-2 (0-20cm)</w:t>
                  </w:r>
                </w:p>
              </w:tc>
              <w:tc>
                <w:tcPr>
                  <w:tcW w:w="851" w:type="dxa"/>
                  <w:shd w:val="clear" w:color="auto" w:fill="auto"/>
                  <w:vAlign w:val="center"/>
                </w:tcPr>
                <w:p>
                  <w:pPr>
                    <w:jc w:val="center"/>
                    <w:rPr>
                      <w:color w:val="auto"/>
                      <w:sz w:val="21"/>
                      <w:szCs w:val="21"/>
                    </w:rPr>
                  </w:pPr>
                  <w:r>
                    <w:rPr>
                      <w:color w:val="auto"/>
                      <w:sz w:val="21"/>
                      <w:szCs w:val="21"/>
                    </w:rPr>
                    <w:t>6.9</w:t>
                  </w:r>
                </w:p>
              </w:tc>
              <w:tc>
                <w:tcPr>
                  <w:tcW w:w="850" w:type="dxa"/>
                  <w:shd w:val="clear" w:color="auto" w:fill="auto"/>
                  <w:vAlign w:val="center"/>
                </w:tcPr>
                <w:p>
                  <w:pPr>
                    <w:jc w:val="center"/>
                    <w:rPr>
                      <w:color w:val="auto"/>
                      <w:sz w:val="21"/>
                      <w:szCs w:val="21"/>
                    </w:rPr>
                  </w:pPr>
                  <w:r>
                    <w:rPr>
                      <w:color w:val="auto"/>
                      <w:sz w:val="21"/>
                      <w:szCs w:val="21"/>
                    </w:rPr>
                    <w:t>3.39</w:t>
                  </w:r>
                </w:p>
              </w:tc>
              <w:tc>
                <w:tcPr>
                  <w:tcW w:w="851" w:type="dxa"/>
                  <w:shd w:val="clear" w:color="auto" w:fill="auto"/>
                  <w:vAlign w:val="center"/>
                </w:tcPr>
                <w:p>
                  <w:pPr>
                    <w:jc w:val="center"/>
                    <w:rPr>
                      <w:color w:val="auto"/>
                      <w:sz w:val="21"/>
                      <w:szCs w:val="21"/>
                    </w:rPr>
                  </w:pPr>
                  <w:r>
                    <w:rPr>
                      <w:color w:val="auto"/>
                      <w:sz w:val="21"/>
                      <w:szCs w:val="21"/>
                    </w:rPr>
                    <w:t>63</w:t>
                  </w:r>
                </w:p>
              </w:tc>
              <w:tc>
                <w:tcPr>
                  <w:tcW w:w="830" w:type="dxa"/>
                  <w:shd w:val="clear" w:color="auto" w:fill="auto"/>
                  <w:vAlign w:val="center"/>
                </w:tcPr>
                <w:p>
                  <w:pPr>
                    <w:jc w:val="center"/>
                    <w:rPr>
                      <w:color w:val="auto"/>
                      <w:sz w:val="21"/>
                      <w:szCs w:val="21"/>
                    </w:rPr>
                  </w:pPr>
                  <w:r>
                    <w:rPr>
                      <w:color w:val="auto"/>
                      <w:sz w:val="21"/>
                      <w:szCs w:val="21"/>
                    </w:rPr>
                    <w:t>49</w:t>
                  </w:r>
                </w:p>
              </w:tc>
              <w:tc>
                <w:tcPr>
                  <w:tcW w:w="681" w:type="dxa"/>
                  <w:shd w:val="clear" w:color="auto" w:fill="auto"/>
                  <w:vAlign w:val="center"/>
                </w:tcPr>
                <w:p>
                  <w:pPr>
                    <w:jc w:val="center"/>
                    <w:rPr>
                      <w:color w:val="auto"/>
                      <w:sz w:val="21"/>
                      <w:szCs w:val="21"/>
                    </w:rPr>
                  </w:pPr>
                  <w:r>
                    <w:rPr>
                      <w:color w:val="auto"/>
                      <w:sz w:val="21"/>
                      <w:szCs w:val="21"/>
                    </w:rPr>
                    <w:t>158</w:t>
                  </w:r>
                </w:p>
              </w:tc>
              <w:tc>
                <w:tcPr>
                  <w:tcW w:w="850" w:type="dxa"/>
                  <w:shd w:val="clear" w:color="auto" w:fill="auto"/>
                  <w:vAlign w:val="center"/>
                </w:tcPr>
                <w:p>
                  <w:pPr>
                    <w:jc w:val="center"/>
                    <w:rPr>
                      <w:color w:val="auto"/>
                      <w:sz w:val="21"/>
                      <w:szCs w:val="21"/>
                    </w:rPr>
                  </w:pPr>
                  <w:r>
                    <w:rPr>
                      <w:color w:val="auto"/>
                      <w:sz w:val="21"/>
                      <w:szCs w:val="21"/>
                    </w:rPr>
                    <w:t>N.D</w:t>
                  </w:r>
                </w:p>
              </w:tc>
              <w:tc>
                <w:tcPr>
                  <w:tcW w:w="757" w:type="dxa"/>
                  <w:shd w:val="clear" w:color="auto" w:fill="auto"/>
                  <w:vAlign w:val="center"/>
                </w:tcPr>
                <w:p>
                  <w:pPr>
                    <w:jc w:val="center"/>
                    <w:rPr>
                      <w:color w:val="auto"/>
                      <w:sz w:val="21"/>
                      <w:szCs w:val="21"/>
                    </w:rPr>
                  </w:pPr>
                  <w:r>
                    <w:rPr>
                      <w:color w:val="auto"/>
                      <w:sz w:val="21"/>
                      <w:szCs w:val="21"/>
                    </w:rPr>
                    <w:t>0.347</w:t>
                  </w:r>
                </w:p>
              </w:tc>
              <w:tc>
                <w:tcPr>
                  <w:tcW w:w="661" w:type="dxa"/>
                  <w:shd w:val="clear" w:color="auto" w:fill="auto"/>
                  <w:vAlign w:val="center"/>
                </w:tcPr>
                <w:p>
                  <w:pPr>
                    <w:jc w:val="center"/>
                    <w:rPr>
                      <w:color w:val="auto"/>
                      <w:sz w:val="21"/>
                      <w:szCs w:val="21"/>
                    </w:rPr>
                  </w:pPr>
                  <w:r>
                    <w:rPr>
                      <w:color w:val="auto"/>
                      <w:sz w:val="21"/>
                      <w:szCs w:val="21"/>
                    </w:rPr>
                    <w:t>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951" w:type="dxa"/>
                  <w:shd w:val="clear" w:color="auto" w:fill="auto"/>
                  <w:vAlign w:val="center"/>
                </w:tcPr>
                <w:p>
                  <w:pPr>
                    <w:ind w:left="-160" w:leftChars="-50" w:right="-160" w:rightChars="-50"/>
                    <w:jc w:val="center"/>
                    <w:rPr>
                      <w:bCs/>
                      <w:color w:val="auto"/>
                      <w:sz w:val="21"/>
                      <w:szCs w:val="21"/>
                    </w:rPr>
                  </w:pPr>
                  <w:r>
                    <w:rPr>
                      <w:color w:val="auto"/>
                      <w:sz w:val="21"/>
                      <w:szCs w:val="21"/>
                    </w:rPr>
                    <w:t>XWS3-2 (0-20cm)</w:t>
                  </w:r>
                </w:p>
              </w:tc>
              <w:tc>
                <w:tcPr>
                  <w:tcW w:w="851" w:type="dxa"/>
                  <w:shd w:val="clear" w:color="auto" w:fill="auto"/>
                  <w:vAlign w:val="center"/>
                </w:tcPr>
                <w:p>
                  <w:pPr>
                    <w:jc w:val="center"/>
                    <w:rPr>
                      <w:color w:val="auto"/>
                      <w:sz w:val="21"/>
                      <w:szCs w:val="21"/>
                    </w:rPr>
                  </w:pPr>
                  <w:r>
                    <w:rPr>
                      <w:color w:val="auto"/>
                      <w:sz w:val="21"/>
                      <w:szCs w:val="21"/>
                    </w:rPr>
                    <w:t>7.0</w:t>
                  </w:r>
                </w:p>
              </w:tc>
              <w:tc>
                <w:tcPr>
                  <w:tcW w:w="850" w:type="dxa"/>
                  <w:shd w:val="clear" w:color="auto" w:fill="auto"/>
                  <w:vAlign w:val="center"/>
                </w:tcPr>
                <w:p>
                  <w:pPr>
                    <w:jc w:val="center"/>
                    <w:rPr>
                      <w:color w:val="auto"/>
                      <w:sz w:val="21"/>
                      <w:szCs w:val="21"/>
                    </w:rPr>
                  </w:pPr>
                  <w:r>
                    <w:rPr>
                      <w:color w:val="auto"/>
                      <w:sz w:val="21"/>
                      <w:szCs w:val="21"/>
                    </w:rPr>
                    <w:t>9.52</w:t>
                  </w:r>
                </w:p>
              </w:tc>
              <w:tc>
                <w:tcPr>
                  <w:tcW w:w="851" w:type="dxa"/>
                  <w:shd w:val="clear" w:color="auto" w:fill="auto"/>
                  <w:vAlign w:val="center"/>
                </w:tcPr>
                <w:p>
                  <w:pPr>
                    <w:jc w:val="center"/>
                    <w:rPr>
                      <w:color w:val="auto"/>
                      <w:sz w:val="21"/>
                      <w:szCs w:val="21"/>
                    </w:rPr>
                  </w:pPr>
                  <w:r>
                    <w:rPr>
                      <w:color w:val="auto"/>
                      <w:sz w:val="21"/>
                      <w:szCs w:val="21"/>
                    </w:rPr>
                    <w:t>70</w:t>
                  </w:r>
                </w:p>
              </w:tc>
              <w:tc>
                <w:tcPr>
                  <w:tcW w:w="830" w:type="dxa"/>
                  <w:shd w:val="clear" w:color="auto" w:fill="auto"/>
                  <w:vAlign w:val="center"/>
                </w:tcPr>
                <w:p>
                  <w:pPr>
                    <w:jc w:val="center"/>
                    <w:rPr>
                      <w:color w:val="auto"/>
                      <w:sz w:val="21"/>
                      <w:szCs w:val="21"/>
                    </w:rPr>
                  </w:pPr>
                  <w:r>
                    <w:rPr>
                      <w:color w:val="auto"/>
                      <w:sz w:val="21"/>
                      <w:szCs w:val="21"/>
                    </w:rPr>
                    <w:t>47</w:t>
                  </w:r>
                </w:p>
              </w:tc>
              <w:tc>
                <w:tcPr>
                  <w:tcW w:w="681" w:type="dxa"/>
                  <w:shd w:val="clear" w:color="auto" w:fill="auto"/>
                  <w:vAlign w:val="center"/>
                </w:tcPr>
                <w:p>
                  <w:pPr>
                    <w:jc w:val="center"/>
                    <w:rPr>
                      <w:color w:val="auto"/>
                      <w:sz w:val="21"/>
                      <w:szCs w:val="21"/>
                    </w:rPr>
                  </w:pPr>
                  <w:r>
                    <w:rPr>
                      <w:color w:val="auto"/>
                      <w:sz w:val="21"/>
                      <w:szCs w:val="21"/>
                    </w:rPr>
                    <w:t>360</w:t>
                  </w:r>
                </w:p>
              </w:tc>
              <w:tc>
                <w:tcPr>
                  <w:tcW w:w="850" w:type="dxa"/>
                  <w:shd w:val="clear" w:color="auto" w:fill="auto"/>
                  <w:vAlign w:val="center"/>
                </w:tcPr>
                <w:p>
                  <w:pPr>
                    <w:jc w:val="center"/>
                    <w:rPr>
                      <w:color w:val="auto"/>
                      <w:sz w:val="21"/>
                      <w:szCs w:val="21"/>
                    </w:rPr>
                  </w:pPr>
                  <w:r>
                    <w:rPr>
                      <w:color w:val="auto"/>
                      <w:sz w:val="21"/>
                      <w:szCs w:val="21"/>
                    </w:rPr>
                    <w:t>N.D</w:t>
                  </w:r>
                </w:p>
              </w:tc>
              <w:tc>
                <w:tcPr>
                  <w:tcW w:w="757" w:type="dxa"/>
                  <w:shd w:val="clear" w:color="auto" w:fill="auto"/>
                  <w:vAlign w:val="center"/>
                </w:tcPr>
                <w:p>
                  <w:pPr>
                    <w:jc w:val="center"/>
                    <w:rPr>
                      <w:color w:val="auto"/>
                      <w:sz w:val="21"/>
                      <w:szCs w:val="21"/>
                    </w:rPr>
                  </w:pPr>
                  <w:r>
                    <w:rPr>
                      <w:color w:val="auto"/>
                      <w:sz w:val="21"/>
                      <w:szCs w:val="21"/>
                    </w:rPr>
                    <w:t>0.803</w:t>
                  </w:r>
                </w:p>
              </w:tc>
              <w:tc>
                <w:tcPr>
                  <w:tcW w:w="661" w:type="dxa"/>
                  <w:shd w:val="clear" w:color="auto" w:fill="auto"/>
                  <w:vAlign w:val="center"/>
                </w:tcPr>
                <w:p>
                  <w:pPr>
                    <w:jc w:val="center"/>
                    <w:rPr>
                      <w:color w:val="auto"/>
                      <w:sz w:val="21"/>
                      <w:szCs w:val="21"/>
                    </w:rPr>
                  </w:pPr>
                  <w:r>
                    <w:rPr>
                      <w:color w:val="auto"/>
                      <w:sz w:val="21"/>
                      <w:szCs w:val="21"/>
                    </w:rPr>
                    <w:t>42.5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951" w:type="dxa"/>
                  <w:shd w:val="clear" w:color="auto" w:fill="auto"/>
                  <w:vAlign w:val="center"/>
                </w:tcPr>
                <w:p>
                  <w:pPr>
                    <w:ind w:left="-160" w:leftChars="-50" w:right="-160" w:rightChars="-50"/>
                    <w:jc w:val="center"/>
                    <w:rPr>
                      <w:color w:val="auto"/>
                      <w:sz w:val="21"/>
                      <w:szCs w:val="21"/>
                    </w:rPr>
                  </w:pPr>
                  <w:r>
                    <w:rPr>
                      <w:color w:val="auto"/>
                      <w:sz w:val="21"/>
                      <w:szCs w:val="21"/>
                    </w:rPr>
                    <w:t>XWS4-2 (0-20cm)</w:t>
                  </w:r>
                </w:p>
              </w:tc>
              <w:tc>
                <w:tcPr>
                  <w:tcW w:w="851" w:type="dxa"/>
                  <w:shd w:val="clear" w:color="auto" w:fill="auto"/>
                  <w:vAlign w:val="center"/>
                </w:tcPr>
                <w:p>
                  <w:pPr>
                    <w:jc w:val="center"/>
                    <w:rPr>
                      <w:color w:val="auto"/>
                      <w:sz w:val="21"/>
                      <w:szCs w:val="21"/>
                    </w:rPr>
                  </w:pPr>
                  <w:r>
                    <w:rPr>
                      <w:color w:val="auto"/>
                      <w:sz w:val="21"/>
                      <w:szCs w:val="21"/>
                    </w:rPr>
                    <w:t>7.1</w:t>
                  </w:r>
                </w:p>
              </w:tc>
              <w:tc>
                <w:tcPr>
                  <w:tcW w:w="850" w:type="dxa"/>
                  <w:shd w:val="clear" w:color="auto" w:fill="auto"/>
                  <w:vAlign w:val="center"/>
                </w:tcPr>
                <w:p>
                  <w:pPr>
                    <w:jc w:val="center"/>
                    <w:rPr>
                      <w:color w:val="auto"/>
                      <w:sz w:val="21"/>
                      <w:szCs w:val="21"/>
                    </w:rPr>
                  </w:pPr>
                  <w:r>
                    <w:rPr>
                      <w:color w:val="auto"/>
                      <w:sz w:val="21"/>
                      <w:szCs w:val="21"/>
                    </w:rPr>
                    <w:t>2.35</w:t>
                  </w:r>
                </w:p>
              </w:tc>
              <w:tc>
                <w:tcPr>
                  <w:tcW w:w="851" w:type="dxa"/>
                  <w:shd w:val="clear" w:color="auto" w:fill="auto"/>
                  <w:vAlign w:val="center"/>
                </w:tcPr>
                <w:p>
                  <w:pPr>
                    <w:jc w:val="center"/>
                    <w:rPr>
                      <w:color w:val="auto"/>
                      <w:sz w:val="21"/>
                      <w:szCs w:val="21"/>
                    </w:rPr>
                  </w:pPr>
                  <w:r>
                    <w:rPr>
                      <w:color w:val="auto"/>
                      <w:sz w:val="21"/>
                      <w:szCs w:val="21"/>
                    </w:rPr>
                    <w:t>53</w:t>
                  </w:r>
                </w:p>
              </w:tc>
              <w:tc>
                <w:tcPr>
                  <w:tcW w:w="830" w:type="dxa"/>
                  <w:shd w:val="clear" w:color="auto" w:fill="auto"/>
                  <w:vAlign w:val="center"/>
                </w:tcPr>
                <w:p>
                  <w:pPr>
                    <w:jc w:val="center"/>
                    <w:rPr>
                      <w:color w:val="auto"/>
                      <w:sz w:val="21"/>
                      <w:szCs w:val="21"/>
                    </w:rPr>
                  </w:pPr>
                  <w:r>
                    <w:rPr>
                      <w:color w:val="auto"/>
                      <w:sz w:val="21"/>
                      <w:szCs w:val="21"/>
                    </w:rPr>
                    <w:t>44</w:t>
                  </w:r>
                </w:p>
              </w:tc>
              <w:tc>
                <w:tcPr>
                  <w:tcW w:w="681" w:type="dxa"/>
                  <w:shd w:val="clear" w:color="auto" w:fill="auto"/>
                  <w:vAlign w:val="center"/>
                </w:tcPr>
                <w:p>
                  <w:pPr>
                    <w:jc w:val="center"/>
                    <w:rPr>
                      <w:color w:val="auto"/>
                      <w:sz w:val="21"/>
                      <w:szCs w:val="21"/>
                    </w:rPr>
                  </w:pPr>
                  <w:r>
                    <w:rPr>
                      <w:color w:val="auto"/>
                      <w:sz w:val="21"/>
                      <w:szCs w:val="21"/>
                    </w:rPr>
                    <w:t>106</w:t>
                  </w:r>
                </w:p>
              </w:tc>
              <w:tc>
                <w:tcPr>
                  <w:tcW w:w="850" w:type="dxa"/>
                  <w:shd w:val="clear" w:color="auto" w:fill="auto"/>
                  <w:vAlign w:val="center"/>
                </w:tcPr>
                <w:p>
                  <w:pPr>
                    <w:jc w:val="center"/>
                    <w:rPr>
                      <w:color w:val="auto"/>
                      <w:sz w:val="21"/>
                      <w:szCs w:val="21"/>
                    </w:rPr>
                  </w:pPr>
                  <w:r>
                    <w:rPr>
                      <w:color w:val="auto"/>
                      <w:sz w:val="21"/>
                      <w:szCs w:val="21"/>
                    </w:rPr>
                    <w:t>N.D</w:t>
                  </w:r>
                </w:p>
              </w:tc>
              <w:tc>
                <w:tcPr>
                  <w:tcW w:w="757" w:type="dxa"/>
                  <w:shd w:val="clear" w:color="auto" w:fill="auto"/>
                  <w:vAlign w:val="center"/>
                </w:tcPr>
                <w:p>
                  <w:pPr>
                    <w:jc w:val="center"/>
                    <w:rPr>
                      <w:color w:val="auto"/>
                      <w:sz w:val="21"/>
                      <w:szCs w:val="21"/>
                    </w:rPr>
                  </w:pPr>
                  <w:r>
                    <w:rPr>
                      <w:color w:val="auto"/>
                      <w:sz w:val="21"/>
                      <w:szCs w:val="21"/>
                    </w:rPr>
                    <w:t>0.253</w:t>
                  </w:r>
                </w:p>
              </w:tc>
              <w:tc>
                <w:tcPr>
                  <w:tcW w:w="661" w:type="dxa"/>
                  <w:shd w:val="clear" w:color="auto" w:fill="auto"/>
                  <w:vAlign w:val="center"/>
                </w:tcPr>
                <w:p>
                  <w:pPr>
                    <w:jc w:val="center"/>
                    <w:rPr>
                      <w:color w:val="auto"/>
                      <w:sz w:val="21"/>
                      <w:szCs w:val="21"/>
                    </w:rPr>
                  </w:pPr>
                  <w:r>
                    <w:rPr>
                      <w:color w:val="auto"/>
                      <w:sz w:val="21"/>
                      <w:szCs w:val="21"/>
                    </w:rPr>
                    <w:t>31.1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951" w:type="dxa"/>
                  <w:shd w:val="clear" w:color="auto" w:fill="auto"/>
                  <w:vAlign w:val="center"/>
                </w:tcPr>
                <w:p>
                  <w:pPr>
                    <w:ind w:left="-160" w:leftChars="-50" w:right="-160" w:rightChars="-50"/>
                    <w:jc w:val="center"/>
                    <w:rPr>
                      <w:bCs/>
                      <w:color w:val="auto"/>
                      <w:sz w:val="21"/>
                      <w:szCs w:val="21"/>
                    </w:rPr>
                  </w:pPr>
                  <w:r>
                    <w:rPr>
                      <w:color w:val="auto"/>
                      <w:sz w:val="21"/>
                      <w:szCs w:val="21"/>
                    </w:rPr>
                    <w:t>XWS5-2 (0-20cm)</w:t>
                  </w:r>
                </w:p>
              </w:tc>
              <w:tc>
                <w:tcPr>
                  <w:tcW w:w="851" w:type="dxa"/>
                  <w:shd w:val="clear" w:color="auto" w:fill="auto"/>
                  <w:vAlign w:val="center"/>
                </w:tcPr>
                <w:p>
                  <w:pPr>
                    <w:jc w:val="center"/>
                    <w:rPr>
                      <w:color w:val="auto"/>
                      <w:sz w:val="21"/>
                      <w:szCs w:val="21"/>
                    </w:rPr>
                  </w:pPr>
                  <w:r>
                    <w:rPr>
                      <w:color w:val="auto"/>
                      <w:sz w:val="21"/>
                      <w:szCs w:val="21"/>
                    </w:rPr>
                    <w:t>6.9</w:t>
                  </w:r>
                </w:p>
              </w:tc>
              <w:tc>
                <w:tcPr>
                  <w:tcW w:w="850" w:type="dxa"/>
                  <w:shd w:val="clear" w:color="auto" w:fill="auto"/>
                  <w:vAlign w:val="center"/>
                </w:tcPr>
                <w:p>
                  <w:pPr>
                    <w:jc w:val="center"/>
                    <w:rPr>
                      <w:color w:val="auto"/>
                      <w:sz w:val="21"/>
                      <w:szCs w:val="21"/>
                    </w:rPr>
                  </w:pPr>
                  <w:r>
                    <w:rPr>
                      <w:color w:val="auto"/>
                      <w:sz w:val="21"/>
                      <w:szCs w:val="21"/>
                    </w:rPr>
                    <w:t>1.76</w:t>
                  </w:r>
                </w:p>
              </w:tc>
              <w:tc>
                <w:tcPr>
                  <w:tcW w:w="851" w:type="dxa"/>
                  <w:shd w:val="clear" w:color="auto" w:fill="auto"/>
                  <w:vAlign w:val="center"/>
                </w:tcPr>
                <w:p>
                  <w:pPr>
                    <w:jc w:val="center"/>
                    <w:rPr>
                      <w:color w:val="auto"/>
                      <w:sz w:val="21"/>
                      <w:szCs w:val="21"/>
                    </w:rPr>
                  </w:pPr>
                  <w:r>
                    <w:rPr>
                      <w:color w:val="auto"/>
                      <w:sz w:val="21"/>
                      <w:szCs w:val="21"/>
                    </w:rPr>
                    <w:t>70</w:t>
                  </w:r>
                </w:p>
              </w:tc>
              <w:tc>
                <w:tcPr>
                  <w:tcW w:w="830" w:type="dxa"/>
                  <w:shd w:val="clear" w:color="auto" w:fill="auto"/>
                  <w:vAlign w:val="center"/>
                </w:tcPr>
                <w:p>
                  <w:pPr>
                    <w:jc w:val="center"/>
                    <w:rPr>
                      <w:color w:val="auto"/>
                      <w:sz w:val="21"/>
                      <w:szCs w:val="21"/>
                    </w:rPr>
                  </w:pPr>
                  <w:r>
                    <w:rPr>
                      <w:color w:val="auto"/>
                      <w:sz w:val="21"/>
                      <w:szCs w:val="21"/>
                    </w:rPr>
                    <w:t>45</w:t>
                  </w:r>
                </w:p>
              </w:tc>
              <w:tc>
                <w:tcPr>
                  <w:tcW w:w="681" w:type="dxa"/>
                  <w:shd w:val="clear" w:color="auto" w:fill="auto"/>
                  <w:vAlign w:val="center"/>
                </w:tcPr>
                <w:p>
                  <w:pPr>
                    <w:jc w:val="center"/>
                    <w:rPr>
                      <w:color w:val="auto"/>
                      <w:sz w:val="21"/>
                      <w:szCs w:val="21"/>
                    </w:rPr>
                  </w:pPr>
                  <w:r>
                    <w:rPr>
                      <w:color w:val="auto"/>
                      <w:sz w:val="21"/>
                      <w:szCs w:val="21"/>
                    </w:rPr>
                    <w:t>95.4</w:t>
                  </w:r>
                </w:p>
              </w:tc>
              <w:tc>
                <w:tcPr>
                  <w:tcW w:w="850" w:type="dxa"/>
                  <w:shd w:val="clear" w:color="auto" w:fill="auto"/>
                  <w:vAlign w:val="center"/>
                </w:tcPr>
                <w:p>
                  <w:pPr>
                    <w:jc w:val="center"/>
                    <w:rPr>
                      <w:color w:val="auto"/>
                      <w:sz w:val="21"/>
                      <w:szCs w:val="21"/>
                    </w:rPr>
                  </w:pPr>
                  <w:r>
                    <w:rPr>
                      <w:color w:val="auto"/>
                      <w:sz w:val="21"/>
                      <w:szCs w:val="21"/>
                    </w:rPr>
                    <w:t>N.D</w:t>
                  </w:r>
                </w:p>
              </w:tc>
              <w:tc>
                <w:tcPr>
                  <w:tcW w:w="757" w:type="dxa"/>
                  <w:shd w:val="clear" w:color="auto" w:fill="auto"/>
                  <w:vAlign w:val="center"/>
                </w:tcPr>
                <w:p>
                  <w:pPr>
                    <w:jc w:val="center"/>
                    <w:rPr>
                      <w:color w:val="auto"/>
                      <w:sz w:val="21"/>
                      <w:szCs w:val="21"/>
                    </w:rPr>
                  </w:pPr>
                  <w:r>
                    <w:rPr>
                      <w:color w:val="auto"/>
                      <w:sz w:val="21"/>
                      <w:szCs w:val="21"/>
                    </w:rPr>
                    <w:t>0.238</w:t>
                  </w:r>
                </w:p>
              </w:tc>
              <w:tc>
                <w:tcPr>
                  <w:tcW w:w="661" w:type="dxa"/>
                  <w:shd w:val="clear" w:color="auto" w:fill="auto"/>
                  <w:vAlign w:val="center"/>
                </w:tcPr>
                <w:p>
                  <w:pPr>
                    <w:jc w:val="center"/>
                    <w:rPr>
                      <w:color w:val="auto"/>
                      <w:sz w:val="21"/>
                      <w:szCs w:val="21"/>
                    </w:rPr>
                  </w:pPr>
                  <w:r>
                    <w:rPr>
                      <w:color w:val="auto"/>
                      <w:sz w:val="21"/>
                      <w:szCs w:val="21"/>
                    </w:rPr>
                    <w:t>44.1</w:t>
                  </w:r>
                </w:p>
              </w:tc>
            </w:tr>
          </w:tbl>
          <w:p>
            <w:pPr>
              <w:ind w:firstLine="480" w:firstLineChars="200"/>
              <w:jc w:val="left"/>
              <w:rPr>
                <w:color w:val="auto"/>
                <w:sz w:val="24"/>
              </w:rPr>
            </w:pPr>
            <w:r>
              <w:rPr>
                <w:color w:val="auto"/>
                <w:sz w:val="24"/>
              </w:rPr>
              <w:t>根据检测结果</w:t>
            </w:r>
            <w:r>
              <w:rPr>
                <w:rFonts w:hint="eastAsia"/>
                <w:color w:val="auto"/>
                <w:sz w:val="24"/>
              </w:rPr>
              <w:t>，</w:t>
            </w:r>
            <w:r>
              <w:rPr>
                <w:color w:val="auto"/>
                <w:sz w:val="24"/>
              </w:rPr>
              <w:t>本项目范围内池塘底泥</w:t>
            </w:r>
            <w:r>
              <w:rPr>
                <w:rFonts w:hint="eastAsia"/>
                <w:color w:val="auto"/>
                <w:sz w:val="24"/>
              </w:rPr>
              <w:t>（沉积物）为一般固废；其重金属总量符合《土壤环境质量 建设用地土壤污染风险管控标准》（GB36600-2018）第二类用地筛选值标准。</w:t>
            </w:r>
          </w:p>
          <w:p>
            <w:pPr>
              <w:ind w:firstLine="482" w:firstLineChars="200"/>
              <w:jc w:val="left"/>
              <w:rPr>
                <w:b/>
                <w:bCs/>
                <w:color w:val="auto"/>
                <w:sz w:val="24"/>
              </w:rPr>
            </w:pPr>
            <w:r>
              <w:rPr>
                <w:rFonts w:hint="eastAsia"/>
                <w:b/>
                <w:bCs/>
                <w:color w:val="auto"/>
                <w:sz w:val="24"/>
              </w:rPr>
              <w:t>三、原有环境问题</w:t>
            </w:r>
          </w:p>
          <w:bookmarkEnd w:id="2"/>
          <w:p>
            <w:pPr>
              <w:ind w:firstLine="480" w:firstLineChars="200"/>
              <w:jc w:val="left"/>
              <w:rPr>
                <w:color w:val="auto"/>
                <w:sz w:val="24"/>
              </w:rPr>
            </w:pPr>
            <w:r>
              <w:rPr>
                <w:rFonts w:hint="eastAsia"/>
                <w:color w:val="auto"/>
                <w:sz w:val="24"/>
              </w:rPr>
              <w:t>场地范围内的土壤、池塘地表水、池塘底泥（沉积物）均满足相应标准，不存在与本项目有关的原有污染情况及环境问题。</w:t>
            </w:r>
          </w:p>
          <w:p>
            <w:pPr>
              <w:pStyle w:val="42"/>
              <w:spacing w:after="0"/>
              <w:ind w:left="640" w:firstLine="600"/>
              <w:rPr>
                <w:color w:val="auto"/>
              </w:rPr>
            </w:pPr>
          </w:p>
          <w:p>
            <w:pPr>
              <w:rPr>
                <w:color w:val="auto"/>
              </w:rPr>
            </w:pPr>
          </w:p>
          <w:p>
            <w:pPr>
              <w:pStyle w:val="42"/>
              <w:spacing w:after="0"/>
              <w:ind w:left="640" w:firstLine="600"/>
              <w:rPr>
                <w:color w:val="auto"/>
              </w:rPr>
            </w:pPr>
          </w:p>
          <w:p>
            <w:pPr>
              <w:rPr>
                <w:color w:val="auto"/>
              </w:rPr>
            </w:pPr>
          </w:p>
          <w:p>
            <w:pPr>
              <w:rPr>
                <w:color w:val="auto"/>
              </w:rPr>
            </w:pPr>
          </w:p>
        </w:tc>
      </w:tr>
    </w:tbl>
    <w:p>
      <w:pPr>
        <w:rPr>
          <w:rFonts w:hint="eastAsia" w:cs="宋体"/>
          <w:b/>
          <w:bCs/>
          <w:sz w:val="28"/>
        </w:rPr>
      </w:pPr>
      <w:r>
        <w:rPr>
          <w:rFonts w:hint="eastAsia" w:cs="宋体"/>
          <w:b/>
          <w:bCs/>
          <w:sz w:val="28"/>
        </w:rPr>
        <w:br w:type="page"/>
      </w:r>
    </w:p>
    <w:p>
      <w:pPr>
        <w:jc w:val="left"/>
        <w:outlineLvl w:val="0"/>
        <w:rPr>
          <w:rFonts w:cs="宋体"/>
          <w:b/>
          <w:bCs/>
          <w:sz w:val="28"/>
        </w:rPr>
      </w:pPr>
      <w:bookmarkStart w:id="3" w:name="_Toc10174"/>
      <w:r>
        <w:rPr>
          <w:rFonts w:hint="eastAsia" w:cs="宋体"/>
          <w:b/>
          <w:bCs/>
          <w:sz w:val="28"/>
        </w:rPr>
        <w:t>建设项目所在地自然社会环境简况</w:t>
      </w:r>
      <w:bookmarkEnd w:id="3"/>
    </w:p>
    <w:tbl>
      <w:tblPr>
        <w:tblStyle w:val="43"/>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13" w:hRule="atLeast"/>
        </w:trPr>
        <w:tc>
          <w:tcPr>
            <w:tcW w:w="8931" w:type="dxa"/>
          </w:tcPr>
          <w:p>
            <w:pPr>
              <w:jc w:val="left"/>
              <w:rPr>
                <w:rFonts w:cs="宋体"/>
                <w:b/>
                <w:bCs/>
                <w:spacing w:val="-8"/>
                <w:sz w:val="24"/>
              </w:rPr>
            </w:pPr>
            <w:r>
              <w:rPr>
                <w:rFonts w:hint="eastAsia" w:cs="宋体"/>
                <w:b/>
                <w:bCs/>
                <w:spacing w:val="-8"/>
                <w:sz w:val="24"/>
              </w:rPr>
              <w:t>自然环境简况（地形、地貌、地质、气候、气象、水文、植被、生物多样性等）</w:t>
            </w:r>
          </w:p>
          <w:p>
            <w:pPr>
              <w:ind w:firstLine="482" w:firstLineChars="200"/>
              <w:jc w:val="left"/>
              <w:rPr>
                <w:b/>
                <w:sz w:val="24"/>
              </w:rPr>
            </w:pPr>
            <w:r>
              <w:rPr>
                <w:b/>
                <w:sz w:val="24"/>
              </w:rPr>
              <w:t>1、地理位置</w:t>
            </w:r>
          </w:p>
          <w:p>
            <w:pPr>
              <w:ind w:firstLine="480" w:firstLineChars="200"/>
              <w:rPr>
                <w:sz w:val="24"/>
              </w:rPr>
            </w:pPr>
            <w:r>
              <w:rPr>
                <w:rFonts w:hint="eastAsia"/>
                <w:sz w:val="24"/>
              </w:rPr>
              <w:t>株洲市是我国南方重要的交通枢纽，铁路有京广、浙赣、湘黔三大干线在此交汇；道路四通八达，106、320国道和京珠高速道路穿境而过；水路以湘江为主，通江达海，四季通航。株洲市位于湖南省东部，湘江中下游，罗宵山脉西麓，南岭山脉至江汉平原的倾斜地段上，地跨东经125°57′30″～114°07′15″、北纬26°03′05″～28°01′27″，南北长219.25km，东西宽88.75km，地域总面积11272 km</w:t>
            </w:r>
            <w:r>
              <w:rPr>
                <w:rFonts w:hint="eastAsia"/>
                <w:sz w:val="24"/>
                <w:vertAlign w:val="superscript"/>
              </w:rPr>
              <w:t>2</w:t>
            </w:r>
            <w:r>
              <w:rPr>
                <w:rFonts w:hint="eastAsia"/>
                <w:sz w:val="24"/>
              </w:rPr>
              <w:t>，占全省总面积的5.32%。</w:t>
            </w:r>
          </w:p>
          <w:p>
            <w:pPr>
              <w:ind w:firstLine="480" w:firstLineChars="200"/>
              <w:rPr>
                <w:sz w:val="24"/>
              </w:rPr>
            </w:pPr>
            <w:r>
              <w:rPr>
                <w:rFonts w:hint="eastAsia"/>
                <w:sz w:val="24"/>
              </w:rPr>
              <w:t>本项目位于株洲市石峰区，西起清湖路，东至清霞路，起点坐标为</w:t>
            </w:r>
            <w:r>
              <w:rPr>
                <w:sz w:val="24"/>
              </w:rPr>
              <w:t>东经113.063869083°、北纬27.864802650°</w:t>
            </w:r>
            <w:r>
              <w:rPr>
                <w:rFonts w:hint="eastAsia"/>
                <w:sz w:val="24"/>
              </w:rPr>
              <w:t>，终点坐标为</w:t>
            </w:r>
            <w:r>
              <w:rPr>
                <w:sz w:val="24"/>
              </w:rPr>
              <w:t>113.074571097°、北纬 27.865701190°。</w:t>
            </w:r>
          </w:p>
          <w:p>
            <w:pPr>
              <w:ind w:firstLine="482" w:firstLineChars="200"/>
              <w:jc w:val="left"/>
              <w:rPr>
                <w:b/>
                <w:sz w:val="24"/>
              </w:rPr>
            </w:pPr>
            <w:r>
              <w:rPr>
                <w:b/>
                <w:sz w:val="24"/>
              </w:rPr>
              <w:t>2、地形地貌</w:t>
            </w:r>
          </w:p>
          <w:p>
            <w:pPr>
              <w:pStyle w:val="149"/>
              <w:spacing w:line="240" w:lineRule="auto"/>
              <w:ind w:firstLine="480"/>
            </w:pPr>
            <w:r>
              <w:rPr>
                <w:rFonts w:hint="eastAsia"/>
              </w:rPr>
              <w:t>株洲市位于罗霄山脉西麓，南岭山脉至江汉平原的倾斜地段上，市域总的地势东南高、西北低。北中部地形岭谷相间，盆地呈带状展布；东南部均为山地，山峦迭障，地势雄伟。</w:t>
            </w:r>
          </w:p>
          <w:p>
            <w:pPr>
              <w:pStyle w:val="149"/>
              <w:spacing w:line="240" w:lineRule="auto"/>
              <w:ind w:firstLine="480"/>
            </w:pPr>
            <w:r>
              <w:rPr>
                <w:rFonts w:hint="eastAsia"/>
              </w:rPr>
              <w:t>水域637.27平方公里，占市域总面积的5.66%；平原1843.25平方公里,占16.37%；低岗地1449.86平方公里，占12.87%；高岗地738.74平方公里，占6.56%；丘陵1916.61平方公里，占17.02%；山地4676.47平方公里，占41.52%。山地主要集中于市域东南部，岗地以市域中北部居多，平原沿湘江两岸分布。</w:t>
            </w:r>
          </w:p>
          <w:p>
            <w:pPr>
              <w:pStyle w:val="149"/>
              <w:spacing w:line="240" w:lineRule="auto"/>
              <w:ind w:firstLine="480"/>
            </w:pPr>
            <w:r>
              <w:rPr>
                <w:rFonts w:hint="eastAsia"/>
              </w:rPr>
              <w:t>根据湖南省地质矿产局</w:t>
            </w:r>
            <w:r>
              <w:t>1/50000</w:t>
            </w:r>
            <w:r>
              <w:rPr>
                <w:rFonts w:hint="eastAsia"/>
              </w:rPr>
              <w:t>《城市区域地质调查报告》（株洲市幅），结合本次现场勘察，路线所在地段，没有滑坡、崩塌、泥石流等其他不良地质作用，不存在非全新世活动断裂，稳定，场地处于抗震不利地段，对地基采取适当抗震加固措施后适宜本工程建设。</w:t>
            </w:r>
          </w:p>
          <w:p>
            <w:pPr>
              <w:ind w:firstLine="482" w:firstLineChars="200"/>
              <w:jc w:val="left"/>
              <w:rPr>
                <w:b/>
                <w:sz w:val="24"/>
              </w:rPr>
            </w:pPr>
            <w:r>
              <w:rPr>
                <w:b/>
                <w:sz w:val="24"/>
              </w:rPr>
              <w:t>3、气候气象</w:t>
            </w:r>
          </w:p>
          <w:p>
            <w:pPr>
              <w:widowControl/>
              <w:adjustRightInd w:val="0"/>
              <w:snapToGrid w:val="0"/>
              <w:spacing w:line="480" w:lineRule="exact"/>
              <w:ind w:firstLine="480" w:firstLineChars="200"/>
              <w:jc w:val="left"/>
              <w:rPr>
                <w:kern w:val="0"/>
                <w:sz w:val="24"/>
                <w:szCs w:val="22"/>
              </w:rPr>
            </w:pPr>
            <w:r>
              <w:rPr>
                <w:kern w:val="0"/>
                <w:sz w:val="24"/>
                <w:szCs w:val="22"/>
              </w:rPr>
              <w:t>株洲市属中亚热带季风湿润性气候区，具有明显的季风气候，并有一定的大陆特征。气候湿润多雨，光热丰富，四季分明，表现为春温多变、夏多暑热、秋高气爽、冬少严寒、雨水充沛、热量丰富、涝重于旱。</w:t>
            </w:r>
          </w:p>
          <w:p>
            <w:pPr>
              <w:widowControl/>
              <w:adjustRightInd w:val="0"/>
              <w:snapToGrid w:val="0"/>
              <w:spacing w:line="480" w:lineRule="exact"/>
              <w:ind w:firstLine="480" w:firstLineChars="200"/>
              <w:jc w:val="left"/>
              <w:rPr>
                <w:kern w:val="0"/>
                <w:sz w:val="24"/>
                <w:szCs w:val="22"/>
              </w:rPr>
            </w:pPr>
            <w:r>
              <w:rPr>
                <w:kern w:val="0"/>
                <w:sz w:val="24"/>
                <w:szCs w:val="22"/>
              </w:rPr>
              <w:t>年平均气温为17.5℃，月平均气温1月最低约5℃、7月最高约29.8℃、极端最高气温达40.5℃，极端最低气温-11.5℃。</w:t>
            </w:r>
          </w:p>
          <w:p>
            <w:pPr>
              <w:widowControl/>
              <w:adjustRightInd w:val="0"/>
              <w:snapToGrid w:val="0"/>
              <w:spacing w:line="480" w:lineRule="exact"/>
              <w:ind w:firstLine="480" w:firstLineChars="200"/>
              <w:jc w:val="left"/>
              <w:rPr>
                <w:kern w:val="0"/>
                <w:sz w:val="24"/>
                <w:szCs w:val="22"/>
              </w:rPr>
            </w:pPr>
            <w:r>
              <w:rPr>
                <w:kern w:val="0"/>
                <w:sz w:val="24"/>
                <w:szCs w:val="22"/>
              </w:rPr>
              <w:t>年平均降雨量为1409.5mm，日降雨量大于0.1 mm的有154.7天，大于50mm的有68.4天，最大日降雨量195.7 mm。降水主要集中在4～6月，7～10月为旱季，干旱频率为57%，洪涝频率为73%。</w:t>
            </w:r>
          </w:p>
          <w:p>
            <w:pPr>
              <w:widowControl/>
              <w:adjustRightInd w:val="0"/>
              <w:snapToGrid w:val="0"/>
              <w:spacing w:line="480" w:lineRule="exact"/>
              <w:ind w:firstLine="480" w:firstLineChars="200"/>
              <w:jc w:val="left"/>
              <w:rPr>
                <w:kern w:val="0"/>
                <w:sz w:val="24"/>
                <w:szCs w:val="22"/>
              </w:rPr>
            </w:pPr>
            <w:r>
              <w:rPr>
                <w:kern w:val="0"/>
                <w:sz w:val="24"/>
                <w:szCs w:val="22"/>
              </w:rPr>
              <w:t>常年主导风向为西北偏北风，频率为16.6%。冬季主导风向西北偏北风，频率24.1%，夏季主导风向东南偏南风，频率15.6%。静风频率22.9%。年平均风速为2.2 m/s，夏季平均风速为2.3 m/s，冬季为2.1 m/s。月平均风速以7月最高达2.5 m/s，2月最低，为1.9 m/s。</w:t>
            </w:r>
          </w:p>
          <w:p>
            <w:pPr>
              <w:ind w:firstLine="482" w:firstLineChars="200"/>
              <w:jc w:val="left"/>
              <w:rPr>
                <w:b/>
                <w:sz w:val="24"/>
              </w:rPr>
            </w:pPr>
            <w:r>
              <w:rPr>
                <w:b/>
                <w:sz w:val="24"/>
              </w:rPr>
              <w:t>4、水文</w:t>
            </w:r>
          </w:p>
          <w:p>
            <w:pPr>
              <w:pStyle w:val="149"/>
              <w:adjustRightInd w:val="0"/>
              <w:snapToGrid w:val="0"/>
              <w:spacing w:line="480" w:lineRule="exact"/>
              <w:ind w:firstLine="480"/>
            </w:pPr>
            <w:r>
              <w:rPr>
                <w:rFonts w:hint="eastAsia"/>
              </w:rPr>
              <w:t>本项目所在区域地表水系主要为湘江、霞湾港、老霞湾港（规划为新桥河低排渠）、新桥河高排渠。</w:t>
            </w:r>
          </w:p>
          <w:p>
            <w:pPr>
              <w:pStyle w:val="149"/>
              <w:adjustRightInd w:val="0"/>
              <w:snapToGrid w:val="0"/>
              <w:spacing w:line="480" w:lineRule="exact"/>
              <w:ind w:firstLine="480"/>
            </w:pPr>
            <w:r>
              <w:rPr>
                <w:rFonts w:hint="eastAsia"/>
              </w:rPr>
              <w:t>湘江自北向南流经清水塘地区，湘江在区域内的长度约6.5km，沿途接纳了白石港、霞湾港、老霞湾港、乌丫港等4条小支流。河床平均宽800m，多年平均流量1780m</w:t>
            </w:r>
            <w:r>
              <w:rPr>
                <w:rFonts w:hint="eastAsia"/>
                <w:vertAlign w:val="superscript"/>
              </w:rPr>
              <w:t>3</w:t>
            </w:r>
            <w:r>
              <w:rPr>
                <w:rFonts w:hint="eastAsia"/>
              </w:rPr>
              <w:t>/s，历年最大流量为20700m</w:t>
            </w:r>
            <w:r>
              <w:rPr>
                <w:rFonts w:hint="eastAsia"/>
                <w:vertAlign w:val="superscript"/>
              </w:rPr>
              <w:t>3</w:t>
            </w:r>
            <w:r>
              <w:rPr>
                <w:rFonts w:hint="eastAsia"/>
              </w:rPr>
              <w:t>/s，最枯流量101m</w:t>
            </w:r>
            <w:r>
              <w:rPr>
                <w:rFonts w:hint="eastAsia"/>
                <w:vertAlign w:val="superscript"/>
              </w:rPr>
              <w:t>3</w:t>
            </w:r>
            <w:r>
              <w:rPr>
                <w:rFonts w:hint="eastAsia"/>
              </w:rPr>
              <w:t>/s，平均流速0.25m/s。最高水位42.69m（1994年6月18日），实测最大流量20700m</w:t>
            </w:r>
            <w:r>
              <w:rPr>
                <w:rFonts w:hint="eastAsia"/>
                <w:vertAlign w:val="superscript"/>
              </w:rPr>
              <w:t>3</w:t>
            </w:r>
            <w:r>
              <w:rPr>
                <w:rFonts w:hint="eastAsia"/>
              </w:rPr>
              <w:t>/s，最低水位29.37m（2008年10月23日），实测最小流量101m3/s，正常水位为29.54～32.06m。年最高水位一般出现在4～7月份，年最低水位出现在12月～2月。年平均流速0.25m/s，最小流速0.10m/s，平水期流速0.50m/s，枯水期流速0.14m/s，枯水期水面宽约100m。年平均总径流量644亿m</w:t>
            </w:r>
            <w:r>
              <w:rPr>
                <w:rFonts w:hint="eastAsia"/>
                <w:vertAlign w:val="superscript"/>
              </w:rPr>
              <w:t>3</w:t>
            </w:r>
            <w:r>
              <w:rPr>
                <w:rFonts w:hint="eastAsia"/>
              </w:rPr>
              <w:t>，河套弯曲曲率半径约200m。湘江左右两岸水文条件差异较大，右岸水流急、水深，污染物扩散稀释条件较好。左岸水流平缓，水浅，扩散稀释条件比右岸差，但河床平且多为沙滩。</w:t>
            </w:r>
          </w:p>
          <w:p>
            <w:pPr>
              <w:pStyle w:val="149"/>
              <w:adjustRightInd w:val="0"/>
              <w:snapToGrid w:val="0"/>
              <w:spacing w:line="480" w:lineRule="exact"/>
              <w:ind w:firstLine="480"/>
            </w:pPr>
            <w:r>
              <w:rPr>
                <w:rFonts w:hint="eastAsia"/>
              </w:rPr>
              <w:t>霞湾港发源于干旱塘，全长约</w:t>
            </w:r>
            <w:r>
              <w:t>4.26km</w:t>
            </w:r>
            <w:r>
              <w:rPr>
                <w:rFonts w:hint="eastAsia"/>
              </w:rPr>
              <w:t>，宽约</w:t>
            </w:r>
            <w:r>
              <w:t>4</w:t>
            </w:r>
            <w:r>
              <w:rPr>
                <w:rFonts w:hint="eastAsia"/>
              </w:rPr>
              <w:t>～</w:t>
            </w:r>
            <w:r>
              <w:t>10m</w:t>
            </w:r>
            <w:r>
              <w:rPr>
                <w:rFonts w:hint="eastAsia"/>
              </w:rPr>
              <w:t>，水深约</w:t>
            </w:r>
            <w:r>
              <w:t>0.5</w:t>
            </w:r>
            <w:r>
              <w:rPr>
                <w:rFonts w:hint="eastAsia"/>
              </w:rPr>
              <w:t>～</w:t>
            </w:r>
            <w:r>
              <w:t>1.5m</w:t>
            </w:r>
            <w:r>
              <w:rPr>
                <w:rFonts w:hint="eastAsia"/>
              </w:rPr>
              <w:t>，多年平均流量为</w:t>
            </w:r>
            <w:r>
              <w:t>4.3m</w:t>
            </w:r>
            <w:r>
              <w:rPr>
                <w:vertAlign w:val="superscript"/>
              </w:rPr>
              <w:t>3</w:t>
            </w:r>
            <w:r>
              <w:t>/s</w:t>
            </w:r>
            <w:r>
              <w:rPr>
                <w:rFonts w:hint="eastAsia"/>
              </w:rPr>
              <w:t>，枯水期多年平均流量为</w:t>
            </w:r>
            <w:r>
              <w:t>3.0m</w:t>
            </w:r>
            <w:r>
              <w:rPr>
                <w:vertAlign w:val="superscript"/>
              </w:rPr>
              <w:t>3</w:t>
            </w:r>
            <w:r>
              <w:t>/s</w:t>
            </w:r>
            <w:r>
              <w:rPr>
                <w:rFonts w:hint="eastAsia"/>
              </w:rPr>
              <w:t>，最大流量为</w:t>
            </w:r>
            <w:r>
              <w:t>70m</w:t>
            </w:r>
            <w:r>
              <w:rPr>
                <w:vertAlign w:val="superscript"/>
              </w:rPr>
              <w:t>3</w:t>
            </w:r>
            <w:r>
              <w:t>/s</w:t>
            </w:r>
            <w:r>
              <w:rPr>
                <w:rFonts w:hint="eastAsia"/>
              </w:rPr>
              <w:t>。霞湾港水文地质条件简单，流域蓄水保水性能差，中上游地下水主要为覆盖层中的孔隙水，以大气降水补给为主，一般在坡麓或沟谷渗出或成泉排出。上游来水及地下水较清澈透明，水质良好，呈弱碱性，属软性重碳酸</w:t>
            </w:r>
            <w:r>
              <w:t>—</w:t>
            </w:r>
            <w:r>
              <w:rPr>
                <w:rFonts w:hint="eastAsia"/>
              </w:rPr>
              <w:t>钾、钠、钙型淡水。中下游地下水除接受大气降水补给外，为周边大量的工业及居民生活废水的受纳水体，港水最终流入湘江。</w:t>
            </w:r>
            <w:r>
              <w:t>霞湾港规划为</w:t>
            </w:r>
            <w:r>
              <w:rPr>
                <w:rFonts w:hint="eastAsia"/>
              </w:rPr>
              <w:t>排污渠，霞湾港（排污渠）重金属污染治理工程已经完成，霞湾港</w:t>
            </w:r>
            <w:r>
              <w:t>汇入</w:t>
            </w:r>
            <w:r>
              <w:rPr>
                <w:rFonts w:hint="eastAsia"/>
              </w:rPr>
              <w:t>湘江</w:t>
            </w:r>
            <w:r>
              <w:t>口上游3km处是株洲三水厂取水口，汇入口下游5km左右即至株洲与湘潭交界的马家河</w:t>
            </w:r>
            <w:r>
              <w:rPr>
                <w:rFonts w:hint="eastAsia"/>
              </w:rPr>
              <w:t>。</w:t>
            </w:r>
          </w:p>
          <w:p>
            <w:pPr>
              <w:pStyle w:val="149"/>
              <w:spacing w:line="240" w:lineRule="auto"/>
              <w:ind w:firstLine="480"/>
            </w:pPr>
            <w:r>
              <w:rPr>
                <w:rFonts w:hint="eastAsia"/>
              </w:rPr>
              <w:t>新桥河高排渠：现状河道较为顺直，河底高程</w:t>
            </w:r>
            <w:r>
              <w:t>39.2-40.5m</w:t>
            </w:r>
            <w:r>
              <w:rPr>
                <w:rFonts w:hint="eastAsia"/>
              </w:rPr>
              <w:t>；右岸（清湖路侧）提防高程</w:t>
            </w:r>
            <w:r>
              <w:t>44.25-47.85m</w:t>
            </w:r>
            <w:r>
              <w:rPr>
                <w:rFonts w:hint="eastAsia"/>
              </w:rPr>
              <w:t>，基本满足百年一遇洪水位设防要求；左岸堤防高程</w:t>
            </w:r>
            <w:r>
              <w:t>43.83-44.9m</w:t>
            </w:r>
            <w:r>
              <w:rPr>
                <w:rFonts w:hint="eastAsia"/>
              </w:rPr>
              <w:t>，不满足防洪要求，后续需对左岸堤防进行加高处理。河道底宽</w:t>
            </w:r>
            <w:r>
              <w:t>2.5-3.5m</w:t>
            </w:r>
            <w:r>
              <w:rPr>
                <w:rFonts w:hint="eastAsia"/>
              </w:rPr>
              <w:t>，两岸河堤边坡坡率</w:t>
            </w:r>
            <w:r>
              <w:t xml:space="preserve">1:0.5-1:0.75 </w:t>
            </w:r>
            <w:r>
              <w:rPr>
                <w:rFonts w:hint="eastAsia"/>
              </w:rPr>
              <w:t>左右。铜霞路以下规划断面按底宽</w:t>
            </w:r>
            <w:r>
              <w:t>7m</w:t>
            </w:r>
            <w:r>
              <w:rPr>
                <w:rFonts w:hint="eastAsia"/>
              </w:rPr>
              <w:t>，两侧边坡坡率</w:t>
            </w:r>
            <w:r>
              <w:t>1:2</w:t>
            </w:r>
            <w:r>
              <w:rPr>
                <w:rFonts w:hint="eastAsia"/>
              </w:rPr>
              <w:t>。百年一遇洪水，流量峰值</w:t>
            </w:r>
            <w:r>
              <w:t>84.38m</w:t>
            </w:r>
            <w:r>
              <w:rPr>
                <w:vertAlign w:val="superscript"/>
              </w:rPr>
              <w:t>3</w:t>
            </w:r>
            <w:r>
              <w:t>/s</w:t>
            </w:r>
            <w:r>
              <w:rPr>
                <w:rFonts w:hint="eastAsia"/>
              </w:rPr>
              <w:t>；设计水位</w:t>
            </w:r>
            <w:r>
              <w:t>43.50m</w:t>
            </w:r>
            <w:r>
              <w:rPr>
                <w:rFonts w:hint="eastAsia"/>
              </w:rPr>
              <w:t>（百年一遇）。最小过水断面需求约</w:t>
            </w:r>
            <w:r>
              <w:t xml:space="preserve">32 </w:t>
            </w:r>
            <w:r>
              <w:rPr>
                <w:rFonts w:hint="eastAsia"/>
              </w:rPr>
              <w:t>㎡，桥梁跨径为</w:t>
            </w:r>
            <w:r>
              <w:t xml:space="preserve">30m </w:t>
            </w:r>
            <w:r>
              <w:rPr>
                <w:rFonts w:hint="eastAsia"/>
              </w:rPr>
              <w:t>时桥下过水断面未压缩规划河道断面（最高水位时过水断面约</w:t>
            </w:r>
            <w:r>
              <w:t xml:space="preserve">114 </w:t>
            </w:r>
            <w:r>
              <w:rPr>
                <w:rFonts w:hint="eastAsia"/>
              </w:rPr>
              <w:t>㎡），满足最大泄洪量通过要求。</w:t>
            </w:r>
          </w:p>
          <w:p>
            <w:pPr>
              <w:ind w:firstLine="482" w:firstLineChars="200"/>
              <w:jc w:val="left"/>
              <w:rPr>
                <w:b/>
                <w:sz w:val="24"/>
              </w:rPr>
            </w:pPr>
            <w:r>
              <w:rPr>
                <w:b/>
                <w:sz w:val="24"/>
              </w:rPr>
              <w:t>5、植被和生物</w:t>
            </w:r>
          </w:p>
          <w:p>
            <w:pPr>
              <w:pStyle w:val="149"/>
              <w:adjustRightInd w:val="0"/>
              <w:snapToGrid w:val="0"/>
              <w:spacing w:line="480" w:lineRule="exact"/>
              <w:ind w:firstLine="480"/>
            </w:pPr>
            <w:r>
              <w:rPr>
                <w:rFonts w:hint="eastAsia"/>
              </w:rPr>
              <w:t>土壤主要是红壤，还有黄壤、砂红壤、紫色土、雉冠土等。经人为耕作影响形成熟化的农业土壤，原土壤肥沃、性能良好，适宜多种作物生长。但</w:t>
            </w:r>
            <w:r>
              <w:t>20</w:t>
            </w:r>
            <w:r>
              <w:rPr>
                <w:rFonts w:hint="eastAsia"/>
              </w:rPr>
              <w:t>世纪</w:t>
            </w:r>
            <w:r>
              <w:t>50</w:t>
            </w:r>
            <w:r>
              <w:rPr>
                <w:rFonts w:hint="eastAsia"/>
              </w:rPr>
              <w:t>年代末期起，该区土壤在不同程度上遭受了工业三废、农药和化肥的污染（主要为重金属污染），致使一部分土壤的理化性能发生了变化，在一定程度上影响了作物正常生长，尤其是一些难降解的重金属等污染物在作物体内积累，影响产品产量和质量。</w:t>
            </w:r>
          </w:p>
          <w:p>
            <w:pPr>
              <w:pStyle w:val="149"/>
              <w:adjustRightInd w:val="0"/>
              <w:snapToGrid w:val="0"/>
              <w:spacing w:line="480" w:lineRule="exact"/>
              <w:ind w:firstLine="480"/>
            </w:pPr>
            <w:r>
              <w:rPr>
                <w:rFonts w:hint="eastAsia"/>
              </w:rPr>
              <w:t>植被基本上是人工植被、半人工植被和天然植被的混合形态，一是农田作物，二是人造林木，三是丘岗上的天然植被。农作物以水稻和蔬菜为主，兼有油茶、茶叶、红薯等。林木植被情况是，西、北部山地较为茂盛，但清水塘地区边缘的西部山地较稀疏。大部分为落叶阔叶林，部分为常绿树，目前生长的树种约</w:t>
            </w:r>
            <w:r>
              <w:t>60</w:t>
            </w:r>
            <w:r>
              <w:rPr>
                <w:rFonts w:hint="eastAsia"/>
              </w:rPr>
              <w:t>多种，其中有一定数量的耐污树种，如乔木有香樟、马尾松、女贞、臭椿、构树、桑树、苦楝、泡桐、法桐、广玉兰、枇杷、柚子、柑桔等，灌木有夹竹桃，小叶女贞、大叶黄杨、海桐、油茶等。全地区植被覆盖率较高，但南面的清水塘地区较低，工业生产区、溪港、湖塘地绿化覆盖率更低，环境景观较差。</w:t>
            </w:r>
          </w:p>
          <w:p>
            <w:pPr>
              <w:ind w:firstLine="480" w:firstLineChars="200"/>
              <w:jc w:val="left"/>
              <w:rPr>
                <w:sz w:val="24"/>
              </w:rPr>
            </w:pPr>
          </w:p>
          <w:p>
            <w:pPr>
              <w:jc w:val="left"/>
              <w:rPr>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30" w:hRule="atLeast"/>
        </w:trPr>
        <w:tc>
          <w:tcPr>
            <w:tcW w:w="8931" w:type="dxa"/>
          </w:tcPr>
          <w:p>
            <w:pPr>
              <w:rPr>
                <w:rFonts w:cs="宋体"/>
                <w:b/>
                <w:bCs/>
                <w:sz w:val="24"/>
              </w:rPr>
            </w:pPr>
            <w:r>
              <w:rPr>
                <w:rFonts w:hint="eastAsia" w:cs="宋体"/>
                <w:b/>
                <w:bCs/>
                <w:sz w:val="24"/>
              </w:rPr>
              <w:t>社会环境简况（社会经济结构、教育、文化、文物保护等）</w:t>
            </w:r>
          </w:p>
          <w:p>
            <w:pPr>
              <w:ind w:left="480"/>
              <w:rPr>
                <w:b/>
                <w:sz w:val="24"/>
              </w:rPr>
            </w:pPr>
            <w:r>
              <w:rPr>
                <w:b/>
                <w:bCs/>
                <w:sz w:val="24"/>
              </w:rPr>
              <w:t>1、</w:t>
            </w:r>
            <w:r>
              <w:rPr>
                <w:b/>
                <w:sz w:val="24"/>
              </w:rPr>
              <w:t>株洲市概况</w:t>
            </w:r>
          </w:p>
          <w:p>
            <w:pPr>
              <w:spacing w:line="480" w:lineRule="exact"/>
              <w:ind w:firstLine="480" w:firstLineChars="200"/>
              <w:rPr>
                <w:sz w:val="24"/>
              </w:rPr>
            </w:pPr>
            <w:r>
              <w:rPr>
                <w:rFonts w:hint="eastAsia"/>
                <w:sz w:val="24"/>
              </w:rPr>
              <w:t>株洲，位于湖南东部，古称建宁，公元214年，三国东吴在此设建宁郡，到南宋绍熙元年（公元1190年）正式定名为株洲。解放之初，株洲只是一个7000人的小镇，1951年为省辖市，1956年升为省辖地级市，1983年实行市带县体制。2007年获批国家“两型社会”建设综合配套改革试验区。现辖5县4区和1个国家级高新区、1个“两型社会”建设示范区。株洲市域的总面积为11262平方千米。</w:t>
            </w:r>
          </w:p>
          <w:p>
            <w:pPr>
              <w:spacing w:line="480" w:lineRule="exact"/>
              <w:ind w:firstLine="480" w:firstLineChars="200"/>
              <w:rPr>
                <w:sz w:val="24"/>
              </w:rPr>
            </w:pPr>
            <w:r>
              <w:rPr>
                <w:rFonts w:hint="eastAsia"/>
                <w:sz w:val="24"/>
              </w:rPr>
              <w:t>2018年，全市地区生产总值</w:t>
            </w:r>
            <w:r>
              <w:rPr>
                <w:sz w:val="24"/>
              </w:rPr>
              <w:t>2631.5</w:t>
            </w:r>
            <w:r>
              <w:rPr>
                <w:rFonts w:hint="eastAsia"/>
                <w:sz w:val="24"/>
              </w:rPr>
              <w:t>亿元，比上年增长</w:t>
            </w:r>
            <w:r>
              <w:rPr>
                <w:sz w:val="24"/>
              </w:rPr>
              <w:t>7.8%</w:t>
            </w:r>
            <w:r>
              <w:rPr>
                <w:rFonts w:hint="eastAsia"/>
                <w:sz w:val="24"/>
              </w:rPr>
              <w:t>，高于全国平均水平</w:t>
            </w:r>
            <w:r>
              <w:rPr>
                <w:sz w:val="24"/>
              </w:rPr>
              <w:t>1.2</w:t>
            </w:r>
            <w:r>
              <w:rPr>
                <w:rFonts w:hint="eastAsia"/>
                <w:sz w:val="24"/>
              </w:rPr>
              <w:t>个百分点，与全省平均水平持平。其中，第一产业增加值</w:t>
            </w:r>
            <w:r>
              <w:rPr>
                <w:sz w:val="24"/>
              </w:rPr>
              <w:t>185.5</w:t>
            </w:r>
            <w:r>
              <w:rPr>
                <w:rFonts w:hint="eastAsia"/>
                <w:sz w:val="24"/>
              </w:rPr>
              <w:t>亿元，增长</w:t>
            </w:r>
            <w:r>
              <w:rPr>
                <w:sz w:val="24"/>
              </w:rPr>
              <w:t>3.6%</w:t>
            </w:r>
            <w:r>
              <w:rPr>
                <w:rFonts w:hint="eastAsia"/>
                <w:sz w:val="24"/>
              </w:rPr>
              <w:t>；第二产业增加值</w:t>
            </w:r>
            <w:r>
              <w:rPr>
                <w:sz w:val="24"/>
              </w:rPr>
              <w:t>1149.2</w:t>
            </w:r>
            <w:r>
              <w:rPr>
                <w:rFonts w:hint="eastAsia"/>
                <w:sz w:val="24"/>
              </w:rPr>
              <w:t>亿元，增长</w:t>
            </w:r>
            <w:r>
              <w:rPr>
                <w:sz w:val="24"/>
              </w:rPr>
              <w:t>7.1%</w:t>
            </w:r>
            <w:r>
              <w:rPr>
                <w:rFonts w:hint="eastAsia"/>
                <w:sz w:val="24"/>
              </w:rPr>
              <w:t>，其中，工业增加值增长</w:t>
            </w:r>
            <w:r>
              <w:rPr>
                <w:sz w:val="24"/>
              </w:rPr>
              <w:t>7.4%</w:t>
            </w:r>
            <w:r>
              <w:rPr>
                <w:rFonts w:hint="eastAsia"/>
                <w:sz w:val="24"/>
              </w:rPr>
              <w:t>，建筑业增加值增长</w:t>
            </w:r>
            <w:r>
              <w:rPr>
                <w:sz w:val="24"/>
              </w:rPr>
              <w:t>5%</w:t>
            </w:r>
            <w:r>
              <w:rPr>
                <w:rFonts w:hint="eastAsia"/>
                <w:sz w:val="24"/>
              </w:rPr>
              <w:t>；第三产业增加值</w:t>
            </w:r>
            <w:r>
              <w:rPr>
                <w:sz w:val="24"/>
              </w:rPr>
              <w:t>1296.8</w:t>
            </w:r>
            <w:r>
              <w:rPr>
                <w:rFonts w:hint="eastAsia"/>
                <w:sz w:val="24"/>
              </w:rPr>
              <w:t>亿元，增长</w:t>
            </w:r>
            <w:r>
              <w:rPr>
                <w:sz w:val="24"/>
              </w:rPr>
              <w:t>9.6%</w:t>
            </w:r>
            <w:r>
              <w:rPr>
                <w:rFonts w:hint="eastAsia"/>
                <w:sz w:val="24"/>
              </w:rPr>
              <w:t>。</w:t>
            </w:r>
          </w:p>
          <w:p>
            <w:pPr>
              <w:ind w:firstLine="482" w:firstLineChars="200"/>
              <w:rPr>
                <w:b/>
                <w:bCs/>
                <w:sz w:val="24"/>
              </w:rPr>
            </w:pPr>
            <w:r>
              <w:rPr>
                <w:b/>
                <w:bCs/>
                <w:sz w:val="24"/>
              </w:rPr>
              <w:t>2</w:t>
            </w:r>
            <w:r>
              <w:rPr>
                <w:rFonts w:hint="eastAsia"/>
                <w:b/>
                <w:bCs/>
                <w:sz w:val="24"/>
              </w:rPr>
              <w:t>、石峰区</w:t>
            </w:r>
            <w:r>
              <w:rPr>
                <w:b/>
                <w:bCs/>
                <w:sz w:val="24"/>
              </w:rPr>
              <w:t>概况</w:t>
            </w:r>
          </w:p>
          <w:p>
            <w:pPr>
              <w:adjustRightInd w:val="0"/>
              <w:snapToGrid w:val="0"/>
              <w:spacing w:line="480" w:lineRule="exact"/>
              <w:ind w:firstLine="480" w:firstLineChars="200"/>
              <w:rPr>
                <w:sz w:val="24"/>
              </w:rPr>
            </w:pPr>
            <w:r>
              <w:rPr>
                <w:sz w:val="24"/>
              </w:rPr>
              <w:t>石峰区隶属于湖南株洲市，是株洲工业、科技、</w:t>
            </w:r>
            <w:r>
              <w:rPr>
                <w:sz w:val="24"/>
              </w:rPr>
              <w:fldChar w:fldCharType="begin"/>
            </w:r>
            <w:r>
              <w:rPr>
                <w:sz w:val="24"/>
              </w:rPr>
              <w:instrText xml:space="preserve"> HYPERLINK "https://baike.so.com/doc/1563413-1652684.html" \t "_blank" </w:instrText>
            </w:r>
            <w:r>
              <w:rPr>
                <w:sz w:val="24"/>
              </w:rPr>
              <w:fldChar w:fldCharType="separate"/>
            </w:r>
            <w:r>
              <w:rPr>
                <w:sz w:val="24"/>
              </w:rPr>
              <w:t>交通中心</w:t>
            </w:r>
            <w:r>
              <w:rPr>
                <w:sz w:val="24"/>
              </w:rPr>
              <w:fldChar w:fldCharType="end"/>
            </w:r>
            <w:r>
              <w:rPr>
                <w:sz w:val="24"/>
              </w:rPr>
              <w:t>，地处长、株、潭"金三角"前沿。石峰区辖辖5个街道，15个行政村，33个社区居委会，总面积91.3平方公里，总人口23.7万。2015年，石峰区乡镇区划调整，区划调整后，石峰区共减少1个乡镇建制，现辖云田镇、铜塘湾、学林等6个街道。石峰区依山傍水，拥有湖南省市区最大的森林公园石峰公园，总面积153.46公顷，主峰海拔167.38米，相对高度120米，园区植被茂盛，生态繁荣。</w:t>
            </w:r>
          </w:p>
          <w:p>
            <w:pPr>
              <w:ind w:firstLine="482" w:firstLineChars="200"/>
              <w:rPr>
                <w:b/>
                <w:sz w:val="24"/>
              </w:rPr>
            </w:pPr>
            <w:r>
              <w:rPr>
                <w:rFonts w:hint="eastAsia"/>
                <w:b/>
                <w:sz w:val="24"/>
              </w:rPr>
              <w:t>3、项目周边环境概况</w:t>
            </w:r>
          </w:p>
          <w:p>
            <w:pPr>
              <w:adjustRightInd w:val="0"/>
              <w:snapToGrid w:val="0"/>
              <w:spacing w:line="480" w:lineRule="exact"/>
              <w:ind w:firstLine="480" w:firstLineChars="200"/>
              <w:rPr>
                <w:sz w:val="24"/>
              </w:rPr>
            </w:pPr>
            <w:r>
              <w:rPr>
                <w:rFonts w:hint="eastAsia"/>
                <w:sz w:val="24"/>
              </w:rPr>
              <w:t>本项目位于株洲市石峰区，西接已建清湖路，东接清霞路，道路沿线分布现状道路、防洪堤、荒地、菜地、排水渠等。</w:t>
            </w:r>
          </w:p>
          <w:p>
            <w:pPr>
              <w:adjustRightInd w:val="0"/>
              <w:snapToGrid w:val="0"/>
              <w:spacing w:line="480" w:lineRule="exact"/>
              <w:ind w:firstLine="480" w:firstLineChars="200"/>
              <w:rPr>
                <w:sz w:val="24"/>
              </w:rPr>
            </w:pPr>
            <w:r>
              <w:rPr>
                <w:rFonts w:hint="eastAsia"/>
                <w:sz w:val="24"/>
              </w:rPr>
              <w:t>本项目北侧主要为清水塘重金属污染区绿色家园生态恢复示范项目区，相距约20</w:t>
            </w:r>
            <w:r>
              <w:rPr>
                <w:sz w:val="24"/>
              </w:rPr>
              <w:t>m</w:t>
            </w:r>
            <w:r>
              <w:rPr>
                <w:rFonts w:hint="eastAsia"/>
                <w:sz w:val="24"/>
              </w:rPr>
              <w:t>。该区域原为新桥渣场的一部分，渣场中主要堆积的废渣有建筑垃圾、生活垃圾外，其它第Ⅰ、Ⅱ类一般工业固体废物等。目前已经采用重金属污染土壤化学固定—生态修复技术、人工湿地污水处理技术、生态修复植物筛选及植物群落构建技术对该场地进行修复，目前该区域成功培育土壤修复的抗污染先锋植物、主景植物苗等。另，项目北侧还有3户霞湾新村居民，但已纳入棚改项目拆迁范围。</w:t>
            </w:r>
          </w:p>
          <w:p>
            <w:pPr>
              <w:adjustRightInd w:val="0"/>
              <w:snapToGrid w:val="0"/>
              <w:spacing w:line="480" w:lineRule="exact"/>
              <w:ind w:firstLine="480" w:firstLineChars="200"/>
              <w:rPr>
                <w:sz w:val="24"/>
              </w:rPr>
            </w:pPr>
            <w:r>
              <w:rPr>
                <w:rFonts w:hint="eastAsia"/>
                <w:sz w:val="24"/>
              </w:rPr>
              <w:t>本项目南侧为清水湖区域，相距约30</w:t>
            </w:r>
            <w:r>
              <w:rPr>
                <w:sz w:val="24"/>
              </w:rPr>
              <w:t>m</w:t>
            </w:r>
            <w:r>
              <w:rPr>
                <w:rFonts w:hint="eastAsia"/>
                <w:sz w:val="24"/>
              </w:rPr>
              <w:t>。查阅《株洲清水塘地区清水湖区域重金属污染治理工程环境影响报告书》（2017年4月），该地块最早前为耕地，居民建设地、水塘和部分水域。由于清水塘片区企业三废排放，产生大量的污染废水、废气，通过地表径流、大气沉降等综合作用使清水湖区域土壤、水塘受到不同程度的污染。根据《湖南省株洲市地区环境污染第三方治理试点方案》要求，清水湖区域重金属污染第三方治理工程于2016年7月启动施工，对污染土壤、水塘区域实施淸挖，客土回填、植被恢复工程，在2017年10月已竣工验收。项目南面规划建设一个清水湖。</w:t>
            </w:r>
          </w:p>
          <w:p>
            <w:pPr>
              <w:adjustRightInd w:val="0"/>
              <w:snapToGrid w:val="0"/>
              <w:spacing w:line="480" w:lineRule="exact"/>
              <w:ind w:firstLine="480" w:firstLineChars="200"/>
              <w:rPr>
                <w:sz w:val="24"/>
              </w:rPr>
            </w:pPr>
            <w:r>
              <w:rPr>
                <w:rFonts w:hint="eastAsia"/>
                <w:sz w:val="24"/>
              </w:rPr>
              <w:t>本项目西侧与清湖路相接，清湖路西侧为霞湾新村居民，距道路最近距离为10</w:t>
            </w:r>
            <w:r>
              <w:rPr>
                <w:sz w:val="24"/>
              </w:rPr>
              <w:t>m</w:t>
            </w:r>
            <w:r>
              <w:rPr>
                <w:rFonts w:hint="eastAsia"/>
                <w:sz w:val="24"/>
              </w:rPr>
              <w:t>，200</w:t>
            </w:r>
            <w:r>
              <w:rPr>
                <w:sz w:val="24"/>
              </w:rPr>
              <w:t>m</w:t>
            </w:r>
            <w:r>
              <w:rPr>
                <w:rFonts w:hint="eastAsia"/>
                <w:sz w:val="24"/>
              </w:rPr>
              <w:t>范围内约有30户居民。</w:t>
            </w:r>
          </w:p>
          <w:p>
            <w:pPr>
              <w:adjustRightInd w:val="0"/>
              <w:snapToGrid w:val="0"/>
              <w:spacing w:line="480" w:lineRule="exact"/>
              <w:ind w:firstLine="480" w:firstLineChars="200"/>
              <w:rPr>
                <w:sz w:val="24"/>
              </w:rPr>
            </w:pPr>
            <w:r>
              <w:rPr>
                <w:rFonts w:hint="eastAsia"/>
                <w:sz w:val="24"/>
              </w:rPr>
              <w:t>本项目东面原为铜霞片区居民，现已全部拆迁。</w:t>
            </w:r>
          </w:p>
          <w:p>
            <w:pPr>
              <w:adjustRightInd w:val="0"/>
              <w:snapToGrid w:val="0"/>
              <w:spacing w:line="480" w:lineRule="exact"/>
              <w:ind w:firstLine="480"/>
              <w:rPr>
                <w:sz w:val="24"/>
              </w:rPr>
            </w:pPr>
            <w:r>
              <w:rPr>
                <w:sz w:val="24"/>
              </w:rPr>
              <w:t>根据 2019 年 5 月由株洲市规划设计院编制的《株洲清水塘生态科技新城控规调整》，</w:t>
            </w:r>
            <w:r>
              <w:rPr>
                <w:rFonts w:hint="eastAsia"/>
                <w:sz w:val="24"/>
              </w:rPr>
              <w:t>本项目所在地规划为道路用地，项目北侧规划为</w:t>
            </w:r>
            <w:r>
              <w:rPr>
                <w:sz w:val="24"/>
              </w:rPr>
              <w:t>R21</w:t>
            </w:r>
            <w:r>
              <w:rPr>
                <w:rFonts w:hint="eastAsia"/>
                <w:sz w:val="24"/>
              </w:rPr>
              <w:t>（住宅用地）、A</w:t>
            </w:r>
            <w:r>
              <w:rPr>
                <w:sz w:val="24"/>
              </w:rPr>
              <w:t>2</w:t>
            </w:r>
            <w:r>
              <w:rPr>
                <w:rFonts w:hint="eastAsia"/>
                <w:sz w:val="24"/>
              </w:rPr>
              <w:t>（医院用地）、</w:t>
            </w:r>
            <w:r>
              <w:rPr>
                <w:sz w:val="24"/>
              </w:rPr>
              <w:t>A35/B1/B2（科研用地/商业/商务）</w:t>
            </w:r>
            <w:r>
              <w:rPr>
                <w:rFonts w:hint="eastAsia"/>
                <w:sz w:val="24"/>
              </w:rPr>
              <w:t>、</w:t>
            </w:r>
            <w:r>
              <w:rPr>
                <w:sz w:val="24"/>
              </w:rPr>
              <w:t>G1（公园绿地）</w:t>
            </w:r>
            <w:r>
              <w:rPr>
                <w:rFonts w:hint="eastAsia"/>
                <w:sz w:val="24"/>
              </w:rPr>
              <w:t>、</w:t>
            </w:r>
            <w:r>
              <w:rPr>
                <w:sz w:val="24"/>
              </w:rPr>
              <w:t>E1（水域）</w:t>
            </w:r>
            <w:r>
              <w:rPr>
                <w:rFonts w:hint="eastAsia"/>
                <w:sz w:val="24"/>
              </w:rPr>
              <w:t>，南侧规划为</w:t>
            </w:r>
            <w:r>
              <w:rPr>
                <w:sz w:val="24"/>
              </w:rPr>
              <w:t>A35/B1/B2（科研用地/商业/商务）</w:t>
            </w:r>
            <w:r>
              <w:rPr>
                <w:rFonts w:hint="eastAsia"/>
                <w:sz w:val="24"/>
              </w:rPr>
              <w:t>、</w:t>
            </w:r>
            <w:r>
              <w:rPr>
                <w:sz w:val="24"/>
              </w:rPr>
              <w:t>G1（公园绿地）</w:t>
            </w:r>
            <w:r>
              <w:rPr>
                <w:rFonts w:hint="eastAsia"/>
                <w:sz w:val="24"/>
              </w:rPr>
              <w:t>、</w:t>
            </w:r>
            <w:r>
              <w:rPr>
                <w:sz w:val="24"/>
              </w:rPr>
              <w:t>E1（水域）</w:t>
            </w:r>
            <w:r>
              <w:rPr>
                <w:rFonts w:hint="eastAsia"/>
                <w:sz w:val="24"/>
              </w:rPr>
              <w:t>。</w:t>
            </w:r>
            <w:r>
              <w:rPr>
                <w:sz w:val="24"/>
              </w:rPr>
              <w:t>详见附图。</w:t>
            </w:r>
          </w:p>
          <w:p>
            <w:pPr>
              <w:adjustRightInd w:val="0"/>
              <w:snapToGrid w:val="0"/>
              <w:spacing w:line="480" w:lineRule="exact"/>
              <w:ind w:firstLine="480"/>
              <w:rPr>
                <w:sz w:val="24"/>
              </w:rPr>
            </w:pPr>
            <w:r>
              <w:rPr>
                <w:sz w:val="24"/>
              </w:rPr>
              <w:t>本项目场地边界半径2000m范围内不存在饮用水源地、集中地下水开采区，工程场地及附近无风景名胜、历史文物遗址等特殊环保目标。用地范围内没有名木古树、珍稀濒危动物等需要保护的动植物。</w:t>
            </w:r>
          </w:p>
          <w:p>
            <w:pPr>
              <w:rPr>
                <w:sz w:val="24"/>
                <w:highlight w:val="yellow"/>
              </w:rPr>
            </w:pPr>
          </w:p>
        </w:tc>
      </w:tr>
    </w:tbl>
    <w:p>
      <w:pPr>
        <w:jc w:val="left"/>
        <w:rPr>
          <w:rFonts w:cs="宋体"/>
          <w:b/>
          <w:bCs/>
          <w:sz w:val="28"/>
        </w:rPr>
      </w:pPr>
    </w:p>
    <w:p>
      <w:pPr>
        <w:jc w:val="left"/>
        <w:outlineLvl w:val="0"/>
        <w:rPr>
          <w:rFonts w:cs="宋体"/>
          <w:b/>
          <w:bCs/>
          <w:sz w:val="28"/>
        </w:rPr>
      </w:pPr>
      <w:bookmarkStart w:id="4" w:name="_Toc14461"/>
      <w:r>
        <w:rPr>
          <w:rFonts w:hint="eastAsia" w:cs="宋体"/>
          <w:b/>
          <w:bCs/>
          <w:sz w:val="28"/>
        </w:rPr>
        <w:t>环境质量状况</w:t>
      </w:r>
      <w:bookmarkEnd w:id="4"/>
    </w:p>
    <w:tbl>
      <w:tblPr>
        <w:tblStyle w:val="43"/>
        <w:tblW w:w="90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82" w:hRule="atLeast"/>
          <w:jc w:val="center"/>
        </w:trPr>
        <w:tc>
          <w:tcPr>
            <w:tcW w:w="9063" w:type="dxa"/>
          </w:tcPr>
          <w:p>
            <w:pPr>
              <w:pStyle w:val="20"/>
              <w:spacing w:line="240" w:lineRule="auto"/>
              <w:rPr>
                <w:rFonts w:cs="宋体"/>
                <w:sz w:val="24"/>
              </w:rPr>
            </w:pPr>
            <w:r>
              <w:rPr>
                <w:rFonts w:hint="eastAsia" w:cs="宋体"/>
                <w:sz w:val="24"/>
              </w:rPr>
              <w:t>建设项目所在地区环境质量现状及主要环境问题（环境空气、地面水、地下水、声环境、生态环境等）</w:t>
            </w:r>
          </w:p>
          <w:p>
            <w:pPr>
              <w:ind w:firstLine="482" w:firstLineChars="200"/>
              <w:rPr>
                <w:sz w:val="24"/>
              </w:rPr>
            </w:pPr>
            <w:r>
              <w:rPr>
                <w:b/>
                <w:sz w:val="24"/>
              </w:rPr>
              <w:t>一、大气环境质量现状</w:t>
            </w:r>
          </w:p>
          <w:p>
            <w:pPr>
              <w:adjustRightInd w:val="0"/>
              <w:snapToGrid w:val="0"/>
              <w:spacing w:line="360" w:lineRule="auto"/>
              <w:ind w:firstLine="480" w:firstLineChars="200"/>
              <w:rPr>
                <w:color w:val="000000"/>
                <w:sz w:val="24"/>
              </w:rPr>
            </w:pPr>
            <w:r>
              <w:rPr>
                <w:color w:val="000000"/>
                <w:sz w:val="24"/>
              </w:rPr>
              <w:t>根据株洲市环境监测中心站《株洲市区环境空气监测年报》（株环监技字（201</w:t>
            </w:r>
            <w:r>
              <w:rPr>
                <w:rFonts w:hint="eastAsia"/>
                <w:color w:val="000000"/>
                <w:sz w:val="24"/>
              </w:rPr>
              <w:t>8</w:t>
            </w:r>
            <w:r>
              <w:rPr>
                <w:color w:val="000000"/>
                <w:sz w:val="24"/>
              </w:rPr>
              <w:t>）第</w:t>
            </w:r>
            <w:r>
              <w:rPr>
                <w:rFonts w:hint="eastAsia"/>
                <w:color w:val="000000"/>
                <w:sz w:val="24"/>
              </w:rPr>
              <w:t>293</w:t>
            </w:r>
            <w:r>
              <w:rPr>
                <w:color w:val="000000"/>
                <w:sz w:val="24"/>
              </w:rPr>
              <w:t>号），项目所在区域设有1个常规环境空气监测点—株冶医院测点，监测项目包括6项污染物（SO</w:t>
            </w:r>
            <w:r>
              <w:rPr>
                <w:color w:val="000000"/>
                <w:sz w:val="24"/>
                <w:vertAlign w:val="subscript"/>
              </w:rPr>
              <w:t>2</w:t>
            </w:r>
            <w:r>
              <w:rPr>
                <w:color w:val="000000"/>
                <w:sz w:val="24"/>
              </w:rPr>
              <w:t>、NO</w:t>
            </w:r>
            <w:r>
              <w:rPr>
                <w:color w:val="000000"/>
                <w:sz w:val="24"/>
                <w:vertAlign w:val="subscript"/>
              </w:rPr>
              <w:t>2</w:t>
            </w:r>
            <w:r>
              <w:rPr>
                <w:color w:val="000000"/>
                <w:sz w:val="24"/>
              </w:rPr>
              <w:t>、PM</w:t>
            </w:r>
            <w:r>
              <w:rPr>
                <w:color w:val="000000"/>
                <w:sz w:val="24"/>
                <w:vertAlign w:val="subscript"/>
              </w:rPr>
              <w:t>10</w:t>
            </w:r>
            <w:r>
              <w:rPr>
                <w:color w:val="000000"/>
                <w:sz w:val="24"/>
              </w:rPr>
              <w:t>、PM</w:t>
            </w:r>
            <w:r>
              <w:rPr>
                <w:color w:val="000000"/>
                <w:sz w:val="24"/>
                <w:vertAlign w:val="subscript"/>
              </w:rPr>
              <w:t>2.5</w:t>
            </w:r>
            <w:r>
              <w:rPr>
                <w:color w:val="000000"/>
                <w:sz w:val="24"/>
              </w:rPr>
              <w:t>、CO、O</w:t>
            </w:r>
            <w:r>
              <w:rPr>
                <w:color w:val="000000"/>
                <w:sz w:val="24"/>
                <w:vertAlign w:val="subscript"/>
              </w:rPr>
              <w:t>3</w:t>
            </w:r>
            <w:r>
              <w:rPr>
                <w:color w:val="000000"/>
                <w:sz w:val="24"/>
              </w:rPr>
              <w:t>）。监测统计结果见表</w:t>
            </w:r>
            <w:r>
              <w:rPr>
                <w:rFonts w:hint="eastAsia"/>
                <w:color w:val="000000"/>
                <w:sz w:val="24"/>
              </w:rPr>
              <w:t>16</w:t>
            </w:r>
            <w:r>
              <w:rPr>
                <w:color w:val="000000"/>
                <w:sz w:val="24"/>
              </w:rPr>
              <w:t>。</w:t>
            </w:r>
          </w:p>
          <w:p>
            <w:pPr>
              <w:adjustRightInd w:val="0"/>
              <w:snapToGrid w:val="0"/>
              <w:spacing w:line="480" w:lineRule="exact"/>
              <w:jc w:val="center"/>
              <w:rPr>
                <w:b/>
                <w:sz w:val="21"/>
                <w:lang w:bidi="ar"/>
              </w:rPr>
            </w:pPr>
            <w:bookmarkStart w:id="5" w:name="_Toc144138000"/>
            <w:bookmarkStart w:id="6" w:name="_Toc175558565"/>
            <w:bookmarkStart w:id="7" w:name="_Toc174856368"/>
            <w:r>
              <w:rPr>
                <w:b/>
                <w:sz w:val="21"/>
                <w:lang w:bidi="ar"/>
              </w:rPr>
              <w:t>表</w:t>
            </w:r>
            <w:r>
              <w:rPr>
                <w:rFonts w:hint="eastAsia"/>
                <w:b/>
                <w:sz w:val="21"/>
                <w:lang w:bidi="ar"/>
              </w:rPr>
              <w:t>16</w:t>
            </w:r>
            <w:r>
              <w:rPr>
                <w:b/>
                <w:sz w:val="21"/>
                <w:lang w:bidi="ar"/>
              </w:rPr>
              <w:t xml:space="preserve">  201</w:t>
            </w:r>
            <w:r>
              <w:rPr>
                <w:rFonts w:hint="eastAsia"/>
                <w:b/>
                <w:sz w:val="21"/>
                <w:lang w:bidi="ar"/>
              </w:rPr>
              <w:t>8</w:t>
            </w:r>
            <w:r>
              <w:rPr>
                <w:b/>
                <w:sz w:val="21"/>
                <w:lang w:bidi="ar"/>
              </w:rPr>
              <w:t>年环境空气监测结果一览表    单位：μg/m</w:t>
            </w:r>
            <w:r>
              <w:rPr>
                <w:b/>
                <w:sz w:val="21"/>
                <w:vertAlign w:val="superscript"/>
                <w:lang w:bidi="ar"/>
              </w:rPr>
              <w:t>3</w:t>
            </w:r>
            <w:r>
              <w:rPr>
                <w:rFonts w:hint="eastAsia"/>
                <w:b/>
                <w:sz w:val="21"/>
                <w:lang w:bidi="ar"/>
              </w:rPr>
              <w:t>（C</w:t>
            </w:r>
            <w:r>
              <w:rPr>
                <w:b/>
                <w:sz w:val="21"/>
                <w:lang w:bidi="ar"/>
              </w:rPr>
              <w:t>O</w:t>
            </w:r>
            <w:r>
              <w:rPr>
                <w:rFonts w:hint="eastAsia"/>
                <w:b/>
                <w:sz w:val="21"/>
                <w:lang w:bidi="ar"/>
              </w:rPr>
              <w:t>，</w:t>
            </w:r>
            <w:r>
              <w:rPr>
                <w:b/>
                <w:sz w:val="21"/>
                <w:lang w:bidi="ar"/>
              </w:rPr>
              <w:t>mg/m</w:t>
            </w:r>
            <w:r>
              <w:rPr>
                <w:b/>
                <w:sz w:val="21"/>
                <w:vertAlign w:val="superscript"/>
                <w:lang w:bidi="ar"/>
              </w:rPr>
              <w:t>3</w:t>
            </w:r>
            <w:r>
              <w:rPr>
                <w:rFonts w:hint="eastAsia"/>
                <w:b/>
                <w:sz w:val="21"/>
                <w:lang w:bidi="ar"/>
              </w:rPr>
              <w:t>）</w:t>
            </w:r>
          </w:p>
          <w:tbl>
            <w:tblPr>
              <w:tblStyle w:val="43"/>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929"/>
              <w:gridCol w:w="1223"/>
              <w:gridCol w:w="1221"/>
              <w:gridCol w:w="1224"/>
              <w:gridCol w:w="1224"/>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16" w:type="dxa"/>
                  <w:shd w:val="clear" w:color="auto" w:fill="auto"/>
                  <w:vAlign w:val="center"/>
                </w:tcPr>
                <w:p>
                  <w:pPr>
                    <w:adjustRightInd w:val="0"/>
                    <w:snapToGrid w:val="0"/>
                    <w:jc w:val="center"/>
                    <w:rPr>
                      <w:sz w:val="21"/>
                      <w:szCs w:val="21"/>
                    </w:rPr>
                  </w:pPr>
                  <w:r>
                    <w:rPr>
                      <w:sz w:val="21"/>
                      <w:szCs w:val="21"/>
                    </w:rPr>
                    <w:t>项目</w:t>
                  </w:r>
                </w:p>
              </w:tc>
              <w:tc>
                <w:tcPr>
                  <w:tcW w:w="929" w:type="dxa"/>
                  <w:shd w:val="clear" w:color="auto" w:fill="auto"/>
                  <w:vAlign w:val="center"/>
                </w:tcPr>
                <w:p>
                  <w:pPr>
                    <w:adjustRightInd w:val="0"/>
                    <w:snapToGrid w:val="0"/>
                    <w:jc w:val="center"/>
                    <w:rPr>
                      <w:sz w:val="21"/>
                      <w:szCs w:val="21"/>
                    </w:rPr>
                  </w:pPr>
                  <w:r>
                    <w:rPr>
                      <w:sz w:val="21"/>
                      <w:szCs w:val="21"/>
                    </w:rPr>
                    <w:t>SO</w:t>
                  </w:r>
                  <w:r>
                    <w:rPr>
                      <w:sz w:val="21"/>
                      <w:szCs w:val="21"/>
                      <w:vertAlign w:val="subscript"/>
                    </w:rPr>
                    <w:t>2</w:t>
                  </w:r>
                </w:p>
              </w:tc>
              <w:tc>
                <w:tcPr>
                  <w:tcW w:w="1223" w:type="dxa"/>
                  <w:shd w:val="clear" w:color="auto" w:fill="auto"/>
                  <w:vAlign w:val="center"/>
                </w:tcPr>
                <w:p>
                  <w:pPr>
                    <w:adjustRightInd w:val="0"/>
                    <w:snapToGrid w:val="0"/>
                    <w:jc w:val="center"/>
                    <w:rPr>
                      <w:sz w:val="21"/>
                      <w:szCs w:val="21"/>
                    </w:rPr>
                  </w:pPr>
                  <w:r>
                    <w:rPr>
                      <w:sz w:val="21"/>
                      <w:szCs w:val="21"/>
                    </w:rPr>
                    <w:t>NO</w:t>
                  </w:r>
                  <w:r>
                    <w:rPr>
                      <w:sz w:val="21"/>
                      <w:szCs w:val="21"/>
                      <w:vertAlign w:val="subscript"/>
                    </w:rPr>
                    <w:t>2</w:t>
                  </w:r>
                </w:p>
              </w:tc>
              <w:tc>
                <w:tcPr>
                  <w:tcW w:w="1221" w:type="dxa"/>
                  <w:shd w:val="clear" w:color="auto" w:fill="auto"/>
                  <w:vAlign w:val="center"/>
                </w:tcPr>
                <w:p>
                  <w:pPr>
                    <w:adjustRightInd w:val="0"/>
                    <w:snapToGrid w:val="0"/>
                    <w:jc w:val="center"/>
                    <w:rPr>
                      <w:sz w:val="21"/>
                      <w:szCs w:val="21"/>
                    </w:rPr>
                  </w:pPr>
                  <w:r>
                    <w:rPr>
                      <w:sz w:val="21"/>
                      <w:szCs w:val="21"/>
                    </w:rPr>
                    <w:t>PM</w:t>
                  </w:r>
                  <w:r>
                    <w:rPr>
                      <w:sz w:val="21"/>
                      <w:szCs w:val="21"/>
                      <w:vertAlign w:val="subscript"/>
                    </w:rPr>
                    <w:t>10</w:t>
                  </w:r>
                </w:p>
              </w:tc>
              <w:tc>
                <w:tcPr>
                  <w:tcW w:w="1224" w:type="dxa"/>
                  <w:vAlign w:val="center"/>
                </w:tcPr>
                <w:p>
                  <w:pPr>
                    <w:adjustRightInd w:val="0"/>
                    <w:snapToGrid w:val="0"/>
                    <w:jc w:val="center"/>
                    <w:rPr>
                      <w:sz w:val="21"/>
                      <w:szCs w:val="21"/>
                    </w:rPr>
                  </w:pPr>
                  <w:r>
                    <w:rPr>
                      <w:sz w:val="21"/>
                      <w:szCs w:val="21"/>
                    </w:rPr>
                    <w:t>PM</w:t>
                  </w:r>
                  <w:r>
                    <w:rPr>
                      <w:sz w:val="21"/>
                      <w:szCs w:val="21"/>
                      <w:vertAlign w:val="subscript"/>
                    </w:rPr>
                    <w:t>2.5</w:t>
                  </w:r>
                </w:p>
              </w:tc>
              <w:tc>
                <w:tcPr>
                  <w:tcW w:w="1224" w:type="dxa"/>
                  <w:shd w:val="clear" w:color="auto" w:fill="auto"/>
                  <w:vAlign w:val="center"/>
                </w:tcPr>
                <w:p>
                  <w:pPr>
                    <w:adjustRightInd w:val="0"/>
                    <w:snapToGrid w:val="0"/>
                    <w:jc w:val="center"/>
                    <w:rPr>
                      <w:sz w:val="21"/>
                      <w:szCs w:val="21"/>
                    </w:rPr>
                  </w:pPr>
                  <w:r>
                    <w:rPr>
                      <w:sz w:val="21"/>
                      <w:szCs w:val="21"/>
                    </w:rPr>
                    <w:t>CO</w:t>
                  </w:r>
                </w:p>
              </w:tc>
              <w:tc>
                <w:tcPr>
                  <w:tcW w:w="1224" w:type="dxa"/>
                  <w:shd w:val="clear" w:color="auto" w:fill="auto"/>
                  <w:vAlign w:val="center"/>
                </w:tcPr>
                <w:p>
                  <w:pPr>
                    <w:adjustRightInd w:val="0"/>
                    <w:snapToGrid w:val="0"/>
                    <w:jc w:val="center"/>
                    <w:rPr>
                      <w:sz w:val="21"/>
                      <w:szCs w:val="21"/>
                    </w:rPr>
                  </w:pPr>
                  <w:r>
                    <w:rPr>
                      <w:sz w:val="21"/>
                      <w:szCs w:val="21"/>
                    </w:rPr>
                    <w:t>O</w:t>
                  </w:r>
                  <w:r>
                    <w:rPr>
                      <w:sz w:val="21"/>
                      <w:szCs w:val="21"/>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16" w:type="dxa"/>
                  <w:shd w:val="clear" w:color="auto" w:fill="auto"/>
                  <w:vAlign w:val="center"/>
                </w:tcPr>
                <w:p>
                  <w:pPr>
                    <w:adjustRightInd w:val="0"/>
                    <w:snapToGrid w:val="0"/>
                    <w:jc w:val="center"/>
                    <w:rPr>
                      <w:sz w:val="21"/>
                      <w:szCs w:val="21"/>
                    </w:rPr>
                  </w:pPr>
                  <w:r>
                    <w:rPr>
                      <w:sz w:val="21"/>
                      <w:szCs w:val="21"/>
                    </w:rPr>
                    <w:t>日均最大值</w:t>
                  </w:r>
                </w:p>
              </w:tc>
              <w:tc>
                <w:tcPr>
                  <w:tcW w:w="929" w:type="dxa"/>
                  <w:shd w:val="clear" w:color="auto" w:fill="auto"/>
                  <w:vAlign w:val="center"/>
                </w:tcPr>
                <w:p>
                  <w:pPr>
                    <w:adjustRightInd w:val="0"/>
                    <w:snapToGrid w:val="0"/>
                    <w:jc w:val="center"/>
                    <w:rPr>
                      <w:sz w:val="21"/>
                      <w:szCs w:val="21"/>
                    </w:rPr>
                  </w:pPr>
                  <w:r>
                    <w:rPr>
                      <w:rFonts w:hint="eastAsia"/>
                      <w:sz w:val="21"/>
                      <w:szCs w:val="21"/>
                    </w:rPr>
                    <w:t>91</w:t>
                  </w:r>
                </w:p>
              </w:tc>
              <w:tc>
                <w:tcPr>
                  <w:tcW w:w="1223" w:type="dxa"/>
                  <w:shd w:val="clear" w:color="auto" w:fill="auto"/>
                  <w:vAlign w:val="center"/>
                </w:tcPr>
                <w:p>
                  <w:pPr>
                    <w:adjustRightInd w:val="0"/>
                    <w:snapToGrid w:val="0"/>
                    <w:jc w:val="center"/>
                    <w:rPr>
                      <w:sz w:val="21"/>
                      <w:szCs w:val="21"/>
                    </w:rPr>
                  </w:pPr>
                  <w:r>
                    <w:rPr>
                      <w:rFonts w:hint="eastAsia"/>
                      <w:sz w:val="21"/>
                      <w:szCs w:val="21"/>
                    </w:rPr>
                    <w:t>88</w:t>
                  </w:r>
                </w:p>
              </w:tc>
              <w:tc>
                <w:tcPr>
                  <w:tcW w:w="1221" w:type="dxa"/>
                  <w:shd w:val="clear" w:color="auto" w:fill="auto"/>
                  <w:vAlign w:val="center"/>
                </w:tcPr>
                <w:p>
                  <w:pPr>
                    <w:adjustRightInd w:val="0"/>
                    <w:snapToGrid w:val="0"/>
                    <w:jc w:val="center"/>
                    <w:rPr>
                      <w:sz w:val="21"/>
                      <w:szCs w:val="21"/>
                    </w:rPr>
                  </w:pPr>
                  <w:r>
                    <w:rPr>
                      <w:rFonts w:hint="eastAsia"/>
                      <w:sz w:val="21"/>
                      <w:szCs w:val="21"/>
                    </w:rPr>
                    <w:t>340</w:t>
                  </w:r>
                </w:p>
              </w:tc>
              <w:tc>
                <w:tcPr>
                  <w:tcW w:w="1224" w:type="dxa"/>
                  <w:vAlign w:val="center"/>
                </w:tcPr>
                <w:p>
                  <w:pPr>
                    <w:adjustRightInd w:val="0"/>
                    <w:snapToGrid w:val="0"/>
                    <w:jc w:val="center"/>
                    <w:rPr>
                      <w:sz w:val="21"/>
                      <w:szCs w:val="21"/>
                    </w:rPr>
                  </w:pPr>
                  <w:r>
                    <w:rPr>
                      <w:rFonts w:hint="eastAsia"/>
                      <w:sz w:val="21"/>
                      <w:szCs w:val="21"/>
                    </w:rPr>
                    <w:t>311</w:t>
                  </w:r>
                </w:p>
              </w:tc>
              <w:tc>
                <w:tcPr>
                  <w:tcW w:w="1224" w:type="dxa"/>
                  <w:shd w:val="clear" w:color="auto" w:fill="auto"/>
                  <w:vAlign w:val="center"/>
                </w:tcPr>
                <w:p>
                  <w:pPr>
                    <w:adjustRightInd w:val="0"/>
                    <w:snapToGrid w:val="0"/>
                    <w:jc w:val="center"/>
                    <w:rPr>
                      <w:sz w:val="21"/>
                      <w:szCs w:val="21"/>
                    </w:rPr>
                  </w:pPr>
                  <w:r>
                    <w:rPr>
                      <w:rFonts w:hint="eastAsia"/>
                      <w:sz w:val="21"/>
                      <w:szCs w:val="21"/>
                    </w:rPr>
                    <w:t>2.3</w:t>
                  </w:r>
                </w:p>
              </w:tc>
              <w:tc>
                <w:tcPr>
                  <w:tcW w:w="1224" w:type="dxa"/>
                  <w:shd w:val="clear" w:color="auto" w:fill="auto"/>
                  <w:vAlign w:val="center"/>
                </w:tcPr>
                <w:p>
                  <w:pPr>
                    <w:adjustRightInd w:val="0"/>
                    <w:snapToGrid w:val="0"/>
                    <w:jc w:val="center"/>
                    <w:rPr>
                      <w:sz w:val="21"/>
                      <w:szCs w:val="21"/>
                    </w:rPr>
                  </w:pPr>
                  <w:r>
                    <w:rPr>
                      <w:sz w:val="21"/>
                      <w:szCs w:val="21"/>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16" w:type="dxa"/>
                  <w:shd w:val="clear" w:color="auto" w:fill="auto"/>
                  <w:vAlign w:val="center"/>
                </w:tcPr>
                <w:p>
                  <w:pPr>
                    <w:adjustRightInd w:val="0"/>
                    <w:snapToGrid w:val="0"/>
                    <w:jc w:val="center"/>
                    <w:rPr>
                      <w:sz w:val="21"/>
                      <w:szCs w:val="21"/>
                    </w:rPr>
                  </w:pPr>
                  <w:r>
                    <w:rPr>
                      <w:sz w:val="21"/>
                      <w:szCs w:val="21"/>
                    </w:rPr>
                    <w:t>日均最小值</w:t>
                  </w:r>
                </w:p>
              </w:tc>
              <w:tc>
                <w:tcPr>
                  <w:tcW w:w="929" w:type="dxa"/>
                  <w:shd w:val="clear" w:color="auto" w:fill="auto"/>
                  <w:vAlign w:val="center"/>
                </w:tcPr>
                <w:p>
                  <w:pPr>
                    <w:adjustRightInd w:val="0"/>
                    <w:snapToGrid w:val="0"/>
                    <w:jc w:val="center"/>
                    <w:rPr>
                      <w:sz w:val="21"/>
                      <w:szCs w:val="21"/>
                    </w:rPr>
                  </w:pPr>
                  <w:r>
                    <w:rPr>
                      <w:rFonts w:hint="eastAsia"/>
                      <w:sz w:val="21"/>
                      <w:szCs w:val="21"/>
                    </w:rPr>
                    <w:t>3</w:t>
                  </w:r>
                </w:p>
              </w:tc>
              <w:tc>
                <w:tcPr>
                  <w:tcW w:w="1223" w:type="dxa"/>
                  <w:shd w:val="clear" w:color="auto" w:fill="auto"/>
                  <w:vAlign w:val="center"/>
                </w:tcPr>
                <w:p>
                  <w:pPr>
                    <w:adjustRightInd w:val="0"/>
                    <w:snapToGrid w:val="0"/>
                    <w:jc w:val="center"/>
                    <w:rPr>
                      <w:sz w:val="21"/>
                      <w:szCs w:val="21"/>
                    </w:rPr>
                  </w:pPr>
                  <w:r>
                    <w:rPr>
                      <w:rFonts w:hint="eastAsia"/>
                      <w:sz w:val="21"/>
                      <w:szCs w:val="21"/>
                    </w:rPr>
                    <w:t>9</w:t>
                  </w:r>
                </w:p>
              </w:tc>
              <w:tc>
                <w:tcPr>
                  <w:tcW w:w="1221" w:type="dxa"/>
                  <w:shd w:val="clear" w:color="auto" w:fill="auto"/>
                  <w:vAlign w:val="center"/>
                </w:tcPr>
                <w:p>
                  <w:pPr>
                    <w:adjustRightInd w:val="0"/>
                    <w:snapToGrid w:val="0"/>
                    <w:jc w:val="center"/>
                    <w:rPr>
                      <w:sz w:val="21"/>
                      <w:szCs w:val="21"/>
                    </w:rPr>
                  </w:pPr>
                  <w:r>
                    <w:rPr>
                      <w:rFonts w:hint="eastAsia"/>
                      <w:sz w:val="21"/>
                      <w:szCs w:val="21"/>
                    </w:rPr>
                    <w:t>10</w:t>
                  </w:r>
                </w:p>
              </w:tc>
              <w:tc>
                <w:tcPr>
                  <w:tcW w:w="1224" w:type="dxa"/>
                  <w:vAlign w:val="center"/>
                </w:tcPr>
                <w:p>
                  <w:pPr>
                    <w:adjustRightInd w:val="0"/>
                    <w:snapToGrid w:val="0"/>
                    <w:jc w:val="center"/>
                    <w:rPr>
                      <w:sz w:val="21"/>
                      <w:szCs w:val="21"/>
                    </w:rPr>
                  </w:pPr>
                  <w:r>
                    <w:rPr>
                      <w:rFonts w:hint="eastAsia"/>
                      <w:sz w:val="21"/>
                      <w:szCs w:val="21"/>
                    </w:rPr>
                    <w:t>8</w:t>
                  </w:r>
                </w:p>
              </w:tc>
              <w:tc>
                <w:tcPr>
                  <w:tcW w:w="1224" w:type="dxa"/>
                  <w:shd w:val="clear" w:color="auto" w:fill="auto"/>
                  <w:vAlign w:val="center"/>
                </w:tcPr>
                <w:p>
                  <w:pPr>
                    <w:adjustRightInd w:val="0"/>
                    <w:snapToGrid w:val="0"/>
                    <w:jc w:val="center"/>
                    <w:rPr>
                      <w:sz w:val="21"/>
                      <w:szCs w:val="21"/>
                    </w:rPr>
                  </w:pPr>
                  <w:r>
                    <w:rPr>
                      <w:sz w:val="21"/>
                      <w:szCs w:val="21"/>
                    </w:rPr>
                    <w:t>0.3</w:t>
                  </w:r>
                </w:p>
              </w:tc>
              <w:tc>
                <w:tcPr>
                  <w:tcW w:w="1224" w:type="dxa"/>
                  <w:shd w:val="clear" w:color="auto" w:fill="auto"/>
                  <w:vAlign w:val="center"/>
                </w:tcPr>
                <w:p>
                  <w:pPr>
                    <w:adjustRightInd w:val="0"/>
                    <w:snapToGrid w:val="0"/>
                    <w:jc w:val="center"/>
                    <w:rPr>
                      <w:sz w:val="21"/>
                      <w:szCs w:val="21"/>
                    </w:rPr>
                  </w:pPr>
                  <w:r>
                    <w:rPr>
                      <w:rFonts w:hint="eastAsia"/>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16" w:type="dxa"/>
                  <w:shd w:val="clear" w:color="auto" w:fill="auto"/>
                  <w:vAlign w:val="center"/>
                </w:tcPr>
                <w:p>
                  <w:pPr>
                    <w:adjustRightInd w:val="0"/>
                    <w:snapToGrid w:val="0"/>
                    <w:jc w:val="center"/>
                    <w:rPr>
                      <w:sz w:val="21"/>
                      <w:szCs w:val="21"/>
                    </w:rPr>
                  </w:pPr>
                  <w:r>
                    <w:rPr>
                      <w:sz w:val="21"/>
                      <w:szCs w:val="21"/>
                    </w:rPr>
                    <w:t>超标率（%）</w:t>
                  </w:r>
                </w:p>
              </w:tc>
              <w:tc>
                <w:tcPr>
                  <w:tcW w:w="929" w:type="dxa"/>
                  <w:shd w:val="clear" w:color="auto" w:fill="auto"/>
                  <w:vAlign w:val="center"/>
                </w:tcPr>
                <w:p>
                  <w:pPr>
                    <w:adjustRightInd w:val="0"/>
                    <w:snapToGrid w:val="0"/>
                    <w:jc w:val="center"/>
                    <w:rPr>
                      <w:sz w:val="21"/>
                      <w:szCs w:val="21"/>
                    </w:rPr>
                  </w:pPr>
                  <w:r>
                    <w:rPr>
                      <w:rFonts w:hint="eastAsia"/>
                      <w:sz w:val="21"/>
                      <w:szCs w:val="21"/>
                    </w:rPr>
                    <w:t>0</w:t>
                  </w:r>
                </w:p>
              </w:tc>
              <w:tc>
                <w:tcPr>
                  <w:tcW w:w="1223" w:type="dxa"/>
                  <w:shd w:val="clear" w:color="auto" w:fill="auto"/>
                  <w:vAlign w:val="center"/>
                </w:tcPr>
                <w:p>
                  <w:pPr>
                    <w:adjustRightInd w:val="0"/>
                    <w:snapToGrid w:val="0"/>
                    <w:jc w:val="center"/>
                    <w:rPr>
                      <w:sz w:val="21"/>
                      <w:szCs w:val="21"/>
                    </w:rPr>
                  </w:pPr>
                  <w:r>
                    <w:rPr>
                      <w:rFonts w:hint="eastAsia"/>
                      <w:sz w:val="21"/>
                      <w:szCs w:val="21"/>
                    </w:rPr>
                    <w:t>0</w:t>
                  </w:r>
                </w:p>
              </w:tc>
              <w:tc>
                <w:tcPr>
                  <w:tcW w:w="1221" w:type="dxa"/>
                  <w:shd w:val="clear" w:color="auto" w:fill="auto"/>
                  <w:vAlign w:val="center"/>
                </w:tcPr>
                <w:p>
                  <w:pPr>
                    <w:adjustRightInd w:val="0"/>
                    <w:snapToGrid w:val="0"/>
                    <w:jc w:val="center"/>
                    <w:rPr>
                      <w:sz w:val="21"/>
                      <w:szCs w:val="21"/>
                    </w:rPr>
                  </w:pPr>
                  <w:r>
                    <w:rPr>
                      <w:rFonts w:hint="eastAsia"/>
                      <w:sz w:val="21"/>
                      <w:szCs w:val="21"/>
                    </w:rPr>
                    <w:t>6.3</w:t>
                  </w:r>
                </w:p>
              </w:tc>
              <w:tc>
                <w:tcPr>
                  <w:tcW w:w="1224" w:type="dxa"/>
                  <w:vAlign w:val="center"/>
                </w:tcPr>
                <w:p>
                  <w:pPr>
                    <w:adjustRightInd w:val="0"/>
                    <w:snapToGrid w:val="0"/>
                    <w:jc w:val="center"/>
                    <w:rPr>
                      <w:sz w:val="21"/>
                      <w:szCs w:val="21"/>
                    </w:rPr>
                  </w:pPr>
                  <w:r>
                    <w:rPr>
                      <w:rFonts w:hint="eastAsia"/>
                      <w:sz w:val="21"/>
                      <w:szCs w:val="21"/>
                    </w:rPr>
                    <w:t>14.6</w:t>
                  </w:r>
                </w:p>
              </w:tc>
              <w:tc>
                <w:tcPr>
                  <w:tcW w:w="1224" w:type="dxa"/>
                  <w:shd w:val="clear" w:color="auto" w:fill="auto"/>
                  <w:vAlign w:val="center"/>
                </w:tcPr>
                <w:p>
                  <w:pPr>
                    <w:adjustRightInd w:val="0"/>
                    <w:snapToGrid w:val="0"/>
                    <w:jc w:val="center"/>
                    <w:rPr>
                      <w:sz w:val="21"/>
                      <w:szCs w:val="21"/>
                    </w:rPr>
                  </w:pPr>
                  <w:r>
                    <w:rPr>
                      <w:sz w:val="21"/>
                      <w:szCs w:val="21"/>
                    </w:rPr>
                    <w:t>0</w:t>
                  </w:r>
                </w:p>
              </w:tc>
              <w:tc>
                <w:tcPr>
                  <w:tcW w:w="1224" w:type="dxa"/>
                  <w:shd w:val="clear" w:color="auto" w:fill="auto"/>
                  <w:vAlign w:val="center"/>
                </w:tcPr>
                <w:p>
                  <w:pPr>
                    <w:adjustRightInd w:val="0"/>
                    <w:snapToGrid w:val="0"/>
                    <w:jc w:val="center"/>
                    <w:rPr>
                      <w:sz w:val="21"/>
                      <w:szCs w:val="21"/>
                    </w:rPr>
                  </w:pPr>
                  <w:r>
                    <w:rPr>
                      <w:rFonts w:hint="eastAsia"/>
                      <w:sz w:val="21"/>
                      <w:szCs w:val="21"/>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16" w:type="dxa"/>
                  <w:shd w:val="clear" w:color="auto" w:fill="auto"/>
                  <w:vAlign w:val="center"/>
                </w:tcPr>
                <w:p>
                  <w:pPr>
                    <w:adjustRightInd w:val="0"/>
                    <w:snapToGrid w:val="0"/>
                    <w:jc w:val="center"/>
                    <w:rPr>
                      <w:sz w:val="21"/>
                      <w:szCs w:val="21"/>
                    </w:rPr>
                  </w:pPr>
                  <w:r>
                    <w:rPr>
                      <w:sz w:val="21"/>
                      <w:szCs w:val="21"/>
                    </w:rPr>
                    <w:t>超标倍数（倍）</w:t>
                  </w:r>
                </w:p>
              </w:tc>
              <w:tc>
                <w:tcPr>
                  <w:tcW w:w="929" w:type="dxa"/>
                  <w:shd w:val="clear" w:color="auto" w:fill="auto"/>
                  <w:vAlign w:val="center"/>
                </w:tcPr>
                <w:p>
                  <w:pPr>
                    <w:adjustRightInd w:val="0"/>
                    <w:snapToGrid w:val="0"/>
                    <w:jc w:val="center"/>
                    <w:rPr>
                      <w:sz w:val="21"/>
                      <w:szCs w:val="21"/>
                    </w:rPr>
                  </w:pPr>
                  <w:r>
                    <w:rPr>
                      <w:rFonts w:hint="eastAsia"/>
                      <w:sz w:val="21"/>
                      <w:szCs w:val="21"/>
                    </w:rPr>
                    <w:t>0</w:t>
                  </w:r>
                </w:p>
              </w:tc>
              <w:tc>
                <w:tcPr>
                  <w:tcW w:w="1223" w:type="dxa"/>
                  <w:shd w:val="clear" w:color="auto" w:fill="auto"/>
                  <w:vAlign w:val="center"/>
                </w:tcPr>
                <w:p>
                  <w:pPr>
                    <w:adjustRightInd w:val="0"/>
                    <w:snapToGrid w:val="0"/>
                    <w:jc w:val="center"/>
                    <w:rPr>
                      <w:sz w:val="21"/>
                      <w:szCs w:val="21"/>
                    </w:rPr>
                  </w:pPr>
                  <w:r>
                    <w:rPr>
                      <w:rFonts w:hint="eastAsia"/>
                      <w:sz w:val="21"/>
                      <w:szCs w:val="21"/>
                    </w:rPr>
                    <w:t>0</w:t>
                  </w:r>
                </w:p>
              </w:tc>
              <w:tc>
                <w:tcPr>
                  <w:tcW w:w="1221" w:type="dxa"/>
                  <w:shd w:val="clear" w:color="auto" w:fill="auto"/>
                  <w:vAlign w:val="center"/>
                </w:tcPr>
                <w:p>
                  <w:pPr>
                    <w:adjustRightInd w:val="0"/>
                    <w:snapToGrid w:val="0"/>
                    <w:jc w:val="center"/>
                    <w:rPr>
                      <w:sz w:val="21"/>
                      <w:szCs w:val="21"/>
                    </w:rPr>
                  </w:pPr>
                  <w:r>
                    <w:rPr>
                      <w:rFonts w:hint="eastAsia"/>
                      <w:sz w:val="21"/>
                      <w:szCs w:val="21"/>
                    </w:rPr>
                    <w:t>1.27</w:t>
                  </w:r>
                </w:p>
              </w:tc>
              <w:tc>
                <w:tcPr>
                  <w:tcW w:w="1224" w:type="dxa"/>
                  <w:vAlign w:val="center"/>
                </w:tcPr>
                <w:p>
                  <w:pPr>
                    <w:adjustRightInd w:val="0"/>
                    <w:snapToGrid w:val="0"/>
                    <w:jc w:val="center"/>
                    <w:rPr>
                      <w:sz w:val="21"/>
                      <w:szCs w:val="21"/>
                    </w:rPr>
                  </w:pPr>
                  <w:r>
                    <w:rPr>
                      <w:rFonts w:hint="eastAsia"/>
                      <w:sz w:val="21"/>
                      <w:szCs w:val="21"/>
                    </w:rPr>
                    <w:t>3.15</w:t>
                  </w:r>
                </w:p>
              </w:tc>
              <w:tc>
                <w:tcPr>
                  <w:tcW w:w="1224" w:type="dxa"/>
                  <w:shd w:val="clear" w:color="auto" w:fill="auto"/>
                  <w:vAlign w:val="center"/>
                </w:tcPr>
                <w:p>
                  <w:pPr>
                    <w:adjustRightInd w:val="0"/>
                    <w:snapToGrid w:val="0"/>
                    <w:jc w:val="center"/>
                    <w:rPr>
                      <w:sz w:val="21"/>
                      <w:szCs w:val="21"/>
                    </w:rPr>
                  </w:pPr>
                  <w:r>
                    <w:rPr>
                      <w:sz w:val="21"/>
                      <w:szCs w:val="21"/>
                    </w:rPr>
                    <w:t>0</w:t>
                  </w:r>
                </w:p>
              </w:tc>
              <w:tc>
                <w:tcPr>
                  <w:tcW w:w="1224" w:type="dxa"/>
                  <w:shd w:val="clear" w:color="auto" w:fill="auto"/>
                  <w:vAlign w:val="center"/>
                </w:tcPr>
                <w:p>
                  <w:pPr>
                    <w:adjustRightInd w:val="0"/>
                    <w:snapToGrid w:val="0"/>
                    <w:jc w:val="center"/>
                    <w:rPr>
                      <w:sz w:val="21"/>
                      <w:szCs w:val="21"/>
                    </w:rPr>
                  </w:pPr>
                  <w:r>
                    <w:rPr>
                      <w:sz w:val="21"/>
                      <w:szCs w:val="21"/>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16" w:type="dxa"/>
                  <w:shd w:val="clear" w:color="auto" w:fill="auto"/>
                  <w:vAlign w:val="center"/>
                </w:tcPr>
                <w:p>
                  <w:pPr>
                    <w:adjustRightInd w:val="0"/>
                    <w:snapToGrid w:val="0"/>
                    <w:jc w:val="center"/>
                    <w:rPr>
                      <w:sz w:val="21"/>
                      <w:szCs w:val="21"/>
                    </w:rPr>
                  </w:pPr>
                  <w:r>
                    <w:rPr>
                      <w:sz w:val="21"/>
                      <w:szCs w:val="21"/>
                    </w:rPr>
                    <w:t>年均值</w:t>
                  </w:r>
                </w:p>
              </w:tc>
              <w:tc>
                <w:tcPr>
                  <w:tcW w:w="929" w:type="dxa"/>
                  <w:shd w:val="clear" w:color="auto" w:fill="auto"/>
                  <w:vAlign w:val="center"/>
                </w:tcPr>
                <w:p>
                  <w:pPr>
                    <w:adjustRightInd w:val="0"/>
                    <w:snapToGrid w:val="0"/>
                    <w:jc w:val="center"/>
                    <w:rPr>
                      <w:sz w:val="21"/>
                      <w:szCs w:val="21"/>
                    </w:rPr>
                  </w:pPr>
                  <w:r>
                    <w:rPr>
                      <w:rFonts w:hint="eastAsia"/>
                      <w:sz w:val="21"/>
                      <w:szCs w:val="21"/>
                    </w:rPr>
                    <w:t>17</w:t>
                  </w:r>
                </w:p>
              </w:tc>
              <w:tc>
                <w:tcPr>
                  <w:tcW w:w="1223" w:type="dxa"/>
                  <w:shd w:val="clear" w:color="auto" w:fill="auto"/>
                  <w:vAlign w:val="center"/>
                </w:tcPr>
                <w:p>
                  <w:pPr>
                    <w:adjustRightInd w:val="0"/>
                    <w:snapToGrid w:val="0"/>
                    <w:jc w:val="center"/>
                    <w:rPr>
                      <w:sz w:val="21"/>
                      <w:szCs w:val="21"/>
                    </w:rPr>
                  </w:pPr>
                  <w:r>
                    <w:rPr>
                      <w:rFonts w:hint="eastAsia"/>
                      <w:sz w:val="21"/>
                      <w:szCs w:val="21"/>
                    </w:rPr>
                    <w:t>35</w:t>
                  </w:r>
                </w:p>
              </w:tc>
              <w:tc>
                <w:tcPr>
                  <w:tcW w:w="1221" w:type="dxa"/>
                  <w:shd w:val="clear" w:color="auto" w:fill="auto"/>
                  <w:vAlign w:val="center"/>
                </w:tcPr>
                <w:p>
                  <w:pPr>
                    <w:adjustRightInd w:val="0"/>
                    <w:snapToGrid w:val="0"/>
                    <w:jc w:val="center"/>
                    <w:rPr>
                      <w:sz w:val="21"/>
                      <w:szCs w:val="21"/>
                    </w:rPr>
                  </w:pPr>
                  <w:r>
                    <w:rPr>
                      <w:rFonts w:hint="eastAsia"/>
                      <w:b/>
                      <w:bCs/>
                      <w:sz w:val="21"/>
                      <w:szCs w:val="21"/>
                    </w:rPr>
                    <w:t>74</w:t>
                  </w:r>
                </w:p>
              </w:tc>
              <w:tc>
                <w:tcPr>
                  <w:tcW w:w="1224" w:type="dxa"/>
                  <w:vAlign w:val="center"/>
                </w:tcPr>
                <w:p>
                  <w:pPr>
                    <w:adjustRightInd w:val="0"/>
                    <w:snapToGrid w:val="0"/>
                    <w:jc w:val="center"/>
                    <w:rPr>
                      <w:sz w:val="21"/>
                      <w:szCs w:val="21"/>
                    </w:rPr>
                  </w:pPr>
                  <w:r>
                    <w:rPr>
                      <w:rFonts w:hint="eastAsia"/>
                      <w:b/>
                      <w:bCs/>
                      <w:sz w:val="21"/>
                      <w:szCs w:val="21"/>
                    </w:rPr>
                    <w:t>46</w:t>
                  </w:r>
                </w:p>
              </w:tc>
              <w:tc>
                <w:tcPr>
                  <w:tcW w:w="1224" w:type="dxa"/>
                  <w:shd w:val="clear" w:color="auto" w:fill="auto"/>
                  <w:vAlign w:val="center"/>
                </w:tcPr>
                <w:p>
                  <w:pPr>
                    <w:adjustRightInd w:val="0"/>
                    <w:snapToGrid w:val="0"/>
                    <w:jc w:val="center"/>
                    <w:rPr>
                      <w:sz w:val="21"/>
                      <w:szCs w:val="21"/>
                    </w:rPr>
                  </w:pPr>
                  <w:r>
                    <w:rPr>
                      <w:rFonts w:hint="eastAsia"/>
                      <w:sz w:val="21"/>
                      <w:szCs w:val="21"/>
                    </w:rPr>
                    <w:t>1.5</w:t>
                  </w:r>
                </w:p>
              </w:tc>
              <w:tc>
                <w:tcPr>
                  <w:tcW w:w="1224" w:type="dxa"/>
                  <w:shd w:val="clear" w:color="auto" w:fill="auto"/>
                  <w:vAlign w:val="center"/>
                </w:tcPr>
                <w:p>
                  <w:pPr>
                    <w:adjustRightInd w:val="0"/>
                    <w:snapToGrid w:val="0"/>
                    <w:jc w:val="center"/>
                    <w:rPr>
                      <w:sz w:val="21"/>
                      <w:szCs w:val="21"/>
                    </w:rPr>
                  </w:pPr>
                  <w:r>
                    <w:rPr>
                      <w:rFonts w:hint="eastAsia"/>
                      <w:sz w:val="21"/>
                      <w:szCs w:val="21"/>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16" w:type="dxa"/>
                  <w:shd w:val="clear" w:color="auto" w:fill="auto"/>
                  <w:vAlign w:val="center"/>
                </w:tcPr>
                <w:p>
                  <w:pPr>
                    <w:adjustRightInd w:val="0"/>
                    <w:snapToGrid w:val="0"/>
                    <w:jc w:val="center"/>
                    <w:rPr>
                      <w:sz w:val="21"/>
                      <w:szCs w:val="21"/>
                    </w:rPr>
                  </w:pPr>
                  <w:r>
                    <w:rPr>
                      <w:sz w:val="21"/>
                      <w:szCs w:val="21"/>
                    </w:rPr>
                    <w:t>标准值</w:t>
                  </w:r>
                </w:p>
              </w:tc>
              <w:tc>
                <w:tcPr>
                  <w:tcW w:w="929" w:type="dxa"/>
                  <w:shd w:val="clear" w:color="auto" w:fill="auto"/>
                  <w:vAlign w:val="center"/>
                </w:tcPr>
                <w:p>
                  <w:pPr>
                    <w:adjustRightInd w:val="0"/>
                    <w:snapToGrid w:val="0"/>
                    <w:jc w:val="center"/>
                    <w:rPr>
                      <w:sz w:val="21"/>
                      <w:szCs w:val="21"/>
                    </w:rPr>
                  </w:pPr>
                  <w:r>
                    <w:rPr>
                      <w:sz w:val="21"/>
                      <w:szCs w:val="21"/>
                    </w:rPr>
                    <w:t>60</w:t>
                  </w:r>
                </w:p>
              </w:tc>
              <w:tc>
                <w:tcPr>
                  <w:tcW w:w="1223" w:type="dxa"/>
                  <w:shd w:val="clear" w:color="auto" w:fill="auto"/>
                  <w:vAlign w:val="center"/>
                </w:tcPr>
                <w:p>
                  <w:pPr>
                    <w:adjustRightInd w:val="0"/>
                    <w:snapToGrid w:val="0"/>
                    <w:jc w:val="center"/>
                    <w:rPr>
                      <w:sz w:val="21"/>
                      <w:szCs w:val="21"/>
                    </w:rPr>
                  </w:pPr>
                  <w:r>
                    <w:rPr>
                      <w:sz w:val="21"/>
                      <w:szCs w:val="21"/>
                    </w:rPr>
                    <w:t>40</w:t>
                  </w:r>
                </w:p>
              </w:tc>
              <w:tc>
                <w:tcPr>
                  <w:tcW w:w="1221" w:type="dxa"/>
                  <w:shd w:val="clear" w:color="auto" w:fill="auto"/>
                  <w:vAlign w:val="center"/>
                </w:tcPr>
                <w:p>
                  <w:pPr>
                    <w:adjustRightInd w:val="0"/>
                    <w:snapToGrid w:val="0"/>
                    <w:jc w:val="center"/>
                    <w:rPr>
                      <w:sz w:val="21"/>
                      <w:szCs w:val="21"/>
                    </w:rPr>
                  </w:pPr>
                  <w:r>
                    <w:rPr>
                      <w:sz w:val="21"/>
                      <w:szCs w:val="21"/>
                    </w:rPr>
                    <w:t>70</w:t>
                  </w:r>
                </w:p>
              </w:tc>
              <w:tc>
                <w:tcPr>
                  <w:tcW w:w="1224" w:type="dxa"/>
                  <w:vAlign w:val="center"/>
                </w:tcPr>
                <w:p>
                  <w:pPr>
                    <w:adjustRightInd w:val="0"/>
                    <w:snapToGrid w:val="0"/>
                    <w:jc w:val="center"/>
                    <w:rPr>
                      <w:sz w:val="21"/>
                      <w:szCs w:val="21"/>
                    </w:rPr>
                  </w:pPr>
                  <w:r>
                    <w:rPr>
                      <w:sz w:val="21"/>
                      <w:szCs w:val="21"/>
                    </w:rPr>
                    <w:t>35</w:t>
                  </w:r>
                </w:p>
              </w:tc>
              <w:tc>
                <w:tcPr>
                  <w:tcW w:w="1224" w:type="dxa"/>
                  <w:shd w:val="clear" w:color="auto" w:fill="auto"/>
                  <w:vAlign w:val="center"/>
                </w:tcPr>
                <w:p>
                  <w:pPr>
                    <w:adjustRightInd w:val="0"/>
                    <w:snapToGrid w:val="0"/>
                    <w:jc w:val="center"/>
                    <w:rPr>
                      <w:sz w:val="21"/>
                      <w:szCs w:val="21"/>
                    </w:rPr>
                  </w:pPr>
                  <w:r>
                    <w:rPr>
                      <w:rFonts w:hint="eastAsia"/>
                      <w:sz w:val="21"/>
                      <w:szCs w:val="21"/>
                    </w:rPr>
                    <w:t>—</w:t>
                  </w:r>
                </w:p>
              </w:tc>
              <w:tc>
                <w:tcPr>
                  <w:tcW w:w="1224" w:type="dxa"/>
                  <w:shd w:val="clear" w:color="auto" w:fill="auto"/>
                  <w:vAlign w:val="center"/>
                </w:tcPr>
                <w:p>
                  <w:pPr>
                    <w:adjustRightInd w:val="0"/>
                    <w:snapToGrid w:val="0"/>
                    <w:jc w:val="center"/>
                    <w:rPr>
                      <w:sz w:val="21"/>
                      <w:szCs w:val="21"/>
                    </w:rPr>
                  </w:pPr>
                  <w:r>
                    <w:rPr>
                      <w:rFonts w:hint="eastAsia"/>
                      <w:sz w:val="21"/>
                      <w:szCs w:val="21"/>
                    </w:rPr>
                    <w:t>—</w:t>
                  </w:r>
                </w:p>
              </w:tc>
            </w:tr>
            <w:bookmarkEnd w:id="5"/>
            <w:bookmarkEnd w:id="6"/>
            <w:bookmarkEnd w:id="7"/>
          </w:tbl>
          <w:p>
            <w:pPr>
              <w:autoSpaceDE w:val="0"/>
              <w:autoSpaceDN w:val="0"/>
              <w:adjustRightInd w:val="0"/>
              <w:jc w:val="left"/>
              <w:rPr>
                <w:rFonts w:eastAsia="仿宋"/>
                <w:color w:val="000000"/>
                <w:kern w:val="0"/>
                <w:sz w:val="21"/>
                <w:szCs w:val="21"/>
              </w:rPr>
            </w:pPr>
            <w:r>
              <w:rPr>
                <w:rFonts w:eastAsia="仿宋"/>
                <w:color w:val="000000"/>
                <w:kern w:val="0"/>
                <w:sz w:val="21"/>
                <w:szCs w:val="21"/>
              </w:rPr>
              <w:t>备注：CO取95百分位，O</w:t>
            </w:r>
            <w:r>
              <w:rPr>
                <w:rFonts w:eastAsia="仿宋"/>
                <w:color w:val="000000"/>
                <w:kern w:val="0"/>
                <w:sz w:val="21"/>
                <w:szCs w:val="21"/>
                <w:vertAlign w:val="subscript"/>
              </w:rPr>
              <w:t>3</w:t>
            </w:r>
            <w:r>
              <w:rPr>
                <w:rFonts w:eastAsia="仿宋"/>
                <w:color w:val="000000"/>
                <w:kern w:val="0"/>
                <w:sz w:val="21"/>
                <w:szCs w:val="21"/>
              </w:rPr>
              <w:t>取90百分位</w:t>
            </w:r>
            <w:r>
              <w:rPr>
                <w:rFonts w:hint="eastAsia" w:eastAsia="仿宋"/>
                <w:color w:val="000000"/>
                <w:kern w:val="0"/>
                <w:sz w:val="21"/>
                <w:szCs w:val="21"/>
              </w:rPr>
              <w:t>。</w:t>
            </w:r>
          </w:p>
          <w:p>
            <w:pPr>
              <w:adjustRightInd w:val="0"/>
              <w:snapToGrid w:val="0"/>
              <w:spacing w:line="360" w:lineRule="auto"/>
              <w:ind w:firstLine="480" w:firstLineChars="200"/>
              <w:rPr>
                <w:color w:val="000000"/>
                <w:sz w:val="24"/>
              </w:rPr>
            </w:pPr>
            <w:r>
              <w:rPr>
                <w:color w:val="000000"/>
                <w:sz w:val="24"/>
              </w:rPr>
              <w:t>据统计，株冶医院测点污染物SO</w:t>
            </w:r>
            <w:r>
              <w:rPr>
                <w:color w:val="000000"/>
                <w:sz w:val="24"/>
                <w:vertAlign w:val="subscript"/>
              </w:rPr>
              <w:t>2</w:t>
            </w:r>
            <w:r>
              <w:rPr>
                <w:color w:val="000000"/>
                <w:sz w:val="24"/>
              </w:rPr>
              <w:t>、NO</w:t>
            </w:r>
            <w:r>
              <w:rPr>
                <w:color w:val="000000"/>
                <w:sz w:val="24"/>
                <w:vertAlign w:val="subscript"/>
              </w:rPr>
              <w:t>2</w:t>
            </w:r>
            <w:r>
              <w:rPr>
                <w:color w:val="000000"/>
                <w:sz w:val="24"/>
              </w:rPr>
              <w:t>、PM</w:t>
            </w:r>
            <w:r>
              <w:rPr>
                <w:color w:val="000000"/>
                <w:sz w:val="24"/>
                <w:vertAlign w:val="subscript"/>
              </w:rPr>
              <w:t>10</w:t>
            </w:r>
            <w:r>
              <w:rPr>
                <w:color w:val="000000"/>
                <w:sz w:val="24"/>
              </w:rPr>
              <w:t>、PM</w:t>
            </w:r>
            <w:r>
              <w:rPr>
                <w:color w:val="000000"/>
                <w:sz w:val="24"/>
                <w:vertAlign w:val="subscript"/>
              </w:rPr>
              <w:t>2.5</w:t>
            </w:r>
            <w:r>
              <w:rPr>
                <w:color w:val="000000"/>
                <w:sz w:val="24"/>
              </w:rPr>
              <w:t>、CO、O</w:t>
            </w:r>
            <w:r>
              <w:rPr>
                <w:color w:val="000000"/>
                <w:sz w:val="24"/>
                <w:vertAlign w:val="subscript"/>
              </w:rPr>
              <w:t>3</w:t>
            </w:r>
            <w:r>
              <w:rPr>
                <w:color w:val="000000"/>
                <w:sz w:val="24"/>
              </w:rPr>
              <w:t>年均浓度分别为</w:t>
            </w:r>
            <w:r>
              <w:rPr>
                <w:rFonts w:hint="eastAsia"/>
                <w:color w:val="000000"/>
                <w:sz w:val="24"/>
              </w:rPr>
              <w:t>17</w:t>
            </w:r>
            <w:r>
              <w:rPr>
                <w:color w:val="000000"/>
                <w:sz w:val="24"/>
              </w:rPr>
              <w:t>ug/m</w:t>
            </w:r>
            <w:r>
              <w:rPr>
                <w:color w:val="000000"/>
                <w:sz w:val="24"/>
                <w:vertAlign w:val="superscript"/>
              </w:rPr>
              <w:t>3</w:t>
            </w:r>
            <w:r>
              <w:rPr>
                <w:color w:val="000000"/>
                <w:sz w:val="24"/>
              </w:rPr>
              <w:t>、</w:t>
            </w:r>
            <w:r>
              <w:rPr>
                <w:rFonts w:hint="eastAsia"/>
                <w:color w:val="000000"/>
                <w:sz w:val="24"/>
              </w:rPr>
              <w:t>35</w:t>
            </w:r>
            <w:r>
              <w:rPr>
                <w:color w:val="000000"/>
                <w:sz w:val="24"/>
              </w:rPr>
              <w:t xml:space="preserve"> ug/m</w:t>
            </w:r>
            <w:r>
              <w:rPr>
                <w:color w:val="000000"/>
                <w:sz w:val="24"/>
                <w:vertAlign w:val="superscript"/>
              </w:rPr>
              <w:t>3</w:t>
            </w:r>
            <w:r>
              <w:rPr>
                <w:color w:val="000000"/>
                <w:sz w:val="24"/>
              </w:rPr>
              <w:t>、</w:t>
            </w:r>
            <w:r>
              <w:rPr>
                <w:rFonts w:hint="eastAsia"/>
                <w:color w:val="000000"/>
                <w:sz w:val="24"/>
              </w:rPr>
              <w:t>74</w:t>
            </w:r>
            <w:r>
              <w:rPr>
                <w:color w:val="000000"/>
                <w:sz w:val="24"/>
              </w:rPr>
              <w:t>ug/m</w:t>
            </w:r>
            <w:r>
              <w:rPr>
                <w:color w:val="000000"/>
                <w:sz w:val="24"/>
                <w:vertAlign w:val="superscript"/>
              </w:rPr>
              <w:t>3</w:t>
            </w:r>
            <w:r>
              <w:rPr>
                <w:color w:val="000000"/>
                <w:sz w:val="24"/>
              </w:rPr>
              <w:t>、</w:t>
            </w:r>
            <w:r>
              <w:rPr>
                <w:rFonts w:hint="eastAsia"/>
                <w:color w:val="000000"/>
                <w:sz w:val="24"/>
              </w:rPr>
              <w:t>46</w:t>
            </w:r>
            <w:r>
              <w:rPr>
                <w:color w:val="000000"/>
                <w:sz w:val="24"/>
              </w:rPr>
              <w:t>ug/m</w:t>
            </w:r>
            <w:r>
              <w:rPr>
                <w:color w:val="000000"/>
                <w:sz w:val="24"/>
                <w:vertAlign w:val="superscript"/>
              </w:rPr>
              <w:t>3</w:t>
            </w:r>
            <w:r>
              <w:rPr>
                <w:color w:val="000000"/>
                <w:sz w:val="24"/>
              </w:rPr>
              <w:t>、</w:t>
            </w:r>
            <w:r>
              <w:rPr>
                <w:rFonts w:hint="eastAsia"/>
                <w:color w:val="000000"/>
                <w:sz w:val="24"/>
              </w:rPr>
              <w:t>1.5</w:t>
            </w:r>
            <w:r>
              <w:rPr>
                <w:color w:val="000000"/>
                <w:sz w:val="24"/>
              </w:rPr>
              <w:t>mg/m</w:t>
            </w:r>
            <w:r>
              <w:rPr>
                <w:color w:val="000000"/>
                <w:sz w:val="24"/>
                <w:vertAlign w:val="superscript"/>
              </w:rPr>
              <w:t>3</w:t>
            </w:r>
            <w:r>
              <w:rPr>
                <w:color w:val="000000"/>
                <w:sz w:val="24"/>
              </w:rPr>
              <w:t>和</w:t>
            </w:r>
            <w:r>
              <w:rPr>
                <w:rFonts w:hint="eastAsia"/>
                <w:color w:val="000000"/>
                <w:sz w:val="24"/>
              </w:rPr>
              <w:t>165</w:t>
            </w:r>
            <w:r>
              <w:rPr>
                <w:color w:val="000000"/>
                <w:sz w:val="24"/>
              </w:rPr>
              <w:t>ug/m</w:t>
            </w:r>
            <w:r>
              <w:rPr>
                <w:color w:val="000000"/>
                <w:sz w:val="24"/>
                <w:vertAlign w:val="superscript"/>
              </w:rPr>
              <w:t>3</w:t>
            </w:r>
            <w:r>
              <w:rPr>
                <w:color w:val="000000"/>
                <w:sz w:val="24"/>
              </w:rPr>
              <w:t>。以污染物年均浓度值评价， SO</w:t>
            </w:r>
            <w:r>
              <w:rPr>
                <w:color w:val="000000"/>
                <w:sz w:val="24"/>
                <w:vertAlign w:val="subscript"/>
              </w:rPr>
              <w:t>2</w:t>
            </w:r>
            <w:r>
              <w:rPr>
                <w:color w:val="000000"/>
                <w:sz w:val="24"/>
              </w:rPr>
              <w:t>和NO</w:t>
            </w:r>
            <w:r>
              <w:rPr>
                <w:color w:val="000000"/>
                <w:sz w:val="24"/>
                <w:vertAlign w:val="subscript"/>
              </w:rPr>
              <w:t>2</w:t>
            </w:r>
            <w:r>
              <w:rPr>
                <w:color w:val="000000"/>
                <w:sz w:val="24"/>
              </w:rPr>
              <w:t>年均浓度均达到GB3095-2012《环境空气质量标准》中的二级标准；PM</w:t>
            </w:r>
            <w:r>
              <w:rPr>
                <w:color w:val="000000"/>
                <w:sz w:val="24"/>
                <w:vertAlign w:val="subscript"/>
              </w:rPr>
              <w:t>10</w:t>
            </w:r>
            <w:r>
              <w:rPr>
                <w:color w:val="000000"/>
                <w:sz w:val="24"/>
              </w:rPr>
              <w:t>和PM</w:t>
            </w:r>
            <w:r>
              <w:rPr>
                <w:color w:val="000000"/>
                <w:sz w:val="24"/>
                <w:vertAlign w:val="subscript"/>
              </w:rPr>
              <w:t>2.5</w:t>
            </w:r>
            <w:r>
              <w:rPr>
                <w:color w:val="000000"/>
                <w:sz w:val="24"/>
              </w:rPr>
              <w:t>年均浓度均未能达到GB3095-2012《环境空气质量标准》中的二级标准，O</w:t>
            </w:r>
            <w:r>
              <w:rPr>
                <w:color w:val="000000"/>
                <w:sz w:val="24"/>
                <w:vertAlign w:val="subscript"/>
              </w:rPr>
              <w:t>3</w:t>
            </w:r>
            <w:r>
              <w:rPr>
                <w:color w:val="000000"/>
                <w:sz w:val="24"/>
              </w:rPr>
              <w:t>和CO年均浓度没有评价标准。</w:t>
            </w:r>
          </w:p>
          <w:p>
            <w:pPr>
              <w:adjustRightInd w:val="0"/>
              <w:snapToGrid w:val="0"/>
              <w:spacing w:line="360" w:lineRule="auto"/>
              <w:ind w:firstLine="480" w:firstLineChars="200"/>
              <w:rPr>
                <w:color w:val="000000"/>
                <w:sz w:val="24"/>
              </w:rPr>
            </w:pPr>
            <w:r>
              <w:rPr>
                <w:color w:val="000000"/>
                <w:sz w:val="24"/>
              </w:rPr>
              <w:t>可见，项目所在区域为不达标区。</w:t>
            </w:r>
          </w:p>
          <w:p>
            <w:pPr>
              <w:pStyle w:val="21"/>
              <w:spacing w:line="240" w:lineRule="auto"/>
              <w:ind w:firstLine="482" w:firstLineChars="200"/>
              <w:jc w:val="both"/>
              <w:rPr>
                <w:sz w:val="24"/>
              </w:rPr>
            </w:pPr>
            <w:r>
              <w:rPr>
                <w:b/>
                <w:sz w:val="24"/>
              </w:rPr>
              <w:t>二、水环境质量现状</w:t>
            </w:r>
          </w:p>
          <w:p>
            <w:pPr>
              <w:adjustRightInd w:val="0"/>
              <w:snapToGrid w:val="0"/>
              <w:spacing w:line="360" w:lineRule="auto"/>
              <w:ind w:firstLine="480" w:firstLineChars="200"/>
              <w:rPr>
                <w:sz w:val="24"/>
              </w:rPr>
            </w:pPr>
            <w:r>
              <w:rPr>
                <w:sz w:val="24"/>
              </w:rPr>
              <w:t>株洲市环境监测中心站对湘江霞湾断面设有常规监测断面，湖南省环境监测中心站在湘江马家河江段设有常规监测断面</w:t>
            </w:r>
            <w:r>
              <w:rPr>
                <w:rFonts w:hint="eastAsia"/>
                <w:sz w:val="24"/>
              </w:rPr>
              <w:t>。</w:t>
            </w:r>
            <w:r>
              <w:rPr>
                <w:sz w:val="24"/>
              </w:rPr>
              <w:t>本评价收集</w:t>
            </w:r>
            <w:r>
              <w:rPr>
                <w:rFonts w:hint="eastAsia"/>
                <w:sz w:val="24"/>
              </w:rPr>
              <w:t>了</w:t>
            </w:r>
            <w:r>
              <w:rPr>
                <w:sz w:val="24"/>
              </w:rPr>
              <w:t>湘江霞湾断面、马家河断面</w:t>
            </w:r>
            <w:r>
              <w:rPr>
                <w:rFonts w:hint="eastAsia"/>
                <w:sz w:val="24"/>
              </w:rPr>
              <w:t>2018年</w:t>
            </w:r>
            <w:r>
              <w:rPr>
                <w:sz w:val="24"/>
              </w:rPr>
              <w:t>监测数据。湘江霞湾至马家河江段执行GB3838-2002《地表水环境质量标准》III类水质标准。</w:t>
            </w:r>
            <w:r>
              <w:rPr>
                <w:rFonts w:hint="eastAsia"/>
                <w:sz w:val="24"/>
              </w:rPr>
              <w:t>同时，本环评收集了霞湾港和老霞湾港水质现状监测数据，</w:t>
            </w:r>
            <w:r>
              <w:rPr>
                <w:sz w:val="24"/>
              </w:rPr>
              <w:t>区域内的霞湾港</w:t>
            </w:r>
            <w:r>
              <w:rPr>
                <w:rFonts w:hint="eastAsia"/>
                <w:sz w:val="24"/>
              </w:rPr>
              <w:t>和老霞湾港</w:t>
            </w:r>
            <w:r>
              <w:rPr>
                <w:sz w:val="24"/>
              </w:rPr>
              <w:t>作为排污港渠，</w:t>
            </w:r>
            <w:r>
              <w:rPr>
                <w:rFonts w:hint="eastAsia"/>
                <w:sz w:val="24"/>
              </w:rPr>
              <w:t>按照</w:t>
            </w:r>
            <w:r>
              <w:rPr>
                <w:sz w:val="24"/>
              </w:rPr>
              <w:t>《污水综合排放标准》（GB8987-1996）中一级标准</w:t>
            </w:r>
            <w:r>
              <w:rPr>
                <w:rFonts w:hint="eastAsia"/>
                <w:sz w:val="24"/>
              </w:rPr>
              <w:t>进行评价。</w:t>
            </w:r>
          </w:p>
          <w:p>
            <w:pPr>
              <w:adjustRightInd w:val="0"/>
              <w:snapToGrid w:val="0"/>
              <w:spacing w:line="360" w:lineRule="auto"/>
              <w:ind w:firstLine="480" w:firstLineChars="200"/>
              <w:rPr>
                <w:color w:val="000000"/>
                <w:sz w:val="24"/>
              </w:rPr>
            </w:pPr>
            <w:r>
              <w:rPr>
                <w:rFonts w:hint="eastAsia"/>
                <w:color w:val="000000"/>
                <w:sz w:val="24"/>
              </w:rPr>
              <w:t>（1）湘江霞湾断面和马家河断面水质现状</w:t>
            </w:r>
          </w:p>
          <w:p>
            <w:pPr>
              <w:adjustRightInd w:val="0"/>
              <w:snapToGrid w:val="0"/>
              <w:spacing w:line="480" w:lineRule="exact"/>
              <w:jc w:val="center"/>
              <w:rPr>
                <w:b/>
                <w:sz w:val="21"/>
                <w:lang w:bidi="ar"/>
              </w:rPr>
            </w:pPr>
            <w:r>
              <w:rPr>
                <w:rFonts w:hint="eastAsia"/>
                <w:b/>
                <w:sz w:val="21"/>
                <w:lang w:bidi="ar"/>
              </w:rPr>
              <w:t xml:space="preserve">表17  湘江霞湾断面2018年常规监测数据 </w:t>
            </w:r>
            <w:r>
              <w:rPr>
                <w:b/>
                <w:sz w:val="21"/>
                <w:lang w:bidi="ar"/>
              </w:rPr>
              <w:t xml:space="preserve">   </w:t>
            </w:r>
            <w:r>
              <w:rPr>
                <w:rFonts w:hint="eastAsia"/>
                <w:b/>
                <w:sz w:val="21"/>
                <w:lang w:bidi="ar"/>
              </w:rPr>
              <w:t>单位：m</w:t>
            </w:r>
            <w:r>
              <w:rPr>
                <w:b/>
                <w:sz w:val="21"/>
                <w:lang w:bidi="ar"/>
              </w:rPr>
              <w:t>g/L</w:t>
            </w:r>
            <w:r>
              <w:rPr>
                <w:rFonts w:hint="eastAsia"/>
                <w:b/>
                <w:sz w:val="21"/>
                <w:lang w:bidi="ar"/>
              </w:rPr>
              <w:t>（p</w:t>
            </w:r>
            <w:r>
              <w:rPr>
                <w:b/>
                <w:sz w:val="21"/>
                <w:lang w:bidi="ar"/>
              </w:rPr>
              <w:t>H</w:t>
            </w:r>
            <w:r>
              <w:rPr>
                <w:rFonts w:hint="eastAsia"/>
                <w:b/>
                <w:sz w:val="21"/>
                <w:lang w:bidi="ar"/>
              </w:rPr>
              <w:t>除外）</w:t>
            </w:r>
          </w:p>
          <w:tbl>
            <w:tblPr>
              <w:tblStyle w:val="43"/>
              <w:tblW w:w="8579" w:type="dxa"/>
              <w:jc w:val="center"/>
              <w:tblInd w:w="0" w:type="dxa"/>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
            <w:tblGrid>
              <w:gridCol w:w="1253"/>
              <w:gridCol w:w="851"/>
              <w:gridCol w:w="708"/>
              <w:gridCol w:w="709"/>
              <w:gridCol w:w="851"/>
              <w:gridCol w:w="708"/>
              <w:gridCol w:w="851"/>
              <w:gridCol w:w="947"/>
              <w:gridCol w:w="850"/>
              <w:gridCol w:w="851"/>
            </w:tblGrid>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347" w:hRule="atLeast"/>
                <w:tblHeader/>
                <w:jc w:val="center"/>
              </w:trPr>
              <w:tc>
                <w:tcPr>
                  <w:tcW w:w="1253" w:type="dxa"/>
                  <w:tcBorders>
                    <w:top w:val="single" w:color="auto" w:sz="12" w:space="0"/>
                    <w:bottom w:val="single" w:color="auto" w:sz="8" w:space="0"/>
                  </w:tcBorders>
                  <w:vAlign w:val="center"/>
                </w:tcPr>
                <w:p>
                  <w:pPr>
                    <w:spacing w:line="0" w:lineRule="atLeast"/>
                    <w:ind w:firstLine="360"/>
                    <w:jc w:val="center"/>
                    <w:rPr>
                      <w:rFonts w:ascii="Calibri" w:hAnsi="Calibri"/>
                      <w:kern w:val="0"/>
                      <w:position w:val="-24"/>
                      <w:sz w:val="18"/>
                      <w:szCs w:val="18"/>
                    </w:rPr>
                  </w:pPr>
                  <w:r>
                    <w:rPr>
                      <w:rFonts w:hint="eastAsia" w:ascii="Calibri" w:hAnsi="Calibri"/>
                      <w:kern w:val="0"/>
                      <w:position w:val="-24"/>
                      <w:sz w:val="18"/>
                      <w:szCs w:val="18"/>
                    </w:rPr>
                    <w:t>因子</w:t>
                  </w:r>
                </w:p>
              </w:tc>
              <w:tc>
                <w:tcPr>
                  <w:tcW w:w="851" w:type="dxa"/>
                  <w:tcBorders>
                    <w:top w:val="single" w:color="auto" w:sz="12" w:space="0"/>
                    <w:bottom w:val="single" w:color="auto" w:sz="8" w:space="0"/>
                  </w:tcBorders>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PH</w:t>
                  </w:r>
                </w:p>
              </w:tc>
              <w:tc>
                <w:tcPr>
                  <w:tcW w:w="708" w:type="dxa"/>
                  <w:tcBorders>
                    <w:top w:val="single" w:color="auto" w:sz="12" w:space="0"/>
                    <w:bottom w:val="single" w:color="auto" w:sz="8" w:space="0"/>
                  </w:tcBorders>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COD</w:t>
                  </w:r>
                </w:p>
              </w:tc>
              <w:tc>
                <w:tcPr>
                  <w:tcW w:w="709" w:type="dxa"/>
                  <w:tcBorders>
                    <w:top w:val="single" w:color="auto" w:sz="12" w:space="0"/>
                    <w:bottom w:val="single" w:color="auto" w:sz="8" w:space="0"/>
                  </w:tcBorders>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生化需氧量</w:t>
                  </w:r>
                </w:p>
              </w:tc>
              <w:tc>
                <w:tcPr>
                  <w:tcW w:w="851" w:type="dxa"/>
                  <w:tcBorders>
                    <w:top w:val="single" w:color="auto" w:sz="12" w:space="0"/>
                    <w:bottom w:val="single" w:color="auto" w:sz="8" w:space="0"/>
                  </w:tcBorders>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氨氮</w:t>
                  </w:r>
                </w:p>
              </w:tc>
              <w:tc>
                <w:tcPr>
                  <w:tcW w:w="708" w:type="dxa"/>
                  <w:tcBorders>
                    <w:top w:val="single" w:color="auto" w:sz="12" w:space="0"/>
                    <w:bottom w:val="single" w:color="auto" w:sz="8" w:space="0"/>
                  </w:tcBorders>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石油类</w:t>
                  </w:r>
                </w:p>
              </w:tc>
              <w:tc>
                <w:tcPr>
                  <w:tcW w:w="851" w:type="dxa"/>
                  <w:tcBorders>
                    <w:top w:val="single" w:color="auto" w:sz="12" w:space="0"/>
                    <w:bottom w:val="single" w:color="auto" w:sz="8" w:space="0"/>
                  </w:tcBorders>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总磷</w:t>
                  </w:r>
                </w:p>
              </w:tc>
              <w:tc>
                <w:tcPr>
                  <w:tcW w:w="947" w:type="dxa"/>
                  <w:tcBorders>
                    <w:top w:val="single" w:color="auto" w:sz="12" w:space="0"/>
                    <w:bottom w:val="single" w:color="auto" w:sz="8" w:space="0"/>
                  </w:tcBorders>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阴离子表面活性剂</w:t>
                  </w:r>
                </w:p>
              </w:tc>
              <w:tc>
                <w:tcPr>
                  <w:tcW w:w="850" w:type="dxa"/>
                  <w:tcBorders>
                    <w:top w:val="single" w:color="auto" w:sz="12" w:space="0"/>
                    <w:bottom w:val="single" w:color="auto" w:sz="8" w:space="0"/>
                  </w:tcBorders>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挥发酚</w:t>
                  </w:r>
                </w:p>
              </w:tc>
              <w:tc>
                <w:tcPr>
                  <w:tcW w:w="851" w:type="dxa"/>
                  <w:tcBorders>
                    <w:top w:val="single" w:color="auto" w:sz="12" w:space="0"/>
                    <w:bottom w:val="single" w:color="auto" w:sz="8" w:space="0"/>
                  </w:tcBorders>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硫化物</w:t>
                  </w:r>
                </w:p>
              </w:tc>
            </w:tr>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60" w:hRule="atLeast"/>
                <w:tblHeader/>
                <w:jc w:val="center"/>
              </w:trPr>
              <w:tc>
                <w:tcPr>
                  <w:tcW w:w="1253"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年均值</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7.76</w:t>
                  </w:r>
                </w:p>
              </w:tc>
              <w:tc>
                <w:tcPr>
                  <w:tcW w:w="7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7</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0.7</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0.15</w:t>
                  </w:r>
                </w:p>
              </w:tc>
              <w:tc>
                <w:tcPr>
                  <w:tcW w:w="7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0.01</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0.05</w:t>
                  </w:r>
                </w:p>
              </w:tc>
              <w:tc>
                <w:tcPr>
                  <w:tcW w:w="947"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0.02</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.0004</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.002</w:t>
                  </w:r>
                </w:p>
              </w:tc>
            </w:tr>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60" w:hRule="atLeast"/>
                <w:tblHeader/>
                <w:jc w:val="center"/>
              </w:trPr>
              <w:tc>
                <w:tcPr>
                  <w:tcW w:w="1253"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最大值</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8.14</w:t>
                  </w:r>
                </w:p>
              </w:tc>
              <w:tc>
                <w:tcPr>
                  <w:tcW w:w="7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10</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1.3</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0.29</w:t>
                  </w:r>
                </w:p>
              </w:tc>
              <w:tc>
                <w:tcPr>
                  <w:tcW w:w="7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0.05</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0.08</w:t>
                  </w:r>
                </w:p>
              </w:tc>
              <w:tc>
                <w:tcPr>
                  <w:tcW w:w="947"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0.02</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.0008</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.003</w:t>
                  </w:r>
                </w:p>
              </w:tc>
            </w:tr>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60" w:hRule="atLeast"/>
                <w:tblHeader/>
                <w:jc w:val="center"/>
              </w:trPr>
              <w:tc>
                <w:tcPr>
                  <w:tcW w:w="1253"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最小值</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7.05</w:t>
                  </w:r>
                </w:p>
              </w:tc>
              <w:tc>
                <w:tcPr>
                  <w:tcW w:w="7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5</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0.3</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0.04</w:t>
                  </w:r>
                </w:p>
              </w:tc>
              <w:tc>
                <w:tcPr>
                  <w:tcW w:w="7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0.01</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0.03</w:t>
                  </w:r>
                </w:p>
              </w:tc>
              <w:tc>
                <w:tcPr>
                  <w:tcW w:w="947"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0.02</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.0002</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.002</w:t>
                  </w:r>
                </w:p>
              </w:tc>
            </w:tr>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60" w:hRule="atLeast"/>
                <w:tblHeader/>
                <w:jc w:val="center"/>
              </w:trPr>
              <w:tc>
                <w:tcPr>
                  <w:tcW w:w="1253"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超标率%</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7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7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947"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r>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60" w:hRule="atLeast"/>
                <w:tblHeader/>
                <w:jc w:val="center"/>
              </w:trPr>
              <w:tc>
                <w:tcPr>
                  <w:tcW w:w="1253"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最大超标倍数</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7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7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947"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r>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60" w:hRule="atLeast"/>
                <w:tblHeader/>
                <w:jc w:val="center"/>
              </w:trPr>
              <w:tc>
                <w:tcPr>
                  <w:tcW w:w="1253"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GB3838-2002</w:t>
                  </w:r>
                </w:p>
                <w:p>
                  <w:pPr>
                    <w:spacing w:line="0" w:lineRule="atLeast"/>
                    <w:jc w:val="center"/>
                    <w:rPr>
                      <w:rFonts w:ascii="Calibri" w:hAnsi="Calibri"/>
                      <w:kern w:val="0"/>
                      <w:position w:val="-24"/>
                      <w:sz w:val="18"/>
                      <w:szCs w:val="18"/>
                    </w:rPr>
                  </w:pPr>
                  <w:r>
                    <w:rPr>
                      <w:rFonts w:hint="eastAsia" w:ascii="Calibri" w:hAnsi="Calibri"/>
                      <w:kern w:val="0"/>
                      <w:position w:val="-24"/>
                      <w:sz w:val="18"/>
                      <w:szCs w:val="18"/>
                    </w:rPr>
                    <w:t>Ⅲ类标准</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6-9</w:t>
                  </w:r>
                </w:p>
              </w:tc>
              <w:tc>
                <w:tcPr>
                  <w:tcW w:w="7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20</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4</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1</w:t>
                  </w:r>
                </w:p>
              </w:tc>
              <w:tc>
                <w:tcPr>
                  <w:tcW w:w="7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0.05</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0.2</w:t>
                  </w:r>
                </w:p>
              </w:tc>
              <w:tc>
                <w:tcPr>
                  <w:tcW w:w="947"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0.2</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0.01</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0.2</w:t>
                  </w:r>
                </w:p>
              </w:tc>
            </w:tr>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60" w:hRule="atLeast"/>
                <w:tblHeader/>
                <w:jc w:val="center"/>
              </w:trPr>
              <w:tc>
                <w:tcPr>
                  <w:tcW w:w="1253"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因子</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铜</w:t>
                  </w:r>
                </w:p>
              </w:tc>
              <w:tc>
                <w:tcPr>
                  <w:tcW w:w="7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锌</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氟化物</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砷</w:t>
                  </w:r>
                </w:p>
              </w:tc>
              <w:tc>
                <w:tcPr>
                  <w:tcW w:w="7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汞</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镉</w:t>
                  </w:r>
                </w:p>
              </w:tc>
              <w:tc>
                <w:tcPr>
                  <w:tcW w:w="947"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六价铬</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铅</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总氰化物</w:t>
                  </w:r>
                </w:p>
              </w:tc>
            </w:tr>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60" w:hRule="atLeast"/>
                <w:tblHeader/>
                <w:jc w:val="center"/>
              </w:trPr>
              <w:tc>
                <w:tcPr>
                  <w:tcW w:w="1253"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年均值</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.00294</w:t>
                  </w:r>
                </w:p>
              </w:tc>
              <w:tc>
                <w:tcPr>
                  <w:tcW w:w="7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.020</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.26</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.0054</w:t>
                  </w:r>
                </w:p>
              </w:tc>
              <w:tc>
                <w:tcPr>
                  <w:tcW w:w="7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.00001</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.00017</w:t>
                  </w:r>
                </w:p>
              </w:tc>
              <w:tc>
                <w:tcPr>
                  <w:tcW w:w="947"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.002</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.00092</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.001</w:t>
                  </w:r>
                </w:p>
              </w:tc>
            </w:tr>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60" w:hRule="atLeast"/>
                <w:tblHeader/>
                <w:jc w:val="center"/>
              </w:trPr>
              <w:tc>
                <w:tcPr>
                  <w:tcW w:w="1253"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最大值</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.00700</w:t>
                  </w:r>
                </w:p>
              </w:tc>
              <w:tc>
                <w:tcPr>
                  <w:tcW w:w="7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.025</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.37</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.0087</w:t>
                  </w:r>
                </w:p>
              </w:tc>
              <w:tc>
                <w:tcPr>
                  <w:tcW w:w="7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.00002</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.000033</w:t>
                  </w:r>
                </w:p>
              </w:tc>
              <w:tc>
                <w:tcPr>
                  <w:tcW w:w="947"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.002</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.00100</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.001</w:t>
                  </w:r>
                </w:p>
              </w:tc>
            </w:tr>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60" w:hRule="atLeast"/>
                <w:tblHeader/>
                <w:jc w:val="center"/>
              </w:trPr>
              <w:tc>
                <w:tcPr>
                  <w:tcW w:w="1253"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最小值</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.00100</w:t>
                  </w:r>
                </w:p>
              </w:tc>
              <w:tc>
                <w:tcPr>
                  <w:tcW w:w="7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.004</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.19</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.0022</w:t>
                  </w:r>
                </w:p>
              </w:tc>
              <w:tc>
                <w:tcPr>
                  <w:tcW w:w="7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.00001</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.00005</w:t>
                  </w:r>
                </w:p>
              </w:tc>
              <w:tc>
                <w:tcPr>
                  <w:tcW w:w="947"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.002</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.00004</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.001</w:t>
                  </w:r>
                </w:p>
              </w:tc>
            </w:tr>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60" w:hRule="atLeast"/>
                <w:tblHeader/>
                <w:jc w:val="center"/>
              </w:trPr>
              <w:tc>
                <w:tcPr>
                  <w:tcW w:w="1253"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超标率%</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7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7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947"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r>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60" w:hRule="atLeast"/>
                <w:tblHeader/>
                <w:jc w:val="center"/>
              </w:trPr>
              <w:tc>
                <w:tcPr>
                  <w:tcW w:w="1253"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最大超标倍数</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7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7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947"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r>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60" w:hRule="atLeast"/>
                <w:tblHeader/>
                <w:jc w:val="center"/>
              </w:trPr>
              <w:tc>
                <w:tcPr>
                  <w:tcW w:w="1253" w:type="dxa"/>
                  <w:vAlign w:val="center"/>
                </w:tcPr>
                <w:p>
                  <w:pPr>
                    <w:spacing w:line="0" w:lineRule="atLeast"/>
                    <w:rPr>
                      <w:rFonts w:ascii="Calibri" w:hAnsi="Calibri"/>
                      <w:kern w:val="0"/>
                      <w:position w:val="-24"/>
                      <w:sz w:val="18"/>
                      <w:szCs w:val="18"/>
                    </w:rPr>
                  </w:pPr>
                  <w:r>
                    <w:rPr>
                      <w:rFonts w:hint="eastAsia" w:ascii="Calibri" w:hAnsi="Calibri"/>
                      <w:kern w:val="0"/>
                      <w:position w:val="-24"/>
                      <w:sz w:val="18"/>
                      <w:szCs w:val="18"/>
                    </w:rPr>
                    <w:t>GB3838-2002</w:t>
                  </w:r>
                </w:p>
                <w:p>
                  <w:pPr>
                    <w:spacing w:line="0" w:lineRule="atLeast"/>
                    <w:jc w:val="center"/>
                    <w:rPr>
                      <w:rFonts w:ascii="Calibri" w:hAnsi="Calibri"/>
                      <w:kern w:val="0"/>
                      <w:position w:val="-24"/>
                      <w:sz w:val="18"/>
                      <w:szCs w:val="18"/>
                    </w:rPr>
                  </w:pPr>
                  <w:r>
                    <w:rPr>
                      <w:rFonts w:hint="eastAsia" w:ascii="Calibri" w:hAnsi="Calibri"/>
                      <w:kern w:val="0"/>
                      <w:position w:val="-24"/>
                      <w:sz w:val="18"/>
                      <w:szCs w:val="18"/>
                    </w:rPr>
                    <w:t>Ⅲ类标准</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1</w:t>
                  </w:r>
                </w:p>
              </w:tc>
              <w:tc>
                <w:tcPr>
                  <w:tcW w:w="7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1</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1</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0.05</w:t>
                  </w:r>
                </w:p>
              </w:tc>
              <w:tc>
                <w:tcPr>
                  <w:tcW w:w="7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0.0001</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0.01</w:t>
                  </w:r>
                </w:p>
              </w:tc>
              <w:tc>
                <w:tcPr>
                  <w:tcW w:w="947"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0.05</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0.05</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0.2</w:t>
                  </w:r>
                </w:p>
              </w:tc>
            </w:tr>
          </w:tbl>
          <w:p>
            <w:pPr>
              <w:adjustRightInd w:val="0"/>
              <w:snapToGrid w:val="0"/>
              <w:spacing w:line="480" w:lineRule="exact"/>
              <w:jc w:val="center"/>
              <w:rPr>
                <w:b/>
                <w:sz w:val="21"/>
                <w:lang w:bidi="ar"/>
              </w:rPr>
            </w:pPr>
            <w:r>
              <w:rPr>
                <w:rFonts w:hint="eastAsia"/>
                <w:b/>
                <w:sz w:val="21"/>
                <w:lang w:bidi="ar"/>
              </w:rPr>
              <w:t xml:space="preserve">表18  湘江马家河断面2018年常规监测数据 </w:t>
            </w:r>
            <w:r>
              <w:rPr>
                <w:b/>
                <w:sz w:val="21"/>
                <w:lang w:bidi="ar"/>
              </w:rPr>
              <w:t xml:space="preserve">  </w:t>
            </w:r>
            <w:r>
              <w:rPr>
                <w:rFonts w:hint="eastAsia"/>
                <w:b/>
                <w:sz w:val="21"/>
                <w:lang w:bidi="ar"/>
              </w:rPr>
              <w:t>单位：m</w:t>
            </w:r>
            <w:r>
              <w:rPr>
                <w:b/>
                <w:sz w:val="21"/>
                <w:lang w:bidi="ar"/>
              </w:rPr>
              <w:t>g/L</w:t>
            </w:r>
            <w:r>
              <w:rPr>
                <w:rFonts w:hint="eastAsia"/>
                <w:b/>
                <w:sz w:val="21"/>
                <w:lang w:bidi="ar"/>
              </w:rPr>
              <w:t>（p</w:t>
            </w:r>
            <w:r>
              <w:rPr>
                <w:b/>
                <w:sz w:val="21"/>
                <w:lang w:bidi="ar"/>
              </w:rPr>
              <w:t>H</w:t>
            </w:r>
            <w:r>
              <w:rPr>
                <w:rFonts w:hint="eastAsia"/>
                <w:b/>
                <w:sz w:val="21"/>
                <w:lang w:bidi="ar"/>
              </w:rPr>
              <w:t>除外）</w:t>
            </w:r>
          </w:p>
          <w:tbl>
            <w:tblPr>
              <w:tblStyle w:val="43"/>
              <w:tblW w:w="8539" w:type="dxa"/>
              <w:jc w:val="center"/>
              <w:tblInd w:w="0" w:type="dxa"/>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
            <w:tblGrid>
              <w:gridCol w:w="1408"/>
              <w:gridCol w:w="757"/>
              <w:gridCol w:w="850"/>
              <w:gridCol w:w="709"/>
              <w:gridCol w:w="709"/>
              <w:gridCol w:w="709"/>
              <w:gridCol w:w="850"/>
              <w:gridCol w:w="846"/>
              <w:gridCol w:w="850"/>
              <w:gridCol w:w="851"/>
            </w:tblGrid>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60" w:hRule="atLeast"/>
                <w:tblHeader/>
                <w:jc w:val="center"/>
              </w:trPr>
              <w:tc>
                <w:tcPr>
                  <w:tcW w:w="14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因子</w:t>
                  </w:r>
                </w:p>
              </w:tc>
              <w:tc>
                <w:tcPr>
                  <w:tcW w:w="757"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PH</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COD</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生化需氧量</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氨氮</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石油类</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总磷</w:t>
                  </w:r>
                </w:p>
              </w:tc>
              <w:tc>
                <w:tcPr>
                  <w:tcW w:w="846"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阴离子表面活性剂</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挥发酚</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硫化物</w:t>
                  </w:r>
                </w:p>
              </w:tc>
            </w:tr>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60" w:hRule="atLeast"/>
                <w:tblHeader/>
                <w:jc w:val="center"/>
              </w:trPr>
              <w:tc>
                <w:tcPr>
                  <w:tcW w:w="14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年均值</w:t>
                  </w:r>
                </w:p>
              </w:tc>
              <w:tc>
                <w:tcPr>
                  <w:tcW w:w="757"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7</w:t>
                  </w:r>
                  <w:r>
                    <w:rPr>
                      <w:rFonts w:ascii="Calibri" w:hAnsi="Calibri"/>
                      <w:kern w:val="0"/>
                      <w:position w:val="-24"/>
                      <w:sz w:val="18"/>
                      <w:szCs w:val="18"/>
                    </w:rPr>
                    <w:t>.97</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8</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1</w:t>
                  </w:r>
                  <w:r>
                    <w:rPr>
                      <w:rFonts w:ascii="Calibri" w:hAnsi="Calibri"/>
                      <w:kern w:val="0"/>
                      <w:position w:val="-24"/>
                      <w:sz w:val="18"/>
                      <w:szCs w:val="18"/>
                    </w:rPr>
                    <w:t>.0</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.25</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.01</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.06</w:t>
                  </w:r>
                </w:p>
              </w:tc>
              <w:tc>
                <w:tcPr>
                  <w:tcW w:w="846"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.02</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.0004</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.003</w:t>
                  </w:r>
                </w:p>
              </w:tc>
            </w:tr>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60" w:hRule="atLeast"/>
                <w:tblHeader/>
                <w:jc w:val="center"/>
              </w:trPr>
              <w:tc>
                <w:tcPr>
                  <w:tcW w:w="14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最大值</w:t>
                  </w:r>
                </w:p>
              </w:tc>
              <w:tc>
                <w:tcPr>
                  <w:tcW w:w="757"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8</w:t>
                  </w:r>
                  <w:r>
                    <w:rPr>
                      <w:rFonts w:ascii="Calibri" w:hAnsi="Calibri"/>
                      <w:kern w:val="0"/>
                      <w:position w:val="-24"/>
                      <w:sz w:val="18"/>
                      <w:szCs w:val="18"/>
                    </w:rPr>
                    <w:t>.90</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1</w:t>
                  </w:r>
                  <w:r>
                    <w:rPr>
                      <w:rFonts w:ascii="Calibri" w:hAnsi="Calibri"/>
                      <w:kern w:val="0"/>
                      <w:position w:val="-24"/>
                      <w:sz w:val="18"/>
                      <w:szCs w:val="18"/>
                    </w:rPr>
                    <w:t>2</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1</w:t>
                  </w:r>
                  <w:r>
                    <w:rPr>
                      <w:rFonts w:ascii="Calibri" w:hAnsi="Calibri"/>
                      <w:kern w:val="0"/>
                      <w:position w:val="-24"/>
                      <w:sz w:val="18"/>
                      <w:szCs w:val="18"/>
                    </w:rPr>
                    <w:t>.7</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.68</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.01</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.10</w:t>
                  </w:r>
                </w:p>
              </w:tc>
              <w:tc>
                <w:tcPr>
                  <w:tcW w:w="846"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.03</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.0008</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.003</w:t>
                  </w:r>
                </w:p>
              </w:tc>
            </w:tr>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60" w:hRule="atLeast"/>
                <w:tblHeader/>
                <w:jc w:val="center"/>
              </w:trPr>
              <w:tc>
                <w:tcPr>
                  <w:tcW w:w="14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最小值</w:t>
                  </w:r>
                </w:p>
              </w:tc>
              <w:tc>
                <w:tcPr>
                  <w:tcW w:w="757"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6</w:t>
                  </w:r>
                  <w:r>
                    <w:rPr>
                      <w:rFonts w:ascii="Calibri" w:hAnsi="Calibri"/>
                      <w:kern w:val="0"/>
                      <w:position w:val="-24"/>
                      <w:sz w:val="18"/>
                      <w:szCs w:val="18"/>
                    </w:rPr>
                    <w:t>.54</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6</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.6</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.04</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.01</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.04</w:t>
                  </w:r>
                </w:p>
              </w:tc>
              <w:tc>
                <w:tcPr>
                  <w:tcW w:w="846"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.01</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.0002</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.003</w:t>
                  </w:r>
                </w:p>
              </w:tc>
            </w:tr>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60" w:hRule="atLeast"/>
                <w:tblHeader/>
                <w:jc w:val="center"/>
              </w:trPr>
              <w:tc>
                <w:tcPr>
                  <w:tcW w:w="14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超标率%</w:t>
                  </w:r>
                </w:p>
              </w:tc>
              <w:tc>
                <w:tcPr>
                  <w:tcW w:w="757"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46"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r>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60" w:hRule="atLeast"/>
                <w:tblHeader/>
                <w:jc w:val="center"/>
              </w:trPr>
              <w:tc>
                <w:tcPr>
                  <w:tcW w:w="14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最大超标倍数</w:t>
                  </w:r>
                </w:p>
              </w:tc>
              <w:tc>
                <w:tcPr>
                  <w:tcW w:w="757"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46"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r>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60" w:hRule="atLeast"/>
                <w:tblHeader/>
                <w:jc w:val="center"/>
              </w:trPr>
              <w:tc>
                <w:tcPr>
                  <w:tcW w:w="14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GB3838-2002</w:t>
                  </w:r>
                </w:p>
                <w:p>
                  <w:pPr>
                    <w:spacing w:line="0" w:lineRule="atLeast"/>
                    <w:jc w:val="center"/>
                    <w:rPr>
                      <w:rFonts w:ascii="Calibri" w:hAnsi="Calibri"/>
                      <w:kern w:val="0"/>
                      <w:position w:val="-24"/>
                      <w:sz w:val="18"/>
                      <w:szCs w:val="18"/>
                    </w:rPr>
                  </w:pPr>
                  <w:r>
                    <w:rPr>
                      <w:rFonts w:hint="eastAsia" w:ascii="Calibri" w:hAnsi="Calibri"/>
                      <w:kern w:val="0"/>
                      <w:position w:val="-24"/>
                      <w:sz w:val="18"/>
                      <w:szCs w:val="18"/>
                    </w:rPr>
                    <w:t>Ⅲ类标准</w:t>
                  </w:r>
                </w:p>
              </w:tc>
              <w:tc>
                <w:tcPr>
                  <w:tcW w:w="757"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6-9</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20</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4</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1</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0.05</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0.2</w:t>
                  </w:r>
                </w:p>
              </w:tc>
              <w:tc>
                <w:tcPr>
                  <w:tcW w:w="846"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0.2</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0.01</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0.2</w:t>
                  </w:r>
                </w:p>
              </w:tc>
            </w:tr>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60" w:hRule="atLeast"/>
                <w:tblHeader/>
                <w:jc w:val="center"/>
              </w:trPr>
              <w:tc>
                <w:tcPr>
                  <w:tcW w:w="14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因子</w:t>
                  </w:r>
                </w:p>
              </w:tc>
              <w:tc>
                <w:tcPr>
                  <w:tcW w:w="757"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铜</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锌</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氟化物</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砷</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汞</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镉</w:t>
                  </w:r>
                </w:p>
              </w:tc>
              <w:tc>
                <w:tcPr>
                  <w:tcW w:w="846"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六价铬</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铅</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总氰化物</w:t>
                  </w:r>
                </w:p>
              </w:tc>
            </w:tr>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60" w:hRule="atLeast"/>
                <w:tblHeader/>
                <w:jc w:val="center"/>
              </w:trPr>
              <w:tc>
                <w:tcPr>
                  <w:tcW w:w="14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年均值</w:t>
                  </w:r>
                </w:p>
              </w:tc>
              <w:tc>
                <w:tcPr>
                  <w:tcW w:w="757"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.00265</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.027</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.275</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.0051</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.00001</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.00022</w:t>
                  </w:r>
                </w:p>
              </w:tc>
              <w:tc>
                <w:tcPr>
                  <w:tcW w:w="846"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.002</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.00100</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.001</w:t>
                  </w:r>
                </w:p>
              </w:tc>
            </w:tr>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60" w:hRule="atLeast"/>
                <w:tblHeader/>
                <w:jc w:val="center"/>
              </w:trPr>
              <w:tc>
                <w:tcPr>
                  <w:tcW w:w="14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最大值</w:t>
                  </w:r>
                </w:p>
              </w:tc>
              <w:tc>
                <w:tcPr>
                  <w:tcW w:w="757"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.00800</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.090</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.410</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.0088</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.00003</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.00060</w:t>
                  </w:r>
                </w:p>
              </w:tc>
              <w:tc>
                <w:tcPr>
                  <w:tcW w:w="846"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.002</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.00100</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.001</w:t>
                  </w:r>
                </w:p>
              </w:tc>
            </w:tr>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60" w:hRule="atLeast"/>
                <w:tblHeader/>
                <w:jc w:val="center"/>
              </w:trPr>
              <w:tc>
                <w:tcPr>
                  <w:tcW w:w="14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最小值</w:t>
                  </w:r>
                </w:p>
              </w:tc>
              <w:tc>
                <w:tcPr>
                  <w:tcW w:w="757"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.00050</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.025</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.187</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.0005</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.00001</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.00005</w:t>
                  </w:r>
                </w:p>
              </w:tc>
              <w:tc>
                <w:tcPr>
                  <w:tcW w:w="846"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.002</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.00100</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r>
                    <w:rPr>
                      <w:rFonts w:ascii="Calibri" w:hAnsi="Calibri"/>
                      <w:kern w:val="0"/>
                      <w:position w:val="-24"/>
                      <w:sz w:val="18"/>
                      <w:szCs w:val="18"/>
                    </w:rPr>
                    <w:t>.001</w:t>
                  </w:r>
                </w:p>
              </w:tc>
            </w:tr>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60" w:hRule="atLeast"/>
                <w:tblHeader/>
                <w:jc w:val="center"/>
              </w:trPr>
              <w:tc>
                <w:tcPr>
                  <w:tcW w:w="14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超标率%</w:t>
                  </w:r>
                </w:p>
              </w:tc>
              <w:tc>
                <w:tcPr>
                  <w:tcW w:w="757"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46"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r>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60" w:hRule="atLeast"/>
                <w:tblHeader/>
                <w:jc w:val="center"/>
              </w:trPr>
              <w:tc>
                <w:tcPr>
                  <w:tcW w:w="14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最大超标倍数</w:t>
                  </w:r>
                </w:p>
              </w:tc>
              <w:tc>
                <w:tcPr>
                  <w:tcW w:w="757"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46"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w:t>
                  </w:r>
                </w:p>
              </w:tc>
            </w:tr>
            <w:tr>
              <w:tblPrEx>
                <w:tblBorders>
                  <w:top w:val="single" w:color="auto" w:sz="12" w:space="0"/>
                  <w:left w:val="none" w:color="auto" w:sz="0" w:space="0"/>
                  <w:bottom w:val="single" w:color="auto" w:sz="12" w:space="0"/>
                  <w:right w:val="none" w:color="auto" w:sz="0" w:space="0"/>
                  <w:insideH w:val="dashSmallGap" w:color="auto" w:sz="4" w:space="0"/>
                  <w:insideV w:val="dashSmallGap" w:color="auto" w:sz="4" w:space="0"/>
                </w:tblBorders>
                <w:tblLayout w:type="fixed"/>
                <w:tblCellMar>
                  <w:top w:w="0" w:type="dxa"/>
                  <w:left w:w="28" w:type="dxa"/>
                  <w:bottom w:w="0" w:type="dxa"/>
                  <w:right w:w="28" w:type="dxa"/>
                </w:tblCellMar>
              </w:tblPrEx>
              <w:trPr>
                <w:trHeight w:val="60" w:hRule="atLeast"/>
                <w:tblHeader/>
                <w:jc w:val="center"/>
              </w:trPr>
              <w:tc>
                <w:tcPr>
                  <w:tcW w:w="1408"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GB3838-2002</w:t>
                  </w:r>
                </w:p>
                <w:p>
                  <w:pPr>
                    <w:spacing w:line="0" w:lineRule="atLeast"/>
                    <w:jc w:val="center"/>
                    <w:rPr>
                      <w:rFonts w:ascii="Calibri" w:hAnsi="Calibri"/>
                      <w:kern w:val="0"/>
                      <w:position w:val="-24"/>
                      <w:sz w:val="18"/>
                      <w:szCs w:val="18"/>
                    </w:rPr>
                  </w:pPr>
                  <w:r>
                    <w:rPr>
                      <w:rFonts w:hint="eastAsia" w:ascii="Calibri" w:hAnsi="Calibri"/>
                      <w:kern w:val="0"/>
                      <w:position w:val="-24"/>
                      <w:sz w:val="18"/>
                      <w:szCs w:val="18"/>
                    </w:rPr>
                    <w:t>Ⅲ类标准</w:t>
                  </w:r>
                </w:p>
              </w:tc>
              <w:tc>
                <w:tcPr>
                  <w:tcW w:w="757"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1</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1</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1</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0.05</w:t>
                  </w:r>
                </w:p>
              </w:tc>
              <w:tc>
                <w:tcPr>
                  <w:tcW w:w="709"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0.0001</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0.01</w:t>
                  </w:r>
                </w:p>
              </w:tc>
              <w:tc>
                <w:tcPr>
                  <w:tcW w:w="846"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0.05</w:t>
                  </w:r>
                </w:p>
              </w:tc>
              <w:tc>
                <w:tcPr>
                  <w:tcW w:w="850"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0.05</w:t>
                  </w:r>
                </w:p>
              </w:tc>
              <w:tc>
                <w:tcPr>
                  <w:tcW w:w="851" w:type="dxa"/>
                  <w:vAlign w:val="center"/>
                </w:tcPr>
                <w:p>
                  <w:pPr>
                    <w:spacing w:line="0" w:lineRule="atLeast"/>
                    <w:jc w:val="center"/>
                    <w:rPr>
                      <w:rFonts w:ascii="Calibri" w:hAnsi="Calibri"/>
                      <w:kern w:val="0"/>
                      <w:position w:val="-24"/>
                      <w:sz w:val="18"/>
                      <w:szCs w:val="18"/>
                    </w:rPr>
                  </w:pPr>
                  <w:r>
                    <w:rPr>
                      <w:rFonts w:hint="eastAsia" w:ascii="Calibri" w:hAnsi="Calibri"/>
                      <w:kern w:val="0"/>
                      <w:position w:val="-24"/>
                      <w:sz w:val="18"/>
                      <w:szCs w:val="18"/>
                    </w:rPr>
                    <w:t>0.2</w:t>
                  </w:r>
                </w:p>
              </w:tc>
            </w:tr>
          </w:tbl>
          <w:p>
            <w:pPr>
              <w:tabs>
                <w:tab w:val="left" w:pos="1021"/>
              </w:tabs>
              <w:spacing w:line="460" w:lineRule="exact"/>
              <w:ind w:firstLine="480" w:firstLineChars="200"/>
              <w:rPr>
                <w:sz w:val="24"/>
                <w:szCs w:val="20"/>
              </w:rPr>
            </w:pPr>
            <w:r>
              <w:rPr>
                <w:rFonts w:hint="eastAsia"/>
                <w:sz w:val="24"/>
                <w:szCs w:val="20"/>
              </w:rPr>
              <w:t>监测统计结果表明，</w:t>
            </w:r>
            <w:r>
              <w:rPr>
                <w:sz w:val="24"/>
                <w:szCs w:val="20"/>
              </w:rPr>
              <w:t>201</w:t>
            </w:r>
            <w:r>
              <w:rPr>
                <w:rFonts w:hint="eastAsia"/>
                <w:sz w:val="24"/>
                <w:szCs w:val="20"/>
              </w:rPr>
              <w:t>8</w:t>
            </w:r>
            <w:r>
              <w:rPr>
                <w:sz w:val="24"/>
                <w:szCs w:val="20"/>
              </w:rPr>
              <w:t>年</w:t>
            </w:r>
            <w:r>
              <w:rPr>
                <w:rFonts w:hint="eastAsia"/>
                <w:sz w:val="24"/>
                <w:szCs w:val="20"/>
              </w:rPr>
              <w:t>湘江霞湾断面和马家河断面</w:t>
            </w:r>
            <w:r>
              <w:rPr>
                <w:sz w:val="24"/>
                <w:szCs w:val="20"/>
              </w:rPr>
              <w:t>水质能完全</w:t>
            </w:r>
            <w:r>
              <w:rPr>
                <w:rFonts w:hint="eastAsia"/>
                <w:sz w:val="24"/>
                <w:szCs w:val="20"/>
              </w:rPr>
              <w:t>满足</w:t>
            </w:r>
            <w:r>
              <w:rPr>
                <w:sz w:val="24"/>
                <w:szCs w:val="20"/>
              </w:rPr>
              <w:t>GB3838-2002《地表水环境质量标准》中</w:t>
            </w:r>
            <w:r>
              <w:rPr>
                <w:rFonts w:hint="eastAsia"/>
                <w:sz w:val="24"/>
                <w:szCs w:val="20"/>
              </w:rPr>
              <w:t>Ⅲ类标准要求。</w:t>
            </w:r>
          </w:p>
          <w:p>
            <w:pPr>
              <w:adjustRightInd w:val="0"/>
              <w:snapToGrid w:val="0"/>
              <w:spacing w:line="360" w:lineRule="auto"/>
              <w:ind w:firstLine="480" w:firstLineChars="200"/>
              <w:rPr>
                <w:color w:val="000000"/>
                <w:sz w:val="24"/>
              </w:rPr>
            </w:pPr>
            <w:r>
              <w:rPr>
                <w:rFonts w:hint="eastAsia"/>
                <w:color w:val="000000"/>
                <w:sz w:val="24"/>
              </w:rPr>
              <w:t>（2）霞湾港和老霞湾港水质现状</w:t>
            </w:r>
          </w:p>
          <w:p>
            <w:pPr>
              <w:adjustRightInd w:val="0"/>
              <w:snapToGrid w:val="0"/>
              <w:spacing w:line="360" w:lineRule="auto"/>
              <w:ind w:firstLine="480" w:firstLineChars="200"/>
              <w:rPr>
                <w:kern w:val="0"/>
                <w:sz w:val="24"/>
              </w:rPr>
            </w:pPr>
            <w:r>
              <w:rPr>
                <w:rFonts w:hint="eastAsia"/>
                <w:kern w:val="0"/>
                <w:sz w:val="24"/>
              </w:rPr>
              <w:t>为了解区域霞湾港和老霞湾港水环境质量现状</w:t>
            </w:r>
            <w:r>
              <w:rPr>
                <w:kern w:val="0"/>
                <w:sz w:val="24"/>
              </w:rPr>
              <w:t>，</w:t>
            </w:r>
            <w:r>
              <w:rPr>
                <w:rFonts w:hint="eastAsia"/>
                <w:kern w:val="0"/>
                <w:sz w:val="24"/>
              </w:rPr>
              <w:t>本环评收集了</w:t>
            </w:r>
            <w:r>
              <w:rPr>
                <w:kern w:val="0"/>
                <w:sz w:val="24"/>
              </w:rPr>
              <w:t>湖南</w:t>
            </w:r>
            <w:r>
              <w:rPr>
                <w:rFonts w:hint="eastAsia"/>
                <w:kern w:val="0"/>
                <w:sz w:val="24"/>
              </w:rPr>
              <w:t>云天检测技术</w:t>
            </w:r>
            <w:r>
              <w:rPr>
                <w:kern w:val="0"/>
                <w:sz w:val="24"/>
              </w:rPr>
              <w:t>有限公司于201</w:t>
            </w:r>
            <w:r>
              <w:rPr>
                <w:rFonts w:hint="eastAsia"/>
                <w:kern w:val="0"/>
                <w:sz w:val="24"/>
              </w:rPr>
              <w:t>9</w:t>
            </w:r>
            <w:r>
              <w:rPr>
                <w:kern w:val="0"/>
                <w:sz w:val="24"/>
              </w:rPr>
              <w:t>年</w:t>
            </w:r>
            <w:r>
              <w:rPr>
                <w:rFonts w:hint="eastAsia"/>
                <w:kern w:val="0"/>
                <w:sz w:val="24"/>
              </w:rPr>
              <w:t>6</w:t>
            </w:r>
            <w:r>
              <w:rPr>
                <w:kern w:val="0"/>
                <w:sz w:val="24"/>
              </w:rPr>
              <w:t>月</w:t>
            </w:r>
            <w:r>
              <w:rPr>
                <w:rFonts w:hint="eastAsia"/>
                <w:kern w:val="0"/>
                <w:sz w:val="24"/>
              </w:rPr>
              <w:t>3</w:t>
            </w:r>
            <w:r>
              <w:rPr>
                <w:kern w:val="0"/>
                <w:sz w:val="24"/>
              </w:rPr>
              <w:t>日~</w:t>
            </w:r>
            <w:r>
              <w:rPr>
                <w:rFonts w:hint="eastAsia"/>
                <w:kern w:val="0"/>
                <w:sz w:val="24"/>
              </w:rPr>
              <w:t>6</w:t>
            </w:r>
            <w:r>
              <w:rPr>
                <w:kern w:val="0"/>
                <w:sz w:val="24"/>
              </w:rPr>
              <w:t>月</w:t>
            </w:r>
            <w:r>
              <w:rPr>
                <w:rFonts w:hint="eastAsia"/>
                <w:kern w:val="0"/>
                <w:sz w:val="24"/>
              </w:rPr>
              <w:t>5</w:t>
            </w:r>
            <w:r>
              <w:rPr>
                <w:kern w:val="0"/>
                <w:sz w:val="24"/>
              </w:rPr>
              <w:t>日</w:t>
            </w:r>
            <w:r>
              <w:rPr>
                <w:rFonts w:hint="eastAsia"/>
                <w:kern w:val="0"/>
                <w:sz w:val="24"/>
              </w:rPr>
              <w:t>和</w:t>
            </w:r>
            <w:r>
              <w:rPr>
                <w:kern w:val="0"/>
                <w:sz w:val="24"/>
              </w:rPr>
              <w:t>201</w:t>
            </w:r>
            <w:r>
              <w:rPr>
                <w:rFonts w:hint="eastAsia"/>
                <w:kern w:val="0"/>
                <w:sz w:val="24"/>
              </w:rPr>
              <w:t>9</w:t>
            </w:r>
            <w:r>
              <w:rPr>
                <w:kern w:val="0"/>
                <w:sz w:val="24"/>
              </w:rPr>
              <w:t>年</w:t>
            </w:r>
            <w:r>
              <w:rPr>
                <w:rFonts w:hint="eastAsia"/>
                <w:kern w:val="0"/>
                <w:sz w:val="24"/>
              </w:rPr>
              <w:t>6</w:t>
            </w:r>
            <w:r>
              <w:rPr>
                <w:kern w:val="0"/>
                <w:sz w:val="24"/>
              </w:rPr>
              <w:t>月</w:t>
            </w:r>
            <w:r>
              <w:rPr>
                <w:rFonts w:hint="eastAsia"/>
                <w:kern w:val="0"/>
                <w:sz w:val="24"/>
              </w:rPr>
              <w:t>11</w:t>
            </w:r>
            <w:r>
              <w:rPr>
                <w:kern w:val="0"/>
                <w:sz w:val="24"/>
              </w:rPr>
              <w:t>日~</w:t>
            </w:r>
            <w:r>
              <w:rPr>
                <w:rFonts w:hint="eastAsia"/>
                <w:kern w:val="0"/>
                <w:sz w:val="24"/>
              </w:rPr>
              <w:t>6</w:t>
            </w:r>
            <w:r>
              <w:rPr>
                <w:kern w:val="0"/>
                <w:sz w:val="24"/>
              </w:rPr>
              <w:t>月</w:t>
            </w:r>
            <w:r>
              <w:rPr>
                <w:rFonts w:hint="eastAsia"/>
                <w:kern w:val="0"/>
                <w:sz w:val="24"/>
              </w:rPr>
              <w:t>13</w:t>
            </w:r>
            <w:r>
              <w:rPr>
                <w:kern w:val="0"/>
                <w:sz w:val="24"/>
              </w:rPr>
              <w:t>日</w:t>
            </w:r>
            <w:r>
              <w:rPr>
                <w:rFonts w:hint="eastAsia"/>
                <w:kern w:val="0"/>
                <w:sz w:val="24"/>
              </w:rPr>
              <w:t>分别</w:t>
            </w:r>
            <w:r>
              <w:rPr>
                <w:kern w:val="0"/>
                <w:sz w:val="24"/>
              </w:rPr>
              <w:t>对</w:t>
            </w:r>
            <w:r>
              <w:rPr>
                <w:rFonts w:hint="eastAsia"/>
                <w:kern w:val="0"/>
                <w:sz w:val="24"/>
              </w:rPr>
              <w:t>霞湾港（入湘江口上游100</w:t>
            </w:r>
            <w:r>
              <w:rPr>
                <w:kern w:val="0"/>
                <w:sz w:val="24"/>
              </w:rPr>
              <w:t>m</w:t>
            </w:r>
            <w:r>
              <w:rPr>
                <w:rFonts w:hint="eastAsia"/>
                <w:kern w:val="0"/>
                <w:sz w:val="24"/>
              </w:rPr>
              <w:t>处）和老霞湾港（入湘江口上游100</w:t>
            </w:r>
            <w:r>
              <w:rPr>
                <w:kern w:val="0"/>
                <w:sz w:val="24"/>
              </w:rPr>
              <w:t>m</w:t>
            </w:r>
            <w:r>
              <w:rPr>
                <w:rFonts w:hint="eastAsia"/>
                <w:kern w:val="0"/>
                <w:sz w:val="24"/>
              </w:rPr>
              <w:t>处）水质进行的现状监测数据。</w:t>
            </w:r>
          </w:p>
          <w:p>
            <w:pPr>
              <w:adjustRightInd w:val="0"/>
              <w:snapToGrid w:val="0"/>
              <w:spacing w:line="360" w:lineRule="auto"/>
              <w:ind w:firstLine="480" w:firstLineChars="200"/>
              <w:rPr>
                <w:color w:val="000000"/>
                <w:sz w:val="24"/>
              </w:rPr>
            </w:pPr>
            <w:r>
              <w:rPr>
                <w:rFonts w:hint="eastAsia"/>
                <w:color w:val="000000"/>
                <w:sz w:val="24"/>
              </w:rPr>
              <w:t>监</w:t>
            </w:r>
            <w:r>
              <w:rPr>
                <w:color w:val="000000"/>
                <w:sz w:val="24"/>
              </w:rPr>
              <w:t>测结果见下表</w:t>
            </w:r>
            <w:r>
              <w:rPr>
                <w:rFonts w:hint="eastAsia"/>
                <w:color w:val="000000"/>
                <w:sz w:val="24"/>
              </w:rPr>
              <w:t>19和表20</w:t>
            </w:r>
            <w:r>
              <w:rPr>
                <w:color w:val="000000"/>
                <w:sz w:val="24"/>
              </w:rPr>
              <w:t>。</w:t>
            </w:r>
          </w:p>
          <w:p>
            <w:pPr>
              <w:adjustRightInd w:val="0"/>
              <w:snapToGrid w:val="0"/>
              <w:spacing w:line="480" w:lineRule="exact"/>
              <w:jc w:val="center"/>
              <w:rPr>
                <w:b/>
                <w:sz w:val="21"/>
              </w:rPr>
            </w:pPr>
            <w:r>
              <w:rPr>
                <w:b/>
                <w:sz w:val="21"/>
                <w:lang w:bidi="ar"/>
              </w:rPr>
              <w:t>表</w:t>
            </w:r>
            <w:r>
              <w:rPr>
                <w:rFonts w:hint="eastAsia"/>
                <w:b/>
                <w:bCs/>
                <w:sz w:val="21"/>
                <w:szCs w:val="21"/>
              </w:rPr>
              <w:t>19</w:t>
            </w:r>
            <w:r>
              <w:rPr>
                <w:b/>
                <w:sz w:val="21"/>
                <w:lang w:bidi="ar"/>
              </w:rPr>
              <w:t xml:space="preserve">  霞湾港水质监测结果   单位:mg/L(pH无量纲)</w:t>
            </w:r>
          </w:p>
          <w:tbl>
            <w:tblPr>
              <w:tblStyle w:val="43"/>
              <w:tblW w:w="91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104"/>
              <w:gridCol w:w="1016"/>
              <w:gridCol w:w="859"/>
              <w:gridCol w:w="983"/>
              <w:gridCol w:w="993"/>
              <w:gridCol w:w="992"/>
              <w:gridCol w:w="1134"/>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8" w:type="dxa"/>
                  <w:vMerge w:val="restart"/>
                  <w:shd w:val="clear" w:color="auto" w:fill="auto"/>
                  <w:vAlign w:val="center"/>
                </w:tcPr>
                <w:p>
                  <w:pPr>
                    <w:widowControl/>
                    <w:adjustRightInd w:val="0"/>
                    <w:snapToGrid w:val="0"/>
                    <w:jc w:val="center"/>
                    <w:rPr>
                      <w:rFonts w:ascii="Calibri" w:hAnsi="Calibri"/>
                      <w:sz w:val="21"/>
                    </w:rPr>
                  </w:pPr>
                  <w:r>
                    <w:rPr>
                      <w:rFonts w:hint="eastAsia" w:ascii="Calibri" w:hAnsi="Calibri"/>
                      <w:kern w:val="24"/>
                      <w:sz w:val="21"/>
                      <w:szCs w:val="21"/>
                      <w:lang w:bidi="ar"/>
                    </w:rPr>
                    <w:t>监测点位</w:t>
                  </w:r>
                </w:p>
              </w:tc>
              <w:tc>
                <w:tcPr>
                  <w:tcW w:w="1104" w:type="dxa"/>
                  <w:vMerge w:val="restart"/>
                  <w:shd w:val="clear" w:color="auto" w:fill="auto"/>
                  <w:vAlign w:val="center"/>
                </w:tcPr>
                <w:p>
                  <w:pPr>
                    <w:widowControl/>
                    <w:adjustRightInd w:val="0"/>
                    <w:snapToGrid w:val="0"/>
                    <w:jc w:val="center"/>
                    <w:rPr>
                      <w:rFonts w:ascii="Calibri" w:hAnsi="Calibri"/>
                      <w:sz w:val="21"/>
                    </w:rPr>
                  </w:pPr>
                  <w:r>
                    <w:rPr>
                      <w:rFonts w:hint="eastAsia" w:ascii="Calibri" w:hAnsi="Calibri"/>
                      <w:sz w:val="21"/>
                    </w:rPr>
                    <w:t>监测日期</w:t>
                  </w:r>
                </w:p>
              </w:tc>
              <w:tc>
                <w:tcPr>
                  <w:tcW w:w="6836" w:type="dxa"/>
                  <w:gridSpan w:val="7"/>
                  <w:shd w:val="clear" w:color="auto" w:fill="auto"/>
                  <w:vAlign w:val="center"/>
                </w:tcPr>
                <w:p>
                  <w:pPr>
                    <w:widowControl/>
                    <w:adjustRightInd w:val="0"/>
                    <w:snapToGrid w:val="0"/>
                    <w:jc w:val="center"/>
                    <w:rPr>
                      <w:rFonts w:ascii="Calibri" w:hAnsi="Calibri"/>
                      <w:sz w:val="21"/>
                    </w:rPr>
                  </w:pPr>
                  <w:r>
                    <w:rPr>
                      <w:rFonts w:hint="eastAsia" w:ascii="Calibri" w:hAnsi="Calibri"/>
                      <w:sz w:val="21"/>
                    </w:rPr>
                    <w:t>监测项目及结果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8" w:type="dxa"/>
                  <w:vMerge w:val="continue"/>
                  <w:shd w:val="clear" w:color="auto" w:fill="auto"/>
                  <w:vAlign w:val="center"/>
                </w:tcPr>
                <w:p>
                  <w:pPr>
                    <w:widowControl/>
                    <w:adjustRightInd w:val="0"/>
                    <w:snapToGrid w:val="0"/>
                    <w:jc w:val="center"/>
                    <w:rPr>
                      <w:rFonts w:ascii="Calibri" w:hAnsi="Calibri"/>
                      <w:kern w:val="24"/>
                      <w:sz w:val="21"/>
                      <w:szCs w:val="21"/>
                      <w:lang w:bidi="ar"/>
                    </w:rPr>
                  </w:pPr>
                </w:p>
              </w:tc>
              <w:tc>
                <w:tcPr>
                  <w:tcW w:w="1104" w:type="dxa"/>
                  <w:vMerge w:val="continue"/>
                  <w:shd w:val="clear" w:color="auto" w:fill="auto"/>
                  <w:vAlign w:val="center"/>
                </w:tcPr>
                <w:p>
                  <w:pPr>
                    <w:widowControl/>
                    <w:adjustRightInd w:val="0"/>
                    <w:snapToGrid w:val="0"/>
                    <w:jc w:val="center"/>
                    <w:rPr>
                      <w:rFonts w:ascii="Calibri" w:hAnsi="Calibri"/>
                      <w:sz w:val="21"/>
                    </w:rPr>
                  </w:pPr>
                </w:p>
              </w:tc>
              <w:tc>
                <w:tcPr>
                  <w:tcW w:w="1016"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pH</w:t>
                  </w:r>
                </w:p>
              </w:tc>
              <w:tc>
                <w:tcPr>
                  <w:tcW w:w="859"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COD</w:t>
                  </w:r>
                </w:p>
              </w:tc>
              <w:tc>
                <w:tcPr>
                  <w:tcW w:w="983"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NH</w:t>
                  </w:r>
                  <w:r>
                    <w:rPr>
                      <w:rFonts w:ascii="Calibri" w:hAnsi="Calibri"/>
                      <w:kern w:val="24"/>
                      <w:sz w:val="21"/>
                      <w:szCs w:val="21"/>
                      <w:vertAlign w:val="subscript"/>
                      <w:lang w:bidi="ar"/>
                    </w:rPr>
                    <w:t>3</w:t>
                  </w:r>
                  <w:r>
                    <w:rPr>
                      <w:rFonts w:ascii="Calibri" w:hAnsi="Calibri"/>
                      <w:kern w:val="24"/>
                      <w:sz w:val="21"/>
                      <w:szCs w:val="21"/>
                      <w:lang w:bidi="ar"/>
                    </w:rPr>
                    <w:t>-N</w:t>
                  </w:r>
                </w:p>
              </w:tc>
              <w:tc>
                <w:tcPr>
                  <w:tcW w:w="993"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BOD</w:t>
                  </w:r>
                  <w:r>
                    <w:rPr>
                      <w:rFonts w:ascii="Calibri" w:hAnsi="Calibri"/>
                      <w:kern w:val="24"/>
                      <w:sz w:val="21"/>
                      <w:szCs w:val="21"/>
                      <w:vertAlign w:val="subscript"/>
                      <w:lang w:bidi="ar"/>
                    </w:rPr>
                    <w:t>5</w:t>
                  </w:r>
                </w:p>
              </w:tc>
              <w:tc>
                <w:tcPr>
                  <w:tcW w:w="992" w:type="dxa"/>
                  <w:shd w:val="clear" w:color="auto" w:fill="auto"/>
                  <w:vAlign w:val="center"/>
                </w:tcPr>
                <w:p>
                  <w:pPr>
                    <w:widowControl/>
                    <w:adjustRightInd w:val="0"/>
                    <w:snapToGrid w:val="0"/>
                    <w:jc w:val="center"/>
                    <w:rPr>
                      <w:rFonts w:ascii="Calibri" w:hAnsi="Calibri"/>
                      <w:sz w:val="21"/>
                    </w:rPr>
                  </w:pPr>
                  <w:r>
                    <w:rPr>
                      <w:rFonts w:hint="eastAsia" w:ascii="Calibri" w:hAnsi="Calibri"/>
                      <w:sz w:val="21"/>
                    </w:rPr>
                    <w:t>S</w:t>
                  </w:r>
                  <w:r>
                    <w:rPr>
                      <w:rFonts w:ascii="Calibri" w:hAnsi="Calibri"/>
                      <w:sz w:val="21"/>
                    </w:rPr>
                    <w:t>S</w:t>
                  </w:r>
                </w:p>
              </w:tc>
              <w:tc>
                <w:tcPr>
                  <w:tcW w:w="1134"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石油类</w:t>
                  </w:r>
                </w:p>
              </w:tc>
              <w:tc>
                <w:tcPr>
                  <w:tcW w:w="859"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8" w:type="dxa"/>
                  <w:vMerge w:val="restart"/>
                  <w:shd w:val="clear" w:color="auto" w:fill="auto"/>
                  <w:vAlign w:val="center"/>
                </w:tcPr>
                <w:p>
                  <w:pPr>
                    <w:widowControl/>
                    <w:adjustRightInd w:val="0"/>
                    <w:snapToGrid w:val="0"/>
                    <w:jc w:val="center"/>
                    <w:rPr>
                      <w:rFonts w:ascii="Calibri" w:hAnsi="Calibri"/>
                      <w:sz w:val="21"/>
                    </w:rPr>
                  </w:pPr>
                  <w:r>
                    <w:rPr>
                      <w:rFonts w:hint="eastAsia" w:ascii="Calibri" w:hAnsi="Calibri"/>
                      <w:kern w:val="24"/>
                      <w:sz w:val="21"/>
                      <w:szCs w:val="21"/>
                      <w:lang w:bidi="ar"/>
                    </w:rPr>
                    <w:t>霞湾港入湘江口上游100</w:t>
                  </w:r>
                  <w:r>
                    <w:rPr>
                      <w:rFonts w:ascii="Calibri" w:hAnsi="Calibri"/>
                      <w:kern w:val="24"/>
                      <w:sz w:val="21"/>
                      <w:szCs w:val="21"/>
                      <w:lang w:bidi="ar"/>
                    </w:rPr>
                    <w:t>m</w:t>
                  </w:r>
                  <w:r>
                    <w:rPr>
                      <w:rFonts w:hint="eastAsia" w:ascii="Calibri" w:hAnsi="Calibri"/>
                      <w:kern w:val="24"/>
                      <w:sz w:val="21"/>
                      <w:szCs w:val="21"/>
                      <w:lang w:bidi="ar"/>
                    </w:rPr>
                    <w:t>处</w:t>
                  </w:r>
                </w:p>
              </w:tc>
              <w:tc>
                <w:tcPr>
                  <w:tcW w:w="1104"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2019.6.3</w:t>
                  </w:r>
                </w:p>
              </w:tc>
              <w:tc>
                <w:tcPr>
                  <w:tcW w:w="1016"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7.20</w:t>
                  </w:r>
                </w:p>
              </w:tc>
              <w:tc>
                <w:tcPr>
                  <w:tcW w:w="859"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6</w:t>
                  </w:r>
                </w:p>
              </w:tc>
              <w:tc>
                <w:tcPr>
                  <w:tcW w:w="983"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4.01</w:t>
                  </w:r>
                </w:p>
              </w:tc>
              <w:tc>
                <w:tcPr>
                  <w:tcW w:w="993"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1.1</w:t>
                  </w:r>
                </w:p>
              </w:tc>
              <w:tc>
                <w:tcPr>
                  <w:tcW w:w="992"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12</w:t>
                  </w:r>
                </w:p>
              </w:tc>
              <w:tc>
                <w:tcPr>
                  <w:tcW w:w="1134"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0.03</w:t>
                  </w:r>
                </w:p>
              </w:tc>
              <w:tc>
                <w:tcPr>
                  <w:tcW w:w="859" w:type="dxa"/>
                  <w:shd w:val="clear" w:color="auto" w:fill="auto"/>
                  <w:vAlign w:val="center"/>
                </w:tcPr>
                <w:p>
                  <w:pPr>
                    <w:widowControl/>
                    <w:adjustRightInd w:val="0"/>
                    <w:snapToGrid w:val="0"/>
                    <w:jc w:val="center"/>
                    <w:textAlignment w:val="top"/>
                    <w:rPr>
                      <w:rFonts w:ascii="Calibri" w:hAnsi="Calibri"/>
                      <w:sz w:val="21"/>
                      <w:szCs w:val="21"/>
                    </w:rPr>
                  </w:pPr>
                  <w:r>
                    <w:rPr>
                      <w:rFonts w:hint="eastAsia" w:ascii="Calibri" w:hAnsi="Calibri"/>
                      <w:sz w:val="21"/>
                      <w:szCs w:val="21"/>
                    </w:rPr>
                    <w:t>0.004</w:t>
                  </w:r>
                  <w:r>
                    <w:rPr>
                      <w:rFonts w:ascii="Calibri" w:hAnsi="Calibri"/>
                      <w:sz w:val="21"/>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8" w:type="dxa"/>
                  <w:vMerge w:val="continue"/>
                  <w:shd w:val="clear" w:color="auto" w:fill="auto"/>
                  <w:vAlign w:val="center"/>
                </w:tcPr>
                <w:p>
                  <w:pPr>
                    <w:widowControl/>
                    <w:adjustRightInd w:val="0"/>
                    <w:snapToGrid w:val="0"/>
                    <w:jc w:val="center"/>
                    <w:rPr>
                      <w:rFonts w:ascii="Calibri" w:hAnsi="Calibri"/>
                      <w:kern w:val="24"/>
                      <w:sz w:val="21"/>
                      <w:szCs w:val="21"/>
                      <w:lang w:bidi="ar"/>
                    </w:rPr>
                  </w:pPr>
                </w:p>
              </w:tc>
              <w:tc>
                <w:tcPr>
                  <w:tcW w:w="1104"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2019.6.4</w:t>
                  </w:r>
                </w:p>
              </w:tc>
              <w:tc>
                <w:tcPr>
                  <w:tcW w:w="1016"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7.42</w:t>
                  </w:r>
                </w:p>
              </w:tc>
              <w:tc>
                <w:tcPr>
                  <w:tcW w:w="859"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12</w:t>
                  </w:r>
                </w:p>
              </w:tc>
              <w:tc>
                <w:tcPr>
                  <w:tcW w:w="983"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3.95</w:t>
                  </w:r>
                </w:p>
              </w:tc>
              <w:tc>
                <w:tcPr>
                  <w:tcW w:w="993"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2.0</w:t>
                  </w:r>
                </w:p>
              </w:tc>
              <w:tc>
                <w:tcPr>
                  <w:tcW w:w="992"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6</w:t>
                  </w:r>
                </w:p>
              </w:tc>
              <w:tc>
                <w:tcPr>
                  <w:tcW w:w="1134"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0.02</w:t>
                  </w:r>
                </w:p>
              </w:tc>
              <w:tc>
                <w:tcPr>
                  <w:tcW w:w="859" w:type="dxa"/>
                  <w:shd w:val="clear" w:color="auto" w:fill="auto"/>
                  <w:vAlign w:val="center"/>
                </w:tcPr>
                <w:p>
                  <w:pPr>
                    <w:widowControl/>
                    <w:adjustRightInd w:val="0"/>
                    <w:snapToGrid w:val="0"/>
                    <w:jc w:val="center"/>
                    <w:textAlignment w:val="top"/>
                    <w:rPr>
                      <w:rFonts w:ascii="Calibri" w:hAnsi="Calibri"/>
                      <w:color w:val="000000"/>
                      <w:kern w:val="0"/>
                      <w:sz w:val="21"/>
                      <w:szCs w:val="21"/>
                      <w:lang w:bidi="ar"/>
                    </w:rPr>
                  </w:pPr>
                  <w:r>
                    <w:rPr>
                      <w:rFonts w:hint="eastAsia" w:ascii="Calibri" w:hAnsi="Calibri"/>
                      <w:color w:val="000000"/>
                      <w:kern w:val="0"/>
                      <w:sz w:val="21"/>
                      <w:szCs w:val="21"/>
                      <w:lang w:bidi="ar"/>
                    </w:rPr>
                    <w:t>0.004</w:t>
                  </w:r>
                  <w:r>
                    <w:rPr>
                      <w:rFonts w:ascii="Calibri" w:hAnsi="Calibri"/>
                      <w:color w:val="000000"/>
                      <w:kern w:val="0"/>
                      <w:sz w:val="21"/>
                      <w:szCs w:val="21"/>
                      <w:lang w:bidi="ar"/>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8" w:type="dxa"/>
                  <w:vMerge w:val="continue"/>
                  <w:shd w:val="clear" w:color="auto" w:fill="auto"/>
                  <w:vAlign w:val="center"/>
                </w:tcPr>
                <w:p>
                  <w:pPr>
                    <w:widowControl/>
                    <w:adjustRightInd w:val="0"/>
                    <w:snapToGrid w:val="0"/>
                    <w:jc w:val="center"/>
                    <w:rPr>
                      <w:rFonts w:ascii="Calibri" w:hAnsi="Calibri"/>
                      <w:kern w:val="24"/>
                      <w:sz w:val="21"/>
                      <w:szCs w:val="21"/>
                      <w:lang w:bidi="ar"/>
                    </w:rPr>
                  </w:pPr>
                </w:p>
              </w:tc>
              <w:tc>
                <w:tcPr>
                  <w:tcW w:w="1104"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2019.6.5</w:t>
                  </w:r>
                </w:p>
              </w:tc>
              <w:tc>
                <w:tcPr>
                  <w:tcW w:w="1016"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6.54</w:t>
                  </w:r>
                </w:p>
              </w:tc>
              <w:tc>
                <w:tcPr>
                  <w:tcW w:w="859"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11</w:t>
                  </w:r>
                </w:p>
              </w:tc>
              <w:tc>
                <w:tcPr>
                  <w:tcW w:w="983"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3.95</w:t>
                  </w:r>
                </w:p>
              </w:tc>
              <w:tc>
                <w:tcPr>
                  <w:tcW w:w="993"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2.0</w:t>
                  </w:r>
                </w:p>
              </w:tc>
              <w:tc>
                <w:tcPr>
                  <w:tcW w:w="992"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9</w:t>
                  </w:r>
                </w:p>
              </w:tc>
              <w:tc>
                <w:tcPr>
                  <w:tcW w:w="1134"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0.04</w:t>
                  </w:r>
                </w:p>
              </w:tc>
              <w:tc>
                <w:tcPr>
                  <w:tcW w:w="859" w:type="dxa"/>
                  <w:shd w:val="clear" w:color="auto" w:fill="auto"/>
                  <w:vAlign w:val="center"/>
                </w:tcPr>
                <w:p>
                  <w:pPr>
                    <w:widowControl/>
                    <w:adjustRightInd w:val="0"/>
                    <w:snapToGrid w:val="0"/>
                    <w:jc w:val="center"/>
                    <w:textAlignment w:val="top"/>
                    <w:rPr>
                      <w:rFonts w:ascii="Calibri" w:hAnsi="Calibri"/>
                      <w:color w:val="000000"/>
                      <w:kern w:val="0"/>
                      <w:sz w:val="21"/>
                      <w:szCs w:val="21"/>
                      <w:lang w:bidi="ar"/>
                    </w:rPr>
                  </w:pPr>
                  <w:r>
                    <w:rPr>
                      <w:rFonts w:hint="eastAsia" w:ascii="Calibri" w:hAnsi="Calibri"/>
                      <w:color w:val="000000"/>
                      <w:kern w:val="0"/>
                      <w:sz w:val="21"/>
                      <w:szCs w:val="21"/>
                      <w:lang w:bidi="ar"/>
                    </w:rPr>
                    <w:t>0.004</w:t>
                  </w:r>
                  <w:r>
                    <w:rPr>
                      <w:rFonts w:ascii="Calibri" w:hAnsi="Calibri"/>
                      <w:color w:val="000000"/>
                      <w:kern w:val="0"/>
                      <w:sz w:val="21"/>
                      <w:szCs w:val="21"/>
                      <w:lang w:bidi="ar"/>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82" w:type="dxa"/>
                  <w:gridSpan w:val="2"/>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kern w:val="24"/>
                      <w:sz w:val="21"/>
                      <w:szCs w:val="21"/>
                      <w:lang w:bidi="ar"/>
                    </w:rPr>
                    <w:t>GB8987-1996，一级</w:t>
                  </w:r>
                </w:p>
              </w:tc>
              <w:tc>
                <w:tcPr>
                  <w:tcW w:w="1016"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sz w:val="21"/>
                      <w:szCs w:val="21"/>
                      <w:lang w:bidi="ar"/>
                    </w:rPr>
                    <w:t>6～9</w:t>
                  </w:r>
                </w:p>
              </w:tc>
              <w:tc>
                <w:tcPr>
                  <w:tcW w:w="859"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sz w:val="21"/>
                      <w:szCs w:val="21"/>
                      <w:lang w:bidi="ar"/>
                    </w:rPr>
                    <w:t>100</w:t>
                  </w:r>
                </w:p>
              </w:tc>
              <w:tc>
                <w:tcPr>
                  <w:tcW w:w="983"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sz w:val="21"/>
                      <w:szCs w:val="21"/>
                      <w:lang w:bidi="ar"/>
                    </w:rPr>
                    <w:t>15</w:t>
                  </w:r>
                </w:p>
              </w:tc>
              <w:tc>
                <w:tcPr>
                  <w:tcW w:w="993"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sz w:val="21"/>
                      <w:szCs w:val="21"/>
                      <w:lang w:bidi="ar"/>
                    </w:rPr>
                    <w:t>30</w:t>
                  </w:r>
                </w:p>
              </w:tc>
              <w:tc>
                <w:tcPr>
                  <w:tcW w:w="992"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70</w:t>
                  </w:r>
                </w:p>
              </w:tc>
              <w:tc>
                <w:tcPr>
                  <w:tcW w:w="1134"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sz w:val="21"/>
                      <w:szCs w:val="21"/>
                      <w:lang w:bidi="ar"/>
                    </w:rPr>
                    <w:t>20</w:t>
                  </w:r>
                </w:p>
              </w:tc>
              <w:tc>
                <w:tcPr>
                  <w:tcW w:w="859"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kern w:val="24"/>
                      <w:sz w:val="21"/>
                      <w:szCs w:val="21"/>
                      <w:lang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8" w:type="dxa"/>
                  <w:vMerge w:val="restart"/>
                  <w:shd w:val="clear" w:color="auto" w:fill="auto"/>
                  <w:vAlign w:val="center"/>
                </w:tcPr>
                <w:p>
                  <w:pPr>
                    <w:widowControl/>
                    <w:adjustRightInd w:val="0"/>
                    <w:snapToGrid w:val="0"/>
                    <w:jc w:val="center"/>
                    <w:rPr>
                      <w:rFonts w:ascii="Calibri" w:hAnsi="Calibri"/>
                      <w:sz w:val="21"/>
                    </w:rPr>
                  </w:pPr>
                  <w:r>
                    <w:rPr>
                      <w:rFonts w:hint="eastAsia" w:ascii="Calibri" w:hAnsi="Calibri"/>
                      <w:kern w:val="24"/>
                      <w:sz w:val="21"/>
                      <w:szCs w:val="21"/>
                      <w:lang w:bidi="ar"/>
                    </w:rPr>
                    <w:t>监测点位</w:t>
                  </w:r>
                </w:p>
              </w:tc>
              <w:tc>
                <w:tcPr>
                  <w:tcW w:w="1104" w:type="dxa"/>
                  <w:vMerge w:val="restart"/>
                  <w:shd w:val="clear" w:color="auto" w:fill="auto"/>
                  <w:vAlign w:val="center"/>
                </w:tcPr>
                <w:p>
                  <w:pPr>
                    <w:widowControl/>
                    <w:adjustRightInd w:val="0"/>
                    <w:snapToGrid w:val="0"/>
                    <w:jc w:val="center"/>
                    <w:rPr>
                      <w:rFonts w:ascii="Calibri" w:hAnsi="Calibri"/>
                      <w:sz w:val="21"/>
                    </w:rPr>
                  </w:pPr>
                  <w:r>
                    <w:rPr>
                      <w:rFonts w:hint="eastAsia" w:ascii="Calibri" w:hAnsi="Calibri"/>
                      <w:sz w:val="21"/>
                    </w:rPr>
                    <w:t>监测日期</w:t>
                  </w:r>
                </w:p>
              </w:tc>
              <w:tc>
                <w:tcPr>
                  <w:tcW w:w="6836" w:type="dxa"/>
                  <w:gridSpan w:val="7"/>
                  <w:shd w:val="clear" w:color="auto" w:fill="auto"/>
                  <w:vAlign w:val="center"/>
                </w:tcPr>
                <w:p>
                  <w:pPr>
                    <w:widowControl/>
                    <w:adjustRightInd w:val="0"/>
                    <w:snapToGrid w:val="0"/>
                    <w:jc w:val="center"/>
                    <w:rPr>
                      <w:rFonts w:ascii="Calibri" w:hAnsi="Calibri"/>
                      <w:sz w:val="21"/>
                    </w:rPr>
                  </w:pPr>
                  <w:r>
                    <w:rPr>
                      <w:rFonts w:hint="eastAsia" w:ascii="Calibri" w:hAnsi="Calibri"/>
                      <w:sz w:val="21"/>
                    </w:rPr>
                    <w:t>监测项目及结果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8" w:type="dxa"/>
                  <w:vMerge w:val="continue"/>
                  <w:shd w:val="clear" w:color="auto" w:fill="auto"/>
                  <w:vAlign w:val="center"/>
                </w:tcPr>
                <w:p>
                  <w:pPr>
                    <w:widowControl/>
                    <w:adjustRightInd w:val="0"/>
                    <w:snapToGrid w:val="0"/>
                    <w:jc w:val="center"/>
                    <w:rPr>
                      <w:rFonts w:ascii="Calibri" w:hAnsi="Calibri"/>
                      <w:kern w:val="24"/>
                      <w:sz w:val="21"/>
                      <w:szCs w:val="21"/>
                      <w:lang w:bidi="ar"/>
                    </w:rPr>
                  </w:pPr>
                </w:p>
              </w:tc>
              <w:tc>
                <w:tcPr>
                  <w:tcW w:w="1104" w:type="dxa"/>
                  <w:vMerge w:val="continue"/>
                  <w:shd w:val="clear" w:color="auto" w:fill="auto"/>
                  <w:vAlign w:val="center"/>
                </w:tcPr>
                <w:p>
                  <w:pPr>
                    <w:widowControl/>
                    <w:autoSpaceDN w:val="0"/>
                    <w:adjustRightInd w:val="0"/>
                    <w:snapToGrid w:val="0"/>
                    <w:jc w:val="center"/>
                    <w:textAlignment w:val="center"/>
                    <w:rPr>
                      <w:rFonts w:ascii="Calibri" w:hAnsi="Calibri"/>
                      <w:sz w:val="21"/>
                      <w:szCs w:val="21"/>
                      <w:lang w:bidi="ar"/>
                    </w:rPr>
                  </w:pPr>
                </w:p>
              </w:tc>
              <w:tc>
                <w:tcPr>
                  <w:tcW w:w="1016"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铜</w:t>
                  </w:r>
                </w:p>
              </w:tc>
              <w:tc>
                <w:tcPr>
                  <w:tcW w:w="859"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锌</w:t>
                  </w:r>
                </w:p>
              </w:tc>
              <w:tc>
                <w:tcPr>
                  <w:tcW w:w="983"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砷</w:t>
                  </w:r>
                </w:p>
              </w:tc>
              <w:tc>
                <w:tcPr>
                  <w:tcW w:w="993"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镉</w:t>
                  </w:r>
                </w:p>
              </w:tc>
              <w:tc>
                <w:tcPr>
                  <w:tcW w:w="992" w:type="dxa"/>
                  <w:shd w:val="clear" w:color="auto" w:fill="auto"/>
                  <w:vAlign w:val="center"/>
                </w:tcPr>
                <w:p>
                  <w:pPr>
                    <w:widowControl/>
                    <w:adjustRightInd w:val="0"/>
                    <w:snapToGrid w:val="0"/>
                    <w:jc w:val="center"/>
                    <w:textAlignment w:val="top"/>
                    <w:rPr>
                      <w:rFonts w:ascii="Calibri" w:hAnsi="Calibri"/>
                      <w:sz w:val="21"/>
                      <w:szCs w:val="21"/>
                    </w:rPr>
                  </w:pPr>
                  <w:r>
                    <w:rPr>
                      <w:rFonts w:ascii="Calibri" w:hAnsi="Calibri"/>
                      <w:kern w:val="24"/>
                      <w:sz w:val="21"/>
                      <w:szCs w:val="21"/>
                      <w:lang w:bidi="ar"/>
                    </w:rPr>
                    <w:t>铅</w:t>
                  </w:r>
                </w:p>
              </w:tc>
              <w:tc>
                <w:tcPr>
                  <w:tcW w:w="1134" w:type="dxa"/>
                  <w:shd w:val="clear" w:color="auto" w:fill="auto"/>
                  <w:vAlign w:val="center"/>
                </w:tcPr>
                <w:p>
                  <w:pPr>
                    <w:widowControl/>
                    <w:adjustRightInd w:val="0"/>
                    <w:snapToGrid w:val="0"/>
                    <w:jc w:val="center"/>
                    <w:textAlignment w:val="top"/>
                    <w:rPr>
                      <w:rFonts w:ascii="Calibri" w:hAnsi="Calibri"/>
                      <w:sz w:val="21"/>
                      <w:szCs w:val="21"/>
                    </w:rPr>
                  </w:pPr>
                  <w:r>
                    <w:rPr>
                      <w:rFonts w:hint="eastAsia" w:ascii="Calibri" w:hAnsi="Calibri"/>
                      <w:sz w:val="21"/>
                      <w:szCs w:val="21"/>
                    </w:rPr>
                    <w:t>汞</w:t>
                  </w:r>
                </w:p>
              </w:tc>
              <w:tc>
                <w:tcPr>
                  <w:tcW w:w="859" w:type="dxa"/>
                  <w:shd w:val="clear" w:color="auto" w:fill="auto"/>
                  <w:vAlign w:val="center"/>
                </w:tcPr>
                <w:p>
                  <w:pPr>
                    <w:widowControl/>
                    <w:adjustRightInd w:val="0"/>
                    <w:snapToGrid w:val="0"/>
                    <w:jc w:val="center"/>
                    <w:textAlignment w:val="top"/>
                    <w:rPr>
                      <w:rFonts w:ascii="Calibri" w:hAnsi="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8" w:type="dxa"/>
                  <w:vMerge w:val="restart"/>
                  <w:shd w:val="clear" w:color="auto" w:fill="auto"/>
                  <w:vAlign w:val="center"/>
                </w:tcPr>
                <w:p>
                  <w:pPr>
                    <w:widowControl/>
                    <w:adjustRightInd w:val="0"/>
                    <w:snapToGrid w:val="0"/>
                    <w:jc w:val="center"/>
                    <w:rPr>
                      <w:rFonts w:ascii="Calibri" w:hAnsi="Calibri"/>
                      <w:kern w:val="24"/>
                      <w:sz w:val="21"/>
                      <w:szCs w:val="21"/>
                      <w:lang w:bidi="ar"/>
                    </w:rPr>
                  </w:pPr>
                  <w:r>
                    <w:rPr>
                      <w:rFonts w:hint="eastAsia" w:ascii="Calibri" w:hAnsi="Calibri"/>
                      <w:kern w:val="24"/>
                      <w:sz w:val="21"/>
                      <w:szCs w:val="21"/>
                      <w:lang w:bidi="ar"/>
                    </w:rPr>
                    <w:t>霞湾港入湘江口上游100</w:t>
                  </w:r>
                  <w:r>
                    <w:rPr>
                      <w:rFonts w:ascii="Calibri" w:hAnsi="Calibri"/>
                      <w:kern w:val="24"/>
                      <w:sz w:val="21"/>
                      <w:szCs w:val="21"/>
                      <w:lang w:bidi="ar"/>
                    </w:rPr>
                    <w:t>m</w:t>
                  </w:r>
                  <w:r>
                    <w:rPr>
                      <w:rFonts w:hint="eastAsia" w:ascii="Calibri" w:hAnsi="Calibri"/>
                      <w:kern w:val="24"/>
                      <w:sz w:val="21"/>
                      <w:szCs w:val="21"/>
                      <w:lang w:bidi="ar"/>
                    </w:rPr>
                    <w:t>处</w:t>
                  </w:r>
                </w:p>
              </w:tc>
              <w:tc>
                <w:tcPr>
                  <w:tcW w:w="1104"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2019.6.3</w:t>
                  </w:r>
                </w:p>
              </w:tc>
              <w:tc>
                <w:tcPr>
                  <w:tcW w:w="1016" w:type="dxa"/>
                  <w:shd w:val="clear" w:color="auto" w:fill="auto"/>
                  <w:vAlign w:val="center"/>
                </w:tcPr>
                <w:p>
                  <w:pPr>
                    <w:widowControl/>
                    <w:adjustRightInd w:val="0"/>
                    <w:snapToGrid w:val="0"/>
                    <w:jc w:val="center"/>
                    <w:textAlignment w:val="top"/>
                    <w:rPr>
                      <w:rFonts w:ascii="Calibri" w:hAnsi="Calibri"/>
                      <w:sz w:val="21"/>
                      <w:szCs w:val="21"/>
                    </w:rPr>
                  </w:pPr>
                  <w:r>
                    <w:rPr>
                      <w:rFonts w:hint="eastAsia" w:ascii="Calibri" w:hAnsi="Calibri"/>
                      <w:sz w:val="21"/>
                      <w:szCs w:val="21"/>
                    </w:rPr>
                    <w:t>0.00432</w:t>
                  </w:r>
                </w:p>
              </w:tc>
              <w:tc>
                <w:tcPr>
                  <w:tcW w:w="859"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0.254</w:t>
                  </w:r>
                </w:p>
              </w:tc>
              <w:tc>
                <w:tcPr>
                  <w:tcW w:w="983"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0.00633</w:t>
                  </w:r>
                </w:p>
              </w:tc>
              <w:tc>
                <w:tcPr>
                  <w:tcW w:w="993"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0.00653</w:t>
                  </w:r>
                </w:p>
              </w:tc>
              <w:tc>
                <w:tcPr>
                  <w:tcW w:w="992" w:type="dxa"/>
                  <w:shd w:val="clear" w:color="auto" w:fill="auto"/>
                  <w:vAlign w:val="center"/>
                </w:tcPr>
                <w:p>
                  <w:pPr>
                    <w:widowControl/>
                    <w:adjustRightInd w:val="0"/>
                    <w:snapToGrid w:val="0"/>
                    <w:jc w:val="center"/>
                    <w:textAlignment w:val="top"/>
                    <w:rPr>
                      <w:rFonts w:ascii="Calibri" w:hAnsi="Calibri"/>
                      <w:color w:val="000000"/>
                      <w:kern w:val="0"/>
                      <w:sz w:val="21"/>
                      <w:szCs w:val="21"/>
                      <w:lang w:bidi="ar"/>
                    </w:rPr>
                  </w:pPr>
                  <w:r>
                    <w:rPr>
                      <w:rFonts w:hint="eastAsia" w:ascii="Calibri" w:hAnsi="Calibri"/>
                      <w:color w:val="000000"/>
                      <w:kern w:val="0"/>
                      <w:sz w:val="21"/>
                      <w:szCs w:val="21"/>
                      <w:lang w:bidi="ar"/>
                    </w:rPr>
                    <w:t>0.00242</w:t>
                  </w:r>
                </w:p>
              </w:tc>
              <w:tc>
                <w:tcPr>
                  <w:tcW w:w="1134" w:type="dxa"/>
                  <w:shd w:val="clear" w:color="auto" w:fill="auto"/>
                  <w:vAlign w:val="center"/>
                </w:tcPr>
                <w:p>
                  <w:pPr>
                    <w:widowControl/>
                    <w:adjustRightInd w:val="0"/>
                    <w:snapToGrid w:val="0"/>
                    <w:jc w:val="center"/>
                    <w:textAlignment w:val="top"/>
                    <w:rPr>
                      <w:rFonts w:ascii="Calibri" w:hAnsi="Calibri"/>
                      <w:color w:val="000000"/>
                      <w:kern w:val="0"/>
                      <w:sz w:val="21"/>
                      <w:szCs w:val="21"/>
                      <w:lang w:bidi="ar"/>
                    </w:rPr>
                  </w:pPr>
                  <w:r>
                    <w:rPr>
                      <w:rFonts w:hint="eastAsia" w:ascii="Calibri" w:hAnsi="Calibri"/>
                      <w:color w:val="000000"/>
                      <w:kern w:val="0"/>
                      <w:sz w:val="21"/>
                      <w:szCs w:val="21"/>
                      <w:lang w:bidi="ar"/>
                    </w:rPr>
                    <w:t>0.00004</w:t>
                  </w:r>
                  <w:r>
                    <w:rPr>
                      <w:rFonts w:ascii="Calibri" w:hAnsi="Calibri"/>
                      <w:color w:val="000000"/>
                      <w:kern w:val="0"/>
                      <w:sz w:val="21"/>
                      <w:szCs w:val="21"/>
                      <w:lang w:bidi="ar"/>
                    </w:rPr>
                    <w:t>L</w:t>
                  </w:r>
                </w:p>
              </w:tc>
              <w:tc>
                <w:tcPr>
                  <w:tcW w:w="859" w:type="dxa"/>
                  <w:shd w:val="clear" w:color="auto" w:fill="auto"/>
                  <w:vAlign w:val="center"/>
                </w:tcPr>
                <w:p>
                  <w:pPr>
                    <w:widowControl/>
                    <w:adjustRightInd w:val="0"/>
                    <w:snapToGrid w:val="0"/>
                    <w:jc w:val="center"/>
                    <w:textAlignment w:val="top"/>
                    <w:rPr>
                      <w:rFonts w:ascii="Calibri" w:hAnsi="Calibri"/>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8" w:type="dxa"/>
                  <w:vMerge w:val="continue"/>
                  <w:shd w:val="clear" w:color="auto" w:fill="auto"/>
                  <w:vAlign w:val="center"/>
                </w:tcPr>
                <w:p>
                  <w:pPr>
                    <w:widowControl/>
                    <w:adjustRightInd w:val="0"/>
                    <w:snapToGrid w:val="0"/>
                    <w:jc w:val="center"/>
                    <w:rPr>
                      <w:rFonts w:ascii="Calibri" w:hAnsi="Calibri"/>
                      <w:kern w:val="24"/>
                      <w:sz w:val="21"/>
                      <w:szCs w:val="21"/>
                      <w:lang w:bidi="ar"/>
                    </w:rPr>
                  </w:pPr>
                </w:p>
              </w:tc>
              <w:tc>
                <w:tcPr>
                  <w:tcW w:w="1104"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2019.6.4</w:t>
                  </w:r>
                </w:p>
              </w:tc>
              <w:tc>
                <w:tcPr>
                  <w:tcW w:w="1016" w:type="dxa"/>
                  <w:shd w:val="clear" w:color="auto" w:fill="auto"/>
                  <w:vAlign w:val="center"/>
                </w:tcPr>
                <w:p>
                  <w:pPr>
                    <w:widowControl/>
                    <w:adjustRightInd w:val="0"/>
                    <w:snapToGrid w:val="0"/>
                    <w:jc w:val="center"/>
                    <w:textAlignment w:val="top"/>
                    <w:rPr>
                      <w:rFonts w:ascii="Calibri" w:hAnsi="Calibri"/>
                      <w:color w:val="000000"/>
                      <w:kern w:val="0"/>
                      <w:sz w:val="21"/>
                      <w:szCs w:val="21"/>
                      <w:lang w:bidi="ar"/>
                    </w:rPr>
                  </w:pPr>
                  <w:r>
                    <w:rPr>
                      <w:rFonts w:hint="eastAsia" w:ascii="Calibri" w:hAnsi="Calibri"/>
                      <w:color w:val="000000"/>
                      <w:kern w:val="0"/>
                      <w:sz w:val="21"/>
                      <w:szCs w:val="21"/>
                      <w:lang w:bidi="ar"/>
                    </w:rPr>
                    <w:t>0.00417</w:t>
                  </w:r>
                </w:p>
              </w:tc>
              <w:tc>
                <w:tcPr>
                  <w:tcW w:w="859"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0.257</w:t>
                  </w:r>
                </w:p>
              </w:tc>
              <w:tc>
                <w:tcPr>
                  <w:tcW w:w="983"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0.00652</w:t>
                  </w:r>
                </w:p>
              </w:tc>
              <w:tc>
                <w:tcPr>
                  <w:tcW w:w="993"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0.00607</w:t>
                  </w:r>
                </w:p>
              </w:tc>
              <w:tc>
                <w:tcPr>
                  <w:tcW w:w="992" w:type="dxa"/>
                  <w:shd w:val="clear" w:color="auto" w:fill="auto"/>
                  <w:vAlign w:val="center"/>
                </w:tcPr>
                <w:p>
                  <w:pPr>
                    <w:widowControl/>
                    <w:adjustRightInd w:val="0"/>
                    <w:snapToGrid w:val="0"/>
                    <w:jc w:val="center"/>
                    <w:textAlignment w:val="top"/>
                    <w:rPr>
                      <w:rFonts w:ascii="Calibri" w:hAnsi="Calibri"/>
                      <w:color w:val="000000"/>
                      <w:kern w:val="0"/>
                      <w:sz w:val="21"/>
                      <w:szCs w:val="21"/>
                      <w:lang w:bidi="ar"/>
                    </w:rPr>
                  </w:pPr>
                  <w:r>
                    <w:rPr>
                      <w:rFonts w:hint="eastAsia" w:ascii="Calibri" w:hAnsi="Calibri"/>
                      <w:color w:val="000000"/>
                      <w:kern w:val="0"/>
                      <w:sz w:val="21"/>
                      <w:szCs w:val="21"/>
                      <w:lang w:bidi="ar"/>
                    </w:rPr>
                    <w:t>0.00238</w:t>
                  </w:r>
                </w:p>
              </w:tc>
              <w:tc>
                <w:tcPr>
                  <w:tcW w:w="1134" w:type="dxa"/>
                  <w:shd w:val="clear" w:color="auto" w:fill="auto"/>
                  <w:vAlign w:val="center"/>
                </w:tcPr>
                <w:p>
                  <w:pPr>
                    <w:widowControl/>
                    <w:adjustRightInd w:val="0"/>
                    <w:snapToGrid w:val="0"/>
                    <w:jc w:val="center"/>
                    <w:textAlignment w:val="top"/>
                    <w:rPr>
                      <w:rFonts w:ascii="Calibri" w:hAnsi="Calibri"/>
                      <w:color w:val="000000"/>
                      <w:kern w:val="0"/>
                      <w:sz w:val="21"/>
                      <w:szCs w:val="21"/>
                      <w:lang w:bidi="ar"/>
                    </w:rPr>
                  </w:pPr>
                  <w:r>
                    <w:rPr>
                      <w:rFonts w:hint="eastAsia" w:ascii="Calibri" w:hAnsi="Calibri"/>
                      <w:color w:val="000000"/>
                      <w:kern w:val="0"/>
                      <w:sz w:val="21"/>
                      <w:szCs w:val="21"/>
                      <w:lang w:bidi="ar"/>
                    </w:rPr>
                    <w:t>0.00004</w:t>
                  </w:r>
                  <w:r>
                    <w:rPr>
                      <w:rFonts w:ascii="Calibri" w:hAnsi="Calibri"/>
                      <w:color w:val="000000"/>
                      <w:kern w:val="0"/>
                      <w:sz w:val="21"/>
                      <w:szCs w:val="21"/>
                      <w:lang w:bidi="ar"/>
                    </w:rPr>
                    <w:t>L</w:t>
                  </w:r>
                </w:p>
              </w:tc>
              <w:tc>
                <w:tcPr>
                  <w:tcW w:w="859" w:type="dxa"/>
                  <w:shd w:val="clear" w:color="auto" w:fill="auto"/>
                  <w:vAlign w:val="center"/>
                </w:tcPr>
                <w:p>
                  <w:pPr>
                    <w:widowControl/>
                    <w:adjustRightInd w:val="0"/>
                    <w:snapToGrid w:val="0"/>
                    <w:jc w:val="center"/>
                    <w:textAlignment w:val="top"/>
                    <w:rPr>
                      <w:rFonts w:ascii="Calibri" w:hAnsi="Calibri"/>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8" w:type="dxa"/>
                  <w:vMerge w:val="continue"/>
                  <w:shd w:val="clear" w:color="auto" w:fill="auto"/>
                  <w:vAlign w:val="center"/>
                </w:tcPr>
                <w:p>
                  <w:pPr>
                    <w:widowControl/>
                    <w:adjustRightInd w:val="0"/>
                    <w:snapToGrid w:val="0"/>
                    <w:jc w:val="center"/>
                    <w:rPr>
                      <w:rFonts w:ascii="Calibri" w:hAnsi="Calibri"/>
                      <w:kern w:val="24"/>
                      <w:sz w:val="21"/>
                      <w:szCs w:val="21"/>
                      <w:lang w:bidi="ar"/>
                    </w:rPr>
                  </w:pPr>
                </w:p>
              </w:tc>
              <w:tc>
                <w:tcPr>
                  <w:tcW w:w="1104"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2019.6.5</w:t>
                  </w:r>
                </w:p>
              </w:tc>
              <w:tc>
                <w:tcPr>
                  <w:tcW w:w="1016" w:type="dxa"/>
                  <w:shd w:val="clear" w:color="auto" w:fill="auto"/>
                  <w:vAlign w:val="center"/>
                </w:tcPr>
                <w:p>
                  <w:pPr>
                    <w:widowControl/>
                    <w:adjustRightInd w:val="0"/>
                    <w:snapToGrid w:val="0"/>
                    <w:jc w:val="center"/>
                    <w:textAlignment w:val="top"/>
                    <w:rPr>
                      <w:rFonts w:ascii="Calibri" w:hAnsi="Calibri"/>
                      <w:color w:val="000000"/>
                      <w:kern w:val="0"/>
                      <w:sz w:val="21"/>
                      <w:szCs w:val="21"/>
                      <w:lang w:bidi="ar"/>
                    </w:rPr>
                  </w:pPr>
                  <w:r>
                    <w:rPr>
                      <w:rFonts w:hint="eastAsia" w:ascii="Calibri" w:hAnsi="Calibri"/>
                      <w:color w:val="000000"/>
                      <w:kern w:val="0"/>
                      <w:sz w:val="21"/>
                      <w:szCs w:val="21"/>
                      <w:lang w:bidi="ar"/>
                    </w:rPr>
                    <w:t>0.00376</w:t>
                  </w:r>
                </w:p>
              </w:tc>
              <w:tc>
                <w:tcPr>
                  <w:tcW w:w="859"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0.256</w:t>
                  </w:r>
                </w:p>
              </w:tc>
              <w:tc>
                <w:tcPr>
                  <w:tcW w:w="983"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0.00665</w:t>
                  </w:r>
                </w:p>
              </w:tc>
              <w:tc>
                <w:tcPr>
                  <w:tcW w:w="993"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0.00609</w:t>
                  </w:r>
                </w:p>
              </w:tc>
              <w:tc>
                <w:tcPr>
                  <w:tcW w:w="992"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0.00267</w:t>
                  </w:r>
                </w:p>
              </w:tc>
              <w:tc>
                <w:tcPr>
                  <w:tcW w:w="1134"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0.00004</w:t>
                  </w:r>
                  <w:r>
                    <w:rPr>
                      <w:rFonts w:ascii="Calibri" w:hAnsi="Calibri"/>
                      <w:color w:val="000000"/>
                      <w:kern w:val="0"/>
                      <w:sz w:val="21"/>
                      <w:szCs w:val="21"/>
                      <w:lang w:bidi="ar"/>
                    </w:rPr>
                    <w:t>L</w:t>
                  </w:r>
                </w:p>
              </w:tc>
              <w:tc>
                <w:tcPr>
                  <w:tcW w:w="859"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82" w:type="dxa"/>
                  <w:gridSpan w:val="2"/>
                  <w:shd w:val="clear" w:color="auto" w:fill="auto"/>
                  <w:vAlign w:val="center"/>
                </w:tcPr>
                <w:p>
                  <w:pPr>
                    <w:widowControl/>
                    <w:autoSpaceDN w:val="0"/>
                    <w:adjustRightInd w:val="0"/>
                    <w:snapToGrid w:val="0"/>
                    <w:jc w:val="center"/>
                    <w:textAlignment w:val="center"/>
                    <w:rPr>
                      <w:rFonts w:ascii="Calibri" w:hAnsi="Calibri"/>
                      <w:sz w:val="21"/>
                      <w:szCs w:val="21"/>
                      <w:lang w:bidi="ar"/>
                    </w:rPr>
                  </w:pPr>
                  <w:r>
                    <w:rPr>
                      <w:rFonts w:ascii="Calibri" w:hAnsi="Calibri"/>
                      <w:kern w:val="24"/>
                      <w:sz w:val="21"/>
                      <w:szCs w:val="21"/>
                      <w:lang w:bidi="ar"/>
                    </w:rPr>
                    <w:t>GB8987-1996，一级</w:t>
                  </w:r>
                </w:p>
              </w:tc>
              <w:tc>
                <w:tcPr>
                  <w:tcW w:w="1016"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kern w:val="24"/>
                      <w:sz w:val="21"/>
                      <w:szCs w:val="21"/>
                      <w:lang w:bidi="ar"/>
                    </w:rPr>
                    <w:t>0.5</w:t>
                  </w:r>
                </w:p>
              </w:tc>
              <w:tc>
                <w:tcPr>
                  <w:tcW w:w="859"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kern w:val="24"/>
                      <w:sz w:val="21"/>
                      <w:szCs w:val="21"/>
                      <w:lang w:bidi="ar"/>
                    </w:rPr>
                    <w:t>2</w:t>
                  </w:r>
                </w:p>
              </w:tc>
              <w:tc>
                <w:tcPr>
                  <w:tcW w:w="983"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kern w:val="24"/>
                      <w:sz w:val="21"/>
                      <w:szCs w:val="21"/>
                      <w:lang w:bidi="ar"/>
                    </w:rPr>
                    <w:t>0.5</w:t>
                  </w:r>
                </w:p>
              </w:tc>
              <w:tc>
                <w:tcPr>
                  <w:tcW w:w="993"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kern w:val="24"/>
                      <w:sz w:val="21"/>
                      <w:szCs w:val="21"/>
                      <w:lang w:bidi="ar"/>
                    </w:rPr>
                    <w:t>0.1</w:t>
                  </w:r>
                </w:p>
              </w:tc>
              <w:tc>
                <w:tcPr>
                  <w:tcW w:w="992" w:type="dxa"/>
                  <w:shd w:val="clear" w:color="auto" w:fill="auto"/>
                  <w:vAlign w:val="center"/>
                </w:tcPr>
                <w:p>
                  <w:pPr>
                    <w:widowControl/>
                    <w:autoSpaceDN w:val="0"/>
                    <w:adjustRightInd w:val="0"/>
                    <w:snapToGrid w:val="0"/>
                    <w:jc w:val="center"/>
                    <w:textAlignment w:val="center"/>
                    <w:rPr>
                      <w:rFonts w:ascii="Calibri" w:hAnsi="Calibri"/>
                      <w:kern w:val="24"/>
                      <w:sz w:val="21"/>
                      <w:szCs w:val="21"/>
                      <w:lang w:bidi="ar"/>
                    </w:rPr>
                  </w:pPr>
                  <w:r>
                    <w:rPr>
                      <w:rFonts w:hint="eastAsia" w:ascii="Calibri" w:hAnsi="Calibri"/>
                      <w:kern w:val="24"/>
                      <w:sz w:val="21"/>
                      <w:szCs w:val="21"/>
                      <w:lang w:bidi="ar"/>
                    </w:rPr>
                    <w:t>1.0</w:t>
                  </w:r>
                </w:p>
              </w:tc>
              <w:tc>
                <w:tcPr>
                  <w:tcW w:w="1134" w:type="dxa"/>
                  <w:shd w:val="clear" w:color="auto" w:fill="auto"/>
                  <w:vAlign w:val="center"/>
                </w:tcPr>
                <w:p>
                  <w:pPr>
                    <w:widowControl/>
                    <w:autoSpaceDN w:val="0"/>
                    <w:adjustRightInd w:val="0"/>
                    <w:snapToGrid w:val="0"/>
                    <w:jc w:val="center"/>
                    <w:textAlignment w:val="center"/>
                    <w:rPr>
                      <w:rFonts w:ascii="Calibri" w:hAnsi="Calibri"/>
                      <w:kern w:val="24"/>
                      <w:sz w:val="21"/>
                      <w:szCs w:val="21"/>
                      <w:lang w:bidi="ar"/>
                    </w:rPr>
                  </w:pPr>
                  <w:r>
                    <w:rPr>
                      <w:rFonts w:hint="eastAsia" w:ascii="Calibri" w:hAnsi="Calibri"/>
                      <w:kern w:val="24"/>
                      <w:sz w:val="21"/>
                      <w:szCs w:val="21"/>
                      <w:lang w:bidi="ar"/>
                    </w:rPr>
                    <w:t>0.05</w:t>
                  </w:r>
                </w:p>
              </w:tc>
              <w:tc>
                <w:tcPr>
                  <w:tcW w:w="859" w:type="dxa"/>
                  <w:shd w:val="clear" w:color="auto" w:fill="auto"/>
                  <w:vAlign w:val="center"/>
                </w:tcPr>
                <w:p>
                  <w:pPr>
                    <w:widowControl/>
                    <w:autoSpaceDN w:val="0"/>
                    <w:adjustRightInd w:val="0"/>
                    <w:snapToGrid w:val="0"/>
                    <w:jc w:val="center"/>
                    <w:textAlignment w:val="center"/>
                    <w:rPr>
                      <w:rFonts w:ascii="Calibri" w:hAnsi="Calibri"/>
                      <w:kern w:val="24"/>
                      <w:sz w:val="21"/>
                      <w:szCs w:val="21"/>
                      <w:lang w:bidi="ar"/>
                    </w:rPr>
                  </w:pPr>
                </w:p>
              </w:tc>
            </w:tr>
          </w:tbl>
          <w:p>
            <w:pPr>
              <w:adjustRightInd w:val="0"/>
              <w:snapToGrid w:val="0"/>
              <w:spacing w:line="480" w:lineRule="exact"/>
              <w:ind w:firstLine="480"/>
              <w:rPr>
                <w:color w:val="000000"/>
                <w:sz w:val="21"/>
                <w:lang w:bidi="ar"/>
              </w:rPr>
            </w:pPr>
            <w:r>
              <w:rPr>
                <w:color w:val="000000"/>
                <w:sz w:val="21"/>
                <w:lang w:bidi="ar"/>
              </w:rPr>
              <w:t>注：“</w:t>
            </w:r>
            <w:r>
              <w:rPr>
                <w:rFonts w:hint="eastAsia"/>
                <w:color w:val="000000"/>
                <w:sz w:val="21"/>
                <w:lang w:bidi="ar"/>
              </w:rPr>
              <w:t>L</w:t>
            </w:r>
            <w:r>
              <w:rPr>
                <w:color w:val="000000"/>
                <w:sz w:val="21"/>
                <w:lang w:bidi="ar"/>
              </w:rPr>
              <w:t>”表示未检出。</w:t>
            </w:r>
          </w:p>
          <w:p>
            <w:pPr>
              <w:adjustRightInd w:val="0"/>
              <w:snapToGrid w:val="0"/>
              <w:spacing w:line="480" w:lineRule="exact"/>
              <w:jc w:val="center"/>
              <w:rPr>
                <w:b/>
                <w:sz w:val="21"/>
              </w:rPr>
            </w:pPr>
            <w:r>
              <w:rPr>
                <w:b/>
                <w:sz w:val="21"/>
                <w:lang w:bidi="ar"/>
              </w:rPr>
              <w:t>表</w:t>
            </w:r>
            <w:r>
              <w:rPr>
                <w:rFonts w:hint="eastAsia"/>
                <w:b/>
                <w:bCs/>
                <w:sz w:val="21"/>
                <w:szCs w:val="21"/>
              </w:rPr>
              <w:t>20</w:t>
            </w:r>
            <w:r>
              <w:rPr>
                <w:b/>
                <w:sz w:val="21"/>
                <w:lang w:bidi="ar"/>
              </w:rPr>
              <w:t xml:space="preserve">  </w:t>
            </w:r>
            <w:r>
              <w:rPr>
                <w:rFonts w:hint="eastAsia"/>
                <w:b/>
                <w:sz w:val="21"/>
                <w:lang w:bidi="ar"/>
              </w:rPr>
              <w:t>老</w:t>
            </w:r>
            <w:r>
              <w:rPr>
                <w:b/>
                <w:sz w:val="21"/>
                <w:lang w:bidi="ar"/>
              </w:rPr>
              <w:t>霞湾港水质监测结果   单位:mg/L(pH无量纲)</w:t>
            </w:r>
          </w:p>
          <w:tbl>
            <w:tblPr>
              <w:tblStyle w:val="43"/>
              <w:tblW w:w="91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104"/>
              <w:gridCol w:w="1016"/>
              <w:gridCol w:w="992"/>
              <w:gridCol w:w="1134"/>
              <w:gridCol w:w="992"/>
              <w:gridCol w:w="1134"/>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8" w:type="dxa"/>
                  <w:vMerge w:val="restart"/>
                  <w:shd w:val="clear" w:color="auto" w:fill="auto"/>
                  <w:vAlign w:val="center"/>
                </w:tcPr>
                <w:p>
                  <w:pPr>
                    <w:widowControl/>
                    <w:adjustRightInd w:val="0"/>
                    <w:snapToGrid w:val="0"/>
                    <w:jc w:val="center"/>
                    <w:rPr>
                      <w:rFonts w:ascii="Calibri" w:hAnsi="Calibri"/>
                      <w:sz w:val="21"/>
                    </w:rPr>
                  </w:pPr>
                  <w:r>
                    <w:rPr>
                      <w:rFonts w:hint="eastAsia" w:ascii="Calibri" w:hAnsi="Calibri"/>
                      <w:kern w:val="24"/>
                      <w:sz w:val="21"/>
                      <w:szCs w:val="21"/>
                      <w:lang w:bidi="ar"/>
                    </w:rPr>
                    <w:t>监测点位</w:t>
                  </w:r>
                </w:p>
              </w:tc>
              <w:tc>
                <w:tcPr>
                  <w:tcW w:w="1104" w:type="dxa"/>
                  <w:vMerge w:val="restart"/>
                  <w:shd w:val="clear" w:color="auto" w:fill="auto"/>
                  <w:vAlign w:val="center"/>
                </w:tcPr>
                <w:p>
                  <w:pPr>
                    <w:widowControl/>
                    <w:adjustRightInd w:val="0"/>
                    <w:snapToGrid w:val="0"/>
                    <w:jc w:val="center"/>
                    <w:rPr>
                      <w:rFonts w:ascii="Calibri" w:hAnsi="Calibri"/>
                      <w:sz w:val="21"/>
                    </w:rPr>
                  </w:pPr>
                  <w:r>
                    <w:rPr>
                      <w:rFonts w:hint="eastAsia" w:ascii="Calibri" w:hAnsi="Calibri"/>
                      <w:sz w:val="21"/>
                    </w:rPr>
                    <w:t>监测日期</w:t>
                  </w:r>
                </w:p>
              </w:tc>
              <w:tc>
                <w:tcPr>
                  <w:tcW w:w="6836" w:type="dxa"/>
                  <w:gridSpan w:val="6"/>
                  <w:shd w:val="clear" w:color="auto" w:fill="auto"/>
                  <w:vAlign w:val="center"/>
                </w:tcPr>
                <w:p>
                  <w:pPr>
                    <w:widowControl/>
                    <w:adjustRightInd w:val="0"/>
                    <w:snapToGrid w:val="0"/>
                    <w:jc w:val="center"/>
                    <w:rPr>
                      <w:rFonts w:ascii="Calibri" w:hAnsi="Calibri"/>
                      <w:sz w:val="21"/>
                    </w:rPr>
                  </w:pPr>
                  <w:r>
                    <w:rPr>
                      <w:rFonts w:hint="eastAsia" w:ascii="Calibri" w:hAnsi="Calibri"/>
                      <w:sz w:val="21"/>
                    </w:rPr>
                    <w:t>监测项目及结果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8" w:type="dxa"/>
                  <w:vMerge w:val="continue"/>
                  <w:shd w:val="clear" w:color="auto" w:fill="auto"/>
                  <w:vAlign w:val="center"/>
                </w:tcPr>
                <w:p>
                  <w:pPr>
                    <w:widowControl/>
                    <w:adjustRightInd w:val="0"/>
                    <w:snapToGrid w:val="0"/>
                    <w:jc w:val="center"/>
                    <w:rPr>
                      <w:rFonts w:ascii="Calibri" w:hAnsi="Calibri"/>
                      <w:kern w:val="24"/>
                      <w:sz w:val="21"/>
                      <w:szCs w:val="21"/>
                      <w:lang w:bidi="ar"/>
                    </w:rPr>
                  </w:pPr>
                </w:p>
              </w:tc>
              <w:tc>
                <w:tcPr>
                  <w:tcW w:w="1104" w:type="dxa"/>
                  <w:vMerge w:val="continue"/>
                  <w:shd w:val="clear" w:color="auto" w:fill="auto"/>
                  <w:vAlign w:val="center"/>
                </w:tcPr>
                <w:p>
                  <w:pPr>
                    <w:widowControl/>
                    <w:adjustRightInd w:val="0"/>
                    <w:snapToGrid w:val="0"/>
                    <w:jc w:val="center"/>
                    <w:rPr>
                      <w:rFonts w:ascii="Calibri" w:hAnsi="Calibri"/>
                      <w:sz w:val="21"/>
                    </w:rPr>
                  </w:pPr>
                </w:p>
              </w:tc>
              <w:tc>
                <w:tcPr>
                  <w:tcW w:w="1016"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pH</w:t>
                  </w:r>
                </w:p>
              </w:tc>
              <w:tc>
                <w:tcPr>
                  <w:tcW w:w="992"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COD</w:t>
                  </w:r>
                </w:p>
              </w:tc>
              <w:tc>
                <w:tcPr>
                  <w:tcW w:w="1134"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NH</w:t>
                  </w:r>
                  <w:r>
                    <w:rPr>
                      <w:rFonts w:ascii="Calibri" w:hAnsi="Calibri"/>
                      <w:kern w:val="24"/>
                      <w:sz w:val="21"/>
                      <w:szCs w:val="21"/>
                      <w:vertAlign w:val="subscript"/>
                      <w:lang w:bidi="ar"/>
                    </w:rPr>
                    <w:t>3</w:t>
                  </w:r>
                  <w:r>
                    <w:rPr>
                      <w:rFonts w:ascii="Calibri" w:hAnsi="Calibri"/>
                      <w:kern w:val="24"/>
                      <w:sz w:val="21"/>
                      <w:szCs w:val="21"/>
                      <w:lang w:bidi="ar"/>
                    </w:rPr>
                    <w:t>-N</w:t>
                  </w:r>
                </w:p>
              </w:tc>
              <w:tc>
                <w:tcPr>
                  <w:tcW w:w="992" w:type="dxa"/>
                  <w:shd w:val="clear" w:color="auto" w:fill="auto"/>
                  <w:vAlign w:val="center"/>
                </w:tcPr>
                <w:p>
                  <w:pPr>
                    <w:widowControl/>
                    <w:adjustRightInd w:val="0"/>
                    <w:snapToGrid w:val="0"/>
                    <w:jc w:val="center"/>
                    <w:rPr>
                      <w:rFonts w:ascii="Calibri" w:hAnsi="Calibri"/>
                      <w:sz w:val="21"/>
                    </w:rPr>
                  </w:pPr>
                  <w:r>
                    <w:rPr>
                      <w:rFonts w:hint="eastAsia" w:ascii="Calibri" w:hAnsi="Calibri"/>
                      <w:sz w:val="21"/>
                    </w:rPr>
                    <w:t>S</w:t>
                  </w:r>
                  <w:r>
                    <w:rPr>
                      <w:rFonts w:ascii="Calibri" w:hAnsi="Calibri"/>
                      <w:sz w:val="21"/>
                    </w:rPr>
                    <w:t>S</w:t>
                  </w:r>
                </w:p>
              </w:tc>
              <w:tc>
                <w:tcPr>
                  <w:tcW w:w="1134"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石油类</w:t>
                  </w:r>
                </w:p>
              </w:tc>
              <w:tc>
                <w:tcPr>
                  <w:tcW w:w="1568"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8" w:type="dxa"/>
                  <w:vMerge w:val="restart"/>
                  <w:shd w:val="clear" w:color="auto" w:fill="auto"/>
                  <w:vAlign w:val="center"/>
                </w:tcPr>
                <w:p>
                  <w:pPr>
                    <w:widowControl/>
                    <w:adjustRightInd w:val="0"/>
                    <w:snapToGrid w:val="0"/>
                    <w:jc w:val="center"/>
                    <w:rPr>
                      <w:rFonts w:ascii="Calibri" w:hAnsi="Calibri"/>
                      <w:sz w:val="21"/>
                    </w:rPr>
                  </w:pPr>
                  <w:r>
                    <w:rPr>
                      <w:rFonts w:hint="eastAsia" w:ascii="Calibri" w:hAnsi="Calibri"/>
                      <w:kern w:val="24"/>
                      <w:sz w:val="21"/>
                      <w:szCs w:val="21"/>
                      <w:lang w:bidi="ar"/>
                    </w:rPr>
                    <w:t>老霞湾港入湘江口上游100</w:t>
                  </w:r>
                  <w:r>
                    <w:rPr>
                      <w:rFonts w:ascii="Calibri" w:hAnsi="Calibri"/>
                      <w:kern w:val="24"/>
                      <w:sz w:val="21"/>
                      <w:szCs w:val="21"/>
                      <w:lang w:bidi="ar"/>
                    </w:rPr>
                    <w:t>m</w:t>
                  </w:r>
                  <w:r>
                    <w:rPr>
                      <w:rFonts w:hint="eastAsia" w:ascii="Calibri" w:hAnsi="Calibri"/>
                      <w:kern w:val="24"/>
                      <w:sz w:val="21"/>
                      <w:szCs w:val="21"/>
                      <w:lang w:bidi="ar"/>
                    </w:rPr>
                    <w:t>处</w:t>
                  </w:r>
                </w:p>
              </w:tc>
              <w:tc>
                <w:tcPr>
                  <w:tcW w:w="1104"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2019.6.11</w:t>
                  </w:r>
                </w:p>
              </w:tc>
              <w:tc>
                <w:tcPr>
                  <w:tcW w:w="1016"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7.66</w:t>
                  </w:r>
                </w:p>
              </w:tc>
              <w:tc>
                <w:tcPr>
                  <w:tcW w:w="992"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64</w:t>
                  </w:r>
                </w:p>
              </w:tc>
              <w:tc>
                <w:tcPr>
                  <w:tcW w:w="1134"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0.712</w:t>
                  </w:r>
                </w:p>
              </w:tc>
              <w:tc>
                <w:tcPr>
                  <w:tcW w:w="992"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14</w:t>
                  </w:r>
                </w:p>
              </w:tc>
              <w:tc>
                <w:tcPr>
                  <w:tcW w:w="1134"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0.04</w:t>
                  </w:r>
                </w:p>
              </w:tc>
              <w:tc>
                <w:tcPr>
                  <w:tcW w:w="1568" w:type="dxa"/>
                  <w:shd w:val="clear" w:color="auto" w:fill="auto"/>
                  <w:vAlign w:val="center"/>
                </w:tcPr>
                <w:p>
                  <w:pPr>
                    <w:widowControl/>
                    <w:adjustRightInd w:val="0"/>
                    <w:snapToGrid w:val="0"/>
                    <w:jc w:val="center"/>
                    <w:textAlignment w:val="top"/>
                    <w:rPr>
                      <w:rFonts w:ascii="Calibri" w:hAnsi="Calibri"/>
                      <w:sz w:val="21"/>
                      <w:szCs w:val="21"/>
                    </w:rPr>
                  </w:pPr>
                  <w:r>
                    <w:rPr>
                      <w:rFonts w:hint="eastAsia" w:ascii="Calibri" w:hAnsi="Calibri"/>
                      <w:sz w:val="21"/>
                      <w:szCs w:val="21"/>
                    </w:rPr>
                    <w:t>0.004</w:t>
                  </w:r>
                  <w:r>
                    <w:rPr>
                      <w:rFonts w:ascii="Calibri" w:hAnsi="Calibri"/>
                      <w:sz w:val="21"/>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8" w:type="dxa"/>
                  <w:vMerge w:val="continue"/>
                  <w:shd w:val="clear" w:color="auto" w:fill="auto"/>
                  <w:vAlign w:val="center"/>
                </w:tcPr>
                <w:p>
                  <w:pPr>
                    <w:widowControl/>
                    <w:adjustRightInd w:val="0"/>
                    <w:snapToGrid w:val="0"/>
                    <w:jc w:val="center"/>
                    <w:rPr>
                      <w:rFonts w:ascii="Calibri" w:hAnsi="Calibri"/>
                      <w:kern w:val="24"/>
                      <w:sz w:val="21"/>
                      <w:szCs w:val="21"/>
                      <w:lang w:bidi="ar"/>
                    </w:rPr>
                  </w:pPr>
                </w:p>
              </w:tc>
              <w:tc>
                <w:tcPr>
                  <w:tcW w:w="1104" w:type="dxa"/>
                  <w:shd w:val="clear" w:color="auto" w:fill="auto"/>
                  <w:vAlign w:val="center"/>
                </w:tcPr>
                <w:p>
                  <w:pPr>
                    <w:widowControl/>
                    <w:adjustRightInd w:val="0"/>
                    <w:snapToGrid w:val="0"/>
                    <w:jc w:val="center"/>
                    <w:textAlignment w:val="center"/>
                    <w:rPr>
                      <w:rFonts w:ascii="Calibri" w:hAnsi="Calibri"/>
                      <w:kern w:val="0"/>
                      <w:sz w:val="21"/>
                      <w:szCs w:val="21"/>
                      <w:lang w:bidi="ar"/>
                    </w:rPr>
                  </w:pPr>
                  <w:r>
                    <w:rPr>
                      <w:rFonts w:hint="eastAsia" w:ascii="Calibri" w:hAnsi="Calibri"/>
                      <w:kern w:val="0"/>
                      <w:sz w:val="21"/>
                      <w:szCs w:val="21"/>
                      <w:lang w:bidi="ar"/>
                    </w:rPr>
                    <w:t>2019.6.12</w:t>
                  </w:r>
                </w:p>
              </w:tc>
              <w:tc>
                <w:tcPr>
                  <w:tcW w:w="1016" w:type="dxa"/>
                  <w:shd w:val="clear" w:color="auto" w:fill="auto"/>
                  <w:vAlign w:val="center"/>
                </w:tcPr>
                <w:p>
                  <w:pPr>
                    <w:widowControl/>
                    <w:adjustRightInd w:val="0"/>
                    <w:snapToGrid w:val="0"/>
                    <w:jc w:val="center"/>
                    <w:textAlignment w:val="center"/>
                    <w:rPr>
                      <w:rFonts w:ascii="Calibri" w:hAnsi="Calibri"/>
                      <w:kern w:val="0"/>
                      <w:sz w:val="21"/>
                      <w:szCs w:val="21"/>
                      <w:lang w:bidi="ar"/>
                    </w:rPr>
                  </w:pPr>
                  <w:r>
                    <w:rPr>
                      <w:rFonts w:hint="eastAsia" w:ascii="Calibri" w:hAnsi="Calibri"/>
                      <w:kern w:val="0"/>
                      <w:sz w:val="21"/>
                      <w:szCs w:val="21"/>
                      <w:lang w:bidi="ar"/>
                    </w:rPr>
                    <w:t>7.73</w:t>
                  </w:r>
                </w:p>
              </w:tc>
              <w:tc>
                <w:tcPr>
                  <w:tcW w:w="992" w:type="dxa"/>
                  <w:shd w:val="clear" w:color="auto" w:fill="auto"/>
                  <w:vAlign w:val="center"/>
                </w:tcPr>
                <w:p>
                  <w:pPr>
                    <w:widowControl/>
                    <w:adjustRightInd w:val="0"/>
                    <w:snapToGrid w:val="0"/>
                    <w:jc w:val="center"/>
                    <w:textAlignment w:val="center"/>
                    <w:rPr>
                      <w:rFonts w:ascii="Calibri" w:hAnsi="Calibri"/>
                      <w:kern w:val="0"/>
                      <w:sz w:val="21"/>
                      <w:szCs w:val="21"/>
                      <w:lang w:bidi="ar"/>
                    </w:rPr>
                  </w:pPr>
                  <w:r>
                    <w:rPr>
                      <w:rFonts w:hint="eastAsia" w:ascii="Calibri" w:hAnsi="Calibri"/>
                      <w:kern w:val="0"/>
                      <w:sz w:val="21"/>
                      <w:szCs w:val="21"/>
                      <w:lang w:bidi="ar"/>
                    </w:rPr>
                    <w:t>78</w:t>
                  </w:r>
                </w:p>
              </w:tc>
              <w:tc>
                <w:tcPr>
                  <w:tcW w:w="1134" w:type="dxa"/>
                  <w:shd w:val="clear" w:color="auto" w:fill="auto"/>
                  <w:vAlign w:val="center"/>
                </w:tcPr>
                <w:p>
                  <w:pPr>
                    <w:widowControl/>
                    <w:adjustRightInd w:val="0"/>
                    <w:snapToGrid w:val="0"/>
                    <w:jc w:val="center"/>
                    <w:textAlignment w:val="center"/>
                    <w:rPr>
                      <w:rFonts w:ascii="Calibri" w:hAnsi="Calibri"/>
                      <w:kern w:val="0"/>
                      <w:sz w:val="21"/>
                      <w:szCs w:val="21"/>
                      <w:lang w:bidi="ar"/>
                    </w:rPr>
                  </w:pPr>
                  <w:r>
                    <w:rPr>
                      <w:rFonts w:hint="eastAsia" w:ascii="Calibri" w:hAnsi="Calibri"/>
                      <w:kern w:val="0"/>
                      <w:sz w:val="21"/>
                      <w:szCs w:val="21"/>
                      <w:lang w:bidi="ar"/>
                    </w:rPr>
                    <w:t>0.730</w:t>
                  </w:r>
                </w:p>
              </w:tc>
              <w:tc>
                <w:tcPr>
                  <w:tcW w:w="992" w:type="dxa"/>
                  <w:shd w:val="clear" w:color="auto" w:fill="auto"/>
                  <w:vAlign w:val="center"/>
                </w:tcPr>
                <w:p>
                  <w:pPr>
                    <w:widowControl/>
                    <w:adjustRightInd w:val="0"/>
                    <w:snapToGrid w:val="0"/>
                    <w:jc w:val="center"/>
                    <w:textAlignment w:val="center"/>
                    <w:rPr>
                      <w:rFonts w:ascii="Calibri" w:hAnsi="Calibri"/>
                      <w:kern w:val="0"/>
                      <w:sz w:val="21"/>
                      <w:szCs w:val="21"/>
                      <w:lang w:bidi="ar"/>
                    </w:rPr>
                  </w:pPr>
                  <w:r>
                    <w:rPr>
                      <w:rFonts w:hint="eastAsia" w:ascii="Calibri" w:hAnsi="Calibri"/>
                      <w:kern w:val="0"/>
                      <w:sz w:val="21"/>
                      <w:szCs w:val="21"/>
                      <w:lang w:bidi="ar"/>
                    </w:rPr>
                    <w:t>15</w:t>
                  </w:r>
                </w:p>
              </w:tc>
              <w:tc>
                <w:tcPr>
                  <w:tcW w:w="1134" w:type="dxa"/>
                  <w:shd w:val="clear" w:color="auto" w:fill="auto"/>
                  <w:vAlign w:val="center"/>
                </w:tcPr>
                <w:p>
                  <w:pPr>
                    <w:widowControl/>
                    <w:adjustRightInd w:val="0"/>
                    <w:snapToGrid w:val="0"/>
                    <w:jc w:val="center"/>
                    <w:textAlignment w:val="center"/>
                    <w:rPr>
                      <w:rFonts w:ascii="Calibri" w:hAnsi="Calibri"/>
                      <w:kern w:val="0"/>
                      <w:sz w:val="21"/>
                      <w:szCs w:val="21"/>
                      <w:lang w:bidi="ar"/>
                    </w:rPr>
                  </w:pPr>
                  <w:r>
                    <w:rPr>
                      <w:rFonts w:hint="eastAsia" w:ascii="Calibri" w:hAnsi="Calibri"/>
                      <w:kern w:val="0"/>
                      <w:sz w:val="21"/>
                      <w:szCs w:val="21"/>
                      <w:lang w:bidi="ar"/>
                    </w:rPr>
                    <w:t>0.03</w:t>
                  </w:r>
                </w:p>
              </w:tc>
              <w:tc>
                <w:tcPr>
                  <w:tcW w:w="1568" w:type="dxa"/>
                  <w:shd w:val="clear" w:color="auto" w:fill="auto"/>
                  <w:vAlign w:val="center"/>
                </w:tcPr>
                <w:p>
                  <w:pPr>
                    <w:widowControl/>
                    <w:adjustRightInd w:val="0"/>
                    <w:snapToGrid w:val="0"/>
                    <w:jc w:val="center"/>
                    <w:textAlignment w:val="top"/>
                    <w:rPr>
                      <w:rFonts w:ascii="Calibri" w:hAnsi="Calibri"/>
                      <w:kern w:val="0"/>
                      <w:sz w:val="21"/>
                      <w:szCs w:val="21"/>
                      <w:lang w:bidi="ar"/>
                    </w:rPr>
                  </w:pPr>
                  <w:r>
                    <w:rPr>
                      <w:rFonts w:hint="eastAsia" w:ascii="Calibri" w:hAnsi="Calibri"/>
                      <w:sz w:val="21"/>
                      <w:szCs w:val="21"/>
                    </w:rPr>
                    <w:t>0.004</w:t>
                  </w:r>
                  <w:r>
                    <w:rPr>
                      <w:rFonts w:ascii="Calibri" w:hAnsi="Calibri"/>
                      <w:sz w:val="21"/>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8" w:type="dxa"/>
                  <w:vMerge w:val="continue"/>
                  <w:shd w:val="clear" w:color="auto" w:fill="auto"/>
                  <w:vAlign w:val="center"/>
                </w:tcPr>
                <w:p>
                  <w:pPr>
                    <w:widowControl/>
                    <w:adjustRightInd w:val="0"/>
                    <w:snapToGrid w:val="0"/>
                    <w:jc w:val="center"/>
                    <w:rPr>
                      <w:rFonts w:ascii="Calibri" w:hAnsi="Calibri"/>
                      <w:kern w:val="24"/>
                      <w:sz w:val="21"/>
                      <w:szCs w:val="21"/>
                      <w:lang w:bidi="ar"/>
                    </w:rPr>
                  </w:pPr>
                </w:p>
              </w:tc>
              <w:tc>
                <w:tcPr>
                  <w:tcW w:w="1104" w:type="dxa"/>
                  <w:shd w:val="clear" w:color="auto" w:fill="auto"/>
                  <w:vAlign w:val="center"/>
                </w:tcPr>
                <w:p>
                  <w:pPr>
                    <w:widowControl/>
                    <w:adjustRightInd w:val="0"/>
                    <w:snapToGrid w:val="0"/>
                    <w:jc w:val="center"/>
                    <w:textAlignment w:val="center"/>
                    <w:rPr>
                      <w:rFonts w:ascii="Calibri" w:hAnsi="Calibri"/>
                      <w:kern w:val="0"/>
                      <w:sz w:val="21"/>
                      <w:szCs w:val="21"/>
                      <w:lang w:bidi="ar"/>
                    </w:rPr>
                  </w:pPr>
                  <w:r>
                    <w:rPr>
                      <w:rFonts w:hint="eastAsia" w:ascii="Calibri" w:hAnsi="Calibri"/>
                      <w:kern w:val="0"/>
                      <w:sz w:val="21"/>
                      <w:szCs w:val="21"/>
                      <w:lang w:bidi="ar"/>
                    </w:rPr>
                    <w:t>2019.6.13</w:t>
                  </w:r>
                </w:p>
              </w:tc>
              <w:tc>
                <w:tcPr>
                  <w:tcW w:w="1016" w:type="dxa"/>
                  <w:shd w:val="clear" w:color="auto" w:fill="auto"/>
                  <w:vAlign w:val="center"/>
                </w:tcPr>
                <w:p>
                  <w:pPr>
                    <w:widowControl/>
                    <w:adjustRightInd w:val="0"/>
                    <w:snapToGrid w:val="0"/>
                    <w:jc w:val="center"/>
                    <w:textAlignment w:val="center"/>
                    <w:rPr>
                      <w:rFonts w:ascii="Calibri" w:hAnsi="Calibri"/>
                      <w:kern w:val="0"/>
                      <w:sz w:val="21"/>
                      <w:szCs w:val="21"/>
                      <w:lang w:bidi="ar"/>
                    </w:rPr>
                  </w:pPr>
                  <w:r>
                    <w:rPr>
                      <w:rFonts w:hint="eastAsia" w:ascii="Calibri" w:hAnsi="Calibri"/>
                      <w:kern w:val="0"/>
                      <w:sz w:val="21"/>
                      <w:szCs w:val="21"/>
                      <w:lang w:bidi="ar"/>
                    </w:rPr>
                    <w:t>7.62</w:t>
                  </w:r>
                </w:p>
              </w:tc>
              <w:tc>
                <w:tcPr>
                  <w:tcW w:w="992" w:type="dxa"/>
                  <w:shd w:val="clear" w:color="auto" w:fill="auto"/>
                  <w:vAlign w:val="center"/>
                </w:tcPr>
                <w:p>
                  <w:pPr>
                    <w:widowControl/>
                    <w:adjustRightInd w:val="0"/>
                    <w:snapToGrid w:val="0"/>
                    <w:jc w:val="center"/>
                    <w:textAlignment w:val="center"/>
                    <w:rPr>
                      <w:rFonts w:ascii="Calibri" w:hAnsi="Calibri"/>
                      <w:kern w:val="0"/>
                      <w:sz w:val="21"/>
                      <w:szCs w:val="21"/>
                      <w:lang w:bidi="ar"/>
                    </w:rPr>
                  </w:pPr>
                  <w:r>
                    <w:rPr>
                      <w:rFonts w:hint="eastAsia" w:ascii="Calibri" w:hAnsi="Calibri"/>
                      <w:kern w:val="0"/>
                      <w:sz w:val="21"/>
                      <w:szCs w:val="21"/>
                      <w:lang w:bidi="ar"/>
                    </w:rPr>
                    <w:t>59</w:t>
                  </w:r>
                </w:p>
              </w:tc>
              <w:tc>
                <w:tcPr>
                  <w:tcW w:w="1134" w:type="dxa"/>
                  <w:shd w:val="clear" w:color="auto" w:fill="auto"/>
                  <w:vAlign w:val="center"/>
                </w:tcPr>
                <w:p>
                  <w:pPr>
                    <w:widowControl/>
                    <w:adjustRightInd w:val="0"/>
                    <w:snapToGrid w:val="0"/>
                    <w:jc w:val="center"/>
                    <w:textAlignment w:val="center"/>
                    <w:rPr>
                      <w:rFonts w:ascii="Calibri" w:hAnsi="Calibri"/>
                      <w:kern w:val="0"/>
                      <w:sz w:val="21"/>
                      <w:szCs w:val="21"/>
                      <w:lang w:bidi="ar"/>
                    </w:rPr>
                  </w:pPr>
                  <w:r>
                    <w:rPr>
                      <w:rFonts w:hint="eastAsia" w:ascii="Calibri" w:hAnsi="Calibri"/>
                      <w:kern w:val="0"/>
                      <w:sz w:val="21"/>
                      <w:szCs w:val="21"/>
                      <w:lang w:bidi="ar"/>
                    </w:rPr>
                    <w:t>0.650</w:t>
                  </w:r>
                </w:p>
              </w:tc>
              <w:tc>
                <w:tcPr>
                  <w:tcW w:w="992" w:type="dxa"/>
                  <w:shd w:val="clear" w:color="auto" w:fill="auto"/>
                  <w:vAlign w:val="center"/>
                </w:tcPr>
                <w:p>
                  <w:pPr>
                    <w:widowControl/>
                    <w:adjustRightInd w:val="0"/>
                    <w:snapToGrid w:val="0"/>
                    <w:jc w:val="center"/>
                    <w:textAlignment w:val="center"/>
                    <w:rPr>
                      <w:rFonts w:ascii="Calibri" w:hAnsi="Calibri"/>
                      <w:kern w:val="0"/>
                      <w:sz w:val="21"/>
                      <w:szCs w:val="21"/>
                      <w:lang w:bidi="ar"/>
                    </w:rPr>
                  </w:pPr>
                  <w:r>
                    <w:rPr>
                      <w:rFonts w:hint="eastAsia" w:ascii="Calibri" w:hAnsi="Calibri"/>
                      <w:kern w:val="0"/>
                      <w:sz w:val="21"/>
                      <w:szCs w:val="21"/>
                      <w:lang w:bidi="ar"/>
                    </w:rPr>
                    <w:t>17</w:t>
                  </w:r>
                </w:p>
              </w:tc>
              <w:tc>
                <w:tcPr>
                  <w:tcW w:w="1134" w:type="dxa"/>
                  <w:shd w:val="clear" w:color="auto" w:fill="auto"/>
                  <w:vAlign w:val="center"/>
                </w:tcPr>
                <w:p>
                  <w:pPr>
                    <w:widowControl/>
                    <w:adjustRightInd w:val="0"/>
                    <w:snapToGrid w:val="0"/>
                    <w:jc w:val="center"/>
                    <w:textAlignment w:val="center"/>
                    <w:rPr>
                      <w:rFonts w:ascii="Calibri" w:hAnsi="Calibri"/>
                      <w:kern w:val="0"/>
                      <w:sz w:val="21"/>
                      <w:szCs w:val="21"/>
                      <w:lang w:bidi="ar"/>
                    </w:rPr>
                  </w:pPr>
                  <w:r>
                    <w:rPr>
                      <w:rFonts w:hint="eastAsia" w:ascii="Calibri" w:hAnsi="Calibri"/>
                      <w:kern w:val="0"/>
                      <w:sz w:val="21"/>
                      <w:szCs w:val="21"/>
                      <w:lang w:bidi="ar"/>
                    </w:rPr>
                    <w:t>0.04</w:t>
                  </w:r>
                </w:p>
              </w:tc>
              <w:tc>
                <w:tcPr>
                  <w:tcW w:w="1568" w:type="dxa"/>
                  <w:shd w:val="clear" w:color="auto" w:fill="auto"/>
                  <w:vAlign w:val="center"/>
                </w:tcPr>
                <w:p>
                  <w:pPr>
                    <w:widowControl/>
                    <w:adjustRightInd w:val="0"/>
                    <w:snapToGrid w:val="0"/>
                    <w:jc w:val="center"/>
                    <w:textAlignment w:val="top"/>
                    <w:rPr>
                      <w:rFonts w:ascii="Calibri" w:hAnsi="Calibri"/>
                      <w:kern w:val="0"/>
                      <w:sz w:val="21"/>
                      <w:szCs w:val="21"/>
                      <w:lang w:bidi="ar"/>
                    </w:rPr>
                  </w:pPr>
                  <w:r>
                    <w:rPr>
                      <w:rFonts w:hint="eastAsia" w:ascii="Calibri" w:hAnsi="Calibri"/>
                      <w:sz w:val="21"/>
                      <w:szCs w:val="21"/>
                    </w:rPr>
                    <w:t>0.004</w:t>
                  </w:r>
                  <w:r>
                    <w:rPr>
                      <w:rFonts w:ascii="Calibri" w:hAnsi="Calibri"/>
                      <w:sz w:val="21"/>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82" w:type="dxa"/>
                  <w:gridSpan w:val="2"/>
                  <w:shd w:val="clear" w:color="auto" w:fill="auto"/>
                  <w:vAlign w:val="center"/>
                </w:tcPr>
                <w:p>
                  <w:pPr>
                    <w:widowControl/>
                    <w:autoSpaceDN w:val="0"/>
                    <w:adjustRightInd w:val="0"/>
                    <w:snapToGrid w:val="0"/>
                    <w:jc w:val="center"/>
                    <w:textAlignment w:val="center"/>
                    <w:rPr>
                      <w:rFonts w:ascii="Calibri" w:hAnsi="Calibri"/>
                      <w:kern w:val="0"/>
                      <w:sz w:val="21"/>
                      <w:szCs w:val="21"/>
                      <w:lang w:bidi="ar"/>
                    </w:rPr>
                  </w:pPr>
                  <w:r>
                    <w:rPr>
                      <w:rFonts w:ascii="Calibri" w:hAnsi="Calibri"/>
                      <w:kern w:val="24"/>
                      <w:sz w:val="21"/>
                      <w:szCs w:val="21"/>
                      <w:lang w:bidi="ar"/>
                    </w:rPr>
                    <w:t>GB8987-1996，一级</w:t>
                  </w:r>
                </w:p>
              </w:tc>
              <w:tc>
                <w:tcPr>
                  <w:tcW w:w="1016" w:type="dxa"/>
                  <w:shd w:val="clear" w:color="auto" w:fill="auto"/>
                  <w:vAlign w:val="center"/>
                </w:tcPr>
                <w:p>
                  <w:pPr>
                    <w:widowControl/>
                    <w:autoSpaceDN w:val="0"/>
                    <w:adjustRightInd w:val="0"/>
                    <w:snapToGrid w:val="0"/>
                    <w:jc w:val="center"/>
                    <w:textAlignment w:val="center"/>
                    <w:rPr>
                      <w:rFonts w:ascii="Calibri" w:hAnsi="Calibri"/>
                      <w:kern w:val="0"/>
                      <w:sz w:val="21"/>
                      <w:szCs w:val="21"/>
                      <w:lang w:bidi="ar"/>
                    </w:rPr>
                  </w:pPr>
                  <w:r>
                    <w:rPr>
                      <w:rFonts w:ascii="Calibri" w:hAnsi="Calibri"/>
                      <w:sz w:val="21"/>
                      <w:szCs w:val="21"/>
                      <w:lang w:bidi="ar"/>
                    </w:rPr>
                    <w:t>6～9</w:t>
                  </w:r>
                </w:p>
              </w:tc>
              <w:tc>
                <w:tcPr>
                  <w:tcW w:w="992" w:type="dxa"/>
                  <w:shd w:val="clear" w:color="auto" w:fill="auto"/>
                  <w:vAlign w:val="center"/>
                </w:tcPr>
                <w:p>
                  <w:pPr>
                    <w:widowControl/>
                    <w:autoSpaceDN w:val="0"/>
                    <w:adjustRightInd w:val="0"/>
                    <w:snapToGrid w:val="0"/>
                    <w:jc w:val="center"/>
                    <w:textAlignment w:val="center"/>
                    <w:rPr>
                      <w:rFonts w:ascii="Calibri" w:hAnsi="Calibri"/>
                      <w:kern w:val="0"/>
                      <w:sz w:val="21"/>
                      <w:szCs w:val="21"/>
                      <w:lang w:bidi="ar"/>
                    </w:rPr>
                  </w:pPr>
                  <w:r>
                    <w:rPr>
                      <w:rFonts w:ascii="Calibri" w:hAnsi="Calibri"/>
                      <w:sz w:val="21"/>
                      <w:szCs w:val="21"/>
                      <w:lang w:bidi="ar"/>
                    </w:rPr>
                    <w:t>100</w:t>
                  </w:r>
                </w:p>
              </w:tc>
              <w:tc>
                <w:tcPr>
                  <w:tcW w:w="1134" w:type="dxa"/>
                  <w:shd w:val="clear" w:color="auto" w:fill="auto"/>
                  <w:vAlign w:val="center"/>
                </w:tcPr>
                <w:p>
                  <w:pPr>
                    <w:widowControl/>
                    <w:autoSpaceDN w:val="0"/>
                    <w:adjustRightInd w:val="0"/>
                    <w:snapToGrid w:val="0"/>
                    <w:jc w:val="center"/>
                    <w:textAlignment w:val="center"/>
                    <w:rPr>
                      <w:rFonts w:ascii="Calibri" w:hAnsi="Calibri"/>
                      <w:kern w:val="0"/>
                      <w:sz w:val="21"/>
                      <w:szCs w:val="21"/>
                      <w:lang w:bidi="ar"/>
                    </w:rPr>
                  </w:pPr>
                  <w:r>
                    <w:rPr>
                      <w:rFonts w:ascii="Calibri" w:hAnsi="Calibri"/>
                      <w:sz w:val="21"/>
                      <w:szCs w:val="21"/>
                      <w:lang w:bidi="ar"/>
                    </w:rPr>
                    <w:t>15</w:t>
                  </w:r>
                </w:p>
              </w:tc>
              <w:tc>
                <w:tcPr>
                  <w:tcW w:w="992" w:type="dxa"/>
                  <w:shd w:val="clear" w:color="auto" w:fill="auto"/>
                  <w:vAlign w:val="center"/>
                </w:tcPr>
                <w:p>
                  <w:pPr>
                    <w:widowControl/>
                    <w:autoSpaceDN w:val="0"/>
                    <w:adjustRightInd w:val="0"/>
                    <w:snapToGrid w:val="0"/>
                    <w:jc w:val="center"/>
                    <w:textAlignment w:val="center"/>
                    <w:rPr>
                      <w:rFonts w:ascii="Calibri" w:hAnsi="Calibri"/>
                      <w:kern w:val="0"/>
                      <w:sz w:val="21"/>
                      <w:szCs w:val="21"/>
                      <w:lang w:bidi="ar"/>
                    </w:rPr>
                  </w:pPr>
                  <w:r>
                    <w:rPr>
                      <w:rFonts w:hint="eastAsia" w:ascii="Calibri" w:hAnsi="Calibri"/>
                      <w:kern w:val="0"/>
                      <w:sz w:val="21"/>
                      <w:szCs w:val="21"/>
                      <w:lang w:bidi="ar"/>
                    </w:rPr>
                    <w:t>70</w:t>
                  </w:r>
                </w:p>
              </w:tc>
              <w:tc>
                <w:tcPr>
                  <w:tcW w:w="1134" w:type="dxa"/>
                  <w:shd w:val="clear" w:color="auto" w:fill="auto"/>
                  <w:vAlign w:val="center"/>
                </w:tcPr>
                <w:p>
                  <w:pPr>
                    <w:widowControl/>
                    <w:autoSpaceDN w:val="0"/>
                    <w:adjustRightInd w:val="0"/>
                    <w:snapToGrid w:val="0"/>
                    <w:jc w:val="center"/>
                    <w:textAlignment w:val="center"/>
                    <w:rPr>
                      <w:rFonts w:ascii="Calibri" w:hAnsi="Calibri"/>
                      <w:kern w:val="0"/>
                      <w:sz w:val="21"/>
                      <w:szCs w:val="21"/>
                      <w:lang w:bidi="ar"/>
                    </w:rPr>
                  </w:pPr>
                  <w:r>
                    <w:rPr>
                      <w:rFonts w:ascii="Calibri" w:hAnsi="Calibri"/>
                      <w:sz w:val="21"/>
                      <w:szCs w:val="21"/>
                      <w:lang w:bidi="ar"/>
                    </w:rPr>
                    <w:t>20</w:t>
                  </w:r>
                </w:p>
              </w:tc>
              <w:tc>
                <w:tcPr>
                  <w:tcW w:w="1568" w:type="dxa"/>
                  <w:shd w:val="clear" w:color="auto" w:fill="auto"/>
                  <w:vAlign w:val="center"/>
                </w:tcPr>
                <w:p>
                  <w:pPr>
                    <w:widowControl/>
                    <w:autoSpaceDN w:val="0"/>
                    <w:adjustRightInd w:val="0"/>
                    <w:snapToGrid w:val="0"/>
                    <w:jc w:val="center"/>
                    <w:textAlignment w:val="center"/>
                    <w:rPr>
                      <w:rFonts w:ascii="Calibri" w:hAnsi="Calibri"/>
                      <w:kern w:val="0"/>
                      <w:sz w:val="21"/>
                      <w:szCs w:val="21"/>
                      <w:lang w:bidi="ar"/>
                    </w:rPr>
                  </w:pPr>
                  <w:r>
                    <w:rPr>
                      <w:rFonts w:ascii="Calibri" w:hAnsi="Calibri"/>
                      <w:kern w:val="24"/>
                      <w:sz w:val="21"/>
                      <w:szCs w:val="21"/>
                      <w:lang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8" w:type="dxa"/>
                  <w:vMerge w:val="restart"/>
                  <w:shd w:val="clear" w:color="auto" w:fill="auto"/>
                  <w:vAlign w:val="center"/>
                </w:tcPr>
                <w:p>
                  <w:pPr>
                    <w:widowControl/>
                    <w:adjustRightInd w:val="0"/>
                    <w:snapToGrid w:val="0"/>
                    <w:jc w:val="center"/>
                    <w:rPr>
                      <w:rFonts w:ascii="Calibri" w:hAnsi="Calibri"/>
                      <w:sz w:val="21"/>
                    </w:rPr>
                  </w:pPr>
                  <w:r>
                    <w:rPr>
                      <w:rFonts w:hint="eastAsia" w:ascii="Calibri" w:hAnsi="Calibri"/>
                      <w:kern w:val="24"/>
                      <w:sz w:val="21"/>
                      <w:szCs w:val="21"/>
                      <w:lang w:bidi="ar"/>
                    </w:rPr>
                    <w:t>监测点位</w:t>
                  </w:r>
                </w:p>
              </w:tc>
              <w:tc>
                <w:tcPr>
                  <w:tcW w:w="1104" w:type="dxa"/>
                  <w:vMerge w:val="restart"/>
                  <w:shd w:val="clear" w:color="auto" w:fill="auto"/>
                  <w:vAlign w:val="center"/>
                </w:tcPr>
                <w:p>
                  <w:pPr>
                    <w:widowControl/>
                    <w:adjustRightInd w:val="0"/>
                    <w:snapToGrid w:val="0"/>
                    <w:jc w:val="center"/>
                    <w:rPr>
                      <w:rFonts w:ascii="Calibri" w:hAnsi="Calibri"/>
                      <w:sz w:val="21"/>
                    </w:rPr>
                  </w:pPr>
                  <w:r>
                    <w:rPr>
                      <w:rFonts w:hint="eastAsia" w:ascii="Calibri" w:hAnsi="Calibri"/>
                      <w:sz w:val="21"/>
                    </w:rPr>
                    <w:t>监测日期</w:t>
                  </w:r>
                </w:p>
              </w:tc>
              <w:tc>
                <w:tcPr>
                  <w:tcW w:w="6836" w:type="dxa"/>
                  <w:gridSpan w:val="6"/>
                  <w:shd w:val="clear" w:color="auto" w:fill="auto"/>
                  <w:vAlign w:val="center"/>
                </w:tcPr>
                <w:p>
                  <w:pPr>
                    <w:widowControl/>
                    <w:adjustRightInd w:val="0"/>
                    <w:snapToGrid w:val="0"/>
                    <w:jc w:val="center"/>
                    <w:rPr>
                      <w:rFonts w:ascii="Calibri" w:hAnsi="Calibri"/>
                      <w:sz w:val="21"/>
                    </w:rPr>
                  </w:pPr>
                  <w:r>
                    <w:rPr>
                      <w:rFonts w:hint="eastAsia" w:ascii="Calibri" w:hAnsi="Calibri"/>
                      <w:sz w:val="21"/>
                    </w:rPr>
                    <w:t>监测项目及结果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8" w:type="dxa"/>
                  <w:vMerge w:val="continue"/>
                  <w:shd w:val="clear" w:color="auto" w:fill="auto"/>
                  <w:vAlign w:val="center"/>
                </w:tcPr>
                <w:p>
                  <w:pPr>
                    <w:widowControl/>
                    <w:adjustRightInd w:val="0"/>
                    <w:snapToGrid w:val="0"/>
                    <w:jc w:val="center"/>
                    <w:rPr>
                      <w:rFonts w:ascii="Calibri" w:hAnsi="Calibri"/>
                      <w:kern w:val="24"/>
                      <w:sz w:val="21"/>
                      <w:szCs w:val="21"/>
                      <w:lang w:bidi="ar"/>
                    </w:rPr>
                  </w:pPr>
                </w:p>
              </w:tc>
              <w:tc>
                <w:tcPr>
                  <w:tcW w:w="1104" w:type="dxa"/>
                  <w:vMerge w:val="continue"/>
                  <w:shd w:val="clear" w:color="auto" w:fill="auto"/>
                  <w:vAlign w:val="center"/>
                </w:tcPr>
                <w:p>
                  <w:pPr>
                    <w:widowControl/>
                    <w:autoSpaceDN w:val="0"/>
                    <w:adjustRightInd w:val="0"/>
                    <w:snapToGrid w:val="0"/>
                    <w:jc w:val="center"/>
                    <w:textAlignment w:val="center"/>
                    <w:rPr>
                      <w:rFonts w:ascii="Calibri" w:hAnsi="Calibri"/>
                      <w:sz w:val="21"/>
                      <w:szCs w:val="21"/>
                      <w:lang w:bidi="ar"/>
                    </w:rPr>
                  </w:pPr>
                </w:p>
              </w:tc>
              <w:tc>
                <w:tcPr>
                  <w:tcW w:w="1016"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铜</w:t>
                  </w:r>
                </w:p>
              </w:tc>
              <w:tc>
                <w:tcPr>
                  <w:tcW w:w="992"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锌</w:t>
                  </w:r>
                </w:p>
              </w:tc>
              <w:tc>
                <w:tcPr>
                  <w:tcW w:w="1134"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砷</w:t>
                  </w:r>
                </w:p>
              </w:tc>
              <w:tc>
                <w:tcPr>
                  <w:tcW w:w="992"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镉</w:t>
                  </w:r>
                </w:p>
              </w:tc>
              <w:tc>
                <w:tcPr>
                  <w:tcW w:w="1134" w:type="dxa"/>
                  <w:shd w:val="clear" w:color="auto" w:fill="auto"/>
                  <w:vAlign w:val="center"/>
                </w:tcPr>
                <w:p>
                  <w:pPr>
                    <w:widowControl/>
                    <w:adjustRightInd w:val="0"/>
                    <w:snapToGrid w:val="0"/>
                    <w:jc w:val="center"/>
                    <w:textAlignment w:val="top"/>
                    <w:rPr>
                      <w:rFonts w:ascii="Calibri" w:hAnsi="Calibri"/>
                      <w:sz w:val="21"/>
                      <w:szCs w:val="21"/>
                    </w:rPr>
                  </w:pPr>
                  <w:r>
                    <w:rPr>
                      <w:rFonts w:ascii="Calibri" w:hAnsi="Calibri"/>
                      <w:kern w:val="24"/>
                      <w:sz w:val="21"/>
                      <w:szCs w:val="21"/>
                      <w:lang w:bidi="ar"/>
                    </w:rPr>
                    <w:t>铅</w:t>
                  </w:r>
                </w:p>
              </w:tc>
              <w:tc>
                <w:tcPr>
                  <w:tcW w:w="1568" w:type="dxa"/>
                  <w:shd w:val="clear" w:color="auto" w:fill="auto"/>
                  <w:vAlign w:val="center"/>
                </w:tcPr>
                <w:p>
                  <w:pPr>
                    <w:widowControl/>
                    <w:adjustRightInd w:val="0"/>
                    <w:snapToGrid w:val="0"/>
                    <w:jc w:val="center"/>
                    <w:textAlignment w:val="top"/>
                    <w:rPr>
                      <w:rFonts w:ascii="Calibri" w:hAnsi="Calibri"/>
                      <w:sz w:val="21"/>
                      <w:szCs w:val="21"/>
                    </w:rPr>
                  </w:pPr>
                  <w:r>
                    <w:rPr>
                      <w:rFonts w:hint="eastAsia" w:ascii="Calibri" w:hAnsi="Calibri"/>
                      <w:sz w:val="21"/>
                      <w:szCs w:val="21"/>
                    </w:rPr>
                    <w:t>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8" w:type="dxa"/>
                  <w:vMerge w:val="restart"/>
                  <w:shd w:val="clear" w:color="auto" w:fill="auto"/>
                  <w:vAlign w:val="center"/>
                </w:tcPr>
                <w:p>
                  <w:pPr>
                    <w:widowControl/>
                    <w:adjustRightInd w:val="0"/>
                    <w:snapToGrid w:val="0"/>
                    <w:jc w:val="center"/>
                    <w:rPr>
                      <w:rFonts w:ascii="Calibri" w:hAnsi="Calibri"/>
                      <w:kern w:val="24"/>
                      <w:sz w:val="21"/>
                      <w:szCs w:val="21"/>
                      <w:lang w:bidi="ar"/>
                    </w:rPr>
                  </w:pPr>
                  <w:r>
                    <w:rPr>
                      <w:rFonts w:hint="eastAsia" w:ascii="Calibri" w:hAnsi="Calibri"/>
                      <w:kern w:val="24"/>
                      <w:sz w:val="21"/>
                      <w:szCs w:val="21"/>
                      <w:lang w:bidi="ar"/>
                    </w:rPr>
                    <w:t>老霞湾港入湘江口上游100</w:t>
                  </w:r>
                  <w:r>
                    <w:rPr>
                      <w:rFonts w:ascii="Calibri" w:hAnsi="Calibri"/>
                      <w:kern w:val="24"/>
                      <w:sz w:val="21"/>
                      <w:szCs w:val="21"/>
                      <w:lang w:bidi="ar"/>
                    </w:rPr>
                    <w:t>m</w:t>
                  </w:r>
                  <w:r>
                    <w:rPr>
                      <w:rFonts w:hint="eastAsia" w:ascii="Calibri" w:hAnsi="Calibri"/>
                      <w:kern w:val="24"/>
                      <w:sz w:val="21"/>
                      <w:szCs w:val="21"/>
                      <w:lang w:bidi="ar"/>
                    </w:rPr>
                    <w:t>处</w:t>
                  </w:r>
                </w:p>
              </w:tc>
              <w:tc>
                <w:tcPr>
                  <w:tcW w:w="1104"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2019.6.11</w:t>
                  </w:r>
                </w:p>
              </w:tc>
              <w:tc>
                <w:tcPr>
                  <w:tcW w:w="1016" w:type="dxa"/>
                  <w:shd w:val="clear" w:color="auto" w:fill="auto"/>
                  <w:vAlign w:val="center"/>
                </w:tcPr>
                <w:p>
                  <w:pPr>
                    <w:widowControl/>
                    <w:adjustRightInd w:val="0"/>
                    <w:snapToGrid w:val="0"/>
                    <w:jc w:val="center"/>
                    <w:textAlignment w:val="top"/>
                    <w:rPr>
                      <w:rFonts w:ascii="Calibri" w:hAnsi="Calibri"/>
                      <w:sz w:val="21"/>
                      <w:szCs w:val="21"/>
                    </w:rPr>
                  </w:pPr>
                  <w:r>
                    <w:rPr>
                      <w:rFonts w:hint="eastAsia" w:ascii="Calibri" w:hAnsi="Calibri"/>
                      <w:sz w:val="21"/>
                      <w:szCs w:val="21"/>
                    </w:rPr>
                    <w:t>0.00218</w:t>
                  </w:r>
                </w:p>
              </w:tc>
              <w:tc>
                <w:tcPr>
                  <w:tcW w:w="992"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1.23</w:t>
                  </w:r>
                </w:p>
              </w:tc>
              <w:tc>
                <w:tcPr>
                  <w:tcW w:w="1134"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0.235</w:t>
                  </w:r>
                </w:p>
              </w:tc>
              <w:tc>
                <w:tcPr>
                  <w:tcW w:w="992"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0.00937</w:t>
                  </w:r>
                </w:p>
              </w:tc>
              <w:tc>
                <w:tcPr>
                  <w:tcW w:w="1134" w:type="dxa"/>
                  <w:shd w:val="clear" w:color="auto" w:fill="auto"/>
                  <w:vAlign w:val="center"/>
                </w:tcPr>
                <w:p>
                  <w:pPr>
                    <w:widowControl/>
                    <w:adjustRightInd w:val="0"/>
                    <w:snapToGrid w:val="0"/>
                    <w:jc w:val="center"/>
                    <w:textAlignment w:val="top"/>
                    <w:rPr>
                      <w:rFonts w:ascii="Calibri" w:hAnsi="Calibri"/>
                      <w:kern w:val="0"/>
                      <w:sz w:val="21"/>
                      <w:szCs w:val="21"/>
                      <w:lang w:bidi="ar"/>
                    </w:rPr>
                  </w:pPr>
                  <w:r>
                    <w:rPr>
                      <w:rFonts w:hint="eastAsia" w:ascii="Calibri" w:hAnsi="Calibri"/>
                      <w:kern w:val="0"/>
                      <w:sz w:val="21"/>
                      <w:szCs w:val="21"/>
                      <w:lang w:bidi="ar"/>
                    </w:rPr>
                    <w:t>0.00230</w:t>
                  </w:r>
                </w:p>
              </w:tc>
              <w:tc>
                <w:tcPr>
                  <w:tcW w:w="1568" w:type="dxa"/>
                  <w:shd w:val="clear" w:color="auto" w:fill="auto"/>
                  <w:vAlign w:val="center"/>
                </w:tcPr>
                <w:p>
                  <w:pPr>
                    <w:widowControl/>
                    <w:adjustRightInd w:val="0"/>
                    <w:snapToGrid w:val="0"/>
                    <w:jc w:val="center"/>
                    <w:textAlignment w:val="top"/>
                    <w:rPr>
                      <w:rFonts w:ascii="Calibri" w:hAnsi="Calibri"/>
                      <w:kern w:val="0"/>
                      <w:sz w:val="21"/>
                      <w:szCs w:val="21"/>
                      <w:lang w:bidi="ar"/>
                    </w:rPr>
                  </w:pPr>
                  <w:r>
                    <w:rPr>
                      <w:rFonts w:hint="eastAsia" w:ascii="Calibri" w:hAnsi="Calibri"/>
                      <w:kern w:val="0"/>
                      <w:sz w:val="21"/>
                      <w:szCs w:val="21"/>
                      <w:lang w:bidi="ar"/>
                    </w:rPr>
                    <w:t>0.00004</w:t>
                  </w:r>
                  <w:r>
                    <w:rPr>
                      <w:rFonts w:ascii="Calibri" w:hAnsi="Calibri"/>
                      <w:kern w:val="0"/>
                      <w:sz w:val="21"/>
                      <w:szCs w:val="21"/>
                      <w:lang w:bidi="ar"/>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8" w:type="dxa"/>
                  <w:vMerge w:val="continue"/>
                  <w:shd w:val="clear" w:color="auto" w:fill="auto"/>
                  <w:vAlign w:val="center"/>
                </w:tcPr>
                <w:p>
                  <w:pPr>
                    <w:widowControl/>
                    <w:adjustRightInd w:val="0"/>
                    <w:snapToGrid w:val="0"/>
                    <w:jc w:val="center"/>
                    <w:rPr>
                      <w:rFonts w:ascii="Calibri" w:hAnsi="Calibri"/>
                      <w:kern w:val="24"/>
                      <w:sz w:val="21"/>
                      <w:szCs w:val="21"/>
                      <w:lang w:bidi="ar"/>
                    </w:rPr>
                  </w:pPr>
                </w:p>
              </w:tc>
              <w:tc>
                <w:tcPr>
                  <w:tcW w:w="1104" w:type="dxa"/>
                  <w:shd w:val="clear" w:color="auto" w:fill="auto"/>
                  <w:vAlign w:val="center"/>
                </w:tcPr>
                <w:p>
                  <w:pPr>
                    <w:widowControl/>
                    <w:adjustRightInd w:val="0"/>
                    <w:snapToGrid w:val="0"/>
                    <w:jc w:val="center"/>
                    <w:textAlignment w:val="center"/>
                    <w:rPr>
                      <w:rFonts w:ascii="Calibri" w:hAnsi="Calibri"/>
                      <w:kern w:val="0"/>
                      <w:sz w:val="21"/>
                      <w:szCs w:val="21"/>
                      <w:lang w:bidi="ar"/>
                    </w:rPr>
                  </w:pPr>
                  <w:r>
                    <w:rPr>
                      <w:rFonts w:hint="eastAsia" w:ascii="Calibri" w:hAnsi="Calibri"/>
                      <w:kern w:val="0"/>
                      <w:sz w:val="21"/>
                      <w:szCs w:val="21"/>
                      <w:lang w:bidi="ar"/>
                    </w:rPr>
                    <w:t>2019.6.12</w:t>
                  </w:r>
                </w:p>
              </w:tc>
              <w:tc>
                <w:tcPr>
                  <w:tcW w:w="1016" w:type="dxa"/>
                  <w:shd w:val="clear" w:color="auto" w:fill="auto"/>
                  <w:vAlign w:val="center"/>
                </w:tcPr>
                <w:p>
                  <w:pPr>
                    <w:widowControl/>
                    <w:adjustRightInd w:val="0"/>
                    <w:snapToGrid w:val="0"/>
                    <w:jc w:val="center"/>
                    <w:textAlignment w:val="top"/>
                    <w:rPr>
                      <w:rFonts w:ascii="Calibri" w:hAnsi="Calibri"/>
                      <w:kern w:val="0"/>
                      <w:sz w:val="21"/>
                      <w:szCs w:val="21"/>
                      <w:lang w:bidi="ar"/>
                    </w:rPr>
                  </w:pPr>
                  <w:r>
                    <w:rPr>
                      <w:rFonts w:hint="eastAsia" w:ascii="Calibri" w:hAnsi="Calibri"/>
                      <w:kern w:val="0"/>
                      <w:sz w:val="21"/>
                      <w:szCs w:val="21"/>
                      <w:lang w:bidi="ar"/>
                    </w:rPr>
                    <w:t>0.00238</w:t>
                  </w:r>
                </w:p>
              </w:tc>
              <w:tc>
                <w:tcPr>
                  <w:tcW w:w="992" w:type="dxa"/>
                  <w:shd w:val="clear" w:color="auto" w:fill="auto"/>
                  <w:vAlign w:val="center"/>
                </w:tcPr>
                <w:p>
                  <w:pPr>
                    <w:widowControl/>
                    <w:adjustRightInd w:val="0"/>
                    <w:snapToGrid w:val="0"/>
                    <w:jc w:val="center"/>
                    <w:textAlignment w:val="center"/>
                    <w:rPr>
                      <w:rFonts w:ascii="Calibri" w:hAnsi="Calibri"/>
                      <w:kern w:val="0"/>
                      <w:sz w:val="21"/>
                      <w:szCs w:val="21"/>
                      <w:lang w:bidi="ar"/>
                    </w:rPr>
                  </w:pPr>
                  <w:r>
                    <w:rPr>
                      <w:rFonts w:hint="eastAsia" w:ascii="Calibri" w:hAnsi="Calibri"/>
                      <w:kern w:val="0"/>
                      <w:sz w:val="21"/>
                      <w:szCs w:val="21"/>
                      <w:lang w:bidi="ar"/>
                    </w:rPr>
                    <w:t>1.34</w:t>
                  </w:r>
                </w:p>
              </w:tc>
              <w:tc>
                <w:tcPr>
                  <w:tcW w:w="1134" w:type="dxa"/>
                  <w:shd w:val="clear" w:color="auto" w:fill="auto"/>
                  <w:vAlign w:val="center"/>
                </w:tcPr>
                <w:p>
                  <w:pPr>
                    <w:widowControl/>
                    <w:adjustRightInd w:val="0"/>
                    <w:snapToGrid w:val="0"/>
                    <w:jc w:val="center"/>
                    <w:textAlignment w:val="center"/>
                    <w:rPr>
                      <w:rFonts w:ascii="Calibri" w:hAnsi="Calibri"/>
                      <w:kern w:val="0"/>
                      <w:sz w:val="21"/>
                      <w:szCs w:val="21"/>
                      <w:lang w:bidi="ar"/>
                    </w:rPr>
                  </w:pPr>
                  <w:r>
                    <w:rPr>
                      <w:rFonts w:hint="eastAsia" w:ascii="Calibri" w:hAnsi="Calibri"/>
                      <w:kern w:val="0"/>
                      <w:sz w:val="21"/>
                      <w:szCs w:val="21"/>
                      <w:lang w:bidi="ar"/>
                    </w:rPr>
                    <w:t>0.262</w:t>
                  </w:r>
                </w:p>
              </w:tc>
              <w:tc>
                <w:tcPr>
                  <w:tcW w:w="992" w:type="dxa"/>
                  <w:shd w:val="clear" w:color="auto" w:fill="auto"/>
                  <w:vAlign w:val="center"/>
                </w:tcPr>
                <w:p>
                  <w:pPr>
                    <w:widowControl/>
                    <w:adjustRightInd w:val="0"/>
                    <w:snapToGrid w:val="0"/>
                    <w:jc w:val="center"/>
                    <w:textAlignment w:val="center"/>
                    <w:rPr>
                      <w:rFonts w:ascii="Calibri" w:hAnsi="Calibri"/>
                      <w:kern w:val="0"/>
                      <w:sz w:val="21"/>
                      <w:szCs w:val="21"/>
                      <w:lang w:bidi="ar"/>
                    </w:rPr>
                  </w:pPr>
                  <w:r>
                    <w:rPr>
                      <w:rFonts w:hint="eastAsia" w:ascii="Calibri" w:hAnsi="Calibri"/>
                      <w:kern w:val="0"/>
                      <w:sz w:val="21"/>
                      <w:szCs w:val="21"/>
                      <w:lang w:bidi="ar"/>
                    </w:rPr>
                    <w:t>0.0100</w:t>
                  </w:r>
                </w:p>
              </w:tc>
              <w:tc>
                <w:tcPr>
                  <w:tcW w:w="1134" w:type="dxa"/>
                  <w:shd w:val="clear" w:color="auto" w:fill="auto"/>
                  <w:vAlign w:val="center"/>
                </w:tcPr>
                <w:p>
                  <w:pPr>
                    <w:widowControl/>
                    <w:adjustRightInd w:val="0"/>
                    <w:snapToGrid w:val="0"/>
                    <w:jc w:val="center"/>
                    <w:textAlignment w:val="top"/>
                    <w:rPr>
                      <w:rFonts w:ascii="Calibri" w:hAnsi="Calibri"/>
                      <w:kern w:val="0"/>
                      <w:sz w:val="21"/>
                      <w:szCs w:val="21"/>
                      <w:lang w:bidi="ar"/>
                    </w:rPr>
                  </w:pPr>
                  <w:r>
                    <w:rPr>
                      <w:rFonts w:hint="eastAsia" w:ascii="Calibri" w:hAnsi="Calibri"/>
                      <w:kern w:val="0"/>
                      <w:sz w:val="21"/>
                      <w:szCs w:val="21"/>
                      <w:lang w:bidi="ar"/>
                    </w:rPr>
                    <w:t>0.00115</w:t>
                  </w:r>
                </w:p>
              </w:tc>
              <w:tc>
                <w:tcPr>
                  <w:tcW w:w="1568" w:type="dxa"/>
                  <w:shd w:val="clear" w:color="auto" w:fill="auto"/>
                  <w:vAlign w:val="center"/>
                </w:tcPr>
                <w:p>
                  <w:pPr>
                    <w:widowControl/>
                    <w:adjustRightInd w:val="0"/>
                    <w:snapToGrid w:val="0"/>
                    <w:jc w:val="center"/>
                    <w:textAlignment w:val="top"/>
                    <w:rPr>
                      <w:rFonts w:ascii="Calibri" w:hAnsi="Calibri"/>
                      <w:kern w:val="0"/>
                      <w:sz w:val="21"/>
                      <w:szCs w:val="21"/>
                      <w:lang w:bidi="ar"/>
                    </w:rPr>
                  </w:pPr>
                  <w:r>
                    <w:rPr>
                      <w:rFonts w:hint="eastAsia" w:ascii="Calibri" w:hAnsi="Calibri"/>
                      <w:kern w:val="0"/>
                      <w:sz w:val="21"/>
                      <w:szCs w:val="21"/>
                      <w:lang w:bidi="ar"/>
                    </w:rPr>
                    <w:t>0.00004</w:t>
                  </w:r>
                  <w:r>
                    <w:rPr>
                      <w:rFonts w:ascii="Calibri" w:hAnsi="Calibri"/>
                      <w:kern w:val="0"/>
                      <w:sz w:val="21"/>
                      <w:szCs w:val="21"/>
                      <w:lang w:bidi="ar"/>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8" w:type="dxa"/>
                  <w:vMerge w:val="continue"/>
                  <w:shd w:val="clear" w:color="auto" w:fill="auto"/>
                  <w:vAlign w:val="center"/>
                </w:tcPr>
                <w:p>
                  <w:pPr>
                    <w:widowControl/>
                    <w:adjustRightInd w:val="0"/>
                    <w:snapToGrid w:val="0"/>
                    <w:jc w:val="center"/>
                    <w:rPr>
                      <w:rFonts w:ascii="Calibri" w:hAnsi="Calibri"/>
                      <w:kern w:val="24"/>
                      <w:sz w:val="21"/>
                      <w:szCs w:val="21"/>
                      <w:lang w:bidi="ar"/>
                    </w:rPr>
                  </w:pPr>
                </w:p>
              </w:tc>
              <w:tc>
                <w:tcPr>
                  <w:tcW w:w="1104" w:type="dxa"/>
                  <w:shd w:val="clear" w:color="auto" w:fill="auto"/>
                  <w:vAlign w:val="center"/>
                </w:tcPr>
                <w:p>
                  <w:pPr>
                    <w:widowControl/>
                    <w:adjustRightInd w:val="0"/>
                    <w:snapToGrid w:val="0"/>
                    <w:jc w:val="center"/>
                    <w:textAlignment w:val="center"/>
                    <w:rPr>
                      <w:rFonts w:ascii="Calibri" w:hAnsi="Calibri"/>
                      <w:kern w:val="0"/>
                      <w:sz w:val="21"/>
                      <w:szCs w:val="21"/>
                      <w:lang w:bidi="ar"/>
                    </w:rPr>
                  </w:pPr>
                  <w:r>
                    <w:rPr>
                      <w:rFonts w:hint="eastAsia" w:ascii="Calibri" w:hAnsi="Calibri"/>
                      <w:kern w:val="0"/>
                      <w:sz w:val="21"/>
                      <w:szCs w:val="21"/>
                      <w:lang w:bidi="ar"/>
                    </w:rPr>
                    <w:t>2019.6.13</w:t>
                  </w:r>
                </w:p>
              </w:tc>
              <w:tc>
                <w:tcPr>
                  <w:tcW w:w="1016" w:type="dxa"/>
                  <w:shd w:val="clear" w:color="auto" w:fill="auto"/>
                  <w:vAlign w:val="center"/>
                </w:tcPr>
                <w:p>
                  <w:pPr>
                    <w:widowControl/>
                    <w:adjustRightInd w:val="0"/>
                    <w:snapToGrid w:val="0"/>
                    <w:jc w:val="center"/>
                    <w:textAlignment w:val="top"/>
                    <w:rPr>
                      <w:rFonts w:ascii="Calibri" w:hAnsi="Calibri"/>
                      <w:kern w:val="0"/>
                      <w:sz w:val="21"/>
                      <w:szCs w:val="21"/>
                      <w:lang w:bidi="ar"/>
                    </w:rPr>
                  </w:pPr>
                  <w:r>
                    <w:rPr>
                      <w:rFonts w:hint="eastAsia" w:ascii="Calibri" w:hAnsi="Calibri"/>
                      <w:kern w:val="0"/>
                      <w:sz w:val="21"/>
                      <w:szCs w:val="21"/>
                      <w:lang w:bidi="ar"/>
                    </w:rPr>
                    <w:t>0.00141</w:t>
                  </w:r>
                </w:p>
              </w:tc>
              <w:tc>
                <w:tcPr>
                  <w:tcW w:w="992" w:type="dxa"/>
                  <w:shd w:val="clear" w:color="auto" w:fill="auto"/>
                  <w:vAlign w:val="center"/>
                </w:tcPr>
                <w:p>
                  <w:pPr>
                    <w:widowControl/>
                    <w:adjustRightInd w:val="0"/>
                    <w:snapToGrid w:val="0"/>
                    <w:jc w:val="center"/>
                    <w:textAlignment w:val="center"/>
                    <w:rPr>
                      <w:rFonts w:ascii="Calibri" w:hAnsi="Calibri"/>
                      <w:kern w:val="0"/>
                      <w:sz w:val="21"/>
                      <w:szCs w:val="21"/>
                      <w:lang w:bidi="ar"/>
                    </w:rPr>
                  </w:pPr>
                  <w:r>
                    <w:rPr>
                      <w:rFonts w:hint="eastAsia" w:ascii="Calibri" w:hAnsi="Calibri"/>
                      <w:kern w:val="0"/>
                      <w:sz w:val="21"/>
                      <w:szCs w:val="21"/>
                      <w:lang w:bidi="ar"/>
                    </w:rPr>
                    <w:t>1.28</w:t>
                  </w:r>
                </w:p>
              </w:tc>
              <w:tc>
                <w:tcPr>
                  <w:tcW w:w="1134" w:type="dxa"/>
                  <w:shd w:val="clear" w:color="auto" w:fill="auto"/>
                  <w:vAlign w:val="center"/>
                </w:tcPr>
                <w:p>
                  <w:pPr>
                    <w:widowControl/>
                    <w:adjustRightInd w:val="0"/>
                    <w:snapToGrid w:val="0"/>
                    <w:jc w:val="center"/>
                    <w:textAlignment w:val="center"/>
                    <w:rPr>
                      <w:rFonts w:ascii="Calibri" w:hAnsi="Calibri"/>
                      <w:kern w:val="0"/>
                      <w:sz w:val="21"/>
                      <w:szCs w:val="21"/>
                      <w:lang w:bidi="ar"/>
                    </w:rPr>
                  </w:pPr>
                  <w:r>
                    <w:rPr>
                      <w:rFonts w:hint="eastAsia" w:ascii="Calibri" w:hAnsi="Calibri"/>
                      <w:kern w:val="0"/>
                      <w:sz w:val="21"/>
                      <w:szCs w:val="21"/>
                      <w:lang w:bidi="ar"/>
                    </w:rPr>
                    <w:t>0.210</w:t>
                  </w:r>
                </w:p>
              </w:tc>
              <w:tc>
                <w:tcPr>
                  <w:tcW w:w="992" w:type="dxa"/>
                  <w:shd w:val="clear" w:color="auto" w:fill="auto"/>
                  <w:vAlign w:val="center"/>
                </w:tcPr>
                <w:p>
                  <w:pPr>
                    <w:widowControl/>
                    <w:adjustRightInd w:val="0"/>
                    <w:snapToGrid w:val="0"/>
                    <w:jc w:val="center"/>
                    <w:textAlignment w:val="center"/>
                    <w:rPr>
                      <w:rFonts w:ascii="Calibri" w:hAnsi="Calibri"/>
                      <w:kern w:val="0"/>
                      <w:sz w:val="21"/>
                      <w:szCs w:val="21"/>
                      <w:lang w:bidi="ar"/>
                    </w:rPr>
                  </w:pPr>
                  <w:r>
                    <w:rPr>
                      <w:rFonts w:hint="eastAsia" w:ascii="Calibri" w:hAnsi="Calibri"/>
                      <w:kern w:val="0"/>
                      <w:sz w:val="21"/>
                      <w:szCs w:val="21"/>
                      <w:lang w:bidi="ar"/>
                    </w:rPr>
                    <w:t>0.00760</w:t>
                  </w:r>
                </w:p>
              </w:tc>
              <w:tc>
                <w:tcPr>
                  <w:tcW w:w="1134" w:type="dxa"/>
                  <w:shd w:val="clear" w:color="auto" w:fill="auto"/>
                  <w:vAlign w:val="center"/>
                </w:tcPr>
                <w:p>
                  <w:pPr>
                    <w:widowControl/>
                    <w:autoSpaceDN w:val="0"/>
                    <w:adjustRightInd w:val="0"/>
                    <w:snapToGrid w:val="0"/>
                    <w:jc w:val="center"/>
                    <w:textAlignment w:val="center"/>
                    <w:rPr>
                      <w:rFonts w:ascii="Calibri" w:hAnsi="Calibri"/>
                      <w:kern w:val="0"/>
                      <w:sz w:val="21"/>
                      <w:szCs w:val="21"/>
                      <w:lang w:bidi="ar"/>
                    </w:rPr>
                  </w:pPr>
                  <w:r>
                    <w:rPr>
                      <w:rFonts w:hint="eastAsia" w:ascii="Calibri" w:hAnsi="Calibri"/>
                      <w:kern w:val="0"/>
                      <w:sz w:val="21"/>
                      <w:szCs w:val="21"/>
                      <w:lang w:bidi="ar"/>
                    </w:rPr>
                    <w:t>0.00081</w:t>
                  </w:r>
                </w:p>
              </w:tc>
              <w:tc>
                <w:tcPr>
                  <w:tcW w:w="1568" w:type="dxa"/>
                  <w:shd w:val="clear" w:color="auto" w:fill="auto"/>
                  <w:vAlign w:val="center"/>
                </w:tcPr>
                <w:p>
                  <w:pPr>
                    <w:widowControl/>
                    <w:autoSpaceDN w:val="0"/>
                    <w:adjustRightInd w:val="0"/>
                    <w:snapToGrid w:val="0"/>
                    <w:jc w:val="center"/>
                    <w:textAlignment w:val="center"/>
                    <w:rPr>
                      <w:rFonts w:ascii="Calibri" w:hAnsi="Calibri"/>
                      <w:kern w:val="0"/>
                      <w:sz w:val="21"/>
                      <w:szCs w:val="21"/>
                      <w:lang w:bidi="ar"/>
                    </w:rPr>
                  </w:pPr>
                  <w:r>
                    <w:rPr>
                      <w:rFonts w:hint="eastAsia" w:ascii="Calibri" w:hAnsi="Calibri"/>
                      <w:kern w:val="0"/>
                      <w:sz w:val="21"/>
                      <w:szCs w:val="21"/>
                      <w:lang w:bidi="ar"/>
                    </w:rPr>
                    <w:t>0.00004</w:t>
                  </w:r>
                  <w:r>
                    <w:rPr>
                      <w:rFonts w:ascii="Calibri" w:hAnsi="Calibri"/>
                      <w:kern w:val="0"/>
                      <w:sz w:val="21"/>
                      <w:szCs w:val="21"/>
                      <w:lang w:bidi="ar"/>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82" w:type="dxa"/>
                  <w:gridSpan w:val="2"/>
                  <w:shd w:val="clear" w:color="auto" w:fill="auto"/>
                  <w:vAlign w:val="center"/>
                </w:tcPr>
                <w:p>
                  <w:pPr>
                    <w:widowControl/>
                    <w:autoSpaceDN w:val="0"/>
                    <w:adjustRightInd w:val="0"/>
                    <w:snapToGrid w:val="0"/>
                    <w:jc w:val="center"/>
                    <w:textAlignment w:val="center"/>
                    <w:rPr>
                      <w:rFonts w:ascii="Calibri" w:hAnsi="Calibri"/>
                      <w:sz w:val="21"/>
                      <w:szCs w:val="21"/>
                      <w:lang w:bidi="ar"/>
                    </w:rPr>
                  </w:pPr>
                  <w:r>
                    <w:rPr>
                      <w:rFonts w:ascii="Calibri" w:hAnsi="Calibri"/>
                      <w:kern w:val="24"/>
                      <w:sz w:val="21"/>
                      <w:szCs w:val="21"/>
                      <w:lang w:bidi="ar"/>
                    </w:rPr>
                    <w:t>GB8987-1996，一级</w:t>
                  </w:r>
                </w:p>
              </w:tc>
              <w:tc>
                <w:tcPr>
                  <w:tcW w:w="1016" w:type="dxa"/>
                  <w:shd w:val="clear" w:color="auto" w:fill="auto"/>
                  <w:vAlign w:val="center"/>
                </w:tcPr>
                <w:p>
                  <w:pPr>
                    <w:widowControl/>
                    <w:autoSpaceDN w:val="0"/>
                    <w:adjustRightInd w:val="0"/>
                    <w:snapToGrid w:val="0"/>
                    <w:jc w:val="center"/>
                    <w:textAlignment w:val="center"/>
                    <w:rPr>
                      <w:rFonts w:ascii="Calibri" w:hAnsi="Calibri"/>
                      <w:kern w:val="0"/>
                      <w:sz w:val="21"/>
                      <w:szCs w:val="21"/>
                      <w:lang w:bidi="ar"/>
                    </w:rPr>
                  </w:pPr>
                  <w:r>
                    <w:rPr>
                      <w:rFonts w:ascii="Calibri" w:hAnsi="Calibri"/>
                      <w:kern w:val="24"/>
                      <w:sz w:val="21"/>
                      <w:szCs w:val="21"/>
                      <w:lang w:bidi="ar"/>
                    </w:rPr>
                    <w:t>0.5</w:t>
                  </w:r>
                </w:p>
              </w:tc>
              <w:tc>
                <w:tcPr>
                  <w:tcW w:w="992" w:type="dxa"/>
                  <w:shd w:val="clear" w:color="auto" w:fill="auto"/>
                  <w:vAlign w:val="center"/>
                </w:tcPr>
                <w:p>
                  <w:pPr>
                    <w:widowControl/>
                    <w:autoSpaceDN w:val="0"/>
                    <w:adjustRightInd w:val="0"/>
                    <w:snapToGrid w:val="0"/>
                    <w:jc w:val="center"/>
                    <w:textAlignment w:val="center"/>
                    <w:rPr>
                      <w:rFonts w:ascii="Calibri" w:hAnsi="Calibri"/>
                      <w:kern w:val="0"/>
                      <w:sz w:val="21"/>
                      <w:szCs w:val="21"/>
                      <w:lang w:bidi="ar"/>
                    </w:rPr>
                  </w:pPr>
                  <w:r>
                    <w:rPr>
                      <w:rFonts w:ascii="Calibri" w:hAnsi="Calibri"/>
                      <w:kern w:val="24"/>
                      <w:sz w:val="21"/>
                      <w:szCs w:val="21"/>
                      <w:lang w:bidi="ar"/>
                    </w:rPr>
                    <w:t>2</w:t>
                  </w:r>
                </w:p>
              </w:tc>
              <w:tc>
                <w:tcPr>
                  <w:tcW w:w="1134" w:type="dxa"/>
                  <w:shd w:val="clear" w:color="auto" w:fill="auto"/>
                  <w:vAlign w:val="center"/>
                </w:tcPr>
                <w:p>
                  <w:pPr>
                    <w:widowControl/>
                    <w:autoSpaceDN w:val="0"/>
                    <w:adjustRightInd w:val="0"/>
                    <w:snapToGrid w:val="0"/>
                    <w:jc w:val="center"/>
                    <w:textAlignment w:val="center"/>
                    <w:rPr>
                      <w:rFonts w:ascii="Calibri" w:hAnsi="Calibri"/>
                      <w:kern w:val="0"/>
                      <w:sz w:val="21"/>
                      <w:szCs w:val="21"/>
                      <w:lang w:bidi="ar"/>
                    </w:rPr>
                  </w:pPr>
                  <w:r>
                    <w:rPr>
                      <w:rFonts w:ascii="Calibri" w:hAnsi="Calibri"/>
                      <w:kern w:val="24"/>
                      <w:sz w:val="21"/>
                      <w:szCs w:val="21"/>
                      <w:lang w:bidi="ar"/>
                    </w:rPr>
                    <w:t>0.5</w:t>
                  </w:r>
                </w:p>
              </w:tc>
              <w:tc>
                <w:tcPr>
                  <w:tcW w:w="992" w:type="dxa"/>
                  <w:shd w:val="clear" w:color="auto" w:fill="auto"/>
                  <w:vAlign w:val="center"/>
                </w:tcPr>
                <w:p>
                  <w:pPr>
                    <w:widowControl/>
                    <w:autoSpaceDN w:val="0"/>
                    <w:adjustRightInd w:val="0"/>
                    <w:snapToGrid w:val="0"/>
                    <w:jc w:val="center"/>
                    <w:textAlignment w:val="center"/>
                    <w:rPr>
                      <w:rFonts w:ascii="Calibri" w:hAnsi="Calibri"/>
                      <w:kern w:val="0"/>
                      <w:sz w:val="21"/>
                      <w:szCs w:val="21"/>
                      <w:lang w:bidi="ar"/>
                    </w:rPr>
                  </w:pPr>
                  <w:r>
                    <w:rPr>
                      <w:rFonts w:ascii="Calibri" w:hAnsi="Calibri"/>
                      <w:kern w:val="24"/>
                      <w:sz w:val="21"/>
                      <w:szCs w:val="21"/>
                      <w:lang w:bidi="ar"/>
                    </w:rPr>
                    <w:t>0.1</w:t>
                  </w:r>
                </w:p>
              </w:tc>
              <w:tc>
                <w:tcPr>
                  <w:tcW w:w="1134" w:type="dxa"/>
                  <w:shd w:val="clear" w:color="auto" w:fill="auto"/>
                  <w:vAlign w:val="center"/>
                </w:tcPr>
                <w:p>
                  <w:pPr>
                    <w:widowControl/>
                    <w:autoSpaceDN w:val="0"/>
                    <w:adjustRightInd w:val="0"/>
                    <w:snapToGrid w:val="0"/>
                    <w:jc w:val="center"/>
                    <w:textAlignment w:val="center"/>
                    <w:rPr>
                      <w:rFonts w:ascii="Calibri" w:hAnsi="Calibri"/>
                      <w:kern w:val="24"/>
                      <w:sz w:val="21"/>
                      <w:szCs w:val="21"/>
                      <w:lang w:bidi="ar"/>
                    </w:rPr>
                  </w:pPr>
                  <w:r>
                    <w:rPr>
                      <w:rFonts w:hint="eastAsia" w:ascii="Calibri" w:hAnsi="Calibri"/>
                      <w:kern w:val="24"/>
                      <w:sz w:val="21"/>
                      <w:szCs w:val="21"/>
                      <w:lang w:bidi="ar"/>
                    </w:rPr>
                    <w:t>1.0</w:t>
                  </w:r>
                </w:p>
              </w:tc>
              <w:tc>
                <w:tcPr>
                  <w:tcW w:w="1568" w:type="dxa"/>
                  <w:shd w:val="clear" w:color="auto" w:fill="auto"/>
                  <w:vAlign w:val="center"/>
                </w:tcPr>
                <w:p>
                  <w:pPr>
                    <w:widowControl/>
                    <w:autoSpaceDN w:val="0"/>
                    <w:adjustRightInd w:val="0"/>
                    <w:snapToGrid w:val="0"/>
                    <w:jc w:val="center"/>
                    <w:textAlignment w:val="center"/>
                    <w:rPr>
                      <w:rFonts w:ascii="Calibri" w:hAnsi="Calibri"/>
                      <w:kern w:val="24"/>
                      <w:sz w:val="21"/>
                      <w:szCs w:val="21"/>
                      <w:lang w:bidi="ar"/>
                    </w:rPr>
                  </w:pPr>
                  <w:r>
                    <w:rPr>
                      <w:rFonts w:hint="eastAsia" w:ascii="Calibri" w:hAnsi="Calibri"/>
                      <w:kern w:val="24"/>
                      <w:sz w:val="21"/>
                      <w:szCs w:val="21"/>
                      <w:lang w:bidi="ar"/>
                    </w:rPr>
                    <w:t>0.05</w:t>
                  </w:r>
                </w:p>
              </w:tc>
            </w:tr>
          </w:tbl>
          <w:p>
            <w:pPr>
              <w:adjustRightInd w:val="0"/>
              <w:snapToGrid w:val="0"/>
              <w:spacing w:line="360" w:lineRule="auto"/>
              <w:ind w:firstLine="480" w:firstLineChars="200"/>
              <w:rPr>
                <w:sz w:val="24"/>
              </w:rPr>
            </w:pPr>
            <w:r>
              <w:rPr>
                <w:sz w:val="24"/>
              </w:rPr>
              <w:t>上述监测结果表明：霞湾港</w:t>
            </w:r>
            <w:r>
              <w:rPr>
                <w:rFonts w:hint="eastAsia"/>
                <w:sz w:val="24"/>
              </w:rPr>
              <w:t>和老霞湾港</w:t>
            </w:r>
            <w:r>
              <w:rPr>
                <w:sz w:val="24"/>
              </w:rPr>
              <w:t>各水质监测因子均满足《污水综合排放标准》（GB8987-1996）中一级标准</w:t>
            </w:r>
            <w:r>
              <w:rPr>
                <w:rFonts w:hint="eastAsia"/>
                <w:sz w:val="24"/>
              </w:rPr>
              <w:t>，水环境质量较好。</w:t>
            </w:r>
          </w:p>
          <w:p>
            <w:pPr>
              <w:pStyle w:val="21"/>
              <w:spacing w:line="240" w:lineRule="auto"/>
              <w:ind w:firstLine="482" w:firstLineChars="200"/>
              <w:rPr>
                <w:b/>
                <w:sz w:val="24"/>
              </w:rPr>
            </w:pPr>
            <w:r>
              <w:rPr>
                <w:b/>
                <w:sz w:val="24"/>
              </w:rPr>
              <w:t>三、声环境现状</w:t>
            </w:r>
          </w:p>
          <w:p>
            <w:pPr>
              <w:ind w:firstLine="480" w:firstLineChars="200"/>
              <w:rPr>
                <w:kern w:val="0"/>
                <w:sz w:val="24"/>
              </w:rPr>
            </w:pPr>
            <w:r>
              <w:rPr>
                <w:kern w:val="0"/>
                <w:sz w:val="24"/>
              </w:rPr>
              <w:t>（1）监测</w:t>
            </w:r>
            <w:r>
              <w:rPr>
                <w:rFonts w:hint="eastAsia"/>
                <w:kern w:val="0"/>
                <w:sz w:val="24"/>
              </w:rPr>
              <w:t>布点</w:t>
            </w:r>
          </w:p>
          <w:p>
            <w:pPr>
              <w:ind w:firstLine="480" w:firstLineChars="200"/>
              <w:rPr>
                <w:kern w:val="0"/>
                <w:sz w:val="24"/>
              </w:rPr>
            </w:pPr>
            <w:r>
              <w:rPr>
                <w:kern w:val="0"/>
                <w:sz w:val="24"/>
              </w:rPr>
              <w:t>监测点的布置以能反映沿线敏感点的声环境现状为原则，采用“以点代线，反馈全线”的方法。本次监测选择</w:t>
            </w:r>
            <w:r>
              <w:rPr>
                <w:rFonts w:hint="eastAsia"/>
                <w:kern w:val="0"/>
                <w:sz w:val="24"/>
              </w:rPr>
              <w:t>4</w:t>
            </w:r>
            <w:r>
              <w:rPr>
                <w:kern w:val="0"/>
                <w:sz w:val="24"/>
              </w:rPr>
              <w:t>处有代表性的敏感点进行了现状监测</w:t>
            </w:r>
            <w:r>
              <w:rPr>
                <w:rFonts w:hint="eastAsia"/>
                <w:kern w:val="0"/>
                <w:sz w:val="24"/>
              </w:rPr>
              <w:t>，噪声监测点位</w:t>
            </w:r>
            <w:r>
              <w:rPr>
                <w:kern w:val="0"/>
                <w:sz w:val="24"/>
              </w:rPr>
              <w:t>见表</w:t>
            </w:r>
            <w:r>
              <w:rPr>
                <w:rFonts w:hint="eastAsia"/>
                <w:kern w:val="0"/>
                <w:sz w:val="24"/>
              </w:rPr>
              <w:t>21</w:t>
            </w:r>
            <w:r>
              <w:rPr>
                <w:kern w:val="0"/>
                <w:sz w:val="24"/>
              </w:rPr>
              <w:t>。</w:t>
            </w:r>
          </w:p>
          <w:p>
            <w:pPr>
              <w:pStyle w:val="9"/>
              <w:spacing w:before="0" w:after="0" w:line="240" w:lineRule="auto"/>
              <w:ind w:left="1151" w:hanging="1151"/>
              <w:jc w:val="center"/>
              <w:rPr>
                <w:rFonts w:ascii="Times New Roman" w:hAnsi="Times New Roman"/>
              </w:rPr>
            </w:pPr>
            <w:r>
              <w:rPr>
                <w:rFonts w:hint="eastAsia" w:ascii="Times New Roman" w:hAnsi="Times New Roman"/>
              </w:rPr>
              <w:t xml:space="preserve">表21    </w:t>
            </w:r>
            <w:r>
              <w:rPr>
                <w:rFonts w:ascii="Times New Roman" w:hAnsi="Times New Roman"/>
              </w:rPr>
              <w:t>声环境现状监测布点一览表</w:t>
            </w:r>
          </w:p>
          <w:tbl>
            <w:tblPr>
              <w:tblStyle w:val="43"/>
              <w:tblW w:w="855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592"/>
              <w:gridCol w:w="2409"/>
              <w:gridCol w:w="3685"/>
              <w:gridCol w:w="18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cantSplit/>
                <w:trHeight w:val="83" w:hRule="atLeast"/>
                <w:tblHeader/>
                <w:jc w:val="center"/>
              </w:trPr>
              <w:tc>
                <w:tcPr>
                  <w:tcW w:w="592" w:type="dxa"/>
                  <w:vAlign w:val="center"/>
                </w:tcPr>
                <w:p>
                  <w:pPr>
                    <w:pStyle w:val="153"/>
                    <w:spacing w:line="240" w:lineRule="auto"/>
                    <w:rPr>
                      <w:sz w:val="21"/>
                      <w:szCs w:val="21"/>
                    </w:rPr>
                  </w:pPr>
                  <w:r>
                    <w:rPr>
                      <w:rFonts w:hint="eastAsia"/>
                      <w:sz w:val="21"/>
                      <w:szCs w:val="21"/>
                    </w:rPr>
                    <w:t>编号</w:t>
                  </w:r>
                </w:p>
              </w:tc>
              <w:tc>
                <w:tcPr>
                  <w:tcW w:w="2409" w:type="dxa"/>
                  <w:vAlign w:val="center"/>
                </w:tcPr>
                <w:p>
                  <w:pPr>
                    <w:pStyle w:val="153"/>
                    <w:spacing w:line="240" w:lineRule="auto"/>
                    <w:rPr>
                      <w:sz w:val="21"/>
                      <w:szCs w:val="21"/>
                    </w:rPr>
                  </w:pPr>
                  <w:r>
                    <w:rPr>
                      <w:rFonts w:hint="eastAsia"/>
                      <w:sz w:val="21"/>
                      <w:szCs w:val="21"/>
                    </w:rPr>
                    <w:t>测点名称</w:t>
                  </w:r>
                </w:p>
              </w:tc>
              <w:tc>
                <w:tcPr>
                  <w:tcW w:w="3685" w:type="dxa"/>
                  <w:vAlign w:val="center"/>
                </w:tcPr>
                <w:p>
                  <w:pPr>
                    <w:pStyle w:val="153"/>
                    <w:spacing w:line="240" w:lineRule="auto"/>
                    <w:rPr>
                      <w:sz w:val="21"/>
                      <w:szCs w:val="21"/>
                    </w:rPr>
                  </w:pPr>
                  <w:r>
                    <w:rPr>
                      <w:rFonts w:hint="eastAsia"/>
                      <w:sz w:val="21"/>
                      <w:szCs w:val="21"/>
                    </w:rPr>
                    <w:t>测点位置</w:t>
                  </w:r>
                </w:p>
              </w:tc>
              <w:tc>
                <w:tcPr>
                  <w:tcW w:w="1873" w:type="dxa"/>
                  <w:vAlign w:val="center"/>
                </w:tcPr>
                <w:p>
                  <w:pPr>
                    <w:pStyle w:val="153"/>
                    <w:spacing w:line="240" w:lineRule="auto"/>
                    <w:rPr>
                      <w:sz w:val="21"/>
                      <w:szCs w:val="21"/>
                    </w:rPr>
                  </w:pPr>
                  <w:r>
                    <w:rPr>
                      <w:rFonts w:hint="eastAsia"/>
                      <w:sz w:val="21"/>
                      <w:szCs w:val="21"/>
                    </w:rPr>
                    <w:t>监测项目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cantSplit/>
                <w:trHeight w:val="83" w:hRule="atLeast"/>
                <w:jc w:val="center"/>
              </w:trPr>
              <w:tc>
                <w:tcPr>
                  <w:tcW w:w="592" w:type="dxa"/>
                  <w:vAlign w:val="center"/>
                </w:tcPr>
                <w:p>
                  <w:pPr>
                    <w:pStyle w:val="153"/>
                    <w:spacing w:line="240" w:lineRule="auto"/>
                    <w:rPr>
                      <w:sz w:val="21"/>
                      <w:szCs w:val="21"/>
                    </w:rPr>
                  </w:pPr>
                  <w:r>
                    <w:rPr>
                      <w:rFonts w:hint="eastAsia"/>
                      <w:sz w:val="21"/>
                      <w:szCs w:val="21"/>
                      <w:lang w:val="en-US" w:eastAsia="zh-CN"/>
                    </w:rPr>
                    <w:t>N</w:t>
                  </w:r>
                  <w:r>
                    <w:rPr>
                      <w:rFonts w:hint="eastAsia"/>
                      <w:sz w:val="21"/>
                      <w:szCs w:val="21"/>
                    </w:rPr>
                    <w:t>1</w:t>
                  </w:r>
                </w:p>
              </w:tc>
              <w:tc>
                <w:tcPr>
                  <w:tcW w:w="2409" w:type="dxa"/>
                  <w:vAlign w:val="center"/>
                </w:tcPr>
                <w:p>
                  <w:pPr>
                    <w:spacing w:line="400" w:lineRule="exact"/>
                    <w:jc w:val="center"/>
                    <w:rPr>
                      <w:rFonts w:hint="default" w:eastAsia="宋体"/>
                      <w:sz w:val="21"/>
                      <w:szCs w:val="21"/>
                      <w:lang w:val="en-US" w:eastAsia="zh-CN"/>
                    </w:rPr>
                  </w:pPr>
                  <w:r>
                    <w:rPr>
                      <w:rFonts w:hint="eastAsia"/>
                      <w:sz w:val="21"/>
                      <w:szCs w:val="21"/>
                      <w:lang w:val="en-US" w:eastAsia="zh-CN"/>
                    </w:rPr>
                    <w:t>项目东侧</w:t>
                  </w:r>
                </w:p>
              </w:tc>
              <w:tc>
                <w:tcPr>
                  <w:tcW w:w="3685" w:type="dxa"/>
                  <w:vAlign w:val="center"/>
                </w:tcPr>
                <w:p>
                  <w:pPr>
                    <w:spacing w:line="400" w:lineRule="exact"/>
                    <w:jc w:val="center"/>
                    <w:rPr>
                      <w:rFonts w:hint="default"/>
                      <w:sz w:val="21"/>
                      <w:szCs w:val="21"/>
                      <w:lang w:val="en-US"/>
                    </w:rPr>
                  </w:pPr>
                  <w:r>
                    <w:rPr>
                      <w:rFonts w:hint="eastAsia"/>
                      <w:sz w:val="21"/>
                      <w:szCs w:val="21"/>
                      <w:lang w:val="en-US" w:eastAsia="zh-CN"/>
                    </w:rPr>
                    <w:t>项目东侧外约1m处</w:t>
                  </w:r>
                </w:p>
              </w:tc>
              <w:tc>
                <w:tcPr>
                  <w:tcW w:w="1873" w:type="dxa"/>
                  <w:vMerge w:val="restart"/>
                  <w:vAlign w:val="center"/>
                </w:tcPr>
                <w:p>
                  <w:pPr>
                    <w:pStyle w:val="153"/>
                    <w:spacing w:line="240" w:lineRule="auto"/>
                    <w:rPr>
                      <w:spacing w:val="0"/>
                      <w:kern w:val="2"/>
                      <w:sz w:val="21"/>
                      <w:szCs w:val="21"/>
                    </w:rPr>
                  </w:pPr>
                  <w:r>
                    <w:rPr>
                      <w:rFonts w:hint="eastAsia"/>
                      <w:spacing w:val="0"/>
                      <w:kern w:val="2"/>
                      <w:sz w:val="21"/>
                      <w:szCs w:val="21"/>
                    </w:rPr>
                    <w:t>昼、夜等效声级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cantSplit/>
                <w:trHeight w:val="90" w:hRule="atLeast"/>
                <w:jc w:val="center"/>
              </w:trPr>
              <w:tc>
                <w:tcPr>
                  <w:tcW w:w="592" w:type="dxa"/>
                  <w:vAlign w:val="center"/>
                </w:tcPr>
                <w:p>
                  <w:pPr>
                    <w:pStyle w:val="153"/>
                    <w:spacing w:line="240" w:lineRule="auto"/>
                    <w:rPr>
                      <w:sz w:val="21"/>
                      <w:szCs w:val="21"/>
                    </w:rPr>
                  </w:pPr>
                  <w:r>
                    <w:rPr>
                      <w:rFonts w:hint="eastAsia"/>
                      <w:sz w:val="21"/>
                      <w:szCs w:val="21"/>
                      <w:lang w:val="en-US" w:eastAsia="zh-CN"/>
                    </w:rPr>
                    <w:t>N</w:t>
                  </w:r>
                  <w:r>
                    <w:rPr>
                      <w:rFonts w:hint="eastAsia"/>
                      <w:sz w:val="21"/>
                      <w:szCs w:val="21"/>
                    </w:rPr>
                    <w:t>2</w:t>
                  </w:r>
                </w:p>
              </w:tc>
              <w:tc>
                <w:tcPr>
                  <w:tcW w:w="2409" w:type="dxa"/>
                  <w:vAlign w:val="center"/>
                </w:tcPr>
                <w:p>
                  <w:pPr>
                    <w:spacing w:line="400" w:lineRule="exact"/>
                    <w:jc w:val="center"/>
                    <w:rPr>
                      <w:sz w:val="21"/>
                      <w:szCs w:val="21"/>
                    </w:rPr>
                  </w:pPr>
                  <w:r>
                    <w:rPr>
                      <w:rFonts w:hint="eastAsia"/>
                      <w:sz w:val="21"/>
                      <w:szCs w:val="21"/>
                      <w:lang w:val="en-US" w:eastAsia="zh-CN"/>
                    </w:rPr>
                    <w:t>项目西侧</w:t>
                  </w:r>
                </w:p>
              </w:tc>
              <w:tc>
                <w:tcPr>
                  <w:tcW w:w="3685" w:type="dxa"/>
                  <w:vAlign w:val="center"/>
                </w:tcPr>
                <w:p>
                  <w:pPr>
                    <w:spacing w:line="400" w:lineRule="exact"/>
                    <w:jc w:val="center"/>
                    <w:rPr>
                      <w:sz w:val="21"/>
                      <w:szCs w:val="21"/>
                    </w:rPr>
                  </w:pPr>
                  <w:r>
                    <w:rPr>
                      <w:rFonts w:hint="eastAsia"/>
                      <w:sz w:val="21"/>
                      <w:szCs w:val="21"/>
                      <w:lang w:val="en-US" w:eastAsia="zh-CN"/>
                    </w:rPr>
                    <w:t>项目西侧外约1m处</w:t>
                  </w:r>
                </w:p>
              </w:tc>
              <w:tc>
                <w:tcPr>
                  <w:tcW w:w="1873" w:type="dxa"/>
                  <w:vMerge w:val="continue"/>
                  <w:vAlign w:val="center"/>
                </w:tcPr>
                <w:p>
                  <w:pPr>
                    <w:pStyle w:val="153"/>
                    <w:spacing w:line="240" w:lineRule="auto"/>
                    <w:rPr>
                      <w:spacing w:val="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cantSplit/>
                <w:trHeight w:val="83" w:hRule="atLeast"/>
                <w:jc w:val="center"/>
              </w:trPr>
              <w:tc>
                <w:tcPr>
                  <w:tcW w:w="592" w:type="dxa"/>
                  <w:vAlign w:val="center"/>
                </w:tcPr>
                <w:p>
                  <w:pPr>
                    <w:pStyle w:val="153"/>
                    <w:spacing w:line="240" w:lineRule="auto"/>
                    <w:rPr>
                      <w:sz w:val="21"/>
                      <w:szCs w:val="21"/>
                    </w:rPr>
                  </w:pPr>
                  <w:r>
                    <w:rPr>
                      <w:rFonts w:hint="eastAsia"/>
                      <w:sz w:val="21"/>
                      <w:szCs w:val="21"/>
                      <w:lang w:val="en-US" w:eastAsia="zh-CN"/>
                    </w:rPr>
                    <w:t>N</w:t>
                  </w:r>
                  <w:r>
                    <w:rPr>
                      <w:rFonts w:hint="eastAsia"/>
                      <w:sz w:val="21"/>
                      <w:szCs w:val="21"/>
                    </w:rPr>
                    <w:t>3</w:t>
                  </w:r>
                </w:p>
              </w:tc>
              <w:tc>
                <w:tcPr>
                  <w:tcW w:w="2409" w:type="dxa"/>
                  <w:vAlign w:val="center"/>
                </w:tcPr>
                <w:p>
                  <w:pPr>
                    <w:spacing w:line="400" w:lineRule="exact"/>
                    <w:jc w:val="center"/>
                    <w:rPr>
                      <w:sz w:val="21"/>
                      <w:szCs w:val="21"/>
                    </w:rPr>
                  </w:pPr>
                  <w:r>
                    <w:rPr>
                      <w:rFonts w:hint="eastAsia"/>
                      <w:sz w:val="21"/>
                      <w:szCs w:val="21"/>
                      <w:lang w:val="en-US" w:eastAsia="zh-CN"/>
                    </w:rPr>
                    <w:t>项目南侧</w:t>
                  </w:r>
                </w:p>
              </w:tc>
              <w:tc>
                <w:tcPr>
                  <w:tcW w:w="3685" w:type="dxa"/>
                  <w:vAlign w:val="center"/>
                </w:tcPr>
                <w:p>
                  <w:pPr>
                    <w:spacing w:line="400" w:lineRule="exact"/>
                    <w:jc w:val="center"/>
                    <w:rPr>
                      <w:sz w:val="21"/>
                      <w:szCs w:val="21"/>
                    </w:rPr>
                  </w:pPr>
                  <w:r>
                    <w:rPr>
                      <w:rFonts w:hint="eastAsia"/>
                      <w:sz w:val="21"/>
                      <w:szCs w:val="21"/>
                      <w:lang w:val="en-US" w:eastAsia="zh-CN"/>
                    </w:rPr>
                    <w:t>项目南侧外约1m处</w:t>
                  </w:r>
                </w:p>
              </w:tc>
              <w:tc>
                <w:tcPr>
                  <w:tcW w:w="1873" w:type="dxa"/>
                  <w:vMerge w:val="continue"/>
                  <w:vAlign w:val="center"/>
                </w:tcPr>
                <w:p>
                  <w:pPr>
                    <w:pStyle w:val="153"/>
                    <w:spacing w:line="240" w:lineRule="auto"/>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cantSplit/>
                <w:trHeight w:val="289" w:hRule="atLeast"/>
                <w:jc w:val="center"/>
              </w:trPr>
              <w:tc>
                <w:tcPr>
                  <w:tcW w:w="592" w:type="dxa"/>
                  <w:vAlign w:val="center"/>
                </w:tcPr>
                <w:p>
                  <w:pPr>
                    <w:pStyle w:val="153"/>
                    <w:spacing w:line="240" w:lineRule="auto"/>
                    <w:rPr>
                      <w:sz w:val="21"/>
                      <w:szCs w:val="21"/>
                    </w:rPr>
                  </w:pPr>
                  <w:r>
                    <w:rPr>
                      <w:rFonts w:hint="eastAsia"/>
                      <w:sz w:val="21"/>
                      <w:szCs w:val="21"/>
                      <w:lang w:val="en-US" w:eastAsia="zh-CN"/>
                    </w:rPr>
                    <w:t>N</w:t>
                  </w:r>
                  <w:r>
                    <w:rPr>
                      <w:rFonts w:hint="eastAsia"/>
                      <w:sz w:val="21"/>
                      <w:szCs w:val="21"/>
                    </w:rPr>
                    <w:t>4</w:t>
                  </w:r>
                </w:p>
              </w:tc>
              <w:tc>
                <w:tcPr>
                  <w:tcW w:w="2409" w:type="dxa"/>
                  <w:vAlign w:val="center"/>
                </w:tcPr>
                <w:p>
                  <w:pPr>
                    <w:spacing w:line="400" w:lineRule="exact"/>
                    <w:jc w:val="center"/>
                    <w:rPr>
                      <w:sz w:val="21"/>
                      <w:szCs w:val="21"/>
                    </w:rPr>
                  </w:pPr>
                  <w:r>
                    <w:rPr>
                      <w:rFonts w:hint="eastAsia"/>
                      <w:sz w:val="21"/>
                      <w:szCs w:val="21"/>
                      <w:lang w:val="en-US" w:eastAsia="zh-CN"/>
                    </w:rPr>
                    <w:t>项目北侧</w:t>
                  </w:r>
                </w:p>
              </w:tc>
              <w:tc>
                <w:tcPr>
                  <w:tcW w:w="3685" w:type="dxa"/>
                  <w:vAlign w:val="center"/>
                </w:tcPr>
                <w:p>
                  <w:pPr>
                    <w:spacing w:line="400" w:lineRule="exact"/>
                    <w:jc w:val="center"/>
                    <w:rPr>
                      <w:sz w:val="21"/>
                      <w:szCs w:val="21"/>
                    </w:rPr>
                  </w:pPr>
                  <w:r>
                    <w:rPr>
                      <w:rFonts w:hint="eastAsia"/>
                      <w:sz w:val="21"/>
                      <w:szCs w:val="21"/>
                      <w:lang w:val="en-US" w:eastAsia="zh-CN"/>
                    </w:rPr>
                    <w:t>项目北侧外约1m处</w:t>
                  </w:r>
                </w:p>
              </w:tc>
              <w:tc>
                <w:tcPr>
                  <w:tcW w:w="1873" w:type="dxa"/>
                  <w:vMerge w:val="continue"/>
                  <w:vAlign w:val="center"/>
                </w:tcPr>
                <w:p>
                  <w:pPr>
                    <w:pStyle w:val="153"/>
                    <w:spacing w:line="240" w:lineRule="auto"/>
                    <w:rPr>
                      <w:sz w:val="21"/>
                      <w:szCs w:val="21"/>
                    </w:rPr>
                  </w:pPr>
                </w:p>
              </w:tc>
            </w:tr>
          </w:tbl>
          <w:p>
            <w:pPr>
              <w:ind w:firstLine="240" w:firstLineChars="100"/>
              <w:rPr>
                <w:kern w:val="0"/>
                <w:sz w:val="24"/>
              </w:rPr>
            </w:pPr>
            <w:r>
              <w:rPr>
                <w:rFonts w:hint="eastAsia"/>
                <w:kern w:val="0"/>
                <w:sz w:val="24"/>
              </w:rPr>
              <w:t>（2）监测时间与频率</w:t>
            </w:r>
          </w:p>
          <w:p>
            <w:pPr>
              <w:ind w:firstLine="480" w:firstLineChars="200"/>
              <w:rPr>
                <w:kern w:val="0"/>
                <w:sz w:val="24"/>
              </w:rPr>
            </w:pPr>
            <w:r>
              <w:rPr>
                <w:rFonts w:hint="eastAsia"/>
                <w:kern w:val="0"/>
                <w:sz w:val="24"/>
              </w:rPr>
              <w:t>各监测点按昼间和夜间分段监测。</w:t>
            </w:r>
          </w:p>
          <w:p>
            <w:pPr>
              <w:ind w:firstLine="480" w:firstLineChars="200"/>
              <w:rPr>
                <w:kern w:val="0"/>
                <w:sz w:val="24"/>
              </w:rPr>
            </w:pPr>
            <w:r>
              <w:rPr>
                <w:rFonts w:hint="eastAsia"/>
                <w:kern w:val="0"/>
                <w:sz w:val="24"/>
              </w:rPr>
              <w:t>监测时间：2019年</w:t>
            </w:r>
            <w:r>
              <w:rPr>
                <w:rFonts w:hint="eastAsia"/>
                <w:kern w:val="0"/>
                <w:sz w:val="24"/>
                <w:lang w:val="en-US" w:eastAsia="zh-CN"/>
              </w:rPr>
              <w:t>:8</w:t>
            </w:r>
            <w:r>
              <w:rPr>
                <w:rFonts w:hint="eastAsia"/>
                <w:kern w:val="0"/>
                <w:sz w:val="24"/>
              </w:rPr>
              <w:t>月16日~</w:t>
            </w:r>
            <w:r>
              <w:rPr>
                <w:rFonts w:hint="eastAsia"/>
                <w:kern w:val="0"/>
                <w:sz w:val="24"/>
                <w:lang w:val="en-US" w:eastAsia="zh-CN"/>
              </w:rPr>
              <w:t>8</w:t>
            </w:r>
            <w:r>
              <w:rPr>
                <w:rFonts w:hint="eastAsia"/>
                <w:kern w:val="0"/>
                <w:sz w:val="24"/>
              </w:rPr>
              <w:t>月17日，昼间：6∶00～22∶00，夜间：22∶00～次日6∶00。昼间、夜间各监测一次，连续监测2天。</w:t>
            </w:r>
          </w:p>
          <w:p>
            <w:pPr>
              <w:ind w:firstLine="480" w:firstLineChars="200"/>
              <w:rPr>
                <w:kern w:val="0"/>
                <w:sz w:val="24"/>
              </w:rPr>
            </w:pPr>
            <w:r>
              <w:rPr>
                <w:kern w:val="0"/>
                <w:sz w:val="24"/>
              </w:rPr>
              <w:t>（</w:t>
            </w:r>
            <w:r>
              <w:rPr>
                <w:rFonts w:hint="eastAsia"/>
                <w:kern w:val="0"/>
                <w:sz w:val="24"/>
              </w:rPr>
              <w:t>3</w:t>
            </w:r>
            <w:r>
              <w:rPr>
                <w:kern w:val="0"/>
                <w:sz w:val="24"/>
              </w:rPr>
              <w:t>）监测结果</w:t>
            </w:r>
          </w:p>
          <w:p>
            <w:pPr>
              <w:ind w:firstLine="480" w:firstLineChars="200"/>
              <w:rPr>
                <w:kern w:val="0"/>
                <w:sz w:val="24"/>
              </w:rPr>
            </w:pPr>
            <w:r>
              <w:rPr>
                <w:kern w:val="0"/>
                <w:sz w:val="24"/>
              </w:rPr>
              <w:t>监测结果见表</w:t>
            </w:r>
            <w:r>
              <w:rPr>
                <w:rFonts w:hint="eastAsia"/>
                <w:kern w:val="0"/>
                <w:sz w:val="24"/>
              </w:rPr>
              <w:t>22</w:t>
            </w:r>
            <w:r>
              <w:rPr>
                <w:kern w:val="0"/>
                <w:sz w:val="24"/>
              </w:rPr>
              <w:t>。</w:t>
            </w:r>
          </w:p>
          <w:p>
            <w:pPr>
              <w:pStyle w:val="9"/>
              <w:spacing w:before="0" w:after="0" w:line="240" w:lineRule="auto"/>
              <w:ind w:left="1151" w:hanging="1151"/>
              <w:jc w:val="center"/>
              <w:rPr>
                <w:rFonts w:ascii="Times New Roman" w:hAnsi="Times New Roman"/>
              </w:rPr>
            </w:pPr>
            <w:r>
              <w:rPr>
                <w:rFonts w:hint="eastAsia" w:ascii="Times New Roman" w:hAnsi="Times New Roman"/>
              </w:rPr>
              <w:t>表22   环境噪声</w:t>
            </w:r>
            <w:r>
              <w:rPr>
                <w:rFonts w:ascii="Times New Roman" w:hAnsi="Times New Roman"/>
              </w:rPr>
              <w:t>L</w:t>
            </w:r>
            <w:r>
              <w:rPr>
                <w:rFonts w:hint="eastAsia" w:ascii="Times New Roman" w:hAnsi="Times New Roman"/>
              </w:rPr>
              <w:t>A</w:t>
            </w:r>
            <w:r>
              <w:rPr>
                <w:rFonts w:ascii="Times New Roman" w:hAnsi="Times New Roman"/>
              </w:rPr>
              <w:t>eq</w:t>
            </w:r>
            <w:r>
              <w:rPr>
                <w:rFonts w:hint="eastAsia" w:ascii="Times New Roman" w:hAnsi="Times New Roman"/>
              </w:rPr>
              <w:t>监测结果统计表单位：</w:t>
            </w:r>
            <w:r>
              <w:rPr>
                <w:rFonts w:ascii="Times New Roman" w:hAnsi="Times New Roman"/>
              </w:rPr>
              <w:t>dB</w:t>
            </w:r>
            <w:r>
              <w:rPr>
                <w:rFonts w:hint="eastAsia" w:ascii="Times New Roman" w:hAnsi="Times New Roman"/>
              </w:rPr>
              <w:t>（A）</w:t>
            </w:r>
          </w:p>
          <w:tbl>
            <w:tblPr>
              <w:tblStyle w:val="43"/>
              <w:tblW w:w="8528"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572"/>
              <w:gridCol w:w="1237"/>
              <w:gridCol w:w="1463"/>
              <w:gridCol w:w="1701"/>
              <w:gridCol w:w="709"/>
              <w:gridCol w:w="796"/>
              <w:gridCol w:w="205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22" w:hRule="atLeast"/>
                <w:tblHeader/>
                <w:jc w:val="center"/>
              </w:trPr>
              <w:tc>
                <w:tcPr>
                  <w:tcW w:w="1809" w:type="dxa"/>
                  <w:gridSpan w:val="2"/>
                  <w:vMerge w:val="restart"/>
                  <w:vAlign w:val="center"/>
                </w:tcPr>
                <w:p>
                  <w:pPr>
                    <w:pStyle w:val="153"/>
                    <w:spacing w:line="240" w:lineRule="auto"/>
                    <w:rPr>
                      <w:sz w:val="21"/>
                      <w:szCs w:val="21"/>
                    </w:rPr>
                  </w:pPr>
                  <w:r>
                    <w:rPr>
                      <w:sz w:val="21"/>
                      <w:szCs w:val="21"/>
                    </w:rPr>
                    <w:t>编号</w:t>
                  </w:r>
                </w:p>
              </w:tc>
              <w:tc>
                <w:tcPr>
                  <w:tcW w:w="3164" w:type="dxa"/>
                  <w:gridSpan w:val="2"/>
                  <w:vAlign w:val="center"/>
                </w:tcPr>
                <w:p>
                  <w:pPr>
                    <w:pStyle w:val="153"/>
                    <w:spacing w:line="240" w:lineRule="auto"/>
                    <w:rPr>
                      <w:sz w:val="21"/>
                      <w:szCs w:val="21"/>
                    </w:rPr>
                  </w:pPr>
                  <w:r>
                    <w:rPr>
                      <w:sz w:val="21"/>
                      <w:szCs w:val="21"/>
                    </w:rPr>
                    <w:t>L</w:t>
                  </w:r>
                  <w:r>
                    <w:rPr>
                      <w:rFonts w:hint="eastAsia"/>
                      <w:sz w:val="21"/>
                      <w:szCs w:val="21"/>
                      <w:vertAlign w:val="subscript"/>
                    </w:rPr>
                    <w:t>A</w:t>
                  </w:r>
                  <w:r>
                    <w:rPr>
                      <w:sz w:val="21"/>
                      <w:szCs w:val="21"/>
                      <w:vertAlign w:val="subscript"/>
                    </w:rPr>
                    <w:t>eq</w:t>
                  </w:r>
                  <w:r>
                    <w:rPr>
                      <w:sz w:val="21"/>
                      <w:szCs w:val="21"/>
                    </w:rPr>
                    <w:t>监测结果</w:t>
                  </w:r>
                </w:p>
              </w:tc>
              <w:tc>
                <w:tcPr>
                  <w:tcW w:w="1505" w:type="dxa"/>
                  <w:gridSpan w:val="2"/>
                  <w:vAlign w:val="center"/>
                </w:tcPr>
                <w:p>
                  <w:pPr>
                    <w:pStyle w:val="153"/>
                    <w:spacing w:line="240" w:lineRule="auto"/>
                    <w:rPr>
                      <w:sz w:val="21"/>
                      <w:szCs w:val="21"/>
                    </w:rPr>
                  </w:pPr>
                  <w:r>
                    <w:rPr>
                      <w:sz w:val="21"/>
                      <w:szCs w:val="21"/>
                    </w:rPr>
                    <w:t>评价标准</w:t>
                  </w:r>
                </w:p>
              </w:tc>
              <w:tc>
                <w:tcPr>
                  <w:tcW w:w="2050" w:type="dxa"/>
                  <w:vMerge w:val="restart"/>
                  <w:vAlign w:val="center"/>
                </w:tcPr>
                <w:p>
                  <w:pPr>
                    <w:pStyle w:val="153"/>
                    <w:spacing w:line="240" w:lineRule="auto"/>
                    <w:rPr>
                      <w:sz w:val="21"/>
                      <w:szCs w:val="21"/>
                    </w:rPr>
                  </w:pPr>
                  <w:r>
                    <w:rPr>
                      <w:sz w:val="21"/>
                      <w:szCs w:val="21"/>
                    </w:rPr>
                    <w:t>监测评价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tblHeader/>
                <w:jc w:val="center"/>
              </w:trPr>
              <w:tc>
                <w:tcPr>
                  <w:tcW w:w="1809" w:type="dxa"/>
                  <w:gridSpan w:val="2"/>
                  <w:vMerge w:val="continue"/>
                  <w:vAlign w:val="center"/>
                </w:tcPr>
                <w:p>
                  <w:pPr>
                    <w:pStyle w:val="153"/>
                    <w:spacing w:line="240" w:lineRule="auto"/>
                    <w:rPr>
                      <w:sz w:val="21"/>
                      <w:szCs w:val="21"/>
                    </w:rPr>
                  </w:pPr>
                </w:p>
              </w:tc>
              <w:tc>
                <w:tcPr>
                  <w:tcW w:w="1463" w:type="dxa"/>
                  <w:vAlign w:val="center"/>
                </w:tcPr>
                <w:p>
                  <w:pPr>
                    <w:pStyle w:val="153"/>
                    <w:spacing w:line="240" w:lineRule="auto"/>
                    <w:rPr>
                      <w:sz w:val="21"/>
                      <w:szCs w:val="21"/>
                    </w:rPr>
                  </w:pPr>
                  <w:r>
                    <w:rPr>
                      <w:sz w:val="21"/>
                      <w:szCs w:val="21"/>
                    </w:rPr>
                    <w:t>昼间</w:t>
                  </w:r>
                </w:p>
              </w:tc>
              <w:tc>
                <w:tcPr>
                  <w:tcW w:w="1701" w:type="dxa"/>
                  <w:vAlign w:val="center"/>
                </w:tcPr>
                <w:p>
                  <w:pPr>
                    <w:pStyle w:val="153"/>
                    <w:spacing w:line="240" w:lineRule="auto"/>
                    <w:rPr>
                      <w:sz w:val="21"/>
                      <w:szCs w:val="21"/>
                    </w:rPr>
                  </w:pPr>
                  <w:r>
                    <w:rPr>
                      <w:sz w:val="21"/>
                      <w:szCs w:val="21"/>
                    </w:rPr>
                    <w:t>夜间</w:t>
                  </w:r>
                </w:p>
              </w:tc>
              <w:tc>
                <w:tcPr>
                  <w:tcW w:w="709" w:type="dxa"/>
                  <w:vAlign w:val="center"/>
                </w:tcPr>
                <w:p>
                  <w:pPr>
                    <w:pStyle w:val="153"/>
                    <w:spacing w:line="240" w:lineRule="auto"/>
                    <w:rPr>
                      <w:sz w:val="21"/>
                      <w:szCs w:val="21"/>
                    </w:rPr>
                  </w:pPr>
                  <w:r>
                    <w:rPr>
                      <w:sz w:val="21"/>
                      <w:szCs w:val="21"/>
                    </w:rPr>
                    <w:t>昼间</w:t>
                  </w:r>
                </w:p>
              </w:tc>
              <w:tc>
                <w:tcPr>
                  <w:tcW w:w="796" w:type="dxa"/>
                  <w:vAlign w:val="center"/>
                </w:tcPr>
                <w:p>
                  <w:pPr>
                    <w:pStyle w:val="153"/>
                    <w:spacing w:line="240" w:lineRule="auto"/>
                    <w:rPr>
                      <w:sz w:val="21"/>
                      <w:szCs w:val="21"/>
                    </w:rPr>
                  </w:pPr>
                  <w:r>
                    <w:rPr>
                      <w:sz w:val="21"/>
                      <w:szCs w:val="21"/>
                    </w:rPr>
                    <w:t>夜间</w:t>
                  </w:r>
                </w:p>
              </w:tc>
              <w:tc>
                <w:tcPr>
                  <w:tcW w:w="2050" w:type="dxa"/>
                  <w:vMerge w:val="continue"/>
                  <w:vAlign w:val="center"/>
                </w:tcPr>
                <w:p>
                  <w:pPr>
                    <w:pStyle w:val="153"/>
                    <w:spacing w:line="240" w:lineRule="auto"/>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572" w:type="dxa"/>
                  <w:vMerge w:val="restart"/>
                  <w:vAlign w:val="center"/>
                </w:tcPr>
                <w:p>
                  <w:pPr>
                    <w:pStyle w:val="153"/>
                    <w:spacing w:line="240" w:lineRule="auto"/>
                    <w:rPr>
                      <w:sz w:val="21"/>
                      <w:szCs w:val="21"/>
                    </w:rPr>
                  </w:pPr>
                  <w:r>
                    <w:rPr>
                      <w:rFonts w:hint="eastAsia"/>
                      <w:sz w:val="21"/>
                      <w:szCs w:val="21"/>
                      <w:lang w:val="en-US" w:eastAsia="zh-CN"/>
                    </w:rPr>
                    <w:t>N</w:t>
                  </w:r>
                  <w:r>
                    <w:rPr>
                      <w:rFonts w:hint="eastAsia"/>
                      <w:sz w:val="21"/>
                      <w:szCs w:val="21"/>
                    </w:rPr>
                    <w:t>1</w:t>
                  </w:r>
                </w:p>
              </w:tc>
              <w:tc>
                <w:tcPr>
                  <w:tcW w:w="1237" w:type="dxa"/>
                  <w:vAlign w:val="center"/>
                </w:tcPr>
                <w:p>
                  <w:pPr>
                    <w:pStyle w:val="153"/>
                    <w:spacing w:line="240" w:lineRule="auto"/>
                    <w:rPr>
                      <w:sz w:val="21"/>
                      <w:szCs w:val="21"/>
                    </w:rPr>
                  </w:pPr>
                  <w:r>
                    <w:rPr>
                      <w:sz w:val="21"/>
                      <w:szCs w:val="21"/>
                    </w:rPr>
                    <w:t>201</w:t>
                  </w:r>
                  <w:r>
                    <w:rPr>
                      <w:rFonts w:hint="eastAsia"/>
                      <w:sz w:val="21"/>
                      <w:szCs w:val="21"/>
                    </w:rPr>
                    <w:t>9.</w:t>
                  </w:r>
                  <w:r>
                    <w:rPr>
                      <w:rFonts w:hint="eastAsia"/>
                      <w:sz w:val="21"/>
                      <w:szCs w:val="21"/>
                      <w:lang w:val="en-US" w:eastAsia="zh-CN"/>
                    </w:rPr>
                    <w:t>8</w:t>
                  </w:r>
                  <w:r>
                    <w:rPr>
                      <w:sz w:val="21"/>
                      <w:szCs w:val="21"/>
                    </w:rPr>
                    <w:t>.16</w:t>
                  </w:r>
                </w:p>
              </w:tc>
              <w:tc>
                <w:tcPr>
                  <w:tcW w:w="1463" w:type="dxa"/>
                  <w:vAlign w:val="center"/>
                </w:tcPr>
                <w:p>
                  <w:pPr>
                    <w:jc w:val="center"/>
                    <w:rPr>
                      <w:kern w:val="0"/>
                      <w:sz w:val="22"/>
                      <w:szCs w:val="22"/>
                    </w:rPr>
                  </w:pPr>
                  <w:r>
                    <w:rPr>
                      <w:rFonts w:hint="eastAsia"/>
                      <w:kern w:val="0"/>
                      <w:sz w:val="22"/>
                      <w:szCs w:val="22"/>
                    </w:rPr>
                    <w:t>4</w:t>
                  </w:r>
                  <w:r>
                    <w:rPr>
                      <w:kern w:val="0"/>
                      <w:sz w:val="22"/>
                      <w:szCs w:val="22"/>
                    </w:rPr>
                    <w:t>6.8</w:t>
                  </w:r>
                </w:p>
              </w:tc>
              <w:tc>
                <w:tcPr>
                  <w:tcW w:w="1701" w:type="dxa"/>
                  <w:vAlign w:val="center"/>
                </w:tcPr>
                <w:p>
                  <w:pPr>
                    <w:jc w:val="center"/>
                    <w:rPr>
                      <w:kern w:val="0"/>
                      <w:sz w:val="22"/>
                      <w:szCs w:val="22"/>
                    </w:rPr>
                  </w:pPr>
                  <w:r>
                    <w:rPr>
                      <w:rFonts w:hint="eastAsia"/>
                      <w:kern w:val="0"/>
                      <w:sz w:val="22"/>
                      <w:szCs w:val="22"/>
                    </w:rPr>
                    <w:t>3</w:t>
                  </w:r>
                  <w:r>
                    <w:rPr>
                      <w:kern w:val="0"/>
                      <w:sz w:val="22"/>
                      <w:szCs w:val="22"/>
                    </w:rPr>
                    <w:t>8.2</w:t>
                  </w:r>
                </w:p>
              </w:tc>
              <w:tc>
                <w:tcPr>
                  <w:tcW w:w="709" w:type="dxa"/>
                  <w:vMerge w:val="restart"/>
                  <w:vAlign w:val="center"/>
                </w:tcPr>
                <w:p>
                  <w:pPr>
                    <w:jc w:val="center"/>
                    <w:rPr>
                      <w:kern w:val="0"/>
                      <w:sz w:val="22"/>
                      <w:szCs w:val="22"/>
                    </w:rPr>
                  </w:pPr>
                  <w:r>
                    <w:rPr>
                      <w:sz w:val="22"/>
                      <w:szCs w:val="22"/>
                    </w:rPr>
                    <w:t>60</w:t>
                  </w:r>
                </w:p>
              </w:tc>
              <w:tc>
                <w:tcPr>
                  <w:tcW w:w="796" w:type="dxa"/>
                  <w:vMerge w:val="restart"/>
                  <w:vAlign w:val="center"/>
                </w:tcPr>
                <w:p>
                  <w:pPr>
                    <w:jc w:val="center"/>
                    <w:rPr>
                      <w:sz w:val="22"/>
                      <w:szCs w:val="22"/>
                    </w:rPr>
                  </w:pPr>
                  <w:r>
                    <w:rPr>
                      <w:sz w:val="22"/>
                      <w:szCs w:val="22"/>
                    </w:rPr>
                    <w:t>50</w:t>
                  </w:r>
                </w:p>
              </w:tc>
              <w:tc>
                <w:tcPr>
                  <w:tcW w:w="2050" w:type="dxa"/>
                  <w:vAlign w:val="center"/>
                </w:tcPr>
                <w:p>
                  <w:pPr>
                    <w:jc w:val="center"/>
                    <w:rPr>
                      <w:sz w:val="21"/>
                      <w:szCs w:val="21"/>
                    </w:rPr>
                  </w:pPr>
                  <w:r>
                    <w:rPr>
                      <w:sz w:val="21"/>
                      <w:szCs w:val="21"/>
                    </w:rPr>
                    <w:t>昼夜间均达标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572" w:type="dxa"/>
                  <w:vMerge w:val="continue"/>
                  <w:vAlign w:val="center"/>
                </w:tcPr>
                <w:p>
                  <w:pPr>
                    <w:pStyle w:val="153"/>
                    <w:spacing w:line="240" w:lineRule="auto"/>
                    <w:rPr>
                      <w:sz w:val="21"/>
                      <w:szCs w:val="21"/>
                    </w:rPr>
                  </w:pPr>
                </w:p>
              </w:tc>
              <w:tc>
                <w:tcPr>
                  <w:tcW w:w="1237" w:type="dxa"/>
                  <w:vAlign w:val="center"/>
                </w:tcPr>
                <w:p>
                  <w:pPr>
                    <w:pStyle w:val="153"/>
                    <w:spacing w:line="240" w:lineRule="auto"/>
                    <w:rPr>
                      <w:sz w:val="21"/>
                      <w:szCs w:val="21"/>
                    </w:rPr>
                  </w:pPr>
                  <w:r>
                    <w:rPr>
                      <w:sz w:val="21"/>
                      <w:szCs w:val="21"/>
                    </w:rPr>
                    <w:t>201</w:t>
                  </w:r>
                  <w:r>
                    <w:rPr>
                      <w:rFonts w:hint="eastAsia"/>
                      <w:sz w:val="21"/>
                      <w:szCs w:val="21"/>
                    </w:rPr>
                    <w:t>9.</w:t>
                  </w:r>
                  <w:r>
                    <w:rPr>
                      <w:rFonts w:hint="eastAsia"/>
                      <w:sz w:val="21"/>
                      <w:szCs w:val="21"/>
                      <w:lang w:val="en-US" w:eastAsia="zh-CN"/>
                    </w:rPr>
                    <w:t>8</w:t>
                  </w:r>
                  <w:r>
                    <w:rPr>
                      <w:sz w:val="21"/>
                      <w:szCs w:val="21"/>
                    </w:rPr>
                    <w:t>.17</w:t>
                  </w:r>
                </w:p>
              </w:tc>
              <w:tc>
                <w:tcPr>
                  <w:tcW w:w="1463" w:type="dxa"/>
                  <w:vAlign w:val="center"/>
                </w:tcPr>
                <w:p>
                  <w:pPr>
                    <w:jc w:val="center"/>
                    <w:rPr>
                      <w:sz w:val="22"/>
                      <w:szCs w:val="22"/>
                    </w:rPr>
                  </w:pPr>
                  <w:r>
                    <w:rPr>
                      <w:rFonts w:hint="eastAsia"/>
                      <w:sz w:val="22"/>
                      <w:szCs w:val="22"/>
                    </w:rPr>
                    <w:t>4</w:t>
                  </w:r>
                  <w:r>
                    <w:rPr>
                      <w:sz w:val="22"/>
                      <w:szCs w:val="22"/>
                    </w:rPr>
                    <w:t>7.6</w:t>
                  </w:r>
                </w:p>
              </w:tc>
              <w:tc>
                <w:tcPr>
                  <w:tcW w:w="1701" w:type="dxa"/>
                  <w:vAlign w:val="center"/>
                </w:tcPr>
                <w:p>
                  <w:pPr>
                    <w:jc w:val="center"/>
                    <w:rPr>
                      <w:sz w:val="22"/>
                      <w:szCs w:val="22"/>
                    </w:rPr>
                  </w:pPr>
                  <w:r>
                    <w:rPr>
                      <w:rFonts w:hint="eastAsia"/>
                      <w:sz w:val="22"/>
                      <w:szCs w:val="22"/>
                    </w:rPr>
                    <w:t>3</w:t>
                  </w:r>
                  <w:r>
                    <w:rPr>
                      <w:sz w:val="22"/>
                      <w:szCs w:val="22"/>
                    </w:rPr>
                    <w:t>8.1</w:t>
                  </w:r>
                </w:p>
              </w:tc>
              <w:tc>
                <w:tcPr>
                  <w:tcW w:w="709" w:type="dxa"/>
                  <w:vMerge w:val="continue"/>
                  <w:vAlign w:val="center"/>
                </w:tcPr>
                <w:p>
                  <w:pPr>
                    <w:jc w:val="center"/>
                    <w:rPr>
                      <w:sz w:val="21"/>
                      <w:szCs w:val="21"/>
                    </w:rPr>
                  </w:pPr>
                </w:p>
              </w:tc>
              <w:tc>
                <w:tcPr>
                  <w:tcW w:w="796" w:type="dxa"/>
                  <w:vMerge w:val="continue"/>
                  <w:vAlign w:val="center"/>
                </w:tcPr>
                <w:p>
                  <w:pPr>
                    <w:jc w:val="center"/>
                    <w:rPr>
                      <w:sz w:val="21"/>
                      <w:szCs w:val="21"/>
                    </w:rPr>
                  </w:pPr>
                </w:p>
              </w:tc>
              <w:tc>
                <w:tcPr>
                  <w:tcW w:w="2050" w:type="dxa"/>
                  <w:vAlign w:val="center"/>
                </w:tcPr>
                <w:p>
                  <w:pPr>
                    <w:jc w:val="center"/>
                    <w:rPr>
                      <w:sz w:val="21"/>
                      <w:szCs w:val="21"/>
                    </w:rPr>
                  </w:pPr>
                  <w:r>
                    <w:rPr>
                      <w:sz w:val="21"/>
                      <w:szCs w:val="21"/>
                    </w:rPr>
                    <w:t>昼夜间均达标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572" w:type="dxa"/>
                  <w:vMerge w:val="restart"/>
                  <w:vAlign w:val="center"/>
                </w:tcPr>
                <w:p>
                  <w:pPr>
                    <w:pStyle w:val="153"/>
                    <w:spacing w:line="240" w:lineRule="auto"/>
                    <w:rPr>
                      <w:sz w:val="21"/>
                      <w:szCs w:val="21"/>
                    </w:rPr>
                  </w:pPr>
                  <w:r>
                    <w:rPr>
                      <w:rFonts w:hint="eastAsia"/>
                      <w:sz w:val="21"/>
                      <w:szCs w:val="21"/>
                      <w:lang w:val="en-US" w:eastAsia="zh-CN"/>
                    </w:rPr>
                    <w:t>N</w:t>
                  </w:r>
                  <w:r>
                    <w:rPr>
                      <w:rFonts w:hint="eastAsia"/>
                      <w:sz w:val="21"/>
                      <w:szCs w:val="21"/>
                    </w:rPr>
                    <w:t>2</w:t>
                  </w:r>
                </w:p>
              </w:tc>
              <w:tc>
                <w:tcPr>
                  <w:tcW w:w="1237" w:type="dxa"/>
                  <w:vAlign w:val="center"/>
                </w:tcPr>
                <w:p>
                  <w:pPr>
                    <w:pStyle w:val="153"/>
                    <w:spacing w:line="240" w:lineRule="auto"/>
                    <w:rPr>
                      <w:sz w:val="21"/>
                      <w:szCs w:val="21"/>
                    </w:rPr>
                  </w:pPr>
                  <w:r>
                    <w:rPr>
                      <w:sz w:val="21"/>
                      <w:szCs w:val="21"/>
                    </w:rPr>
                    <w:t>201</w:t>
                  </w:r>
                  <w:r>
                    <w:rPr>
                      <w:rFonts w:hint="eastAsia"/>
                      <w:sz w:val="21"/>
                      <w:szCs w:val="21"/>
                    </w:rPr>
                    <w:t>9.</w:t>
                  </w:r>
                  <w:r>
                    <w:rPr>
                      <w:rFonts w:hint="eastAsia"/>
                      <w:sz w:val="21"/>
                      <w:szCs w:val="21"/>
                      <w:lang w:val="en-US" w:eastAsia="zh-CN"/>
                    </w:rPr>
                    <w:t>8</w:t>
                  </w:r>
                  <w:r>
                    <w:rPr>
                      <w:sz w:val="21"/>
                      <w:szCs w:val="21"/>
                    </w:rPr>
                    <w:t>.16</w:t>
                  </w:r>
                </w:p>
              </w:tc>
              <w:tc>
                <w:tcPr>
                  <w:tcW w:w="1463" w:type="dxa"/>
                  <w:vAlign w:val="center"/>
                </w:tcPr>
                <w:p>
                  <w:pPr>
                    <w:jc w:val="center"/>
                    <w:rPr>
                      <w:sz w:val="22"/>
                      <w:szCs w:val="22"/>
                    </w:rPr>
                  </w:pPr>
                  <w:r>
                    <w:rPr>
                      <w:rFonts w:hint="eastAsia"/>
                      <w:sz w:val="22"/>
                      <w:szCs w:val="22"/>
                    </w:rPr>
                    <w:t>4</w:t>
                  </w:r>
                  <w:r>
                    <w:rPr>
                      <w:sz w:val="22"/>
                      <w:szCs w:val="22"/>
                    </w:rPr>
                    <w:t>5.3</w:t>
                  </w:r>
                </w:p>
              </w:tc>
              <w:tc>
                <w:tcPr>
                  <w:tcW w:w="1701" w:type="dxa"/>
                  <w:vAlign w:val="center"/>
                </w:tcPr>
                <w:p>
                  <w:pPr>
                    <w:jc w:val="center"/>
                    <w:rPr>
                      <w:sz w:val="22"/>
                      <w:szCs w:val="22"/>
                    </w:rPr>
                  </w:pPr>
                  <w:r>
                    <w:rPr>
                      <w:rFonts w:hint="eastAsia"/>
                      <w:sz w:val="22"/>
                      <w:szCs w:val="22"/>
                    </w:rPr>
                    <w:t>3</w:t>
                  </w:r>
                  <w:r>
                    <w:rPr>
                      <w:sz w:val="22"/>
                      <w:szCs w:val="22"/>
                    </w:rPr>
                    <w:t>9.2</w:t>
                  </w:r>
                </w:p>
              </w:tc>
              <w:tc>
                <w:tcPr>
                  <w:tcW w:w="709" w:type="dxa"/>
                  <w:vMerge w:val="continue"/>
                  <w:vAlign w:val="center"/>
                </w:tcPr>
                <w:p>
                  <w:pPr>
                    <w:jc w:val="center"/>
                    <w:rPr>
                      <w:sz w:val="22"/>
                      <w:szCs w:val="22"/>
                    </w:rPr>
                  </w:pPr>
                </w:p>
              </w:tc>
              <w:tc>
                <w:tcPr>
                  <w:tcW w:w="796" w:type="dxa"/>
                  <w:vMerge w:val="continue"/>
                  <w:vAlign w:val="center"/>
                </w:tcPr>
                <w:p>
                  <w:pPr>
                    <w:jc w:val="center"/>
                    <w:rPr>
                      <w:sz w:val="22"/>
                      <w:szCs w:val="22"/>
                    </w:rPr>
                  </w:pPr>
                </w:p>
              </w:tc>
              <w:tc>
                <w:tcPr>
                  <w:tcW w:w="2050" w:type="dxa"/>
                  <w:vAlign w:val="center"/>
                </w:tcPr>
                <w:p>
                  <w:pPr>
                    <w:jc w:val="center"/>
                    <w:rPr>
                      <w:sz w:val="21"/>
                      <w:szCs w:val="21"/>
                    </w:rPr>
                  </w:pPr>
                  <w:r>
                    <w:rPr>
                      <w:sz w:val="21"/>
                      <w:szCs w:val="21"/>
                    </w:rPr>
                    <w:t>昼夜间均达标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572" w:type="dxa"/>
                  <w:vMerge w:val="continue"/>
                  <w:vAlign w:val="center"/>
                </w:tcPr>
                <w:p>
                  <w:pPr>
                    <w:pStyle w:val="153"/>
                    <w:spacing w:line="240" w:lineRule="auto"/>
                    <w:rPr>
                      <w:sz w:val="21"/>
                      <w:szCs w:val="21"/>
                    </w:rPr>
                  </w:pPr>
                </w:p>
              </w:tc>
              <w:tc>
                <w:tcPr>
                  <w:tcW w:w="1237" w:type="dxa"/>
                  <w:vAlign w:val="center"/>
                </w:tcPr>
                <w:p>
                  <w:pPr>
                    <w:pStyle w:val="153"/>
                    <w:spacing w:line="240" w:lineRule="auto"/>
                    <w:rPr>
                      <w:sz w:val="21"/>
                      <w:szCs w:val="21"/>
                    </w:rPr>
                  </w:pPr>
                  <w:r>
                    <w:rPr>
                      <w:sz w:val="21"/>
                      <w:szCs w:val="21"/>
                    </w:rPr>
                    <w:t>201</w:t>
                  </w:r>
                  <w:r>
                    <w:rPr>
                      <w:rFonts w:hint="eastAsia"/>
                      <w:sz w:val="21"/>
                      <w:szCs w:val="21"/>
                    </w:rPr>
                    <w:t>9.</w:t>
                  </w:r>
                  <w:r>
                    <w:rPr>
                      <w:rFonts w:hint="eastAsia"/>
                      <w:sz w:val="21"/>
                      <w:szCs w:val="21"/>
                      <w:lang w:val="en-US" w:eastAsia="zh-CN"/>
                    </w:rPr>
                    <w:t>8</w:t>
                  </w:r>
                  <w:r>
                    <w:rPr>
                      <w:sz w:val="21"/>
                      <w:szCs w:val="21"/>
                    </w:rPr>
                    <w:t>.17</w:t>
                  </w:r>
                </w:p>
              </w:tc>
              <w:tc>
                <w:tcPr>
                  <w:tcW w:w="1463" w:type="dxa"/>
                  <w:vAlign w:val="center"/>
                </w:tcPr>
                <w:p>
                  <w:pPr>
                    <w:jc w:val="center"/>
                    <w:rPr>
                      <w:sz w:val="22"/>
                      <w:szCs w:val="22"/>
                    </w:rPr>
                  </w:pPr>
                  <w:r>
                    <w:rPr>
                      <w:rFonts w:hint="eastAsia"/>
                      <w:sz w:val="22"/>
                      <w:szCs w:val="22"/>
                    </w:rPr>
                    <w:t>4</w:t>
                  </w:r>
                  <w:r>
                    <w:rPr>
                      <w:sz w:val="22"/>
                      <w:szCs w:val="22"/>
                    </w:rPr>
                    <w:t>6.3</w:t>
                  </w:r>
                </w:p>
              </w:tc>
              <w:tc>
                <w:tcPr>
                  <w:tcW w:w="1701" w:type="dxa"/>
                  <w:vAlign w:val="center"/>
                </w:tcPr>
                <w:p>
                  <w:pPr>
                    <w:jc w:val="center"/>
                    <w:rPr>
                      <w:sz w:val="22"/>
                      <w:szCs w:val="22"/>
                    </w:rPr>
                  </w:pPr>
                  <w:r>
                    <w:rPr>
                      <w:rFonts w:hint="eastAsia"/>
                      <w:sz w:val="22"/>
                      <w:szCs w:val="22"/>
                    </w:rPr>
                    <w:t>3</w:t>
                  </w:r>
                  <w:r>
                    <w:rPr>
                      <w:sz w:val="22"/>
                      <w:szCs w:val="22"/>
                    </w:rPr>
                    <w:t>7.0</w:t>
                  </w:r>
                </w:p>
              </w:tc>
              <w:tc>
                <w:tcPr>
                  <w:tcW w:w="709" w:type="dxa"/>
                  <w:vMerge w:val="continue"/>
                  <w:vAlign w:val="center"/>
                </w:tcPr>
                <w:p>
                  <w:pPr>
                    <w:jc w:val="center"/>
                    <w:rPr>
                      <w:sz w:val="21"/>
                      <w:szCs w:val="21"/>
                    </w:rPr>
                  </w:pPr>
                </w:p>
              </w:tc>
              <w:tc>
                <w:tcPr>
                  <w:tcW w:w="796" w:type="dxa"/>
                  <w:vMerge w:val="continue"/>
                  <w:vAlign w:val="center"/>
                </w:tcPr>
                <w:p>
                  <w:pPr>
                    <w:jc w:val="center"/>
                    <w:rPr>
                      <w:sz w:val="21"/>
                      <w:szCs w:val="21"/>
                    </w:rPr>
                  </w:pPr>
                </w:p>
              </w:tc>
              <w:tc>
                <w:tcPr>
                  <w:tcW w:w="2050" w:type="dxa"/>
                  <w:vAlign w:val="center"/>
                </w:tcPr>
                <w:p>
                  <w:pPr>
                    <w:jc w:val="center"/>
                    <w:rPr>
                      <w:sz w:val="21"/>
                      <w:szCs w:val="21"/>
                    </w:rPr>
                  </w:pPr>
                  <w:r>
                    <w:rPr>
                      <w:sz w:val="21"/>
                      <w:szCs w:val="21"/>
                    </w:rPr>
                    <w:t>昼夜间均达标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572" w:type="dxa"/>
                  <w:vMerge w:val="restart"/>
                  <w:vAlign w:val="center"/>
                </w:tcPr>
                <w:p>
                  <w:pPr>
                    <w:pStyle w:val="153"/>
                    <w:spacing w:line="240" w:lineRule="auto"/>
                    <w:rPr>
                      <w:sz w:val="21"/>
                      <w:szCs w:val="21"/>
                    </w:rPr>
                  </w:pPr>
                  <w:r>
                    <w:rPr>
                      <w:rFonts w:hint="eastAsia"/>
                      <w:sz w:val="21"/>
                      <w:szCs w:val="21"/>
                      <w:lang w:val="en-US" w:eastAsia="zh-CN"/>
                    </w:rPr>
                    <w:t>N</w:t>
                  </w:r>
                  <w:r>
                    <w:rPr>
                      <w:rFonts w:hint="eastAsia"/>
                      <w:sz w:val="21"/>
                      <w:szCs w:val="21"/>
                    </w:rPr>
                    <w:t>3</w:t>
                  </w:r>
                </w:p>
              </w:tc>
              <w:tc>
                <w:tcPr>
                  <w:tcW w:w="1237" w:type="dxa"/>
                  <w:vAlign w:val="center"/>
                </w:tcPr>
                <w:p>
                  <w:pPr>
                    <w:pStyle w:val="153"/>
                    <w:spacing w:line="240" w:lineRule="auto"/>
                    <w:rPr>
                      <w:sz w:val="21"/>
                      <w:szCs w:val="21"/>
                    </w:rPr>
                  </w:pPr>
                  <w:r>
                    <w:rPr>
                      <w:sz w:val="21"/>
                      <w:szCs w:val="21"/>
                    </w:rPr>
                    <w:t>201</w:t>
                  </w:r>
                  <w:r>
                    <w:rPr>
                      <w:rFonts w:hint="eastAsia"/>
                      <w:sz w:val="21"/>
                      <w:szCs w:val="21"/>
                    </w:rPr>
                    <w:t>9.</w:t>
                  </w:r>
                  <w:r>
                    <w:rPr>
                      <w:rFonts w:hint="eastAsia"/>
                      <w:sz w:val="21"/>
                      <w:szCs w:val="21"/>
                      <w:lang w:val="en-US" w:eastAsia="zh-CN"/>
                    </w:rPr>
                    <w:t>8</w:t>
                  </w:r>
                  <w:r>
                    <w:rPr>
                      <w:sz w:val="21"/>
                      <w:szCs w:val="21"/>
                    </w:rPr>
                    <w:t>.16</w:t>
                  </w:r>
                </w:p>
              </w:tc>
              <w:tc>
                <w:tcPr>
                  <w:tcW w:w="1463" w:type="dxa"/>
                </w:tcPr>
                <w:p>
                  <w:pPr>
                    <w:jc w:val="center"/>
                    <w:rPr>
                      <w:sz w:val="22"/>
                      <w:szCs w:val="22"/>
                    </w:rPr>
                  </w:pPr>
                  <w:r>
                    <w:rPr>
                      <w:rFonts w:hint="eastAsia"/>
                      <w:sz w:val="22"/>
                      <w:szCs w:val="22"/>
                    </w:rPr>
                    <w:t>5</w:t>
                  </w:r>
                  <w:r>
                    <w:rPr>
                      <w:sz w:val="22"/>
                      <w:szCs w:val="22"/>
                    </w:rPr>
                    <w:t>0.0</w:t>
                  </w:r>
                </w:p>
              </w:tc>
              <w:tc>
                <w:tcPr>
                  <w:tcW w:w="1701" w:type="dxa"/>
                </w:tcPr>
                <w:p>
                  <w:pPr>
                    <w:jc w:val="center"/>
                    <w:rPr>
                      <w:sz w:val="22"/>
                      <w:szCs w:val="22"/>
                    </w:rPr>
                  </w:pPr>
                  <w:r>
                    <w:rPr>
                      <w:rFonts w:hint="eastAsia"/>
                      <w:sz w:val="22"/>
                      <w:szCs w:val="22"/>
                    </w:rPr>
                    <w:t>4</w:t>
                  </w:r>
                  <w:r>
                    <w:rPr>
                      <w:sz w:val="22"/>
                      <w:szCs w:val="22"/>
                    </w:rPr>
                    <w:t>0.6</w:t>
                  </w:r>
                </w:p>
              </w:tc>
              <w:tc>
                <w:tcPr>
                  <w:tcW w:w="709" w:type="dxa"/>
                  <w:vMerge w:val="continue"/>
                  <w:vAlign w:val="center"/>
                </w:tcPr>
                <w:p>
                  <w:pPr>
                    <w:jc w:val="center"/>
                    <w:rPr>
                      <w:sz w:val="22"/>
                      <w:szCs w:val="22"/>
                    </w:rPr>
                  </w:pPr>
                </w:p>
              </w:tc>
              <w:tc>
                <w:tcPr>
                  <w:tcW w:w="796" w:type="dxa"/>
                  <w:vMerge w:val="continue"/>
                  <w:vAlign w:val="center"/>
                </w:tcPr>
                <w:p>
                  <w:pPr>
                    <w:jc w:val="center"/>
                    <w:rPr>
                      <w:sz w:val="22"/>
                      <w:szCs w:val="22"/>
                    </w:rPr>
                  </w:pPr>
                </w:p>
              </w:tc>
              <w:tc>
                <w:tcPr>
                  <w:tcW w:w="2050" w:type="dxa"/>
                  <w:vAlign w:val="center"/>
                </w:tcPr>
                <w:p>
                  <w:pPr>
                    <w:jc w:val="center"/>
                    <w:rPr>
                      <w:sz w:val="21"/>
                      <w:szCs w:val="21"/>
                    </w:rPr>
                  </w:pPr>
                  <w:r>
                    <w:rPr>
                      <w:sz w:val="21"/>
                      <w:szCs w:val="21"/>
                    </w:rPr>
                    <w:t>昼夜间均达标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572" w:type="dxa"/>
                  <w:vMerge w:val="continue"/>
                  <w:vAlign w:val="center"/>
                </w:tcPr>
                <w:p>
                  <w:pPr>
                    <w:pStyle w:val="153"/>
                    <w:spacing w:line="240" w:lineRule="auto"/>
                    <w:rPr>
                      <w:sz w:val="21"/>
                      <w:szCs w:val="21"/>
                    </w:rPr>
                  </w:pPr>
                </w:p>
              </w:tc>
              <w:tc>
                <w:tcPr>
                  <w:tcW w:w="1237" w:type="dxa"/>
                  <w:vAlign w:val="center"/>
                </w:tcPr>
                <w:p>
                  <w:pPr>
                    <w:pStyle w:val="153"/>
                    <w:spacing w:line="240" w:lineRule="auto"/>
                    <w:rPr>
                      <w:sz w:val="21"/>
                      <w:szCs w:val="21"/>
                    </w:rPr>
                  </w:pPr>
                  <w:r>
                    <w:rPr>
                      <w:sz w:val="21"/>
                      <w:szCs w:val="21"/>
                    </w:rPr>
                    <w:t>201</w:t>
                  </w:r>
                  <w:r>
                    <w:rPr>
                      <w:rFonts w:hint="eastAsia"/>
                      <w:sz w:val="21"/>
                      <w:szCs w:val="21"/>
                    </w:rPr>
                    <w:t>9.</w:t>
                  </w:r>
                  <w:r>
                    <w:rPr>
                      <w:rFonts w:hint="eastAsia"/>
                      <w:sz w:val="21"/>
                      <w:szCs w:val="21"/>
                      <w:lang w:val="en-US" w:eastAsia="zh-CN"/>
                    </w:rPr>
                    <w:t>8</w:t>
                  </w:r>
                  <w:r>
                    <w:rPr>
                      <w:sz w:val="21"/>
                      <w:szCs w:val="21"/>
                    </w:rPr>
                    <w:t>.17</w:t>
                  </w:r>
                </w:p>
              </w:tc>
              <w:tc>
                <w:tcPr>
                  <w:tcW w:w="1463" w:type="dxa"/>
                </w:tcPr>
                <w:p>
                  <w:pPr>
                    <w:jc w:val="center"/>
                    <w:rPr>
                      <w:sz w:val="22"/>
                      <w:szCs w:val="22"/>
                    </w:rPr>
                  </w:pPr>
                  <w:r>
                    <w:rPr>
                      <w:rFonts w:hint="eastAsia"/>
                      <w:sz w:val="22"/>
                      <w:szCs w:val="22"/>
                    </w:rPr>
                    <w:t>5</w:t>
                  </w:r>
                  <w:r>
                    <w:rPr>
                      <w:sz w:val="22"/>
                      <w:szCs w:val="22"/>
                    </w:rPr>
                    <w:t>0.8</w:t>
                  </w:r>
                </w:p>
              </w:tc>
              <w:tc>
                <w:tcPr>
                  <w:tcW w:w="1701" w:type="dxa"/>
                </w:tcPr>
                <w:p>
                  <w:pPr>
                    <w:jc w:val="center"/>
                    <w:rPr>
                      <w:sz w:val="22"/>
                      <w:szCs w:val="22"/>
                    </w:rPr>
                  </w:pPr>
                  <w:r>
                    <w:rPr>
                      <w:rFonts w:hint="eastAsia"/>
                      <w:sz w:val="22"/>
                      <w:szCs w:val="22"/>
                    </w:rPr>
                    <w:t>3</w:t>
                  </w:r>
                  <w:r>
                    <w:rPr>
                      <w:sz w:val="22"/>
                      <w:szCs w:val="22"/>
                    </w:rPr>
                    <w:t>9.7</w:t>
                  </w:r>
                </w:p>
              </w:tc>
              <w:tc>
                <w:tcPr>
                  <w:tcW w:w="709" w:type="dxa"/>
                  <w:vMerge w:val="continue"/>
                  <w:vAlign w:val="center"/>
                </w:tcPr>
                <w:p>
                  <w:pPr>
                    <w:jc w:val="center"/>
                    <w:rPr>
                      <w:sz w:val="21"/>
                      <w:szCs w:val="21"/>
                    </w:rPr>
                  </w:pPr>
                </w:p>
              </w:tc>
              <w:tc>
                <w:tcPr>
                  <w:tcW w:w="796" w:type="dxa"/>
                  <w:vMerge w:val="continue"/>
                  <w:vAlign w:val="center"/>
                </w:tcPr>
                <w:p>
                  <w:pPr>
                    <w:jc w:val="center"/>
                    <w:rPr>
                      <w:sz w:val="21"/>
                      <w:szCs w:val="21"/>
                    </w:rPr>
                  </w:pPr>
                </w:p>
              </w:tc>
              <w:tc>
                <w:tcPr>
                  <w:tcW w:w="2050" w:type="dxa"/>
                  <w:vAlign w:val="center"/>
                </w:tcPr>
                <w:p>
                  <w:pPr>
                    <w:jc w:val="center"/>
                    <w:rPr>
                      <w:sz w:val="21"/>
                      <w:szCs w:val="21"/>
                    </w:rPr>
                  </w:pPr>
                  <w:r>
                    <w:rPr>
                      <w:sz w:val="21"/>
                      <w:szCs w:val="21"/>
                    </w:rPr>
                    <w:t>昼夜间均达标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572" w:type="dxa"/>
                  <w:vMerge w:val="restart"/>
                  <w:vAlign w:val="center"/>
                </w:tcPr>
                <w:p>
                  <w:pPr>
                    <w:pStyle w:val="153"/>
                    <w:spacing w:line="240" w:lineRule="auto"/>
                    <w:rPr>
                      <w:sz w:val="21"/>
                      <w:szCs w:val="21"/>
                    </w:rPr>
                  </w:pPr>
                  <w:r>
                    <w:rPr>
                      <w:rFonts w:hint="eastAsia"/>
                      <w:sz w:val="21"/>
                      <w:szCs w:val="21"/>
                      <w:lang w:val="en-US" w:eastAsia="zh-CN"/>
                    </w:rPr>
                    <w:t>N</w:t>
                  </w:r>
                  <w:r>
                    <w:rPr>
                      <w:rFonts w:hint="eastAsia"/>
                      <w:sz w:val="21"/>
                      <w:szCs w:val="21"/>
                    </w:rPr>
                    <w:t>4</w:t>
                  </w:r>
                </w:p>
              </w:tc>
              <w:tc>
                <w:tcPr>
                  <w:tcW w:w="1237" w:type="dxa"/>
                  <w:vAlign w:val="center"/>
                </w:tcPr>
                <w:p>
                  <w:pPr>
                    <w:pStyle w:val="153"/>
                    <w:spacing w:line="240" w:lineRule="auto"/>
                    <w:rPr>
                      <w:sz w:val="21"/>
                      <w:szCs w:val="21"/>
                    </w:rPr>
                  </w:pPr>
                  <w:r>
                    <w:rPr>
                      <w:sz w:val="21"/>
                      <w:szCs w:val="21"/>
                    </w:rPr>
                    <w:t>201</w:t>
                  </w:r>
                  <w:r>
                    <w:rPr>
                      <w:rFonts w:hint="eastAsia"/>
                      <w:sz w:val="21"/>
                      <w:szCs w:val="21"/>
                    </w:rPr>
                    <w:t>9.</w:t>
                  </w:r>
                  <w:r>
                    <w:rPr>
                      <w:rFonts w:hint="eastAsia"/>
                      <w:sz w:val="21"/>
                      <w:szCs w:val="21"/>
                      <w:lang w:val="en-US" w:eastAsia="zh-CN"/>
                    </w:rPr>
                    <w:t>8</w:t>
                  </w:r>
                  <w:r>
                    <w:rPr>
                      <w:sz w:val="21"/>
                      <w:szCs w:val="21"/>
                    </w:rPr>
                    <w:t>.16</w:t>
                  </w:r>
                </w:p>
              </w:tc>
              <w:tc>
                <w:tcPr>
                  <w:tcW w:w="1463" w:type="dxa"/>
                </w:tcPr>
                <w:p>
                  <w:pPr>
                    <w:jc w:val="center"/>
                    <w:rPr>
                      <w:sz w:val="22"/>
                      <w:szCs w:val="22"/>
                    </w:rPr>
                  </w:pPr>
                  <w:r>
                    <w:rPr>
                      <w:rFonts w:hint="eastAsia"/>
                      <w:sz w:val="22"/>
                      <w:szCs w:val="22"/>
                    </w:rPr>
                    <w:t>5</w:t>
                  </w:r>
                  <w:r>
                    <w:rPr>
                      <w:sz w:val="22"/>
                      <w:szCs w:val="22"/>
                    </w:rPr>
                    <w:t>2.4</w:t>
                  </w:r>
                </w:p>
              </w:tc>
              <w:tc>
                <w:tcPr>
                  <w:tcW w:w="1701" w:type="dxa"/>
                </w:tcPr>
                <w:p>
                  <w:pPr>
                    <w:jc w:val="center"/>
                    <w:rPr>
                      <w:sz w:val="22"/>
                      <w:szCs w:val="22"/>
                    </w:rPr>
                  </w:pPr>
                  <w:r>
                    <w:rPr>
                      <w:sz w:val="22"/>
                      <w:szCs w:val="22"/>
                    </w:rPr>
                    <w:t>42.5</w:t>
                  </w:r>
                </w:p>
              </w:tc>
              <w:tc>
                <w:tcPr>
                  <w:tcW w:w="709" w:type="dxa"/>
                  <w:vMerge w:val="continue"/>
                  <w:vAlign w:val="center"/>
                </w:tcPr>
                <w:p>
                  <w:pPr>
                    <w:jc w:val="center"/>
                    <w:rPr>
                      <w:sz w:val="22"/>
                      <w:szCs w:val="22"/>
                    </w:rPr>
                  </w:pPr>
                </w:p>
              </w:tc>
              <w:tc>
                <w:tcPr>
                  <w:tcW w:w="796" w:type="dxa"/>
                  <w:vMerge w:val="continue"/>
                  <w:vAlign w:val="center"/>
                </w:tcPr>
                <w:p>
                  <w:pPr>
                    <w:jc w:val="center"/>
                    <w:rPr>
                      <w:sz w:val="22"/>
                      <w:szCs w:val="22"/>
                    </w:rPr>
                  </w:pPr>
                </w:p>
              </w:tc>
              <w:tc>
                <w:tcPr>
                  <w:tcW w:w="2050" w:type="dxa"/>
                  <w:vAlign w:val="center"/>
                </w:tcPr>
                <w:p>
                  <w:pPr>
                    <w:jc w:val="center"/>
                    <w:rPr>
                      <w:sz w:val="21"/>
                      <w:szCs w:val="21"/>
                    </w:rPr>
                  </w:pPr>
                  <w:r>
                    <w:rPr>
                      <w:sz w:val="21"/>
                      <w:szCs w:val="21"/>
                    </w:rPr>
                    <w:t>昼夜间均达标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572" w:type="dxa"/>
                  <w:vMerge w:val="continue"/>
                  <w:vAlign w:val="center"/>
                </w:tcPr>
                <w:p>
                  <w:pPr>
                    <w:pStyle w:val="153"/>
                    <w:spacing w:line="240" w:lineRule="auto"/>
                    <w:rPr>
                      <w:sz w:val="21"/>
                      <w:szCs w:val="21"/>
                    </w:rPr>
                  </w:pPr>
                </w:p>
              </w:tc>
              <w:tc>
                <w:tcPr>
                  <w:tcW w:w="1237" w:type="dxa"/>
                  <w:vAlign w:val="center"/>
                </w:tcPr>
                <w:p>
                  <w:pPr>
                    <w:pStyle w:val="153"/>
                    <w:spacing w:line="240" w:lineRule="auto"/>
                    <w:rPr>
                      <w:sz w:val="21"/>
                      <w:szCs w:val="21"/>
                    </w:rPr>
                  </w:pPr>
                  <w:r>
                    <w:rPr>
                      <w:sz w:val="21"/>
                      <w:szCs w:val="21"/>
                    </w:rPr>
                    <w:t>201</w:t>
                  </w:r>
                  <w:r>
                    <w:rPr>
                      <w:rFonts w:hint="eastAsia"/>
                      <w:sz w:val="21"/>
                      <w:szCs w:val="21"/>
                    </w:rPr>
                    <w:t>9.</w:t>
                  </w:r>
                  <w:r>
                    <w:rPr>
                      <w:rFonts w:hint="eastAsia"/>
                      <w:sz w:val="21"/>
                      <w:szCs w:val="21"/>
                      <w:lang w:val="en-US" w:eastAsia="zh-CN"/>
                    </w:rPr>
                    <w:t>8</w:t>
                  </w:r>
                  <w:r>
                    <w:rPr>
                      <w:sz w:val="21"/>
                      <w:szCs w:val="21"/>
                    </w:rPr>
                    <w:t>.17</w:t>
                  </w:r>
                </w:p>
              </w:tc>
              <w:tc>
                <w:tcPr>
                  <w:tcW w:w="1463" w:type="dxa"/>
                </w:tcPr>
                <w:p>
                  <w:pPr>
                    <w:jc w:val="center"/>
                    <w:rPr>
                      <w:sz w:val="22"/>
                      <w:szCs w:val="22"/>
                    </w:rPr>
                  </w:pPr>
                  <w:r>
                    <w:rPr>
                      <w:rFonts w:hint="eastAsia"/>
                      <w:sz w:val="22"/>
                      <w:szCs w:val="22"/>
                    </w:rPr>
                    <w:t>5</w:t>
                  </w:r>
                  <w:r>
                    <w:rPr>
                      <w:sz w:val="22"/>
                      <w:szCs w:val="22"/>
                    </w:rPr>
                    <w:t>2.6</w:t>
                  </w:r>
                </w:p>
              </w:tc>
              <w:tc>
                <w:tcPr>
                  <w:tcW w:w="1701" w:type="dxa"/>
                </w:tcPr>
                <w:p>
                  <w:pPr>
                    <w:jc w:val="center"/>
                    <w:rPr>
                      <w:sz w:val="22"/>
                      <w:szCs w:val="22"/>
                    </w:rPr>
                  </w:pPr>
                  <w:r>
                    <w:rPr>
                      <w:rFonts w:hint="eastAsia"/>
                      <w:sz w:val="22"/>
                      <w:szCs w:val="22"/>
                    </w:rPr>
                    <w:t>4</w:t>
                  </w:r>
                  <w:r>
                    <w:rPr>
                      <w:sz w:val="22"/>
                      <w:szCs w:val="22"/>
                    </w:rPr>
                    <w:t>1.8</w:t>
                  </w:r>
                </w:p>
              </w:tc>
              <w:tc>
                <w:tcPr>
                  <w:tcW w:w="709" w:type="dxa"/>
                  <w:vMerge w:val="continue"/>
                  <w:vAlign w:val="center"/>
                </w:tcPr>
                <w:p>
                  <w:pPr>
                    <w:pStyle w:val="153"/>
                    <w:spacing w:line="240" w:lineRule="auto"/>
                    <w:rPr>
                      <w:sz w:val="21"/>
                      <w:szCs w:val="21"/>
                    </w:rPr>
                  </w:pPr>
                </w:p>
              </w:tc>
              <w:tc>
                <w:tcPr>
                  <w:tcW w:w="796" w:type="dxa"/>
                  <w:vMerge w:val="continue"/>
                  <w:vAlign w:val="center"/>
                </w:tcPr>
                <w:p>
                  <w:pPr>
                    <w:pStyle w:val="153"/>
                    <w:spacing w:line="240" w:lineRule="auto"/>
                    <w:rPr>
                      <w:sz w:val="21"/>
                      <w:szCs w:val="21"/>
                    </w:rPr>
                  </w:pPr>
                </w:p>
              </w:tc>
              <w:tc>
                <w:tcPr>
                  <w:tcW w:w="2050" w:type="dxa"/>
                  <w:vAlign w:val="center"/>
                </w:tcPr>
                <w:p>
                  <w:pPr>
                    <w:jc w:val="center"/>
                    <w:rPr>
                      <w:sz w:val="21"/>
                      <w:szCs w:val="21"/>
                    </w:rPr>
                  </w:pPr>
                  <w:r>
                    <w:rPr>
                      <w:sz w:val="21"/>
                      <w:szCs w:val="21"/>
                    </w:rPr>
                    <w:t>昼夜间均达标</w:t>
                  </w:r>
                </w:p>
              </w:tc>
            </w:tr>
          </w:tbl>
          <w:p>
            <w:pPr>
              <w:ind w:firstLine="480"/>
              <w:rPr>
                <w:sz w:val="24"/>
              </w:rPr>
            </w:pPr>
            <w:r>
              <w:rPr>
                <w:sz w:val="24"/>
              </w:rPr>
              <w:t>监测结果</w:t>
            </w:r>
            <w:r>
              <w:rPr>
                <w:rFonts w:hint="eastAsia"/>
                <w:sz w:val="24"/>
              </w:rPr>
              <w:t>表明</w:t>
            </w:r>
            <w:r>
              <w:rPr>
                <w:sz w:val="24"/>
              </w:rPr>
              <w:t>：评价区域声环境质量较好，</w:t>
            </w:r>
            <w:r>
              <w:rPr>
                <w:rFonts w:hint="eastAsia"/>
                <w:sz w:val="24"/>
              </w:rPr>
              <w:t>各监测点</w:t>
            </w:r>
            <w:r>
              <w:rPr>
                <w:sz w:val="24"/>
              </w:rPr>
              <w:t>昼夜间噪声监测值均</w:t>
            </w:r>
            <w:r>
              <w:rPr>
                <w:rFonts w:hint="eastAsia"/>
                <w:sz w:val="24"/>
              </w:rPr>
              <w:t>能</w:t>
            </w:r>
            <w:r>
              <w:rPr>
                <w:sz w:val="24"/>
              </w:rPr>
              <w:t>达到GB3096-2008《声环境质量标准》中</w:t>
            </w:r>
            <w:r>
              <w:rPr>
                <w:rFonts w:hint="eastAsia"/>
                <w:sz w:val="24"/>
              </w:rPr>
              <w:t>2类</w:t>
            </w:r>
            <w:r>
              <w:rPr>
                <w:sz w:val="24"/>
              </w:rPr>
              <w:t>标准</w:t>
            </w:r>
            <w:r>
              <w:rPr>
                <w:rFonts w:hint="eastAsia"/>
                <w:sz w:val="24"/>
              </w:rPr>
              <w:t>要求，满足相应声功能区要求</w:t>
            </w:r>
            <w:r>
              <w:rPr>
                <w:sz w:val="24"/>
              </w:rPr>
              <w:t>。</w:t>
            </w:r>
          </w:p>
          <w:p>
            <w:pPr>
              <w:pStyle w:val="21"/>
              <w:spacing w:line="240" w:lineRule="auto"/>
              <w:ind w:firstLine="482" w:firstLineChars="200"/>
              <w:rPr>
                <w:b/>
                <w:bCs/>
                <w:sz w:val="24"/>
              </w:rPr>
            </w:pPr>
            <w:r>
              <w:rPr>
                <w:rFonts w:hint="eastAsia"/>
                <w:b/>
                <w:sz w:val="24"/>
              </w:rPr>
              <w:t>四</w:t>
            </w:r>
            <w:r>
              <w:rPr>
                <w:b/>
                <w:sz w:val="24"/>
              </w:rPr>
              <w:t>、生态环境状况</w:t>
            </w:r>
          </w:p>
          <w:p>
            <w:pPr>
              <w:adjustRightInd w:val="0"/>
              <w:snapToGrid w:val="0"/>
              <w:spacing w:line="360" w:lineRule="auto"/>
              <w:ind w:firstLine="482" w:firstLineChars="200"/>
              <w:rPr>
                <w:b/>
                <w:color w:val="000000"/>
                <w:sz w:val="24"/>
              </w:rPr>
            </w:pPr>
            <w:r>
              <w:rPr>
                <w:b/>
                <w:color w:val="000000"/>
                <w:sz w:val="24"/>
              </w:rPr>
              <w:t>1、土壤</w:t>
            </w:r>
          </w:p>
          <w:p>
            <w:pPr>
              <w:adjustRightInd w:val="0"/>
              <w:snapToGrid w:val="0"/>
              <w:spacing w:line="360" w:lineRule="auto"/>
              <w:ind w:firstLine="480" w:firstLineChars="200"/>
              <w:rPr>
                <w:kern w:val="0"/>
                <w:sz w:val="24"/>
              </w:rPr>
            </w:pPr>
            <w:r>
              <w:rPr>
                <w:rFonts w:hint="eastAsia"/>
                <w:kern w:val="0"/>
                <w:sz w:val="24"/>
              </w:rPr>
              <w:t>区域内土壤主要是红壤，还有黄壤、砂红壤、紫色土、雉冠土等。经人为耕作影响形成熟化的农业土壤，原土壤肥沃、性能良好，适宜多种作物生长。</w:t>
            </w:r>
          </w:p>
          <w:p>
            <w:pPr>
              <w:adjustRightInd w:val="0"/>
              <w:snapToGrid w:val="0"/>
              <w:spacing w:line="360" w:lineRule="auto"/>
              <w:ind w:firstLine="482" w:firstLineChars="200"/>
              <w:rPr>
                <w:b/>
                <w:color w:val="000000"/>
                <w:sz w:val="24"/>
              </w:rPr>
            </w:pPr>
            <w:r>
              <w:rPr>
                <w:rFonts w:hint="eastAsia"/>
                <w:b/>
                <w:color w:val="000000"/>
                <w:sz w:val="24"/>
              </w:rPr>
              <w:t>2</w:t>
            </w:r>
            <w:r>
              <w:rPr>
                <w:b/>
                <w:color w:val="000000"/>
                <w:sz w:val="24"/>
              </w:rPr>
              <w:t>、植物资源</w:t>
            </w:r>
          </w:p>
          <w:p>
            <w:pPr>
              <w:adjustRightInd w:val="0"/>
              <w:snapToGrid w:val="0"/>
              <w:spacing w:line="336" w:lineRule="auto"/>
              <w:ind w:firstLine="480" w:firstLineChars="200"/>
              <w:rPr>
                <w:sz w:val="24"/>
              </w:rPr>
            </w:pPr>
            <w:r>
              <w:rPr>
                <w:sz w:val="24"/>
              </w:rPr>
              <w:t>项目</w:t>
            </w:r>
            <w:r>
              <w:rPr>
                <w:rFonts w:hint="eastAsia"/>
                <w:sz w:val="24"/>
              </w:rPr>
              <w:t>所在</w:t>
            </w:r>
            <w:r>
              <w:rPr>
                <w:sz w:val="24"/>
              </w:rPr>
              <w:t>区域分布有菜地、水塘、荒地等，植物以杂木、灌草、农业植被为主。</w:t>
            </w:r>
          </w:p>
          <w:p>
            <w:pPr>
              <w:adjustRightInd w:val="0"/>
              <w:snapToGrid w:val="0"/>
              <w:spacing w:line="336" w:lineRule="auto"/>
              <w:ind w:firstLine="480" w:firstLineChars="200"/>
              <w:rPr>
                <w:sz w:val="24"/>
              </w:rPr>
            </w:pPr>
            <w:r>
              <w:rPr>
                <w:sz w:val="24"/>
              </w:rPr>
              <w:t>（1）杂木灌丛：主要分布于已有人为活动频繁区域附近的山坡地带，建群种以阔叶树种为主。</w:t>
            </w:r>
          </w:p>
          <w:p>
            <w:pPr>
              <w:adjustRightInd w:val="0"/>
              <w:snapToGrid w:val="0"/>
              <w:spacing w:line="336" w:lineRule="auto"/>
              <w:ind w:firstLine="480" w:firstLineChars="200"/>
              <w:rPr>
                <w:sz w:val="24"/>
              </w:rPr>
            </w:pPr>
            <w:r>
              <w:rPr>
                <w:sz w:val="24"/>
              </w:rPr>
              <w:t>（2）灌草丛：主要分布在道路两侧的荒地间和农灌水系周围及一些低丘岗地，成条状和块状分布，以茅草等禾草类为优势种，夹杂一些零星的灌木树种，高度在1米以下，为人类强烈干扰衍生的植被。</w:t>
            </w:r>
          </w:p>
          <w:p>
            <w:pPr>
              <w:adjustRightInd w:val="0"/>
              <w:snapToGrid w:val="0"/>
              <w:spacing w:line="336" w:lineRule="auto"/>
              <w:ind w:firstLine="480" w:firstLineChars="200"/>
              <w:rPr>
                <w:sz w:val="24"/>
              </w:rPr>
            </w:pPr>
            <w:r>
              <w:rPr>
                <w:sz w:val="24"/>
              </w:rPr>
              <w:t>（3）农作物植被：以蔬菜为主，种植量较少，分布于区域内的</w:t>
            </w:r>
            <w:r>
              <w:rPr>
                <w:rFonts w:hint="eastAsia"/>
                <w:sz w:val="24"/>
              </w:rPr>
              <w:t>平缓地带及山体周边，主要为</w:t>
            </w:r>
            <w:r>
              <w:rPr>
                <w:sz w:val="24"/>
              </w:rPr>
              <w:t>旱地、菜地。</w:t>
            </w:r>
          </w:p>
          <w:p>
            <w:pPr>
              <w:adjustRightInd w:val="0"/>
              <w:snapToGrid w:val="0"/>
              <w:spacing w:line="360" w:lineRule="auto"/>
              <w:ind w:firstLine="482" w:firstLineChars="200"/>
              <w:rPr>
                <w:b/>
                <w:color w:val="000000"/>
                <w:sz w:val="24"/>
              </w:rPr>
            </w:pPr>
            <w:r>
              <w:rPr>
                <w:rFonts w:hint="eastAsia"/>
                <w:b/>
                <w:color w:val="000000"/>
                <w:sz w:val="24"/>
              </w:rPr>
              <w:t>3</w:t>
            </w:r>
            <w:r>
              <w:rPr>
                <w:b/>
                <w:color w:val="000000"/>
                <w:sz w:val="24"/>
              </w:rPr>
              <w:t>、动物资源</w:t>
            </w:r>
          </w:p>
          <w:p>
            <w:pPr>
              <w:adjustRightInd w:val="0"/>
              <w:snapToGrid w:val="0"/>
              <w:spacing w:line="360" w:lineRule="auto"/>
              <w:ind w:firstLine="480" w:firstLineChars="200"/>
              <w:rPr>
                <w:sz w:val="24"/>
              </w:rPr>
            </w:pPr>
            <w:r>
              <w:rPr>
                <w:sz w:val="24"/>
              </w:rPr>
              <w:t>项目</w:t>
            </w:r>
            <w:r>
              <w:rPr>
                <w:rFonts w:hint="eastAsia"/>
                <w:sz w:val="24"/>
              </w:rPr>
              <w:t>区域</w:t>
            </w:r>
            <w:r>
              <w:rPr>
                <w:sz w:val="24"/>
              </w:rPr>
              <w:t>受长期和频繁的人类活动影响，区域土地资源的利用已达到很高的程度，大型野生动物已经绝迹。受到人类长期活动影响的地方，野生动物的生存环境基本上已经遭到破坏。野生动物多为适应耕地和居民点的种类，林栖鸟类较少见，而以盗食谷物的鼠类和鸟类居多，生活于水田区捕食昆虫、鼠类的两栖类、爬行类动物较多，主要野生动物有蛙、田鼠、蛇等。当地常见家畜、家禽主要有猪、牛、羊、兔、鸡、鸭、鹅等。</w:t>
            </w:r>
          </w:p>
          <w:p>
            <w:pPr>
              <w:ind w:firstLine="480" w:firstLineChars="200"/>
              <w:rPr>
                <w:sz w:val="24"/>
              </w:rPr>
            </w:pPr>
            <w:r>
              <w:rPr>
                <w:sz w:val="24"/>
              </w:rPr>
              <w:t>据项目组现场咨询、调查，本项目</w:t>
            </w:r>
            <w:r>
              <w:rPr>
                <w:rFonts w:hint="eastAsia"/>
                <w:sz w:val="24"/>
              </w:rPr>
              <w:t>区域</w:t>
            </w:r>
            <w:r>
              <w:rPr>
                <w:sz w:val="24"/>
              </w:rPr>
              <w:t>范围内未发现珍贵的野生动、植物濒危物种。</w:t>
            </w:r>
          </w:p>
          <w:p>
            <w:pPr>
              <w:ind w:firstLine="480" w:firstLineChars="200"/>
              <w:rPr>
                <w:sz w:val="24"/>
              </w:rPr>
            </w:pPr>
          </w:p>
        </w:tc>
      </w:tr>
    </w:tbl>
    <w:p>
      <w:pPr>
        <w:pStyle w:val="20"/>
        <w:spacing w:line="240" w:lineRule="auto"/>
        <w:rPr>
          <w:rFonts w:cs="宋体"/>
          <w:sz w:val="24"/>
        </w:rPr>
        <w:sectPr>
          <w:footerReference r:id="rId5" w:type="default"/>
          <w:pgSz w:w="11907" w:h="16840"/>
          <w:pgMar w:top="1440" w:right="1417" w:bottom="1440" w:left="1417" w:header="992" w:footer="850" w:gutter="0"/>
          <w:pgBorders>
            <w:top w:val="none" w:sz="0" w:space="0"/>
            <w:left w:val="none" w:sz="0" w:space="0"/>
            <w:bottom w:val="none" w:sz="0" w:space="0"/>
            <w:right w:val="none" w:sz="0" w:space="0"/>
          </w:pgBorders>
          <w:pgNumType w:start="1"/>
          <w:cols w:space="720" w:num="1"/>
          <w:docGrid w:type="lines" w:linePitch="436" w:charSpace="0"/>
        </w:sectPr>
      </w:pPr>
    </w:p>
    <w:tbl>
      <w:tblPr>
        <w:tblStyle w:val="43"/>
        <w:tblW w:w="143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1" w:hRule="atLeast"/>
          <w:jc w:val="center"/>
        </w:trPr>
        <w:tc>
          <w:tcPr>
            <w:tcW w:w="14398" w:type="dxa"/>
          </w:tcPr>
          <w:p>
            <w:pPr>
              <w:rPr>
                <w:rFonts w:cs="宋体"/>
                <w:b/>
                <w:bCs/>
                <w:sz w:val="24"/>
              </w:rPr>
            </w:pPr>
            <w:r>
              <w:rPr>
                <w:rFonts w:hint="eastAsia" w:cs="宋体"/>
                <w:b/>
                <w:bCs/>
                <w:sz w:val="24"/>
              </w:rPr>
              <w:t>主要环境保护目标（列出名单及保护级别）：</w:t>
            </w:r>
          </w:p>
          <w:p>
            <w:pPr>
              <w:ind w:firstLine="480" w:firstLineChars="200"/>
              <w:rPr>
                <w:sz w:val="24"/>
              </w:rPr>
            </w:pPr>
            <w:r>
              <w:rPr>
                <w:color w:val="000000"/>
                <w:sz w:val="24"/>
              </w:rPr>
              <w:t>本项目评价范围内的</w:t>
            </w:r>
            <w:r>
              <w:rPr>
                <w:rFonts w:hint="eastAsia"/>
                <w:color w:val="000000"/>
                <w:sz w:val="24"/>
              </w:rPr>
              <w:t>主要环境空气保护目标</w:t>
            </w:r>
            <w:r>
              <w:rPr>
                <w:color w:val="000000"/>
                <w:sz w:val="24"/>
              </w:rPr>
              <w:t>具体情况详见表</w:t>
            </w:r>
            <w:r>
              <w:rPr>
                <w:rFonts w:hint="eastAsia"/>
                <w:color w:val="000000"/>
                <w:sz w:val="24"/>
              </w:rPr>
              <w:t>23</w:t>
            </w:r>
            <w:r>
              <w:rPr>
                <w:sz w:val="24"/>
              </w:rPr>
              <w:t>。</w:t>
            </w:r>
          </w:p>
          <w:p>
            <w:pPr>
              <w:adjustRightInd w:val="0"/>
              <w:snapToGrid w:val="0"/>
              <w:spacing w:line="360" w:lineRule="auto"/>
              <w:ind w:firstLine="420" w:firstLineChars="200"/>
              <w:jc w:val="center"/>
              <w:rPr>
                <w:b/>
                <w:bCs/>
                <w:color w:val="000000"/>
                <w:sz w:val="21"/>
                <w:szCs w:val="21"/>
              </w:rPr>
            </w:pPr>
            <w:r>
              <w:rPr>
                <w:rFonts w:hint="eastAsia"/>
                <w:b/>
                <w:bCs/>
                <w:color w:val="000000"/>
                <w:sz w:val="21"/>
                <w:szCs w:val="21"/>
              </w:rPr>
              <w:t>表23</w:t>
            </w:r>
            <w:r>
              <w:rPr>
                <w:b/>
                <w:bCs/>
                <w:color w:val="000000"/>
                <w:sz w:val="21"/>
                <w:szCs w:val="21"/>
              </w:rPr>
              <w:t xml:space="preserve">  </w:t>
            </w:r>
            <w:r>
              <w:rPr>
                <w:rFonts w:hint="eastAsia"/>
                <w:b/>
                <w:bCs/>
                <w:color w:val="000000"/>
                <w:sz w:val="21"/>
                <w:szCs w:val="21"/>
              </w:rPr>
              <w:t>项目环境保护目标统计表</w:t>
            </w:r>
          </w:p>
          <w:tbl>
            <w:tblPr>
              <w:tblStyle w:val="43"/>
              <w:tblW w:w="14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2191"/>
              <w:gridCol w:w="3206"/>
              <w:gridCol w:w="2044"/>
              <w:gridCol w:w="1168"/>
              <w:gridCol w:w="1749"/>
              <w:gridCol w:w="2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blHeader/>
              </w:trPr>
              <w:tc>
                <w:tcPr>
                  <w:tcW w:w="1161"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color w:val="auto"/>
                      <w:sz w:val="21"/>
                      <w:szCs w:val="21"/>
                      <w:u w:val="none"/>
                    </w:rPr>
                  </w:pPr>
                  <w:r>
                    <w:rPr>
                      <w:rFonts w:hint="eastAsia"/>
                      <w:b/>
                      <w:color w:val="auto"/>
                      <w:sz w:val="21"/>
                      <w:szCs w:val="21"/>
                      <w:u w:val="none"/>
                    </w:rPr>
                    <w:t>环境类别</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color w:val="auto"/>
                      <w:sz w:val="21"/>
                      <w:szCs w:val="21"/>
                      <w:u w:val="none"/>
                    </w:rPr>
                  </w:pPr>
                  <w:r>
                    <w:rPr>
                      <w:rFonts w:hint="eastAsia"/>
                      <w:b/>
                      <w:color w:val="auto"/>
                      <w:sz w:val="21"/>
                      <w:szCs w:val="21"/>
                      <w:u w:val="none"/>
                    </w:rPr>
                    <w:t>环境保护目标</w:t>
                  </w:r>
                </w:p>
              </w:tc>
              <w:tc>
                <w:tcPr>
                  <w:tcW w:w="3206" w:type="dxa"/>
                  <w:tcBorders>
                    <w:top w:val="single" w:color="auto" w:sz="4" w:space="0"/>
                    <w:left w:val="single" w:color="auto" w:sz="4" w:space="0"/>
                    <w:bottom w:val="single" w:color="auto" w:sz="4" w:space="0"/>
                    <w:right w:val="single" w:color="auto" w:sz="4" w:space="0"/>
                  </w:tcBorders>
                </w:tcPr>
                <w:p>
                  <w:pPr>
                    <w:widowControl/>
                    <w:spacing w:line="0" w:lineRule="atLeast"/>
                    <w:jc w:val="center"/>
                    <w:rPr>
                      <w:b/>
                      <w:color w:val="auto"/>
                      <w:sz w:val="21"/>
                      <w:szCs w:val="21"/>
                      <w:u w:val="none"/>
                    </w:rPr>
                  </w:pPr>
                  <w:r>
                    <w:rPr>
                      <w:rFonts w:hint="eastAsia"/>
                      <w:b/>
                      <w:color w:val="auto"/>
                      <w:sz w:val="21"/>
                      <w:szCs w:val="21"/>
                      <w:u w:val="none"/>
                    </w:rPr>
                    <w:t>坐标</w:t>
                  </w:r>
                </w:p>
              </w:tc>
              <w:tc>
                <w:tcPr>
                  <w:tcW w:w="204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color w:val="auto"/>
                      <w:sz w:val="21"/>
                      <w:szCs w:val="21"/>
                      <w:u w:val="none"/>
                    </w:rPr>
                  </w:pPr>
                  <w:r>
                    <w:rPr>
                      <w:rFonts w:hint="eastAsia"/>
                      <w:b/>
                      <w:color w:val="auto"/>
                      <w:sz w:val="21"/>
                      <w:szCs w:val="21"/>
                      <w:u w:val="none"/>
                    </w:rPr>
                    <w:t>特征</w:t>
                  </w:r>
                </w:p>
              </w:tc>
              <w:tc>
                <w:tcPr>
                  <w:tcW w:w="1168"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color w:val="auto"/>
                      <w:sz w:val="21"/>
                      <w:szCs w:val="21"/>
                      <w:u w:val="none"/>
                    </w:rPr>
                  </w:pPr>
                  <w:r>
                    <w:rPr>
                      <w:rFonts w:hint="eastAsia"/>
                      <w:b/>
                      <w:color w:val="auto"/>
                      <w:sz w:val="21"/>
                      <w:szCs w:val="21"/>
                      <w:u w:val="none"/>
                    </w:rPr>
                    <w:t>方位</w:t>
                  </w:r>
                </w:p>
              </w:tc>
              <w:tc>
                <w:tcPr>
                  <w:tcW w:w="174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color w:val="auto"/>
                      <w:sz w:val="21"/>
                      <w:szCs w:val="21"/>
                      <w:u w:val="none"/>
                    </w:rPr>
                  </w:pPr>
                  <w:r>
                    <w:rPr>
                      <w:rFonts w:hint="eastAsia"/>
                      <w:b/>
                      <w:color w:val="auto"/>
                      <w:sz w:val="21"/>
                      <w:szCs w:val="21"/>
                      <w:u w:val="none"/>
                    </w:rPr>
                    <w:t>距离(m)</w:t>
                  </w:r>
                </w:p>
              </w:tc>
              <w:tc>
                <w:tcPr>
                  <w:tcW w:w="2653"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color w:val="auto"/>
                      <w:sz w:val="21"/>
                      <w:szCs w:val="21"/>
                      <w:u w:val="none"/>
                    </w:rPr>
                  </w:pPr>
                  <w:r>
                    <w:rPr>
                      <w:rFonts w:hint="eastAsia"/>
                      <w:b/>
                      <w:color w:val="auto"/>
                      <w:sz w:val="21"/>
                      <w:szCs w:val="21"/>
                      <w:u w:val="none"/>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blHeader/>
              </w:trPr>
              <w:tc>
                <w:tcPr>
                  <w:tcW w:w="1161" w:type="dxa"/>
                  <w:tcBorders>
                    <w:top w:val="single" w:color="auto" w:sz="4" w:space="0"/>
                    <w:left w:val="single" w:color="auto" w:sz="4" w:space="0"/>
                    <w:right w:val="single" w:color="auto" w:sz="4" w:space="0"/>
                  </w:tcBorders>
                  <w:vAlign w:val="center"/>
                </w:tcPr>
                <w:p>
                  <w:pPr>
                    <w:pStyle w:val="42"/>
                    <w:ind w:left="0" w:leftChars="0" w:firstLine="0" w:firstLineChars="0"/>
                    <w:jc w:val="both"/>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eastAsia="宋体" w:cs="Times New Roman"/>
                      <w:color w:val="auto"/>
                      <w:kern w:val="2"/>
                      <w:sz w:val="21"/>
                      <w:szCs w:val="21"/>
                      <w:u w:val="none"/>
                      <w:lang w:val="en-US" w:eastAsia="zh-CN" w:bidi="ar-SA"/>
                    </w:rPr>
                    <w:t>环境空气</w:t>
                  </w:r>
                </w:p>
                <w:p>
                  <w:pPr>
                    <w:spacing w:line="0" w:lineRule="atLeast"/>
                    <w:jc w:val="center"/>
                    <w:rPr>
                      <w:rFonts w:hint="eastAsia" w:ascii="Times New Roman" w:hAnsi="Times New Roman" w:eastAsia="宋体" w:cs="Times New Roman"/>
                      <w:color w:val="auto"/>
                      <w:kern w:val="2"/>
                      <w:sz w:val="21"/>
                      <w:szCs w:val="21"/>
                      <w:u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eastAsia="宋体" w:cs="Times New Roman"/>
                      <w:color w:val="auto"/>
                      <w:kern w:val="2"/>
                      <w:sz w:val="21"/>
                      <w:szCs w:val="21"/>
                      <w:u w:val="none"/>
                      <w:lang w:val="en-US" w:eastAsia="zh-CN" w:bidi="ar-SA"/>
                    </w:rPr>
                    <w:t>霞湾新村居民</w:t>
                  </w:r>
                </w:p>
              </w:tc>
              <w:tc>
                <w:tcPr>
                  <w:tcW w:w="3206"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auto"/>
                      <w:sz w:val="21"/>
                      <w:szCs w:val="21"/>
                      <w:u w:val="none"/>
                    </w:rPr>
                  </w:pPr>
                  <w:r>
                    <w:rPr>
                      <w:rFonts w:hint="eastAsia"/>
                      <w:color w:val="auto"/>
                      <w:sz w:val="21"/>
                      <w:szCs w:val="21"/>
                      <w:u w:val="none"/>
                    </w:rPr>
                    <w:t>东经</w:t>
                  </w:r>
                  <w:r>
                    <w:rPr>
                      <w:color w:val="auto"/>
                      <w:sz w:val="21"/>
                      <w:szCs w:val="21"/>
                      <w:u w:val="none"/>
                    </w:rPr>
                    <w:t>113.065422082</w:t>
                  </w:r>
                  <w:r>
                    <w:rPr>
                      <w:rFonts w:hint="eastAsia"/>
                      <w:color w:val="auto"/>
                      <w:sz w:val="21"/>
                      <w:szCs w:val="21"/>
                      <w:u w:val="none"/>
                    </w:rPr>
                    <w:t>，北纬</w:t>
                  </w:r>
                  <w:r>
                    <w:rPr>
                      <w:color w:val="auto"/>
                      <w:sz w:val="21"/>
                      <w:szCs w:val="21"/>
                      <w:u w:val="none"/>
                    </w:rPr>
                    <w:t>27.866162530</w:t>
                  </w:r>
                </w:p>
              </w:tc>
              <w:tc>
                <w:tcPr>
                  <w:tcW w:w="204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auto"/>
                      <w:sz w:val="21"/>
                      <w:szCs w:val="21"/>
                      <w:u w:val="none"/>
                    </w:rPr>
                  </w:pPr>
                  <w:r>
                    <w:rPr>
                      <w:rFonts w:hint="eastAsia"/>
                      <w:color w:val="auto"/>
                      <w:sz w:val="21"/>
                      <w:szCs w:val="21"/>
                      <w:u w:val="none"/>
                    </w:rPr>
                    <w:t>3户，属于棚改项目拆迁范围</w:t>
                  </w:r>
                </w:p>
              </w:tc>
              <w:tc>
                <w:tcPr>
                  <w:tcW w:w="1168"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auto"/>
                      <w:sz w:val="21"/>
                      <w:szCs w:val="21"/>
                      <w:u w:val="none"/>
                    </w:rPr>
                  </w:pPr>
                  <w:r>
                    <w:rPr>
                      <w:rFonts w:hint="eastAsia"/>
                      <w:color w:val="auto"/>
                      <w:sz w:val="21"/>
                      <w:szCs w:val="21"/>
                      <w:u w:val="none"/>
                    </w:rPr>
                    <w:t>项目</w:t>
                  </w:r>
                  <w:r>
                    <w:rPr>
                      <w:rFonts w:hint="eastAsia"/>
                      <w:color w:val="auto"/>
                      <w:sz w:val="21"/>
                      <w:szCs w:val="21"/>
                      <w:u w:val="none"/>
                      <w:lang w:eastAsia="zh-CN"/>
                    </w:rPr>
                    <w:t>东</w:t>
                  </w:r>
                  <w:r>
                    <w:rPr>
                      <w:rFonts w:hint="eastAsia"/>
                      <w:color w:val="auto"/>
                      <w:sz w:val="21"/>
                      <w:szCs w:val="21"/>
                      <w:u w:val="none"/>
                    </w:rPr>
                    <w:t>侧</w:t>
                  </w:r>
                </w:p>
              </w:tc>
              <w:tc>
                <w:tcPr>
                  <w:tcW w:w="174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eastAsia="宋体"/>
                      <w:color w:val="auto"/>
                      <w:sz w:val="21"/>
                      <w:szCs w:val="21"/>
                      <w:u w:val="none"/>
                      <w:lang w:eastAsia="zh-CN"/>
                    </w:rPr>
                  </w:pPr>
                  <w:r>
                    <w:rPr>
                      <w:rFonts w:hint="eastAsia"/>
                      <w:color w:val="auto"/>
                      <w:sz w:val="21"/>
                      <w:szCs w:val="21"/>
                      <w:u w:val="none"/>
                      <w:lang w:val="en-US" w:eastAsia="zh-CN"/>
                    </w:rPr>
                    <w:t>56</w:t>
                  </w:r>
                  <w:r>
                    <w:rPr>
                      <w:rFonts w:hint="eastAsia"/>
                      <w:color w:val="auto"/>
                      <w:sz w:val="21"/>
                      <w:szCs w:val="21"/>
                      <w:u w:val="none"/>
                    </w:rPr>
                    <w:t>m</w:t>
                  </w:r>
                  <w:r>
                    <w:rPr>
                      <w:rFonts w:hint="eastAsia"/>
                      <w:color w:val="auto"/>
                      <w:sz w:val="21"/>
                      <w:szCs w:val="21"/>
                      <w:u w:val="none"/>
                      <w:lang w:eastAsia="zh-CN"/>
                    </w:rPr>
                    <w:t>（距沥青站</w:t>
                  </w:r>
                  <w:r>
                    <w:rPr>
                      <w:rFonts w:hint="eastAsia"/>
                      <w:color w:val="auto"/>
                      <w:sz w:val="21"/>
                      <w:szCs w:val="21"/>
                      <w:u w:val="none"/>
                      <w:lang w:val="en-US" w:eastAsia="zh-CN"/>
                    </w:rPr>
                    <w:t>251m</w:t>
                  </w:r>
                  <w:r>
                    <w:rPr>
                      <w:rFonts w:hint="eastAsia"/>
                      <w:color w:val="auto"/>
                      <w:sz w:val="21"/>
                      <w:szCs w:val="21"/>
                      <w:u w:val="none"/>
                      <w:lang w:eastAsia="zh-CN"/>
                    </w:rPr>
                    <w:t>）</w:t>
                  </w:r>
                </w:p>
              </w:tc>
              <w:tc>
                <w:tcPr>
                  <w:tcW w:w="2653" w:type="dxa"/>
                  <w:tcBorders>
                    <w:top w:val="single" w:color="auto" w:sz="4" w:space="0"/>
                    <w:left w:val="single" w:color="auto" w:sz="4" w:space="0"/>
                    <w:right w:val="single" w:color="auto" w:sz="4" w:space="0"/>
                  </w:tcBorders>
                  <w:vAlign w:val="center"/>
                </w:tcPr>
                <w:p>
                  <w:pPr>
                    <w:spacing w:line="0" w:lineRule="atLeast"/>
                    <w:jc w:val="center"/>
                    <w:rPr>
                      <w:color w:val="auto"/>
                      <w:sz w:val="21"/>
                      <w:szCs w:val="21"/>
                      <w:u w:val="none"/>
                    </w:rPr>
                  </w:pPr>
                  <w:r>
                    <w:rPr>
                      <w:rFonts w:hint="eastAsia"/>
                      <w:color w:val="auto"/>
                      <w:sz w:val="21"/>
                      <w:szCs w:val="21"/>
                      <w:u w:val="none"/>
                    </w:rPr>
                    <w:t>《环境空气质量标准》</w:t>
                  </w:r>
                  <w:r>
                    <w:rPr>
                      <w:color w:val="auto"/>
                      <w:sz w:val="21"/>
                      <w:szCs w:val="21"/>
                      <w:u w:val="none"/>
                    </w:rPr>
                    <w:t>(GB3095-</w:t>
                  </w:r>
                  <w:r>
                    <w:rPr>
                      <w:rFonts w:hint="eastAsia"/>
                      <w:color w:val="auto"/>
                      <w:sz w:val="21"/>
                      <w:szCs w:val="21"/>
                      <w:u w:val="none"/>
                    </w:rPr>
                    <w:t>2012</w:t>
                  </w:r>
                  <w:r>
                    <w:rPr>
                      <w:color w:val="auto"/>
                      <w:sz w:val="21"/>
                      <w:szCs w:val="21"/>
                      <w:u w:val="none"/>
                    </w:rPr>
                    <w:t>)</w:t>
                  </w:r>
                  <w:r>
                    <w:rPr>
                      <w:rFonts w:hint="eastAsia"/>
                      <w:color w:val="auto"/>
                      <w:sz w:val="21"/>
                      <w:szCs w:val="21"/>
                      <w:u w:val="none"/>
                    </w:rPr>
                    <w:t>二级标准；</w:t>
                  </w:r>
                </w:p>
                <w:p>
                  <w:pPr>
                    <w:spacing w:line="0" w:lineRule="atLeast"/>
                    <w:jc w:val="center"/>
                    <w:rPr>
                      <w:b/>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blHeader/>
              </w:trPr>
              <w:tc>
                <w:tcPr>
                  <w:tcW w:w="1161" w:type="dxa"/>
                  <w:tcBorders>
                    <w:left w:val="single" w:color="auto" w:sz="4" w:space="0"/>
                    <w:right w:val="single" w:color="auto" w:sz="4" w:space="0"/>
                  </w:tcBorders>
                  <w:vAlign w:val="center"/>
                </w:tcPr>
                <w:p>
                  <w:pPr>
                    <w:widowControl/>
                    <w:spacing w:line="0" w:lineRule="atLeast"/>
                    <w:jc w:val="center"/>
                    <w:rPr>
                      <w:b/>
                      <w:color w:val="auto"/>
                      <w:sz w:val="21"/>
                      <w:szCs w:val="21"/>
                      <w:u w:val="none"/>
                    </w:rPr>
                  </w:pPr>
                  <w:r>
                    <w:rPr>
                      <w:rFonts w:hint="eastAsia"/>
                      <w:color w:val="auto"/>
                      <w:sz w:val="21"/>
                      <w:szCs w:val="21"/>
                      <w:u w:val="none"/>
                    </w:rPr>
                    <w:t>声环境</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auto"/>
                      <w:sz w:val="21"/>
                      <w:szCs w:val="21"/>
                      <w:u w:val="none"/>
                    </w:rPr>
                  </w:pPr>
                  <w:r>
                    <w:rPr>
                      <w:rFonts w:hint="eastAsia"/>
                      <w:color w:val="auto"/>
                      <w:sz w:val="21"/>
                      <w:szCs w:val="21"/>
                      <w:u w:val="none"/>
                    </w:rPr>
                    <w:t>霞湾新村居民</w:t>
                  </w:r>
                </w:p>
              </w:tc>
              <w:tc>
                <w:tcPr>
                  <w:tcW w:w="3206"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auto"/>
                      <w:sz w:val="21"/>
                      <w:szCs w:val="21"/>
                      <w:u w:val="none"/>
                    </w:rPr>
                  </w:pPr>
                  <w:r>
                    <w:rPr>
                      <w:rFonts w:hint="eastAsia"/>
                      <w:color w:val="auto"/>
                      <w:sz w:val="21"/>
                      <w:szCs w:val="21"/>
                      <w:u w:val="none"/>
                    </w:rPr>
                    <w:t>最近居民：东经</w:t>
                  </w:r>
                  <w:r>
                    <w:rPr>
                      <w:color w:val="auto"/>
                      <w:sz w:val="21"/>
                      <w:szCs w:val="21"/>
                      <w:u w:val="none"/>
                    </w:rPr>
                    <w:t>113.063820803</w:t>
                  </w:r>
                  <w:r>
                    <w:rPr>
                      <w:rFonts w:hint="eastAsia"/>
                      <w:color w:val="auto"/>
                      <w:sz w:val="21"/>
                      <w:szCs w:val="21"/>
                      <w:u w:val="none"/>
                    </w:rPr>
                    <w:t>，北纬</w:t>
                  </w:r>
                  <w:r>
                    <w:rPr>
                      <w:color w:val="auto"/>
                      <w:sz w:val="21"/>
                      <w:szCs w:val="21"/>
                      <w:u w:val="none"/>
                    </w:rPr>
                    <w:t>27.864907256</w:t>
                  </w:r>
                  <w:r>
                    <w:rPr>
                      <w:rFonts w:hint="eastAsia"/>
                      <w:color w:val="auto"/>
                      <w:sz w:val="21"/>
                      <w:szCs w:val="21"/>
                      <w:u w:val="none"/>
                    </w:rPr>
                    <w:t>；最远居民：东经</w:t>
                  </w:r>
                  <w:r>
                    <w:rPr>
                      <w:color w:val="auto"/>
                      <w:sz w:val="21"/>
                      <w:szCs w:val="21"/>
                      <w:u w:val="none"/>
                    </w:rPr>
                    <w:t>113.062468970</w:t>
                  </w:r>
                  <w:r>
                    <w:rPr>
                      <w:rFonts w:hint="eastAsia"/>
                      <w:color w:val="auto"/>
                      <w:sz w:val="21"/>
                      <w:szCs w:val="21"/>
                      <w:u w:val="none"/>
                    </w:rPr>
                    <w:t>，北纬</w:t>
                  </w:r>
                  <w:r>
                    <w:rPr>
                      <w:color w:val="auto"/>
                      <w:sz w:val="21"/>
                      <w:szCs w:val="21"/>
                      <w:u w:val="none"/>
                    </w:rPr>
                    <w:t>27.863660029</w:t>
                  </w:r>
                </w:p>
              </w:tc>
              <w:tc>
                <w:tcPr>
                  <w:tcW w:w="204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auto"/>
                      <w:sz w:val="21"/>
                      <w:szCs w:val="21"/>
                      <w:u w:val="none"/>
                    </w:rPr>
                  </w:pPr>
                  <w:r>
                    <w:rPr>
                      <w:rFonts w:hint="eastAsia"/>
                      <w:color w:val="auto"/>
                      <w:sz w:val="21"/>
                      <w:szCs w:val="21"/>
                      <w:u w:val="none"/>
                    </w:rPr>
                    <w:t>约30户居民</w:t>
                  </w:r>
                </w:p>
              </w:tc>
              <w:tc>
                <w:tcPr>
                  <w:tcW w:w="1168"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auto"/>
                      <w:sz w:val="21"/>
                      <w:szCs w:val="21"/>
                      <w:u w:val="none"/>
                    </w:rPr>
                  </w:pPr>
                  <w:r>
                    <w:rPr>
                      <w:rFonts w:hint="eastAsia"/>
                      <w:color w:val="auto"/>
                      <w:sz w:val="21"/>
                      <w:szCs w:val="21"/>
                      <w:u w:val="none"/>
                    </w:rPr>
                    <w:t>项目</w:t>
                  </w:r>
                  <w:r>
                    <w:rPr>
                      <w:rFonts w:hint="eastAsia"/>
                      <w:color w:val="auto"/>
                      <w:sz w:val="21"/>
                      <w:szCs w:val="21"/>
                      <w:u w:val="none"/>
                      <w:lang w:eastAsia="zh-CN"/>
                    </w:rPr>
                    <w:t>东</w:t>
                  </w:r>
                  <w:r>
                    <w:rPr>
                      <w:rFonts w:hint="eastAsia"/>
                      <w:color w:val="auto"/>
                      <w:sz w:val="21"/>
                      <w:szCs w:val="21"/>
                      <w:u w:val="none"/>
                    </w:rPr>
                    <w:t>侧</w:t>
                  </w:r>
                </w:p>
              </w:tc>
              <w:tc>
                <w:tcPr>
                  <w:tcW w:w="174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eastAsia="宋体"/>
                      <w:color w:val="auto"/>
                      <w:sz w:val="21"/>
                      <w:szCs w:val="21"/>
                      <w:u w:val="none"/>
                      <w:lang w:eastAsia="zh-CN"/>
                    </w:rPr>
                  </w:pPr>
                  <w:r>
                    <w:rPr>
                      <w:rFonts w:hint="eastAsia"/>
                      <w:color w:val="auto"/>
                      <w:sz w:val="21"/>
                      <w:szCs w:val="21"/>
                      <w:u w:val="none"/>
                      <w:lang w:val="en-US" w:eastAsia="zh-CN"/>
                    </w:rPr>
                    <w:t>105</w:t>
                  </w:r>
                  <w:r>
                    <w:rPr>
                      <w:color w:val="auto"/>
                      <w:sz w:val="21"/>
                      <w:szCs w:val="21"/>
                      <w:u w:val="none"/>
                    </w:rPr>
                    <w:t>m</w:t>
                  </w:r>
                  <w:r>
                    <w:rPr>
                      <w:rFonts w:hint="eastAsia"/>
                      <w:color w:val="auto"/>
                      <w:sz w:val="21"/>
                      <w:szCs w:val="21"/>
                      <w:u w:val="none"/>
                      <w:lang w:eastAsia="zh-CN"/>
                    </w:rPr>
                    <w:t>（距沥青站</w:t>
                  </w:r>
                  <w:r>
                    <w:rPr>
                      <w:rFonts w:hint="eastAsia"/>
                      <w:color w:val="auto"/>
                      <w:sz w:val="21"/>
                      <w:szCs w:val="21"/>
                      <w:u w:val="none"/>
                      <w:lang w:val="en-US" w:eastAsia="zh-CN"/>
                    </w:rPr>
                    <w:t>300m</w:t>
                  </w:r>
                  <w:r>
                    <w:rPr>
                      <w:rFonts w:hint="eastAsia"/>
                      <w:color w:val="auto"/>
                      <w:sz w:val="21"/>
                      <w:szCs w:val="21"/>
                      <w:u w:val="none"/>
                      <w:lang w:eastAsia="zh-CN"/>
                    </w:rPr>
                    <w:t>）</w:t>
                  </w:r>
                </w:p>
              </w:tc>
              <w:tc>
                <w:tcPr>
                  <w:tcW w:w="2653" w:type="dxa"/>
                  <w:tcBorders>
                    <w:left w:val="single" w:color="auto" w:sz="4" w:space="0"/>
                    <w:right w:val="single" w:color="auto" w:sz="4" w:space="0"/>
                  </w:tcBorders>
                  <w:vAlign w:val="center"/>
                </w:tcPr>
                <w:p>
                  <w:pPr>
                    <w:widowControl/>
                    <w:spacing w:line="0" w:lineRule="atLeast"/>
                    <w:jc w:val="center"/>
                    <w:rPr>
                      <w:color w:val="auto"/>
                      <w:sz w:val="21"/>
                      <w:szCs w:val="21"/>
                      <w:u w:val="none"/>
                    </w:rPr>
                  </w:pPr>
                  <w:r>
                    <w:rPr>
                      <w:rFonts w:hint="eastAsia"/>
                      <w:color w:val="auto"/>
                      <w:sz w:val="21"/>
                      <w:szCs w:val="21"/>
                      <w:u w:val="none"/>
                    </w:rPr>
                    <w:t>《声环境质量标准》</w:t>
                  </w:r>
                  <w:r>
                    <w:rPr>
                      <w:color w:val="auto"/>
                      <w:sz w:val="21"/>
                      <w:szCs w:val="21"/>
                      <w:u w:val="none"/>
                    </w:rPr>
                    <w:t xml:space="preserve">(GB3096-2008) </w:t>
                  </w:r>
                  <w:r>
                    <w:rPr>
                      <w:rFonts w:hint="eastAsia"/>
                      <w:color w:val="auto"/>
                      <w:sz w:val="21"/>
                      <w:szCs w:val="21"/>
                      <w:u w:val="none"/>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161" w:type="dxa"/>
                  <w:vMerge w:val="restart"/>
                  <w:tcBorders>
                    <w:top w:val="single" w:color="auto" w:sz="4" w:space="0"/>
                    <w:left w:val="single" w:color="auto" w:sz="4" w:space="0"/>
                    <w:right w:val="single" w:color="auto" w:sz="4" w:space="0"/>
                  </w:tcBorders>
                  <w:vAlign w:val="center"/>
                </w:tcPr>
                <w:p>
                  <w:pPr>
                    <w:widowControl/>
                    <w:spacing w:line="0" w:lineRule="atLeast"/>
                    <w:jc w:val="center"/>
                    <w:rPr>
                      <w:color w:val="auto"/>
                      <w:sz w:val="21"/>
                      <w:szCs w:val="21"/>
                      <w:u w:val="none"/>
                    </w:rPr>
                  </w:pPr>
                  <w:r>
                    <w:rPr>
                      <w:rFonts w:hint="eastAsia"/>
                      <w:color w:val="auto"/>
                      <w:sz w:val="21"/>
                      <w:szCs w:val="21"/>
                      <w:u w:val="none"/>
                    </w:rPr>
                    <w:t>地表水</w:t>
                  </w:r>
                </w:p>
                <w:p>
                  <w:pPr>
                    <w:widowControl/>
                    <w:spacing w:line="0" w:lineRule="atLeast"/>
                    <w:jc w:val="center"/>
                    <w:rPr>
                      <w:color w:val="auto"/>
                      <w:sz w:val="21"/>
                      <w:szCs w:val="21"/>
                      <w:u w:val="none"/>
                    </w:rPr>
                  </w:pPr>
                  <w:r>
                    <w:rPr>
                      <w:rFonts w:hint="eastAsia"/>
                      <w:color w:val="auto"/>
                      <w:sz w:val="21"/>
                      <w:szCs w:val="21"/>
                      <w:u w:val="none"/>
                    </w:rPr>
                    <w:t>环境</w:t>
                  </w:r>
                </w:p>
              </w:tc>
              <w:tc>
                <w:tcPr>
                  <w:tcW w:w="2191" w:type="dxa"/>
                  <w:tcBorders>
                    <w:top w:val="single" w:color="auto" w:sz="4" w:space="0"/>
                    <w:left w:val="single" w:color="auto" w:sz="4" w:space="0"/>
                    <w:bottom w:val="single" w:color="auto" w:sz="4" w:space="0"/>
                    <w:right w:val="single" w:color="auto" w:sz="4" w:space="0"/>
                  </w:tcBorders>
                  <w:vAlign w:val="center"/>
                </w:tcPr>
                <w:p>
                  <w:pPr>
                    <w:pStyle w:val="85"/>
                    <w:snapToGrid w:val="0"/>
                    <w:spacing w:line="240" w:lineRule="auto"/>
                    <w:jc w:val="center"/>
                    <w:rPr>
                      <w:color w:val="auto"/>
                      <w:kern w:val="2"/>
                      <w:sz w:val="21"/>
                      <w:szCs w:val="21"/>
                      <w:u w:val="none"/>
                    </w:rPr>
                  </w:pPr>
                  <w:r>
                    <w:rPr>
                      <w:rFonts w:hint="eastAsia"/>
                      <w:color w:val="auto"/>
                      <w:kern w:val="2"/>
                      <w:sz w:val="21"/>
                      <w:szCs w:val="21"/>
                      <w:u w:val="none"/>
                    </w:rPr>
                    <w:t>湘江</w:t>
                  </w:r>
                </w:p>
              </w:tc>
              <w:tc>
                <w:tcPr>
                  <w:tcW w:w="3206"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auto"/>
                      <w:sz w:val="21"/>
                      <w:u w:val="none"/>
                    </w:rPr>
                  </w:pPr>
                  <w:r>
                    <w:rPr>
                      <w:rFonts w:hint="eastAsia"/>
                      <w:color w:val="auto"/>
                      <w:sz w:val="21"/>
                      <w:szCs w:val="21"/>
                      <w:u w:val="none"/>
                    </w:rPr>
                    <w:t>霞湾港入江口：东经</w:t>
                  </w:r>
                  <w:r>
                    <w:rPr>
                      <w:color w:val="auto"/>
                      <w:sz w:val="21"/>
                      <w:szCs w:val="21"/>
                      <w:u w:val="none"/>
                    </w:rPr>
                    <w:t>113.073278091°</w:t>
                  </w:r>
                  <w:r>
                    <w:rPr>
                      <w:rFonts w:hint="eastAsia"/>
                      <w:color w:val="auto"/>
                      <w:sz w:val="21"/>
                      <w:szCs w:val="21"/>
                      <w:u w:val="none"/>
                    </w:rPr>
                    <w:t>，北纬</w:t>
                  </w:r>
                  <w:r>
                    <w:rPr>
                      <w:color w:val="auto"/>
                      <w:sz w:val="21"/>
                      <w:szCs w:val="21"/>
                      <w:u w:val="none"/>
                    </w:rPr>
                    <w:t>27.858556247°</w:t>
                  </w:r>
                </w:p>
              </w:tc>
              <w:tc>
                <w:tcPr>
                  <w:tcW w:w="204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auto"/>
                      <w:sz w:val="21"/>
                      <w:szCs w:val="21"/>
                      <w:u w:val="none"/>
                    </w:rPr>
                  </w:pPr>
                  <w:r>
                    <w:rPr>
                      <w:rFonts w:hint="eastAsia"/>
                      <w:color w:val="auto"/>
                      <w:sz w:val="21"/>
                      <w:szCs w:val="21"/>
                      <w:u w:val="none"/>
                    </w:rPr>
                    <w:t>景观娱乐用水</w:t>
                  </w:r>
                </w:p>
              </w:tc>
              <w:tc>
                <w:tcPr>
                  <w:tcW w:w="1168"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auto"/>
                      <w:sz w:val="21"/>
                      <w:szCs w:val="21"/>
                      <w:u w:val="none"/>
                    </w:rPr>
                  </w:pPr>
                  <w:r>
                    <w:rPr>
                      <w:rFonts w:hint="eastAsia"/>
                      <w:color w:val="auto"/>
                      <w:sz w:val="21"/>
                      <w:szCs w:val="21"/>
                      <w:u w:val="none"/>
                    </w:rPr>
                    <w:t>南面</w:t>
                  </w:r>
                </w:p>
              </w:tc>
              <w:tc>
                <w:tcPr>
                  <w:tcW w:w="174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auto"/>
                      <w:sz w:val="21"/>
                      <w:szCs w:val="21"/>
                      <w:u w:val="none"/>
                    </w:rPr>
                  </w:pPr>
                  <w:r>
                    <w:rPr>
                      <w:rFonts w:hint="eastAsia"/>
                      <w:color w:val="auto"/>
                      <w:sz w:val="21"/>
                      <w:szCs w:val="21"/>
                      <w:u w:val="none"/>
                    </w:rPr>
                    <w:t>直线</w:t>
                  </w:r>
                  <w:r>
                    <w:rPr>
                      <w:rFonts w:hint="eastAsia"/>
                      <w:color w:val="auto"/>
                      <w:sz w:val="21"/>
                      <w:szCs w:val="21"/>
                      <w:u w:val="none"/>
                      <w:lang w:val="en-US" w:eastAsia="zh-CN"/>
                    </w:rPr>
                    <w:t>11</w:t>
                  </w:r>
                  <w:r>
                    <w:rPr>
                      <w:rFonts w:hint="eastAsia"/>
                      <w:color w:val="auto"/>
                      <w:sz w:val="21"/>
                      <w:szCs w:val="21"/>
                      <w:u w:val="none"/>
                    </w:rPr>
                    <w:t>00</w:t>
                  </w:r>
                  <w:r>
                    <w:rPr>
                      <w:color w:val="auto"/>
                      <w:sz w:val="21"/>
                      <w:szCs w:val="21"/>
                      <w:u w:val="none"/>
                    </w:rPr>
                    <w:t>m</w:t>
                  </w:r>
                </w:p>
              </w:tc>
              <w:tc>
                <w:tcPr>
                  <w:tcW w:w="2653"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auto"/>
                      <w:sz w:val="21"/>
                      <w:szCs w:val="21"/>
                      <w:u w:val="none"/>
                    </w:rPr>
                  </w:pPr>
                  <w:r>
                    <w:rPr>
                      <w:rFonts w:hint="eastAsia"/>
                      <w:color w:val="auto"/>
                      <w:sz w:val="21"/>
                      <w:szCs w:val="21"/>
                      <w:u w:val="none"/>
                    </w:rPr>
                    <w:t>《地表水环境质量标准》（</w:t>
                  </w:r>
                  <w:r>
                    <w:rPr>
                      <w:color w:val="auto"/>
                      <w:sz w:val="21"/>
                      <w:szCs w:val="21"/>
                      <w:u w:val="none"/>
                    </w:rPr>
                    <w:t>GB3838-2002</w:t>
                  </w:r>
                  <w:r>
                    <w:rPr>
                      <w:rFonts w:hint="eastAsia"/>
                      <w:color w:val="auto"/>
                      <w:sz w:val="21"/>
                      <w:szCs w:val="21"/>
                      <w:u w:val="none"/>
                    </w:rPr>
                    <w:t>）Ⅲ类标准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161" w:type="dxa"/>
                  <w:vMerge w:val="continue"/>
                  <w:tcBorders>
                    <w:left w:val="single" w:color="auto" w:sz="4" w:space="0"/>
                    <w:right w:val="single" w:color="auto" w:sz="4" w:space="0"/>
                  </w:tcBorders>
                  <w:vAlign w:val="center"/>
                </w:tcPr>
                <w:p>
                  <w:pPr>
                    <w:widowControl/>
                    <w:spacing w:line="0" w:lineRule="atLeast"/>
                    <w:jc w:val="center"/>
                    <w:rPr>
                      <w:rFonts w:hint="eastAsia"/>
                      <w:color w:val="auto"/>
                      <w:sz w:val="21"/>
                      <w:szCs w:val="21"/>
                      <w:u w:val="none"/>
                    </w:rPr>
                  </w:pPr>
                </w:p>
              </w:tc>
              <w:tc>
                <w:tcPr>
                  <w:tcW w:w="2191"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auto"/>
                      <w:kern w:val="2"/>
                      <w:sz w:val="21"/>
                      <w:szCs w:val="21"/>
                      <w:u w:val="none"/>
                    </w:rPr>
                  </w:pPr>
                  <w:r>
                    <w:rPr>
                      <w:rFonts w:hint="eastAsia"/>
                      <w:sz w:val="21"/>
                      <w:szCs w:val="21"/>
                      <w:u w:val="single"/>
                    </w:rPr>
                    <w:t>霞湾港</w:t>
                  </w:r>
                </w:p>
              </w:tc>
              <w:tc>
                <w:tcPr>
                  <w:tcW w:w="3206"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sz w:val="21"/>
                      <w:szCs w:val="21"/>
                      <w:u w:val="single"/>
                    </w:rPr>
                  </w:pPr>
                  <w:r>
                    <w:rPr>
                      <w:rFonts w:hint="eastAsia"/>
                      <w:sz w:val="21"/>
                      <w:szCs w:val="21"/>
                      <w:u w:val="single"/>
                    </w:rPr>
                    <w:t>最近点：东经</w:t>
                  </w:r>
                  <w:r>
                    <w:rPr>
                      <w:sz w:val="21"/>
                      <w:szCs w:val="21"/>
                      <w:u w:val="single"/>
                    </w:rPr>
                    <w:t>113.077001178°</w:t>
                  </w:r>
                  <w:r>
                    <w:rPr>
                      <w:rFonts w:hint="eastAsia"/>
                      <w:sz w:val="21"/>
                      <w:szCs w:val="21"/>
                      <w:u w:val="single"/>
                    </w:rPr>
                    <w:t>，北纬</w:t>
                  </w:r>
                  <w:r>
                    <w:rPr>
                      <w:sz w:val="21"/>
                      <w:szCs w:val="21"/>
                      <w:u w:val="single"/>
                    </w:rPr>
                    <w:t>27.862852684°</w:t>
                  </w:r>
                  <w:r>
                    <w:rPr>
                      <w:rFonts w:hint="eastAsia"/>
                      <w:sz w:val="21"/>
                      <w:szCs w:val="21"/>
                      <w:u w:val="single"/>
                    </w:rPr>
                    <w:t>；</w:t>
                  </w:r>
                </w:p>
                <w:p>
                  <w:pPr>
                    <w:widowControl/>
                    <w:spacing w:line="0" w:lineRule="atLeast"/>
                    <w:jc w:val="center"/>
                    <w:rPr>
                      <w:rFonts w:hint="eastAsia"/>
                      <w:color w:val="auto"/>
                      <w:sz w:val="21"/>
                      <w:szCs w:val="21"/>
                      <w:u w:val="none"/>
                    </w:rPr>
                  </w:pPr>
                  <w:r>
                    <w:rPr>
                      <w:rFonts w:hint="eastAsia"/>
                      <w:sz w:val="21"/>
                      <w:szCs w:val="21"/>
                      <w:u w:val="single"/>
                    </w:rPr>
                    <w:t>入湘江口：东经</w:t>
                  </w:r>
                  <w:r>
                    <w:rPr>
                      <w:sz w:val="21"/>
                      <w:szCs w:val="21"/>
                      <w:u w:val="single"/>
                    </w:rPr>
                    <w:t>113.073278091°</w:t>
                  </w:r>
                  <w:r>
                    <w:rPr>
                      <w:rFonts w:hint="eastAsia"/>
                      <w:sz w:val="21"/>
                      <w:szCs w:val="21"/>
                      <w:u w:val="single"/>
                    </w:rPr>
                    <w:t>，北纬</w:t>
                  </w:r>
                  <w:r>
                    <w:rPr>
                      <w:sz w:val="21"/>
                      <w:szCs w:val="21"/>
                      <w:u w:val="single"/>
                    </w:rPr>
                    <w:t>27.858556247°</w:t>
                  </w:r>
                  <w:r>
                    <w:rPr>
                      <w:rFonts w:hint="eastAsia"/>
                      <w:sz w:val="21"/>
                      <w:szCs w:val="21"/>
                      <w:u w:val="single"/>
                    </w:rPr>
                    <w:t>。</w:t>
                  </w:r>
                </w:p>
              </w:tc>
              <w:tc>
                <w:tcPr>
                  <w:tcW w:w="204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auto"/>
                      <w:sz w:val="21"/>
                      <w:szCs w:val="21"/>
                      <w:u w:val="none"/>
                    </w:rPr>
                  </w:pPr>
                  <w:r>
                    <w:rPr>
                      <w:rFonts w:hint="eastAsia"/>
                      <w:sz w:val="21"/>
                      <w:szCs w:val="21"/>
                      <w:u w:val="single"/>
                    </w:rPr>
                    <w:t>纳污渠</w:t>
                  </w:r>
                </w:p>
              </w:tc>
              <w:tc>
                <w:tcPr>
                  <w:tcW w:w="1168"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auto"/>
                      <w:sz w:val="21"/>
                      <w:szCs w:val="21"/>
                      <w:u w:val="none"/>
                    </w:rPr>
                  </w:pPr>
                  <w:r>
                    <w:rPr>
                      <w:rFonts w:hint="eastAsia"/>
                      <w:sz w:val="21"/>
                      <w:szCs w:val="21"/>
                      <w:u w:val="single"/>
                    </w:rPr>
                    <w:t>东面</w:t>
                  </w:r>
                </w:p>
              </w:tc>
              <w:tc>
                <w:tcPr>
                  <w:tcW w:w="174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auto"/>
                      <w:sz w:val="21"/>
                      <w:szCs w:val="21"/>
                      <w:u w:val="none"/>
                    </w:rPr>
                  </w:pPr>
                  <w:r>
                    <w:rPr>
                      <w:rFonts w:hint="eastAsia"/>
                      <w:sz w:val="21"/>
                      <w:szCs w:val="21"/>
                      <w:u w:val="single"/>
                    </w:rPr>
                    <w:t>直线370</w:t>
                  </w:r>
                  <w:r>
                    <w:rPr>
                      <w:sz w:val="21"/>
                      <w:szCs w:val="21"/>
                      <w:u w:val="single"/>
                    </w:rPr>
                    <w:t>m</w:t>
                  </w:r>
                </w:p>
              </w:tc>
              <w:tc>
                <w:tcPr>
                  <w:tcW w:w="2653"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auto"/>
                      <w:sz w:val="21"/>
                      <w:szCs w:val="21"/>
                      <w:u w:val="none"/>
                    </w:rPr>
                  </w:pPr>
                  <w:r>
                    <w:rPr>
                      <w:rFonts w:hint="eastAsia"/>
                      <w:sz w:val="21"/>
                      <w:szCs w:val="21"/>
                      <w:u w:val="single"/>
                    </w:rPr>
                    <w:t>《污水综合排放标准》</w:t>
                  </w:r>
                  <w:r>
                    <w:rPr>
                      <w:sz w:val="18"/>
                      <w:szCs w:val="18"/>
                      <w:u w:val="single"/>
                    </w:rPr>
                    <w:t>GB</w:t>
                  </w:r>
                  <w:r>
                    <w:rPr>
                      <w:rFonts w:hint="eastAsia"/>
                      <w:sz w:val="18"/>
                      <w:szCs w:val="18"/>
                      <w:u w:val="single"/>
                    </w:rPr>
                    <w:t>8978-1996，一级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161" w:type="dxa"/>
                  <w:vMerge w:val="restart"/>
                  <w:tcBorders>
                    <w:left w:val="single" w:color="auto" w:sz="4" w:space="0"/>
                    <w:right w:val="single" w:color="auto" w:sz="4" w:space="0"/>
                  </w:tcBorders>
                  <w:vAlign w:val="center"/>
                </w:tcPr>
                <w:p>
                  <w:pPr>
                    <w:widowControl/>
                    <w:spacing w:line="0" w:lineRule="atLeast"/>
                    <w:jc w:val="center"/>
                    <w:rPr>
                      <w:color w:val="auto"/>
                      <w:sz w:val="21"/>
                      <w:szCs w:val="21"/>
                      <w:u w:val="none"/>
                    </w:rPr>
                  </w:pPr>
                  <w:r>
                    <w:rPr>
                      <w:rFonts w:hint="eastAsia"/>
                      <w:color w:val="auto"/>
                      <w:sz w:val="21"/>
                      <w:szCs w:val="21"/>
                      <w:u w:val="none"/>
                    </w:rPr>
                    <w:t>生态环境</w:t>
                  </w:r>
                </w:p>
              </w:tc>
              <w:tc>
                <w:tcPr>
                  <w:tcW w:w="2191" w:type="dxa"/>
                  <w:tcBorders>
                    <w:top w:val="single" w:color="auto" w:sz="4" w:space="0"/>
                    <w:left w:val="single" w:color="auto" w:sz="4" w:space="0"/>
                    <w:bottom w:val="single" w:color="auto" w:sz="4" w:space="0"/>
                    <w:right w:val="single" w:color="auto" w:sz="4" w:space="0"/>
                  </w:tcBorders>
                  <w:vAlign w:val="center"/>
                </w:tcPr>
                <w:p>
                  <w:pPr>
                    <w:pStyle w:val="85"/>
                    <w:snapToGrid w:val="0"/>
                    <w:spacing w:line="240" w:lineRule="auto"/>
                    <w:jc w:val="center"/>
                    <w:rPr>
                      <w:color w:val="auto"/>
                      <w:kern w:val="2"/>
                      <w:sz w:val="21"/>
                      <w:szCs w:val="21"/>
                      <w:u w:val="none"/>
                    </w:rPr>
                  </w:pPr>
                  <w:r>
                    <w:rPr>
                      <w:rFonts w:hint="eastAsia"/>
                      <w:color w:val="auto"/>
                      <w:kern w:val="2"/>
                      <w:sz w:val="21"/>
                      <w:szCs w:val="21"/>
                      <w:u w:val="none"/>
                    </w:rPr>
                    <w:t>植被资源</w:t>
                  </w:r>
                </w:p>
              </w:tc>
              <w:tc>
                <w:tcPr>
                  <w:tcW w:w="8167" w:type="dxa"/>
                  <w:gridSpan w:val="4"/>
                  <w:tcBorders>
                    <w:top w:val="single" w:color="auto" w:sz="4" w:space="0"/>
                    <w:left w:val="single" w:color="auto" w:sz="4" w:space="0"/>
                    <w:bottom w:val="single" w:color="auto" w:sz="4" w:space="0"/>
                    <w:right w:val="single" w:color="auto" w:sz="4" w:space="0"/>
                  </w:tcBorders>
                  <w:vAlign w:val="center"/>
                </w:tcPr>
                <w:p>
                  <w:pPr>
                    <w:pStyle w:val="85"/>
                    <w:snapToGrid w:val="0"/>
                    <w:spacing w:line="240" w:lineRule="auto"/>
                    <w:jc w:val="center"/>
                    <w:rPr>
                      <w:color w:val="auto"/>
                      <w:kern w:val="2"/>
                      <w:sz w:val="21"/>
                      <w:szCs w:val="21"/>
                      <w:u w:val="none"/>
                    </w:rPr>
                  </w:pPr>
                  <w:r>
                    <w:rPr>
                      <w:color w:val="auto"/>
                      <w:kern w:val="2"/>
                      <w:sz w:val="21"/>
                      <w:szCs w:val="21"/>
                      <w:u w:val="none"/>
                    </w:rPr>
                    <w:t>主要植被类型为灌丛</w:t>
                  </w:r>
                  <w:r>
                    <w:rPr>
                      <w:rFonts w:hint="eastAsia"/>
                      <w:color w:val="auto"/>
                      <w:kern w:val="2"/>
                      <w:sz w:val="21"/>
                      <w:szCs w:val="21"/>
                      <w:u w:val="none"/>
                    </w:rPr>
                    <w:t>和草本植物</w:t>
                  </w:r>
                </w:p>
              </w:tc>
              <w:tc>
                <w:tcPr>
                  <w:tcW w:w="2653" w:type="dxa"/>
                  <w:tcBorders>
                    <w:top w:val="single" w:color="auto" w:sz="4" w:space="0"/>
                    <w:left w:val="single" w:color="auto" w:sz="4" w:space="0"/>
                    <w:bottom w:val="single" w:color="auto" w:sz="4" w:space="0"/>
                    <w:right w:val="single" w:color="auto" w:sz="4" w:space="0"/>
                  </w:tcBorders>
                  <w:vAlign w:val="center"/>
                </w:tcPr>
                <w:p>
                  <w:pPr>
                    <w:pStyle w:val="85"/>
                    <w:snapToGrid w:val="0"/>
                    <w:spacing w:line="240" w:lineRule="auto"/>
                    <w:jc w:val="center"/>
                    <w:rPr>
                      <w:color w:val="auto"/>
                      <w:kern w:val="2"/>
                      <w:sz w:val="21"/>
                      <w:szCs w:val="21"/>
                      <w:u w:val="none"/>
                    </w:rPr>
                  </w:pPr>
                  <w:r>
                    <w:rPr>
                      <w:rFonts w:hint="eastAsia"/>
                      <w:color w:val="auto"/>
                      <w:kern w:val="2"/>
                      <w:sz w:val="21"/>
                      <w:szCs w:val="21"/>
                      <w:u w:val="none"/>
                    </w:rPr>
                    <w:t>不被</w:t>
                  </w:r>
                  <w:r>
                    <w:rPr>
                      <w:color w:val="auto"/>
                      <w:kern w:val="2"/>
                      <w:sz w:val="21"/>
                      <w:szCs w:val="21"/>
                      <w:u w:val="none"/>
                    </w:rPr>
                    <w:t>占用</w:t>
                  </w:r>
                  <w:r>
                    <w:rPr>
                      <w:rFonts w:hint="eastAsia"/>
                      <w:color w:val="auto"/>
                      <w:kern w:val="2"/>
                      <w:sz w:val="21"/>
                      <w:szCs w:val="21"/>
                      <w:u w:val="none"/>
                    </w:rPr>
                    <w:t>、</w:t>
                  </w:r>
                  <w:r>
                    <w:rPr>
                      <w:color w:val="auto"/>
                      <w:kern w:val="2"/>
                      <w:sz w:val="21"/>
                      <w:szCs w:val="21"/>
                      <w:u w:val="none"/>
                    </w:rPr>
                    <w:t>人为践踏。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161" w:type="dxa"/>
                  <w:vMerge w:val="continue"/>
                  <w:tcBorders>
                    <w:left w:val="single" w:color="auto" w:sz="4" w:space="0"/>
                    <w:right w:val="single" w:color="auto" w:sz="4" w:space="0"/>
                  </w:tcBorders>
                  <w:vAlign w:val="center"/>
                </w:tcPr>
                <w:p>
                  <w:pPr>
                    <w:widowControl/>
                    <w:spacing w:line="0" w:lineRule="atLeast"/>
                    <w:jc w:val="center"/>
                    <w:rPr>
                      <w:color w:val="auto"/>
                      <w:sz w:val="21"/>
                      <w:szCs w:val="21"/>
                      <w:u w:val="none"/>
                    </w:rPr>
                  </w:pPr>
                </w:p>
              </w:tc>
              <w:tc>
                <w:tcPr>
                  <w:tcW w:w="2191" w:type="dxa"/>
                  <w:tcBorders>
                    <w:top w:val="single" w:color="auto" w:sz="4" w:space="0"/>
                    <w:left w:val="single" w:color="auto" w:sz="4" w:space="0"/>
                    <w:bottom w:val="single" w:color="auto" w:sz="4" w:space="0"/>
                    <w:right w:val="single" w:color="auto" w:sz="4" w:space="0"/>
                  </w:tcBorders>
                  <w:vAlign w:val="center"/>
                </w:tcPr>
                <w:p>
                  <w:pPr>
                    <w:pStyle w:val="85"/>
                    <w:snapToGrid w:val="0"/>
                    <w:spacing w:line="240" w:lineRule="auto"/>
                    <w:jc w:val="center"/>
                    <w:rPr>
                      <w:color w:val="auto"/>
                      <w:kern w:val="2"/>
                      <w:sz w:val="21"/>
                      <w:szCs w:val="21"/>
                      <w:u w:val="none"/>
                    </w:rPr>
                  </w:pPr>
                  <w:r>
                    <w:rPr>
                      <w:rFonts w:hint="eastAsia"/>
                      <w:color w:val="auto"/>
                      <w:kern w:val="2"/>
                      <w:sz w:val="21"/>
                      <w:szCs w:val="21"/>
                      <w:u w:val="none"/>
                    </w:rPr>
                    <w:t>水土保持</w:t>
                  </w:r>
                </w:p>
              </w:tc>
              <w:tc>
                <w:tcPr>
                  <w:tcW w:w="8167" w:type="dxa"/>
                  <w:gridSpan w:val="4"/>
                  <w:tcBorders>
                    <w:top w:val="single" w:color="auto" w:sz="4" w:space="0"/>
                    <w:left w:val="single" w:color="auto" w:sz="4" w:space="0"/>
                    <w:bottom w:val="single" w:color="auto" w:sz="4" w:space="0"/>
                    <w:right w:val="single" w:color="auto" w:sz="4" w:space="0"/>
                  </w:tcBorders>
                  <w:vAlign w:val="center"/>
                </w:tcPr>
                <w:p>
                  <w:pPr>
                    <w:pStyle w:val="85"/>
                    <w:snapToGrid w:val="0"/>
                    <w:spacing w:line="240" w:lineRule="auto"/>
                    <w:jc w:val="center"/>
                    <w:rPr>
                      <w:color w:val="auto"/>
                      <w:kern w:val="2"/>
                      <w:sz w:val="21"/>
                      <w:szCs w:val="21"/>
                      <w:u w:val="none"/>
                    </w:rPr>
                  </w:pPr>
                  <w:r>
                    <w:rPr>
                      <w:color w:val="auto"/>
                      <w:kern w:val="2"/>
                      <w:sz w:val="21"/>
                      <w:szCs w:val="21"/>
                      <w:u w:val="none"/>
                    </w:rPr>
                    <w:t>重点为主体工程区和施工场</w:t>
                  </w:r>
                  <w:r>
                    <w:rPr>
                      <w:rFonts w:hint="eastAsia"/>
                      <w:color w:val="auto"/>
                      <w:kern w:val="2"/>
                      <w:sz w:val="21"/>
                      <w:szCs w:val="21"/>
                      <w:u w:val="none"/>
                    </w:rPr>
                    <w:t>地</w:t>
                  </w:r>
                </w:p>
              </w:tc>
              <w:tc>
                <w:tcPr>
                  <w:tcW w:w="2653" w:type="dxa"/>
                  <w:tcBorders>
                    <w:top w:val="single" w:color="auto" w:sz="4" w:space="0"/>
                    <w:left w:val="single" w:color="auto" w:sz="4" w:space="0"/>
                    <w:bottom w:val="single" w:color="auto" w:sz="4" w:space="0"/>
                    <w:right w:val="single" w:color="auto" w:sz="4" w:space="0"/>
                  </w:tcBorders>
                  <w:vAlign w:val="center"/>
                </w:tcPr>
                <w:p>
                  <w:pPr>
                    <w:pStyle w:val="85"/>
                    <w:snapToGrid w:val="0"/>
                    <w:spacing w:line="240" w:lineRule="auto"/>
                    <w:jc w:val="center"/>
                    <w:rPr>
                      <w:color w:val="auto"/>
                      <w:kern w:val="2"/>
                      <w:sz w:val="21"/>
                      <w:szCs w:val="21"/>
                      <w:u w:val="none"/>
                    </w:rPr>
                  </w:pPr>
                  <w:r>
                    <w:rPr>
                      <w:rFonts w:hint="eastAsia"/>
                      <w:color w:val="auto"/>
                      <w:kern w:val="2"/>
                      <w:sz w:val="21"/>
                      <w:szCs w:val="21"/>
                      <w:u w:val="none"/>
                    </w:rPr>
                    <w:t>避免水土流失</w:t>
                  </w:r>
                </w:p>
              </w:tc>
            </w:tr>
          </w:tbl>
          <w:p>
            <w:pPr>
              <w:pStyle w:val="20"/>
              <w:spacing w:line="240" w:lineRule="auto"/>
              <w:rPr>
                <w:rFonts w:cs="宋体"/>
                <w:sz w:val="24"/>
              </w:rPr>
            </w:pPr>
          </w:p>
          <w:p>
            <w:pPr>
              <w:pStyle w:val="20"/>
              <w:spacing w:line="240" w:lineRule="auto"/>
              <w:rPr>
                <w:rFonts w:cs="宋体"/>
                <w:sz w:val="24"/>
              </w:rPr>
            </w:pPr>
          </w:p>
        </w:tc>
      </w:tr>
    </w:tbl>
    <w:p>
      <w:pPr>
        <w:rPr>
          <w:vanish/>
        </w:rPr>
        <w:sectPr>
          <w:pgSz w:w="16840" w:h="11907" w:orient="landscape"/>
          <w:pgMar w:top="1418" w:right="1440" w:bottom="1418" w:left="1440" w:header="992" w:footer="851" w:gutter="0"/>
          <w:pgBorders>
            <w:top w:val="none" w:sz="0" w:space="0"/>
            <w:left w:val="none" w:sz="0" w:space="0"/>
            <w:bottom w:val="none" w:sz="0" w:space="0"/>
            <w:right w:val="none" w:sz="0" w:space="0"/>
          </w:pgBorders>
          <w:cols w:space="720" w:num="1"/>
          <w:docGrid w:type="linesAndChars" w:linePitch="436" w:charSpace="0"/>
        </w:sectPr>
      </w:pPr>
    </w:p>
    <w:p>
      <w:pPr>
        <w:rPr>
          <w:vanish/>
        </w:rPr>
      </w:pPr>
    </w:p>
    <w:p>
      <w:pPr>
        <w:rPr>
          <w:rFonts w:hint="eastAsia" w:cs="宋体"/>
          <w:b/>
          <w:bCs/>
          <w:sz w:val="28"/>
        </w:rPr>
      </w:pPr>
      <w:r>
        <w:rPr>
          <w:rFonts w:hint="eastAsia" w:cs="宋体"/>
          <w:b/>
          <w:bCs/>
          <w:sz w:val="28"/>
        </w:rPr>
        <w:br w:type="page"/>
      </w:r>
    </w:p>
    <w:p>
      <w:pPr>
        <w:jc w:val="left"/>
        <w:outlineLvl w:val="0"/>
        <w:rPr>
          <w:rFonts w:cs="宋体"/>
          <w:b/>
          <w:bCs/>
          <w:sz w:val="28"/>
        </w:rPr>
      </w:pPr>
      <w:bookmarkStart w:id="8" w:name="_Toc15901"/>
      <w:r>
        <w:rPr>
          <w:rFonts w:hint="eastAsia" w:cs="宋体"/>
          <w:b/>
          <w:bCs/>
          <w:sz w:val="28"/>
        </w:rPr>
        <w:t>评价适用标准</w:t>
      </w:r>
      <w:bookmarkEnd w:id="8"/>
    </w:p>
    <w:tbl>
      <w:tblPr>
        <w:tblStyle w:val="43"/>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8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0" w:hRule="exact"/>
        </w:trPr>
        <w:tc>
          <w:tcPr>
            <w:tcW w:w="809" w:type="dxa"/>
            <w:vAlign w:val="center"/>
          </w:tcPr>
          <w:p>
            <w:pPr>
              <w:jc w:val="center"/>
              <w:rPr>
                <w:rFonts w:cs="宋体"/>
                <w:b/>
                <w:bCs/>
                <w:sz w:val="24"/>
              </w:rPr>
            </w:pPr>
            <w:r>
              <w:rPr>
                <w:rFonts w:hint="eastAsia" w:cs="宋体"/>
                <w:b/>
                <w:bCs/>
                <w:sz w:val="24"/>
              </w:rPr>
              <w:t>环</w:t>
            </w:r>
          </w:p>
          <w:p>
            <w:pPr>
              <w:jc w:val="center"/>
              <w:rPr>
                <w:rFonts w:cs="宋体"/>
                <w:b/>
                <w:bCs/>
                <w:sz w:val="24"/>
              </w:rPr>
            </w:pPr>
            <w:r>
              <w:rPr>
                <w:rFonts w:hint="eastAsia" w:cs="宋体"/>
                <w:b/>
                <w:bCs/>
                <w:sz w:val="24"/>
              </w:rPr>
              <w:t>境</w:t>
            </w:r>
          </w:p>
          <w:p>
            <w:pPr>
              <w:jc w:val="center"/>
              <w:rPr>
                <w:rFonts w:cs="宋体"/>
                <w:b/>
                <w:bCs/>
                <w:sz w:val="24"/>
              </w:rPr>
            </w:pPr>
            <w:r>
              <w:rPr>
                <w:rFonts w:hint="eastAsia" w:cs="宋体"/>
                <w:b/>
                <w:bCs/>
                <w:sz w:val="24"/>
              </w:rPr>
              <w:t>质</w:t>
            </w:r>
          </w:p>
          <w:p>
            <w:pPr>
              <w:jc w:val="center"/>
              <w:rPr>
                <w:rFonts w:cs="宋体"/>
                <w:b/>
                <w:bCs/>
                <w:sz w:val="24"/>
              </w:rPr>
            </w:pPr>
            <w:r>
              <w:rPr>
                <w:rFonts w:hint="eastAsia" w:cs="宋体"/>
                <w:b/>
                <w:bCs/>
                <w:sz w:val="24"/>
              </w:rPr>
              <w:t>量</w:t>
            </w:r>
          </w:p>
          <w:p>
            <w:pPr>
              <w:jc w:val="center"/>
              <w:rPr>
                <w:rFonts w:cs="宋体"/>
                <w:b/>
                <w:bCs/>
                <w:sz w:val="24"/>
              </w:rPr>
            </w:pPr>
            <w:r>
              <w:rPr>
                <w:rFonts w:hint="eastAsia" w:cs="宋体"/>
                <w:b/>
                <w:bCs/>
                <w:sz w:val="24"/>
              </w:rPr>
              <w:t>标</w:t>
            </w:r>
          </w:p>
          <w:p>
            <w:pPr>
              <w:jc w:val="center"/>
              <w:rPr>
                <w:rFonts w:cs="宋体"/>
                <w:sz w:val="24"/>
              </w:rPr>
            </w:pPr>
            <w:r>
              <w:rPr>
                <w:rFonts w:hint="eastAsia" w:cs="宋体"/>
                <w:b/>
                <w:bCs/>
                <w:sz w:val="24"/>
              </w:rPr>
              <w:t>准</w:t>
            </w:r>
          </w:p>
        </w:tc>
        <w:tc>
          <w:tcPr>
            <w:tcW w:w="8122" w:type="dxa"/>
            <w:vAlign w:val="center"/>
          </w:tcPr>
          <w:p>
            <w:pPr>
              <w:ind w:firstLine="480" w:firstLineChars="200"/>
              <w:jc w:val="left"/>
              <w:rPr>
                <w:sz w:val="24"/>
              </w:rPr>
            </w:pPr>
            <w:r>
              <w:rPr>
                <w:sz w:val="24"/>
              </w:rPr>
              <w:t>1、《环境空气质量标准》（GB3095-2012），二级。</w:t>
            </w:r>
          </w:p>
          <w:p>
            <w:pPr>
              <w:ind w:firstLine="480" w:firstLineChars="200"/>
              <w:jc w:val="left"/>
              <w:rPr>
                <w:sz w:val="24"/>
              </w:rPr>
            </w:pPr>
            <w:r>
              <w:rPr>
                <w:sz w:val="24"/>
              </w:rPr>
              <w:t>2、《地表水环境质量标准》（GB3838-2002），</w:t>
            </w:r>
            <w:r>
              <w:rPr>
                <w:sz w:val="24"/>
              </w:rPr>
              <w:fldChar w:fldCharType="begin"/>
            </w:r>
            <w:r>
              <w:rPr>
                <w:sz w:val="24"/>
              </w:rPr>
              <w:instrText xml:space="preserve"> = 2 \* ROMAN </w:instrText>
            </w:r>
            <w:r>
              <w:rPr>
                <w:sz w:val="24"/>
              </w:rPr>
              <w:fldChar w:fldCharType="separate"/>
            </w:r>
            <w:r>
              <w:rPr>
                <w:sz w:val="24"/>
              </w:rPr>
              <w:t>II</w:t>
            </w:r>
            <w:r>
              <w:rPr>
                <w:sz w:val="24"/>
              </w:rPr>
              <w:fldChar w:fldCharType="end"/>
            </w:r>
            <w:r>
              <w:rPr>
                <w:sz w:val="24"/>
              </w:rPr>
              <w:t>I类（湘江</w:t>
            </w:r>
            <w:r>
              <w:rPr>
                <w:rFonts w:hint="eastAsia"/>
                <w:sz w:val="24"/>
              </w:rPr>
              <w:t>霞湾江</w:t>
            </w:r>
            <w:r>
              <w:rPr>
                <w:sz w:val="24"/>
              </w:rPr>
              <w:t>段</w:t>
            </w:r>
            <w:r>
              <w:rPr>
                <w:rFonts w:hint="eastAsia"/>
                <w:sz w:val="24"/>
              </w:rPr>
              <w:t>至马家河江段</w:t>
            </w:r>
            <w:r>
              <w:rPr>
                <w:sz w:val="24"/>
              </w:rPr>
              <w:t>）。</w:t>
            </w:r>
          </w:p>
          <w:p>
            <w:pPr>
              <w:numPr>
                <w:ilvl w:val="0"/>
                <w:numId w:val="3"/>
              </w:numPr>
              <w:ind w:firstLine="480"/>
              <w:jc w:val="left"/>
              <w:rPr>
                <w:sz w:val="24"/>
              </w:rPr>
            </w:pPr>
            <w:r>
              <w:rPr>
                <w:sz w:val="24"/>
              </w:rPr>
              <w:t>《声环境质量标准》（GB3096-2008）2类。</w:t>
            </w:r>
          </w:p>
          <w:p>
            <w:pPr>
              <w:pStyle w:val="156"/>
              <w:numPr>
                <w:ilvl w:val="0"/>
                <w:numId w:val="3"/>
              </w:numPr>
              <w:ind w:firstLineChars="0"/>
              <w:jc w:val="left"/>
              <w:rPr>
                <w:sz w:val="24"/>
                <w:u w:val="single"/>
              </w:rPr>
            </w:pPr>
            <w:r>
              <w:rPr>
                <w:rFonts w:hint="eastAsia"/>
                <w:sz w:val="24"/>
              </w:rPr>
              <w:t>《土壤环境质量 建设用地土壤污染风险管控标准（试行）》（GB36600-2018）</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4" w:hRule="exact"/>
        </w:trPr>
        <w:tc>
          <w:tcPr>
            <w:tcW w:w="809" w:type="dxa"/>
            <w:vAlign w:val="center"/>
          </w:tcPr>
          <w:p>
            <w:pPr>
              <w:jc w:val="center"/>
              <w:rPr>
                <w:rFonts w:cs="宋体"/>
                <w:b/>
                <w:bCs/>
                <w:color w:val="000000"/>
                <w:sz w:val="24"/>
              </w:rPr>
            </w:pPr>
            <w:r>
              <w:rPr>
                <w:rFonts w:hint="eastAsia" w:cs="宋体"/>
                <w:b/>
                <w:bCs/>
                <w:color w:val="000000"/>
                <w:sz w:val="24"/>
              </w:rPr>
              <w:t>污</w:t>
            </w:r>
          </w:p>
          <w:p>
            <w:pPr>
              <w:jc w:val="center"/>
              <w:rPr>
                <w:rFonts w:cs="宋体"/>
                <w:b/>
                <w:bCs/>
                <w:color w:val="000000"/>
                <w:sz w:val="24"/>
              </w:rPr>
            </w:pPr>
            <w:r>
              <w:rPr>
                <w:rFonts w:hint="eastAsia" w:cs="宋体"/>
                <w:b/>
                <w:bCs/>
                <w:color w:val="000000"/>
                <w:sz w:val="24"/>
              </w:rPr>
              <w:t>染</w:t>
            </w:r>
          </w:p>
          <w:p>
            <w:pPr>
              <w:jc w:val="center"/>
              <w:rPr>
                <w:rFonts w:cs="宋体"/>
                <w:b/>
                <w:bCs/>
                <w:color w:val="000000"/>
                <w:sz w:val="24"/>
              </w:rPr>
            </w:pPr>
            <w:r>
              <w:rPr>
                <w:rFonts w:hint="eastAsia" w:cs="宋体"/>
                <w:b/>
                <w:bCs/>
                <w:color w:val="000000"/>
                <w:sz w:val="24"/>
              </w:rPr>
              <w:t>物</w:t>
            </w:r>
          </w:p>
          <w:p>
            <w:pPr>
              <w:jc w:val="center"/>
              <w:rPr>
                <w:rFonts w:cs="宋体"/>
                <w:b/>
                <w:bCs/>
                <w:color w:val="000000"/>
                <w:sz w:val="24"/>
              </w:rPr>
            </w:pPr>
            <w:r>
              <w:rPr>
                <w:rFonts w:hint="eastAsia" w:cs="宋体"/>
                <w:b/>
                <w:bCs/>
                <w:color w:val="000000"/>
                <w:sz w:val="24"/>
              </w:rPr>
              <w:t>排</w:t>
            </w:r>
          </w:p>
          <w:p>
            <w:pPr>
              <w:jc w:val="center"/>
              <w:rPr>
                <w:rFonts w:cs="宋体"/>
                <w:b/>
                <w:bCs/>
                <w:color w:val="000000"/>
                <w:sz w:val="24"/>
              </w:rPr>
            </w:pPr>
            <w:r>
              <w:rPr>
                <w:rFonts w:hint="eastAsia" w:cs="宋体"/>
                <w:b/>
                <w:bCs/>
                <w:color w:val="000000"/>
                <w:sz w:val="24"/>
              </w:rPr>
              <w:t>放</w:t>
            </w:r>
          </w:p>
          <w:p>
            <w:pPr>
              <w:jc w:val="center"/>
              <w:rPr>
                <w:rFonts w:cs="宋体"/>
                <w:b/>
                <w:bCs/>
                <w:color w:val="000000"/>
                <w:sz w:val="24"/>
              </w:rPr>
            </w:pPr>
            <w:r>
              <w:rPr>
                <w:rFonts w:hint="eastAsia" w:cs="宋体"/>
                <w:b/>
                <w:bCs/>
                <w:color w:val="000000"/>
                <w:sz w:val="24"/>
              </w:rPr>
              <w:t>标</w:t>
            </w:r>
          </w:p>
          <w:p>
            <w:pPr>
              <w:jc w:val="center"/>
              <w:rPr>
                <w:rFonts w:cs="宋体"/>
                <w:color w:val="000000"/>
                <w:sz w:val="24"/>
              </w:rPr>
            </w:pPr>
            <w:r>
              <w:rPr>
                <w:rFonts w:hint="eastAsia" w:cs="宋体"/>
                <w:b/>
                <w:bCs/>
                <w:color w:val="000000"/>
                <w:sz w:val="24"/>
              </w:rPr>
              <w:t>准</w:t>
            </w:r>
          </w:p>
        </w:tc>
        <w:tc>
          <w:tcPr>
            <w:tcW w:w="8122" w:type="dxa"/>
            <w:vAlign w:val="center"/>
          </w:tcPr>
          <w:p>
            <w:pPr>
              <w:ind w:firstLine="480" w:firstLineChars="200"/>
              <w:rPr>
                <w:bCs/>
                <w:color w:val="000000"/>
                <w:sz w:val="24"/>
              </w:rPr>
            </w:pPr>
            <w:r>
              <w:rPr>
                <w:bCs/>
                <w:color w:val="000000"/>
                <w:sz w:val="24"/>
              </w:rPr>
              <w:t>1、《污水综合排放标准》（GB8978-1996），</w:t>
            </w:r>
            <w:r>
              <w:rPr>
                <w:rFonts w:hint="eastAsia"/>
                <w:bCs/>
                <w:color w:val="000000"/>
                <w:sz w:val="24"/>
                <w:lang w:eastAsia="zh-CN"/>
              </w:rPr>
              <w:t>三</w:t>
            </w:r>
            <w:r>
              <w:rPr>
                <w:bCs/>
                <w:color w:val="000000"/>
                <w:sz w:val="24"/>
              </w:rPr>
              <w:t>级标准</w:t>
            </w:r>
            <w:r>
              <w:rPr>
                <w:rFonts w:hint="eastAsia"/>
                <w:bCs/>
                <w:color w:val="000000"/>
                <w:sz w:val="24"/>
              </w:rPr>
              <w:t>。</w:t>
            </w:r>
          </w:p>
          <w:p>
            <w:pPr>
              <w:ind w:firstLine="480" w:firstLineChars="200"/>
              <w:rPr>
                <w:bCs/>
                <w:color w:val="000000"/>
                <w:sz w:val="24"/>
              </w:rPr>
            </w:pPr>
            <w:r>
              <w:rPr>
                <w:bCs/>
                <w:color w:val="000000"/>
                <w:sz w:val="24"/>
              </w:rPr>
              <w:t>2、《大气污染物综合排放标准》（GB16297-1996）表2二级标准及无组织排放监控浓度限值</w:t>
            </w:r>
            <w:r>
              <w:rPr>
                <w:rFonts w:hint="eastAsia"/>
                <w:bCs/>
                <w:color w:val="000000"/>
                <w:sz w:val="24"/>
              </w:rPr>
              <w:t>。</w:t>
            </w:r>
          </w:p>
          <w:p>
            <w:pPr>
              <w:ind w:firstLine="480" w:firstLineChars="200"/>
              <w:rPr>
                <w:bCs/>
                <w:color w:val="000000"/>
                <w:sz w:val="24"/>
              </w:rPr>
            </w:pPr>
            <w:r>
              <w:rPr>
                <w:bCs/>
                <w:color w:val="000000"/>
                <w:sz w:val="24"/>
              </w:rPr>
              <w:t>3、《建筑施工场界环境噪声排放标准》（GB12523-2011）</w:t>
            </w:r>
            <w:r>
              <w:rPr>
                <w:rFonts w:hint="eastAsia"/>
                <w:bCs/>
                <w:color w:val="000000"/>
                <w:sz w:val="24"/>
              </w:rPr>
              <w:t>。</w:t>
            </w:r>
          </w:p>
          <w:p>
            <w:pPr>
              <w:ind w:firstLine="480" w:firstLineChars="200"/>
              <w:rPr>
                <w:bCs/>
                <w:color w:val="000000"/>
                <w:sz w:val="24"/>
              </w:rPr>
            </w:pPr>
            <w:r>
              <w:rPr>
                <w:bCs/>
                <w:color w:val="000000"/>
                <w:sz w:val="24"/>
              </w:rPr>
              <w:t>4、《生活垃圾填埋污染物控制标准》（GB16889-2008）</w:t>
            </w:r>
            <w:r>
              <w:rPr>
                <w:rFonts w:hint="eastAsia"/>
                <w:bCs/>
                <w:color w:val="000000"/>
                <w:sz w:val="24"/>
              </w:rPr>
              <w:t>或</w:t>
            </w:r>
            <w:r>
              <w:rPr>
                <w:bCs/>
                <w:color w:val="000000"/>
                <w:sz w:val="24"/>
              </w:rPr>
              <w:t>《生活垃圾焚烧污染物控制标准》（GB18485-2014）</w:t>
            </w:r>
            <w:r>
              <w:rPr>
                <w:rFonts w:hint="eastAsia"/>
                <w:bCs/>
                <w:color w:val="000000"/>
                <w:sz w:val="24"/>
              </w:rPr>
              <w:t>。</w:t>
            </w:r>
          </w:p>
          <w:p>
            <w:pPr>
              <w:ind w:firstLine="480" w:firstLineChars="200"/>
              <w:rPr>
                <w:color w:val="000000"/>
                <w:sz w:val="24"/>
                <w:highlight w:val="yellow"/>
              </w:rPr>
            </w:pPr>
            <w:r>
              <w:rPr>
                <w:rFonts w:hint="eastAsia"/>
                <w:bCs/>
                <w:color w:val="000000"/>
                <w:sz w:val="24"/>
              </w:rPr>
              <w:t>5</w:t>
            </w:r>
            <w:r>
              <w:rPr>
                <w:bCs/>
                <w:color w:val="000000"/>
                <w:sz w:val="24"/>
              </w:rPr>
              <w:t>、《一般工业固体废物贮存、处置场污染控制标准》（GB18599-2001）及2013年修改单中要求。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6" w:hRule="atLeast"/>
        </w:trPr>
        <w:tc>
          <w:tcPr>
            <w:tcW w:w="809" w:type="dxa"/>
            <w:tcBorders>
              <w:bottom w:val="single" w:color="auto" w:sz="4" w:space="0"/>
            </w:tcBorders>
            <w:vAlign w:val="center"/>
          </w:tcPr>
          <w:p>
            <w:pPr>
              <w:jc w:val="center"/>
              <w:rPr>
                <w:rFonts w:cs="宋体"/>
                <w:b/>
                <w:bCs/>
                <w:sz w:val="24"/>
              </w:rPr>
            </w:pPr>
            <w:r>
              <w:rPr>
                <w:rFonts w:hint="eastAsia" w:cs="宋体"/>
                <w:b/>
                <w:bCs/>
                <w:sz w:val="24"/>
              </w:rPr>
              <w:t xml:space="preserve"> 总</w:t>
            </w:r>
          </w:p>
          <w:p>
            <w:pPr>
              <w:jc w:val="center"/>
              <w:rPr>
                <w:rFonts w:cs="宋体"/>
                <w:b/>
                <w:bCs/>
                <w:sz w:val="24"/>
              </w:rPr>
            </w:pPr>
            <w:r>
              <w:rPr>
                <w:rFonts w:hint="eastAsia" w:cs="宋体"/>
                <w:b/>
                <w:bCs/>
                <w:sz w:val="24"/>
              </w:rPr>
              <w:t>量</w:t>
            </w:r>
          </w:p>
          <w:p>
            <w:pPr>
              <w:jc w:val="center"/>
              <w:rPr>
                <w:rFonts w:cs="宋体"/>
                <w:b/>
                <w:bCs/>
                <w:sz w:val="24"/>
              </w:rPr>
            </w:pPr>
            <w:r>
              <w:rPr>
                <w:rFonts w:hint="eastAsia" w:cs="宋体"/>
                <w:b/>
                <w:bCs/>
                <w:sz w:val="24"/>
              </w:rPr>
              <w:t>控</w:t>
            </w:r>
          </w:p>
          <w:p>
            <w:pPr>
              <w:jc w:val="center"/>
              <w:rPr>
                <w:rFonts w:cs="宋体"/>
                <w:b/>
                <w:bCs/>
                <w:sz w:val="24"/>
              </w:rPr>
            </w:pPr>
            <w:r>
              <w:rPr>
                <w:rFonts w:hint="eastAsia" w:cs="宋体"/>
                <w:b/>
                <w:bCs/>
                <w:sz w:val="24"/>
              </w:rPr>
              <w:t>制</w:t>
            </w:r>
          </w:p>
          <w:p>
            <w:pPr>
              <w:jc w:val="center"/>
              <w:rPr>
                <w:rFonts w:cs="宋体"/>
                <w:b/>
                <w:bCs/>
                <w:sz w:val="24"/>
              </w:rPr>
            </w:pPr>
            <w:r>
              <w:rPr>
                <w:rFonts w:hint="eastAsia" w:cs="宋体"/>
                <w:b/>
                <w:bCs/>
                <w:sz w:val="24"/>
              </w:rPr>
              <w:t>指</w:t>
            </w:r>
          </w:p>
          <w:p>
            <w:pPr>
              <w:jc w:val="center"/>
              <w:rPr>
                <w:rFonts w:cs="宋体"/>
                <w:sz w:val="24"/>
              </w:rPr>
            </w:pPr>
            <w:r>
              <w:rPr>
                <w:rFonts w:hint="eastAsia" w:cs="宋体"/>
                <w:b/>
                <w:bCs/>
                <w:sz w:val="24"/>
              </w:rPr>
              <w:t>标</w:t>
            </w:r>
          </w:p>
        </w:tc>
        <w:tc>
          <w:tcPr>
            <w:tcW w:w="8122" w:type="dxa"/>
            <w:tcBorders>
              <w:bottom w:val="single" w:color="auto" w:sz="4" w:space="0"/>
            </w:tcBorders>
            <w:vAlign w:val="center"/>
          </w:tcPr>
          <w:p>
            <w:pPr>
              <w:ind w:firstLine="480" w:firstLineChars="200"/>
              <w:jc w:val="left"/>
              <w:rPr>
                <w:sz w:val="24"/>
                <w:highlight w:val="yellow"/>
              </w:rPr>
            </w:pPr>
            <w:r>
              <w:rPr>
                <w:sz w:val="24"/>
                <w:lang w:val="en-GB"/>
              </w:rPr>
              <w:t>本工程为</w:t>
            </w:r>
            <w:r>
              <w:rPr>
                <w:rFonts w:hint="eastAsia"/>
                <w:sz w:val="24"/>
                <w:lang w:val="en-US" w:eastAsia="zh-CN"/>
              </w:rPr>
              <w:t>临时</w:t>
            </w:r>
            <w:r>
              <w:rPr>
                <w:sz w:val="24"/>
                <w:lang w:val="en-GB"/>
              </w:rPr>
              <w:t>项目，不涉及总量控制，无需申请总量控制指标。</w:t>
            </w:r>
          </w:p>
        </w:tc>
      </w:tr>
    </w:tbl>
    <w:p>
      <w:pPr>
        <w:jc w:val="left"/>
        <w:outlineLvl w:val="0"/>
        <w:rPr>
          <w:rFonts w:cs="宋体"/>
          <w:b/>
          <w:bCs/>
          <w:sz w:val="28"/>
        </w:rPr>
      </w:pPr>
      <w:r>
        <w:rPr>
          <w:rFonts w:hint="eastAsia" w:cs="宋体"/>
          <w:b/>
          <w:bCs/>
          <w:sz w:val="28"/>
          <w:highlight w:val="yellow"/>
        </w:rPr>
        <w:br w:type="page"/>
      </w:r>
      <w:bookmarkStart w:id="9" w:name="_Toc20760"/>
      <w:r>
        <w:rPr>
          <w:rFonts w:hint="eastAsia" w:cs="宋体"/>
          <w:b/>
          <w:bCs/>
          <w:sz w:val="28"/>
        </w:rPr>
        <w:t>建设项目工程分析</w:t>
      </w:r>
      <w:bookmarkEnd w:id="9"/>
    </w:p>
    <w:tbl>
      <w:tblPr>
        <w:tblStyle w:val="43"/>
        <w:tblW w:w="918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62" w:hRule="atLeast"/>
        </w:trPr>
        <w:tc>
          <w:tcPr>
            <w:tcW w:w="9181" w:type="dxa"/>
            <w:tcBorders>
              <w:tl2br w:val="nil"/>
              <w:tr2bl w:val="nil"/>
            </w:tcBorders>
            <w:vAlign w:val="top"/>
          </w:tcPr>
          <w:p>
            <w:pPr>
              <w:jc w:val="left"/>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工艺流程简述（图示）：</w:t>
            </w:r>
          </w:p>
          <w:p>
            <w:pPr>
              <w:ind w:firstLine="480" w:firstLineChars="200"/>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rPr>
              <w:t>2</w:t>
            </w:r>
            <w:r>
              <w:rPr>
                <w:rFonts w:hint="default" w:ascii="Times New Roman" w:hAnsi="Times New Roman" w:eastAsia="宋体" w:cs="Times New Roman"/>
                <w:b/>
                <w:color w:val="auto"/>
                <w:sz w:val="24"/>
              </w:rPr>
              <w:t>、项目运营期工艺流程与产排污节点</w:t>
            </w:r>
          </w:p>
          <w:p>
            <w:pPr>
              <w:ind w:firstLine="480" w:firstLineChars="200"/>
              <w:rPr>
                <w:rFonts w:hint="default" w:ascii="Times New Roman" w:hAnsi="Times New Roman" w:eastAsia="宋体" w:cs="Times New Roman"/>
                <w:color w:val="auto"/>
                <w:sz w:val="28"/>
                <w:lang w:eastAsia="zh-CN"/>
              </w:rPr>
            </w:pPr>
            <w:r>
              <w:rPr>
                <w:rFonts w:hint="default" w:ascii="Times New Roman" w:hAnsi="Times New Roman" w:eastAsia="宋体" w:cs="Times New Roman"/>
                <w:color w:val="auto"/>
                <w:sz w:val="24"/>
                <w:szCs w:val="22"/>
              </w:rPr>
              <w:t>项目施工期主要包括场地平整、主体工程、安装工程，施工期工艺流程详见图5-1</w:t>
            </w:r>
            <w:r>
              <w:rPr>
                <w:rFonts w:hint="default" w:ascii="Times New Roman" w:hAnsi="Times New Roman" w:eastAsia="宋体" w:cs="Times New Roman"/>
                <w:color w:val="auto"/>
                <w:sz w:val="24"/>
                <w:szCs w:val="22"/>
                <w:lang w:eastAsia="zh-CN"/>
              </w:rPr>
              <w:t>。</w:t>
            </w:r>
          </w:p>
          <w:p>
            <w:pPr>
              <w:rPr>
                <w:rFonts w:hint="default" w:ascii="Times New Roman" w:hAnsi="Times New Roman" w:eastAsia="宋体" w:cs="Times New Roman"/>
                <w:color w:val="auto"/>
              </w:rPr>
            </w:pPr>
            <w:r>
              <w:rPr>
                <w:rFonts w:hint="default" w:ascii="Times New Roman" w:hAnsi="Times New Roman" w:eastAsia="宋体" w:cs="Times New Roman"/>
                <w:color w:val="auto"/>
              </w:rPr>
              <w:drawing>
                <wp:inline distT="0" distB="0" distL="114300" distR="114300">
                  <wp:extent cx="5573395" cy="1306830"/>
                  <wp:effectExtent l="0" t="0" r="8255" b="7620"/>
                  <wp:docPr id="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2"/>
                          <pic:cNvPicPr>
                            <a:picLocks noChangeAspect="1"/>
                          </pic:cNvPicPr>
                        </pic:nvPicPr>
                        <pic:blipFill>
                          <a:blip r:embed="rId7"/>
                          <a:srcRect b="3198"/>
                          <a:stretch>
                            <a:fillRect/>
                          </a:stretch>
                        </pic:blipFill>
                        <pic:spPr>
                          <a:xfrm>
                            <a:off x="0" y="0"/>
                            <a:ext cx="5573395" cy="1306830"/>
                          </a:xfrm>
                          <a:prstGeom prst="rect">
                            <a:avLst/>
                          </a:prstGeom>
                          <a:noFill/>
                          <a:ln>
                            <a:noFill/>
                          </a:ln>
                        </pic:spPr>
                      </pic:pic>
                    </a:graphicData>
                  </a:graphic>
                </wp:inline>
              </w:drawing>
            </w:r>
          </w:p>
          <w:p>
            <w:pPr>
              <w:jc w:val="center"/>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图5</w:t>
            </w:r>
            <w:r>
              <w:rPr>
                <w:rFonts w:hint="default" w:ascii="Times New Roman" w:hAnsi="Times New Roman" w:eastAsia="宋体" w:cs="Times New Roman"/>
                <w:b/>
                <w:bCs/>
                <w:color w:val="auto"/>
                <w:sz w:val="24"/>
                <w:lang w:val="en-US" w:eastAsia="zh-CN"/>
              </w:rPr>
              <w:t>-1</w:t>
            </w:r>
            <w:r>
              <w:rPr>
                <w:rFonts w:hint="default" w:ascii="Times New Roman" w:hAnsi="Times New Roman" w:eastAsia="宋体" w:cs="Times New Roman"/>
                <w:b/>
                <w:bCs/>
                <w:color w:val="auto"/>
                <w:sz w:val="24"/>
              </w:rPr>
              <w:t xml:space="preserve">  项目工艺流程图及产污节点图</w:t>
            </w:r>
          </w:p>
          <w:p>
            <w:pPr>
              <w:ind w:firstLine="482" w:firstLineChars="200"/>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lang w:val="en-US" w:eastAsia="zh-CN"/>
              </w:rPr>
              <w:t>2、</w:t>
            </w:r>
            <w:r>
              <w:rPr>
                <w:rFonts w:hint="default" w:ascii="Times New Roman" w:hAnsi="Times New Roman" w:eastAsia="宋体" w:cs="Times New Roman"/>
                <w:b/>
                <w:color w:val="auto"/>
                <w:sz w:val="24"/>
              </w:rPr>
              <w:t>项目运营期工艺流程与产排污节点</w:t>
            </w:r>
          </w:p>
          <w:p>
            <w:pPr>
              <w:ind w:firstLine="482" w:firstLineChars="200"/>
              <w:rPr>
                <w:rFonts w:hint="default" w:ascii="Times New Roman" w:hAnsi="Times New Roman" w:eastAsia="宋体" w:cs="Times New Roman"/>
                <w:b/>
                <w:bCs/>
                <w:color w:val="auto"/>
                <w:sz w:val="24"/>
                <w:shd w:val="clear" w:color="auto" w:fill="auto"/>
                <w:lang w:eastAsia="zh-CN"/>
              </w:rPr>
            </w:pPr>
            <w:r>
              <w:rPr>
                <w:rFonts w:hint="default" w:ascii="Times New Roman" w:hAnsi="Times New Roman" w:eastAsia="宋体" w:cs="Times New Roman"/>
                <w:b/>
                <w:bCs/>
                <w:color w:val="auto"/>
                <w:sz w:val="24"/>
                <w:shd w:val="clear" w:color="auto" w:fill="auto"/>
                <w:lang w:eastAsia="zh-CN"/>
              </w:rPr>
              <w:t>（一）混凝土拌和站生产工艺流程图</w:t>
            </w:r>
          </w:p>
          <w:p>
            <w:pPr>
              <w:bidi w:val="0"/>
              <w:rPr>
                <w:rFonts w:hint="default" w:ascii="Times New Roman" w:hAnsi="Times New Roman" w:eastAsia="宋体" w:cs="Times New Roman"/>
                <w:lang w:eastAsia="zh-CN"/>
              </w:rPr>
            </w:pPr>
            <w:r>
              <w:rPr>
                <w:rFonts w:hint="default" w:ascii="Times New Roman" w:hAnsi="Times New Roman" w:eastAsia="宋体" w:cs="Times New Roman"/>
                <w:sz w:val="24"/>
              </w:rPr>
              <mc:AlternateContent>
                <mc:Choice Requires="wpg">
                  <w:drawing>
                    <wp:inline distT="0" distB="0" distL="114300" distR="114300">
                      <wp:extent cx="5276850" cy="4878705"/>
                      <wp:effectExtent l="4445" t="0" r="90805" b="50800"/>
                      <wp:docPr id="172" name="组合 172"/>
                      <wp:cNvGraphicFramePr/>
                      <a:graphic xmlns:a="http://schemas.openxmlformats.org/drawingml/2006/main">
                        <a:graphicData uri="http://schemas.microsoft.com/office/word/2010/wordprocessingGroup">
                          <wpg:wgp>
                            <wpg:cNvGrpSpPr/>
                            <wpg:grpSpPr>
                              <a:xfrm>
                                <a:off x="0" y="0"/>
                                <a:ext cx="5276850" cy="4878705"/>
                                <a:chOff x="4530" y="382410"/>
                                <a:chExt cx="8310" cy="7683"/>
                              </a:xfrm>
                            </wpg:grpSpPr>
                            <wps:wsp>
                              <wps:cNvPr id="11" name="文本框 11"/>
                              <wps:cNvSpPr txBox="1"/>
                              <wps:spPr>
                                <a:xfrm>
                                  <a:off x="8159" y="382482"/>
                                  <a:ext cx="1260" cy="468"/>
                                </a:xfrm>
                                <a:prstGeom prst="rect">
                                  <a:avLst/>
                                </a:prstGeom>
                                <a:gradFill rotWithShape="1">
                                  <a:gsLst>
                                    <a:gs pos="0">
                                      <a:srgbClr val="FFFFFF"/>
                                    </a:gs>
                                    <a:gs pos="100000">
                                      <a:srgbClr val="FFFF99"/>
                                    </a:gs>
                                  </a:gsLst>
                                  <a:lin ang="5400000" scaled="1"/>
                                  <a:tileRect/>
                                </a:gradFill>
                                <a:ln w="9525" cap="flat" cmpd="sng">
                                  <a:solidFill>
                                    <a:srgbClr val="000000"/>
                                  </a:solidFill>
                                  <a:prstDash val="solid"/>
                                  <a:miter/>
                                  <a:headEnd type="none" w="med" len="med"/>
                                  <a:tailEnd type="none" w="med" len="med"/>
                                </a:ln>
                              </wps:spPr>
                              <wps:txbx>
                                <w:txbxContent>
                                  <w:p>
                                    <w:pPr>
                                      <w:jc w:val="center"/>
                                      <w:rPr>
                                        <w:rFonts w:hint="default" w:eastAsia="宋体"/>
                                        <w:sz w:val="21"/>
                                        <w:szCs w:val="21"/>
                                        <w:lang w:val="en-US" w:eastAsia="zh-CN"/>
                                      </w:rPr>
                                    </w:pPr>
                                    <w:r>
                                      <w:rPr>
                                        <w:rFonts w:hint="eastAsia"/>
                                        <w:sz w:val="21"/>
                                        <w:szCs w:val="21"/>
                                        <w:lang w:val="en-US" w:eastAsia="zh-CN"/>
                                      </w:rPr>
                                      <w:t>料仓</w:t>
                                    </w:r>
                                  </w:p>
                                </w:txbxContent>
                              </wps:txbx>
                              <wps:bodyPr upright="1"/>
                            </wps:wsp>
                            <wps:wsp>
                              <wps:cNvPr id="109" name="文本框 109"/>
                              <wps:cNvSpPr txBox="1"/>
                              <wps:spPr>
                                <a:xfrm>
                                  <a:off x="9975" y="382410"/>
                                  <a:ext cx="758" cy="468"/>
                                </a:xfrm>
                                <a:prstGeom prst="rect">
                                  <a:avLst/>
                                </a:prstGeom>
                                <a:solidFill>
                                  <a:srgbClr val="FFFFFF"/>
                                </a:solidFill>
                                <a:ln w="9525" cap="flat" cmpd="sng">
                                  <a:solidFill>
                                    <a:srgbClr val="FF0000"/>
                                  </a:solidFill>
                                  <a:prstDash val="dash"/>
                                  <a:miter/>
                                  <a:headEnd type="none" w="med" len="med"/>
                                  <a:tailEnd type="none" w="med" len="med"/>
                                </a:ln>
                              </wps:spPr>
                              <wps:txbx>
                                <w:txbxContent>
                                  <w:p>
                                    <w:pPr>
                                      <w:rPr>
                                        <w:rFonts w:hint="eastAsia"/>
                                        <w:sz w:val="21"/>
                                        <w:szCs w:val="21"/>
                                      </w:rPr>
                                    </w:pPr>
                                    <w:r>
                                      <w:rPr>
                                        <w:rFonts w:hint="eastAsia"/>
                                        <w:sz w:val="21"/>
                                        <w:szCs w:val="21"/>
                                      </w:rPr>
                                      <w:t>粉尘</w:t>
                                    </w:r>
                                  </w:p>
                                </w:txbxContent>
                              </wps:txbx>
                              <wps:bodyPr upright="1"/>
                            </wps:wsp>
                            <wps:wsp>
                              <wps:cNvPr id="110" name="直接连接符 110"/>
                              <wps:cNvCnPr/>
                              <wps:spPr>
                                <a:xfrm>
                                  <a:off x="9435" y="382677"/>
                                  <a:ext cx="540" cy="0"/>
                                </a:xfrm>
                                <a:prstGeom prst="line">
                                  <a:avLst/>
                                </a:prstGeom>
                                <a:ln w="9525" cap="flat" cmpd="sng">
                                  <a:solidFill>
                                    <a:srgbClr val="FF0000"/>
                                  </a:solidFill>
                                  <a:prstDash val="dash"/>
                                  <a:headEnd type="none" w="med" len="med"/>
                                  <a:tailEnd type="triangle" w="med" len="med"/>
                                </a:ln>
                              </wps:spPr>
                              <wps:bodyPr upright="1"/>
                            </wps:wsp>
                            <wps:wsp>
                              <wps:cNvPr id="111" name="文本框 111"/>
                              <wps:cNvSpPr txBox="1"/>
                              <wps:spPr>
                                <a:xfrm>
                                  <a:off x="8888" y="383003"/>
                                  <a:ext cx="750" cy="481"/>
                                </a:xfrm>
                                <a:prstGeom prst="rect">
                                  <a:avLst/>
                                </a:prstGeom>
                                <a:noFill/>
                                <a:ln w="15875">
                                  <a:noFill/>
                                </a:ln>
                              </wps:spPr>
                              <wps:txbx>
                                <w:txbxContent>
                                  <w:p>
                                    <w:pPr>
                                      <w:rPr>
                                        <w:rFonts w:hint="eastAsia" w:eastAsia="宋体"/>
                                        <w:sz w:val="21"/>
                                        <w:szCs w:val="21"/>
                                        <w:lang w:val="en-US" w:eastAsia="zh-CN"/>
                                      </w:rPr>
                                    </w:pPr>
                                    <w:r>
                                      <w:rPr>
                                        <w:rFonts w:hint="eastAsia"/>
                                        <w:sz w:val="21"/>
                                        <w:szCs w:val="21"/>
                                        <w:lang w:val="en-US" w:eastAsia="zh-CN"/>
                                      </w:rPr>
                                      <w:t>铲车</w:t>
                                    </w:r>
                                  </w:p>
                                </w:txbxContent>
                              </wps:txbx>
                              <wps:bodyPr upright="1"/>
                            </wps:wsp>
                            <wps:wsp>
                              <wps:cNvPr id="112" name="直接连接符 112"/>
                              <wps:cNvCnPr/>
                              <wps:spPr>
                                <a:xfrm>
                                  <a:off x="8818" y="382928"/>
                                  <a:ext cx="1" cy="590"/>
                                </a:xfrm>
                                <a:prstGeom prst="line">
                                  <a:avLst/>
                                </a:prstGeom>
                                <a:ln w="9525" cap="flat" cmpd="sng">
                                  <a:solidFill>
                                    <a:srgbClr val="000000"/>
                                  </a:solidFill>
                                  <a:prstDash val="solid"/>
                                  <a:headEnd type="none" w="med" len="med"/>
                                  <a:tailEnd type="triangle" w="med" len="med"/>
                                </a:ln>
                              </wps:spPr>
                              <wps:bodyPr upright="1"/>
                            </wps:wsp>
                            <wps:wsp>
                              <wps:cNvPr id="113" name="文本框 113"/>
                              <wps:cNvSpPr txBox="1"/>
                              <wps:spPr>
                                <a:xfrm>
                                  <a:off x="9975" y="383521"/>
                                  <a:ext cx="1440" cy="468"/>
                                </a:xfrm>
                                <a:prstGeom prst="rect">
                                  <a:avLst/>
                                </a:prstGeom>
                                <a:solidFill>
                                  <a:srgbClr val="FFFFFF"/>
                                </a:solidFill>
                                <a:ln w="9525" cap="flat" cmpd="sng">
                                  <a:solidFill>
                                    <a:srgbClr val="FF0000"/>
                                  </a:solidFill>
                                  <a:prstDash val="dash"/>
                                  <a:miter/>
                                  <a:headEnd type="none" w="med" len="med"/>
                                  <a:tailEnd type="none" w="med" len="med"/>
                                </a:ln>
                              </wps:spPr>
                              <wps:txbx>
                                <w:txbxContent>
                                  <w:p>
                                    <w:pPr>
                                      <w:rPr>
                                        <w:rFonts w:hint="eastAsia"/>
                                        <w:sz w:val="21"/>
                                        <w:szCs w:val="21"/>
                                      </w:rPr>
                                    </w:pPr>
                                    <w:r>
                                      <w:rPr>
                                        <w:rFonts w:hint="eastAsia"/>
                                        <w:sz w:val="21"/>
                                        <w:szCs w:val="21"/>
                                      </w:rPr>
                                      <w:t>噪声、粉尘</w:t>
                                    </w:r>
                                  </w:p>
                                </w:txbxContent>
                              </wps:txbx>
                              <wps:bodyPr upright="1"/>
                            </wps:wsp>
                            <wps:wsp>
                              <wps:cNvPr id="114" name="直接连接符 114"/>
                              <wps:cNvCnPr/>
                              <wps:spPr>
                                <a:xfrm>
                                  <a:off x="9435" y="383758"/>
                                  <a:ext cx="540" cy="0"/>
                                </a:xfrm>
                                <a:prstGeom prst="line">
                                  <a:avLst/>
                                </a:prstGeom>
                                <a:ln w="9525" cap="flat" cmpd="sng">
                                  <a:solidFill>
                                    <a:srgbClr val="FF0000"/>
                                  </a:solidFill>
                                  <a:prstDash val="dash"/>
                                  <a:headEnd type="none" w="med" len="med"/>
                                  <a:tailEnd type="triangle" w="med" len="med"/>
                                </a:ln>
                              </wps:spPr>
                              <wps:bodyPr upright="1"/>
                            </wps:wsp>
                            <wps:wsp>
                              <wps:cNvPr id="115" name="文本框 115"/>
                              <wps:cNvSpPr txBox="1"/>
                              <wps:spPr>
                                <a:xfrm>
                                  <a:off x="8175" y="383521"/>
                                  <a:ext cx="1260" cy="468"/>
                                </a:xfrm>
                                <a:prstGeom prst="rect">
                                  <a:avLst/>
                                </a:prstGeom>
                                <a:gradFill rotWithShape="1">
                                  <a:gsLst>
                                    <a:gs pos="0">
                                      <a:srgbClr val="FFFFFF"/>
                                    </a:gs>
                                    <a:gs pos="100000">
                                      <a:srgbClr val="FFFF99"/>
                                    </a:gs>
                                  </a:gsLst>
                                  <a:lin ang="5400000" scaled="1"/>
                                  <a:tileRect/>
                                </a:gradFill>
                                <a:ln w="9525" cap="flat" cmpd="sng">
                                  <a:solidFill>
                                    <a:srgbClr val="000000"/>
                                  </a:solidFill>
                                  <a:prstDash val="solid"/>
                                  <a:miter/>
                                  <a:headEnd type="none" w="med" len="med"/>
                                  <a:tailEnd type="none" w="med" len="med"/>
                                </a:ln>
                              </wps:spPr>
                              <wps:txbx>
                                <w:txbxContent>
                                  <w:p>
                                    <w:pPr>
                                      <w:jc w:val="center"/>
                                      <w:rPr>
                                        <w:rFonts w:hint="eastAsia" w:eastAsia="宋体"/>
                                        <w:sz w:val="21"/>
                                        <w:szCs w:val="21"/>
                                        <w:lang w:val="en-US" w:eastAsia="zh-CN"/>
                                      </w:rPr>
                                    </w:pPr>
                                    <w:r>
                                      <w:rPr>
                                        <w:rFonts w:hint="eastAsia"/>
                                        <w:sz w:val="21"/>
                                        <w:szCs w:val="21"/>
                                      </w:rPr>
                                      <w:t>配料</w:t>
                                    </w:r>
                                    <w:r>
                                      <w:rPr>
                                        <w:rFonts w:hint="eastAsia"/>
                                        <w:sz w:val="21"/>
                                        <w:szCs w:val="21"/>
                                        <w:lang w:val="en-US" w:eastAsia="zh-CN"/>
                                      </w:rPr>
                                      <w:t>仓</w:t>
                                    </w:r>
                                  </w:p>
                                </w:txbxContent>
                              </wps:txbx>
                              <wps:bodyPr upright="1"/>
                            </wps:wsp>
                            <wps:wsp>
                              <wps:cNvPr id="116" name="直接连接符 116"/>
                              <wps:cNvCnPr/>
                              <wps:spPr>
                                <a:xfrm>
                                  <a:off x="8788" y="384023"/>
                                  <a:ext cx="1" cy="468"/>
                                </a:xfrm>
                                <a:prstGeom prst="line">
                                  <a:avLst/>
                                </a:prstGeom>
                                <a:ln w="9525" cap="flat" cmpd="sng">
                                  <a:solidFill>
                                    <a:srgbClr val="000000"/>
                                  </a:solidFill>
                                  <a:prstDash val="solid"/>
                                  <a:headEnd type="none" w="med" len="med"/>
                                  <a:tailEnd type="triangle" w="med" len="med"/>
                                </a:ln>
                              </wps:spPr>
                              <wps:bodyPr upright="1"/>
                            </wps:wsp>
                            <wps:wsp>
                              <wps:cNvPr id="117" name="文本框 117"/>
                              <wps:cNvSpPr txBox="1"/>
                              <wps:spPr>
                                <a:xfrm>
                                  <a:off x="9977" y="384568"/>
                                  <a:ext cx="1978" cy="468"/>
                                </a:xfrm>
                                <a:prstGeom prst="rect">
                                  <a:avLst/>
                                </a:prstGeom>
                                <a:solidFill>
                                  <a:srgbClr val="FFFFFF"/>
                                </a:solidFill>
                                <a:ln w="9525" cap="flat" cmpd="sng">
                                  <a:solidFill>
                                    <a:srgbClr val="FF0000"/>
                                  </a:solidFill>
                                  <a:prstDash val="dash"/>
                                  <a:miter/>
                                  <a:headEnd type="none" w="med" len="med"/>
                                  <a:tailEnd type="none" w="med" len="med"/>
                                </a:ln>
                              </wps:spPr>
                              <wps:txbx>
                                <w:txbxContent>
                                  <w:p>
                                    <w:pPr>
                                      <w:rPr>
                                        <w:rFonts w:hint="eastAsia"/>
                                        <w:sz w:val="21"/>
                                        <w:szCs w:val="21"/>
                                      </w:rPr>
                                    </w:pPr>
                                    <w:r>
                                      <w:rPr>
                                        <w:rFonts w:hint="eastAsia"/>
                                        <w:sz w:val="21"/>
                                        <w:szCs w:val="21"/>
                                      </w:rPr>
                                      <w:t>噪声、固体废物</w:t>
                                    </w:r>
                                  </w:p>
                                </w:txbxContent>
                              </wps:txbx>
                              <wps:bodyPr upright="1"/>
                            </wps:wsp>
                            <wps:wsp>
                              <wps:cNvPr id="118" name="直接连接符 118"/>
                              <wps:cNvCnPr/>
                              <wps:spPr>
                                <a:xfrm>
                                  <a:off x="9435" y="384801"/>
                                  <a:ext cx="540" cy="0"/>
                                </a:xfrm>
                                <a:prstGeom prst="line">
                                  <a:avLst/>
                                </a:prstGeom>
                                <a:ln w="9525" cap="flat" cmpd="sng">
                                  <a:solidFill>
                                    <a:srgbClr val="FF0000"/>
                                  </a:solidFill>
                                  <a:prstDash val="dash"/>
                                  <a:headEnd type="none" w="med" len="med"/>
                                  <a:tailEnd type="triangle" w="med" len="med"/>
                                </a:ln>
                              </wps:spPr>
                              <wps:bodyPr upright="1"/>
                            </wps:wsp>
                            <wps:wsp>
                              <wps:cNvPr id="119" name="文本框 119"/>
                              <wps:cNvSpPr txBox="1"/>
                              <wps:spPr>
                                <a:xfrm>
                                  <a:off x="8175" y="384534"/>
                                  <a:ext cx="1260" cy="468"/>
                                </a:xfrm>
                                <a:prstGeom prst="rect">
                                  <a:avLst/>
                                </a:prstGeom>
                                <a:gradFill rotWithShape="1">
                                  <a:gsLst>
                                    <a:gs pos="0">
                                      <a:srgbClr val="FFFFFF"/>
                                    </a:gs>
                                    <a:gs pos="100000">
                                      <a:srgbClr val="FFFF99"/>
                                    </a:gs>
                                  </a:gsLst>
                                  <a:lin ang="5400000" scaled="1"/>
                                  <a:tileRect/>
                                </a:gra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皮带输送</w:t>
                                    </w:r>
                                  </w:p>
                                </w:txbxContent>
                              </wps:txbx>
                              <wps:bodyPr upright="1"/>
                            </wps:wsp>
                            <wps:wsp>
                              <wps:cNvPr id="120" name="文本框 120"/>
                              <wps:cNvSpPr txBox="1"/>
                              <wps:spPr>
                                <a:xfrm>
                                  <a:off x="4530" y="385320"/>
                                  <a:ext cx="540" cy="988"/>
                                </a:xfrm>
                                <a:prstGeom prst="rect">
                                  <a:avLst/>
                                </a:prstGeom>
                                <a:solidFill>
                                  <a:srgbClr val="FFFFFF"/>
                                </a:solidFill>
                                <a:ln w="9525" cap="flat" cmpd="sng">
                                  <a:solidFill>
                                    <a:srgbClr val="FF0000"/>
                                  </a:solidFill>
                                  <a:prstDash val="dash"/>
                                  <a:miter/>
                                  <a:headEnd type="none" w="med" len="med"/>
                                  <a:tailEnd type="none" w="med" len="med"/>
                                </a:ln>
                              </wps:spPr>
                              <wps:txbx>
                                <w:txbxContent>
                                  <w:p>
                                    <w:pPr>
                                      <w:rPr>
                                        <w:rFonts w:hint="eastAsia"/>
                                        <w:sz w:val="21"/>
                                        <w:szCs w:val="21"/>
                                      </w:rPr>
                                    </w:pPr>
                                    <w:r>
                                      <w:rPr>
                                        <w:rFonts w:hint="eastAsia"/>
                                        <w:sz w:val="21"/>
                                        <w:szCs w:val="21"/>
                                      </w:rPr>
                                      <w:t>粉尘</w:t>
                                    </w:r>
                                  </w:p>
                                </w:txbxContent>
                              </wps:txbx>
                              <wps:bodyPr upright="1"/>
                            </wps:wsp>
                            <wps:wsp>
                              <wps:cNvPr id="121" name="文本框 121"/>
                              <wps:cNvSpPr txBox="1"/>
                              <wps:spPr>
                                <a:xfrm>
                                  <a:off x="10277" y="385472"/>
                                  <a:ext cx="1260" cy="468"/>
                                </a:xfrm>
                                <a:prstGeom prst="rect">
                                  <a:avLst/>
                                </a:prstGeom>
                                <a:gradFill rotWithShape="1">
                                  <a:gsLst>
                                    <a:gs pos="0">
                                      <a:srgbClr val="00FF00">
                                        <a:alpha val="98000"/>
                                      </a:srgbClr>
                                    </a:gs>
                                    <a:gs pos="50000">
                                      <a:srgbClr val="FFFFFF"/>
                                    </a:gs>
                                    <a:gs pos="100000">
                                      <a:srgbClr val="00FF00">
                                        <a:alpha val="98000"/>
                                      </a:srgbClr>
                                    </a:gs>
                                  </a:gsLst>
                                  <a:lin ang="5400000" scaled="1"/>
                                  <a:tileRect/>
                                </a:gra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水、外加剂</w:t>
                                    </w:r>
                                  </w:p>
                                </w:txbxContent>
                              </wps:txbx>
                              <wps:bodyPr upright="1"/>
                            </wps:wsp>
                            <wps:wsp>
                              <wps:cNvPr id="122" name="文本框 122"/>
                              <wps:cNvSpPr txBox="1"/>
                              <wps:spPr>
                                <a:xfrm>
                                  <a:off x="5608" y="385468"/>
                                  <a:ext cx="1260" cy="468"/>
                                </a:xfrm>
                                <a:prstGeom prst="rect">
                                  <a:avLst/>
                                </a:prstGeom>
                                <a:gradFill rotWithShape="1">
                                  <a:gsLst>
                                    <a:gs pos="0">
                                      <a:srgbClr val="00CCFF"/>
                                    </a:gs>
                                    <a:gs pos="50000">
                                      <a:srgbClr val="FFFFFF"/>
                                    </a:gs>
                                    <a:gs pos="100000">
                                      <a:srgbClr val="00CCFF"/>
                                    </a:gs>
                                  </a:gsLst>
                                  <a:lin ang="5400000" scaled="1"/>
                                  <a:tileRect/>
                                </a:gra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lang w:val="en-US" w:eastAsia="zh-CN"/>
                                      </w:rPr>
                                      <w:t>水泥</w:t>
                                    </w:r>
                                    <w:r>
                                      <w:rPr>
                                        <w:rFonts w:hint="eastAsia"/>
                                        <w:sz w:val="21"/>
                                        <w:szCs w:val="21"/>
                                      </w:rPr>
                                      <w:t>筒仓</w:t>
                                    </w:r>
                                  </w:p>
                                </w:txbxContent>
                              </wps:txbx>
                              <wps:bodyPr upright="1"/>
                            </wps:wsp>
                            <wps:wsp>
                              <wps:cNvPr id="123" name="直接连接符 123"/>
                              <wps:cNvCnPr/>
                              <wps:spPr>
                                <a:xfrm>
                                  <a:off x="8788" y="385051"/>
                                  <a:ext cx="1" cy="2597"/>
                                </a:xfrm>
                                <a:prstGeom prst="line">
                                  <a:avLst/>
                                </a:prstGeom>
                                <a:ln w="9525" cap="flat" cmpd="sng">
                                  <a:solidFill>
                                    <a:srgbClr val="000000"/>
                                  </a:solidFill>
                                  <a:prstDash val="solid"/>
                                  <a:headEnd type="none" w="med" len="med"/>
                                  <a:tailEnd type="triangle" w="med" len="med"/>
                                </a:ln>
                              </wps:spPr>
                              <wps:bodyPr upright="1"/>
                            </wps:wsp>
                            <wps:wsp>
                              <wps:cNvPr id="124" name="直接连接符 124"/>
                              <wps:cNvCnPr/>
                              <wps:spPr>
                                <a:xfrm flipH="1">
                                  <a:off x="5053" y="385739"/>
                                  <a:ext cx="540" cy="0"/>
                                </a:xfrm>
                                <a:prstGeom prst="line">
                                  <a:avLst/>
                                </a:prstGeom>
                                <a:ln w="9525" cap="flat" cmpd="sng">
                                  <a:solidFill>
                                    <a:srgbClr val="000000"/>
                                  </a:solidFill>
                                  <a:prstDash val="solid"/>
                                  <a:headEnd type="none" w="med" len="med"/>
                                  <a:tailEnd type="triangle" w="med" len="med"/>
                                </a:ln>
                              </wps:spPr>
                              <wps:bodyPr upright="1"/>
                            </wps:wsp>
                            <wps:wsp>
                              <wps:cNvPr id="125" name="直接连接符 125"/>
                              <wps:cNvCnPr/>
                              <wps:spPr>
                                <a:xfrm>
                                  <a:off x="10903" y="385987"/>
                                  <a:ext cx="1" cy="468"/>
                                </a:xfrm>
                                <a:prstGeom prst="line">
                                  <a:avLst/>
                                </a:prstGeom>
                                <a:ln w="9525" cap="flat" cmpd="sng">
                                  <a:solidFill>
                                    <a:srgbClr val="000000"/>
                                  </a:solidFill>
                                  <a:prstDash val="solid"/>
                                  <a:headEnd type="none" w="med" len="med"/>
                                  <a:tailEnd type="triangle" w="med" len="med"/>
                                </a:ln>
                              </wps:spPr>
                              <wps:bodyPr upright="1"/>
                            </wps:wsp>
                            <wps:wsp>
                              <wps:cNvPr id="126" name="直接连接符 126"/>
                              <wps:cNvCnPr/>
                              <wps:spPr>
                                <a:xfrm>
                                  <a:off x="6195" y="385985"/>
                                  <a:ext cx="1" cy="468"/>
                                </a:xfrm>
                                <a:prstGeom prst="line">
                                  <a:avLst/>
                                </a:prstGeom>
                                <a:ln w="9525" cap="flat" cmpd="sng">
                                  <a:solidFill>
                                    <a:srgbClr val="000000"/>
                                  </a:solidFill>
                                  <a:prstDash val="solid"/>
                                  <a:headEnd type="none" w="med" len="med"/>
                                  <a:tailEnd type="triangle" w="med" len="med"/>
                                </a:ln>
                              </wps:spPr>
                              <wps:bodyPr upright="1"/>
                            </wps:wsp>
                            <wps:wsp>
                              <wps:cNvPr id="127" name="文本框 127"/>
                              <wps:cNvSpPr txBox="1"/>
                              <wps:spPr>
                                <a:xfrm>
                                  <a:off x="12075" y="386442"/>
                                  <a:ext cx="765" cy="502"/>
                                </a:xfrm>
                                <a:prstGeom prst="rect">
                                  <a:avLst/>
                                </a:prstGeom>
                                <a:solidFill>
                                  <a:srgbClr val="FFFFFF"/>
                                </a:solidFill>
                                <a:ln w="9525" cap="flat" cmpd="sng">
                                  <a:solidFill>
                                    <a:srgbClr val="FF0000"/>
                                  </a:solidFill>
                                  <a:prstDash val="dash"/>
                                  <a:miter/>
                                  <a:headEnd type="none" w="med" len="med"/>
                                  <a:tailEnd type="none" w="med" len="med"/>
                                </a:ln>
                              </wps:spPr>
                              <wps:txbx>
                                <w:txbxContent>
                                  <w:p>
                                    <w:pPr>
                                      <w:rPr>
                                        <w:rFonts w:hint="eastAsia"/>
                                        <w:sz w:val="21"/>
                                        <w:szCs w:val="21"/>
                                      </w:rPr>
                                    </w:pPr>
                                    <w:r>
                                      <w:rPr>
                                        <w:rFonts w:hint="eastAsia"/>
                                        <w:sz w:val="21"/>
                                        <w:szCs w:val="21"/>
                                      </w:rPr>
                                      <w:t>噪声</w:t>
                                    </w:r>
                                  </w:p>
                                  <w:p>
                                    <w:pPr>
                                      <w:rPr>
                                        <w:rFonts w:hint="eastAsia"/>
                                        <w:sz w:val="21"/>
                                        <w:szCs w:val="21"/>
                                      </w:rPr>
                                    </w:pPr>
                                  </w:p>
                                </w:txbxContent>
                              </wps:txbx>
                              <wps:bodyPr upright="1"/>
                            </wps:wsp>
                            <wps:wsp>
                              <wps:cNvPr id="128" name="文本框 128"/>
                              <wps:cNvSpPr txBox="1"/>
                              <wps:spPr>
                                <a:xfrm>
                                  <a:off x="10290" y="386485"/>
                                  <a:ext cx="1260" cy="468"/>
                                </a:xfrm>
                                <a:prstGeom prst="rect">
                                  <a:avLst/>
                                </a:prstGeom>
                                <a:gradFill rotWithShape="1">
                                  <a:gsLst>
                                    <a:gs pos="0">
                                      <a:srgbClr val="00FF00">
                                        <a:alpha val="98000"/>
                                      </a:srgbClr>
                                    </a:gs>
                                    <a:gs pos="50000">
                                      <a:srgbClr val="FFFFFF"/>
                                    </a:gs>
                                    <a:gs pos="100000">
                                      <a:srgbClr val="00FF00">
                                        <a:alpha val="98000"/>
                                      </a:srgbClr>
                                    </a:gs>
                                  </a:gsLst>
                                  <a:lin ang="5400000" scaled="1"/>
                                  <a:tileRect/>
                                </a:gra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泵送、计量</w:t>
                                    </w:r>
                                  </w:p>
                                </w:txbxContent>
                              </wps:txbx>
                              <wps:bodyPr upright="1"/>
                            </wps:wsp>
                            <wps:wsp>
                              <wps:cNvPr id="129" name="文本框 129"/>
                              <wps:cNvSpPr txBox="1"/>
                              <wps:spPr>
                                <a:xfrm>
                                  <a:off x="11310" y="386036"/>
                                  <a:ext cx="900" cy="468"/>
                                </a:xfrm>
                                <a:prstGeom prst="rect">
                                  <a:avLst/>
                                </a:prstGeom>
                                <a:noFill/>
                                <a:ln>
                                  <a:noFill/>
                                </a:ln>
                              </wps:spPr>
                              <wps:txbx>
                                <w:txbxContent>
                                  <w:p>
                                    <w:pPr>
                                      <w:rPr>
                                        <w:sz w:val="21"/>
                                        <w:szCs w:val="21"/>
                                      </w:rPr>
                                    </w:pPr>
                                  </w:p>
                                </w:txbxContent>
                              </wps:txbx>
                              <wps:bodyPr upright="1"/>
                            </wps:wsp>
                            <wps:wsp>
                              <wps:cNvPr id="130" name="文本框 130"/>
                              <wps:cNvSpPr txBox="1"/>
                              <wps:spPr>
                                <a:xfrm>
                                  <a:off x="5655" y="386453"/>
                                  <a:ext cx="1260" cy="468"/>
                                </a:xfrm>
                                <a:prstGeom prst="rect">
                                  <a:avLst/>
                                </a:prstGeom>
                                <a:gradFill rotWithShape="1">
                                  <a:gsLst>
                                    <a:gs pos="0">
                                      <a:srgbClr val="00CCFF"/>
                                    </a:gs>
                                    <a:gs pos="50000">
                                      <a:srgbClr val="FFFFFF"/>
                                    </a:gs>
                                    <a:gs pos="100000">
                                      <a:srgbClr val="00CCFF"/>
                                    </a:gs>
                                  </a:gsLst>
                                  <a:lin ang="5400000" scaled="1"/>
                                  <a:tileRect/>
                                </a:gra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计量</w:t>
                                    </w:r>
                                  </w:p>
                                </w:txbxContent>
                              </wps:txbx>
                              <wps:bodyPr upright="1"/>
                            </wps:wsp>
                            <wps:wsp>
                              <wps:cNvPr id="131" name="直接连接符 131"/>
                              <wps:cNvCnPr/>
                              <wps:spPr>
                                <a:xfrm>
                                  <a:off x="10939" y="386962"/>
                                  <a:ext cx="1" cy="468"/>
                                </a:xfrm>
                                <a:prstGeom prst="line">
                                  <a:avLst/>
                                </a:prstGeom>
                                <a:ln w="9525" cap="flat" cmpd="sng">
                                  <a:solidFill>
                                    <a:srgbClr val="000000"/>
                                  </a:solidFill>
                                  <a:prstDash val="solid"/>
                                  <a:headEnd type="none" w="med" len="med"/>
                                  <a:tailEnd type="triangle" w="med" len="med"/>
                                </a:ln>
                              </wps:spPr>
                              <wps:bodyPr upright="1"/>
                            </wps:wsp>
                            <wps:wsp>
                              <wps:cNvPr id="132" name="直接连接符 132"/>
                              <wps:cNvCnPr/>
                              <wps:spPr>
                                <a:xfrm>
                                  <a:off x="11567" y="386714"/>
                                  <a:ext cx="540" cy="0"/>
                                </a:xfrm>
                                <a:prstGeom prst="line">
                                  <a:avLst/>
                                </a:prstGeom>
                                <a:ln w="9525" cap="flat" cmpd="sng">
                                  <a:solidFill>
                                    <a:srgbClr val="FF0000"/>
                                  </a:solidFill>
                                  <a:prstDash val="dash"/>
                                  <a:headEnd type="none" w="med" len="med"/>
                                  <a:tailEnd type="triangle" w="med" len="med"/>
                                </a:ln>
                              </wps:spPr>
                              <wps:bodyPr upright="1"/>
                            </wps:wsp>
                            <wps:wsp>
                              <wps:cNvPr id="133" name="直接连接符 133"/>
                              <wps:cNvCnPr/>
                              <wps:spPr>
                                <a:xfrm>
                                  <a:off x="6193" y="386923"/>
                                  <a:ext cx="1" cy="468"/>
                                </a:xfrm>
                                <a:prstGeom prst="line">
                                  <a:avLst/>
                                </a:prstGeom>
                                <a:ln w="9525" cap="flat" cmpd="sng">
                                  <a:solidFill>
                                    <a:srgbClr val="000000"/>
                                  </a:solidFill>
                                  <a:prstDash val="solid"/>
                                  <a:headEnd type="none" w="med" len="med"/>
                                  <a:tailEnd type="triangle" w="med" len="med"/>
                                </a:ln>
                              </wps:spPr>
                              <wps:bodyPr upright="1"/>
                            </wps:wsp>
                            <wps:wsp>
                              <wps:cNvPr id="134" name="文本框 134"/>
                              <wps:cNvSpPr txBox="1"/>
                              <wps:spPr>
                                <a:xfrm>
                                  <a:off x="11775" y="387273"/>
                                  <a:ext cx="1065" cy="1045"/>
                                </a:xfrm>
                                <a:prstGeom prst="rect">
                                  <a:avLst/>
                                </a:prstGeom>
                                <a:solidFill>
                                  <a:srgbClr val="FFFFFF"/>
                                </a:solidFill>
                                <a:ln w="9525" cap="flat" cmpd="sng">
                                  <a:solidFill>
                                    <a:srgbClr val="FF0000"/>
                                  </a:solidFill>
                                  <a:prstDash val="dash"/>
                                  <a:miter/>
                                  <a:headEnd type="none" w="med" len="med"/>
                                  <a:tailEnd type="none" w="med" len="med"/>
                                </a:ln>
                              </wps:spPr>
                              <wps:txbx>
                                <w:txbxContent>
                                  <w:p>
                                    <w:pPr>
                                      <w:rPr>
                                        <w:rFonts w:hint="eastAsia"/>
                                        <w:sz w:val="21"/>
                                        <w:szCs w:val="21"/>
                                      </w:rPr>
                                    </w:pPr>
                                    <w:r>
                                      <w:rPr>
                                        <w:rFonts w:hint="eastAsia"/>
                                        <w:sz w:val="21"/>
                                        <w:szCs w:val="21"/>
                                      </w:rPr>
                                      <w:t>噪声、粉尘、固体废物</w:t>
                                    </w:r>
                                  </w:p>
                                </w:txbxContent>
                              </wps:txbx>
                              <wps:bodyPr upright="1"/>
                            </wps:wsp>
                            <wps:wsp>
                              <wps:cNvPr id="135" name="文本框 135"/>
                              <wps:cNvSpPr txBox="1"/>
                              <wps:spPr>
                                <a:xfrm>
                                  <a:off x="6013" y="387424"/>
                                  <a:ext cx="5220" cy="468"/>
                                </a:xfrm>
                                <a:prstGeom prst="rect">
                                  <a:avLst/>
                                </a:prstGeom>
                                <a:gradFill rotWithShape="1">
                                  <a:gsLst>
                                    <a:gs pos="0">
                                      <a:srgbClr val="FF00FF"/>
                                    </a:gs>
                                    <a:gs pos="50000">
                                      <a:srgbClr val="FFFFFF"/>
                                    </a:gs>
                                    <a:gs pos="100000">
                                      <a:srgbClr val="FF00FF"/>
                                    </a:gs>
                                  </a:gsLst>
                                  <a:lin ang="5400000" scaled="1"/>
                                  <a:tileRect/>
                                </a:gra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搅拌主机</w:t>
                                    </w:r>
                                  </w:p>
                                </w:txbxContent>
                              </wps:txbx>
                              <wps:bodyPr upright="1"/>
                            </wps:wsp>
                            <wps:wsp>
                              <wps:cNvPr id="164" name="直接连接符 164"/>
                              <wps:cNvCnPr/>
                              <wps:spPr>
                                <a:xfrm>
                                  <a:off x="11235" y="387669"/>
                                  <a:ext cx="540" cy="0"/>
                                </a:xfrm>
                                <a:prstGeom prst="line">
                                  <a:avLst/>
                                </a:prstGeom>
                                <a:ln w="9525" cap="flat" cmpd="sng">
                                  <a:solidFill>
                                    <a:srgbClr val="FF0000"/>
                                  </a:solidFill>
                                  <a:prstDash val="dash"/>
                                  <a:headEnd type="none" w="med" len="med"/>
                                  <a:tailEnd type="triangle" w="med" len="med"/>
                                </a:ln>
                              </wps:spPr>
                              <wps:bodyPr upright="1"/>
                            </wps:wsp>
                            <wps:wsp>
                              <wps:cNvPr id="165" name="文本框 165"/>
                              <wps:cNvSpPr txBox="1"/>
                              <wps:spPr>
                                <a:xfrm>
                                  <a:off x="8807" y="388002"/>
                                  <a:ext cx="1078" cy="468"/>
                                </a:xfrm>
                                <a:prstGeom prst="rect">
                                  <a:avLst/>
                                </a:prstGeom>
                                <a:noFill/>
                                <a:ln>
                                  <a:noFill/>
                                </a:ln>
                              </wps:spPr>
                              <wps:txbx>
                                <w:txbxContent>
                                  <w:p>
                                    <w:pPr>
                                      <w:rPr>
                                        <w:rFonts w:hint="eastAsia"/>
                                        <w:sz w:val="21"/>
                                        <w:szCs w:val="21"/>
                                      </w:rPr>
                                    </w:pPr>
                                    <w:r>
                                      <w:rPr>
                                        <w:rFonts w:hint="eastAsia"/>
                                        <w:sz w:val="21"/>
                                        <w:szCs w:val="21"/>
                                      </w:rPr>
                                      <w:t>卸料门</w:t>
                                    </w:r>
                                  </w:p>
                                </w:txbxContent>
                              </wps:txbx>
                              <wps:bodyPr upright="1"/>
                            </wps:wsp>
                            <wps:wsp>
                              <wps:cNvPr id="166" name="直接连接符 166"/>
                              <wps:cNvCnPr/>
                              <wps:spPr>
                                <a:xfrm>
                                  <a:off x="8715" y="387908"/>
                                  <a:ext cx="1" cy="624"/>
                                </a:xfrm>
                                <a:prstGeom prst="line">
                                  <a:avLst/>
                                </a:prstGeom>
                                <a:ln w="9525" cap="flat" cmpd="sng">
                                  <a:solidFill>
                                    <a:srgbClr val="000000"/>
                                  </a:solidFill>
                                  <a:prstDash val="solid"/>
                                  <a:headEnd type="none" w="med" len="med"/>
                                  <a:tailEnd type="triangle" w="med" len="med"/>
                                </a:ln>
                              </wps:spPr>
                              <wps:bodyPr upright="1"/>
                            </wps:wsp>
                            <wps:wsp>
                              <wps:cNvPr id="167" name="文本框 167"/>
                              <wps:cNvSpPr txBox="1"/>
                              <wps:spPr>
                                <a:xfrm>
                                  <a:off x="10155" y="388389"/>
                                  <a:ext cx="969" cy="918"/>
                                </a:xfrm>
                                <a:prstGeom prst="rect">
                                  <a:avLst/>
                                </a:prstGeom>
                                <a:solidFill>
                                  <a:srgbClr val="FFFFFF"/>
                                </a:solidFill>
                                <a:ln w="9525" cap="flat" cmpd="sng">
                                  <a:solidFill>
                                    <a:srgbClr val="FF0000"/>
                                  </a:solidFill>
                                  <a:prstDash val="dash"/>
                                  <a:miter/>
                                  <a:headEnd type="none" w="med" len="med"/>
                                  <a:tailEnd type="none" w="med" len="med"/>
                                </a:ln>
                              </wps:spPr>
                              <wps:txbx>
                                <w:txbxContent>
                                  <w:p>
                                    <w:pPr>
                                      <w:rPr>
                                        <w:rFonts w:hint="eastAsia"/>
                                        <w:sz w:val="21"/>
                                        <w:szCs w:val="21"/>
                                      </w:rPr>
                                    </w:pPr>
                                    <w:r>
                                      <w:rPr>
                                        <w:rFonts w:hint="eastAsia"/>
                                        <w:sz w:val="21"/>
                                        <w:szCs w:val="21"/>
                                      </w:rPr>
                                      <w:t>噪声、</w:t>
                                    </w:r>
                                  </w:p>
                                  <w:p>
                                    <w:pPr>
                                      <w:rPr>
                                        <w:rFonts w:hint="eastAsia"/>
                                        <w:sz w:val="21"/>
                                        <w:szCs w:val="21"/>
                                      </w:rPr>
                                    </w:pPr>
                                    <w:r>
                                      <w:rPr>
                                        <w:rFonts w:hint="eastAsia"/>
                                        <w:sz w:val="21"/>
                                        <w:szCs w:val="21"/>
                                      </w:rPr>
                                      <w:t>粉尘</w:t>
                                    </w:r>
                                  </w:p>
                                </w:txbxContent>
                              </wps:txbx>
                              <wps:bodyPr upright="1"/>
                            </wps:wsp>
                            <wps:wsp>
                              <wps:cNvPr id="168" name="文本框 168"/>
                              <wps:cNvSpPr txBox="1"/>
                              <wps:spPr>
                                <a:xfrm>
                                  <a:off x="7920" y="388526"/>
                                  <a:ext cx="1622" cy="468"/>
                                </a:xfrm>
                                <a:prstGeom prst="rect">
                                  <a:avLst/>
                                </a:prstGeom>
                                <a:gradFill rotWithShape="1">
                                  <a:gsLst>
                                    <a:gs pos="0">
                                      <a:srgbClr val="FF00FF"/>
                                    </a:gs>
                                    <a:gs pos="50000">
                                      <a:srgbClr val="FFFFFF"/>
                                    </a:gs>
                                    <a:gs pos="100000">
                                      <a:srgbClr val="FF00FF"/>
                                    </a:gs>
                                  </a:gsLst>
                                  <a:lin ang="5400000" scaled="1"/>
                                  <a:tileRect/>
                                </a:gradFill>
                                <a:ln w="9525" cap="flat" cmpd="sng">
                                  <a:solidFill>
                                    <a:srgbClr val="000000"/>
                                  </a:solidFill>
                                  <a:prstDash val="solid"/>
                                  <a:miter/>
                                  <a:headEnd type="none" w="med" len="med"/>
                                  <a:tailEnd type="none" w="med" len="med"/>
                                </a:ln>
                              </wps:spPr>
                              <wps:txbx>
                                <w:txbxContent>
                                  <w:p>
                                    <w:pPr>
                                      <w:jc w:val="center"/>
                                      <w:rPr>
                                        <w:rFonts w:hint="default" w:eastAsia="宋体"/>
                                        <w:sz w:val="21"/>
                                        <w:szCs w:val="21"/>
                                        <w:lang w:val="en-US" w:eastAsia="zh-CN"/>
                                      </w:rPr>
                                    </w:pPr>
                                    <w:r>
                                      <w:rPr>
                                        <w:rFonts w:hint="eastAsia"/>
                                        <w:sz w:val="21"/>
                                        <w:szCs w:val="21"/>
                                        <w:lang w:val="en-US" w:eastAsia="zh-CN"/>
                                      </w:rPr>
                                      <w:t>混凝土运输车</w:t>
                                    </w:r>
                                  </w:p>
                                </w:txbxContent>
                              </wps:txbx>
                              <wps:bodyPr upright="1"/>
                            </wps:wsp>
                            <wps:wsp>
                              <wps:cNvPr id="169" name="直接连接符 169"/>
                              <wps:cNvCnPr/>
                              <wps:spPr>
                                <a:xfrm>
                                  <a:off x="9570" y="388731"/>
                                  <a:ext cx="540" cy="0"/>
                                </a:xfrm>
                                <a:prstGeom prst="line">
                                  <a:avLst/>
                                </a:prstGeom>
                                <a:ln w="9525" cap="flat" cmpd="sng">
                                  <a:solidFill>
                                    <a:srgbClr val="FF0000"/>
                                  </a:solidFill>
                                  <a:prstDash val="dash"/>
                                  <a:headEnd type="none" w="med" len="med"/>
                                  <a:tailEnd type="triangle" w="med" len="med"/>
                                </a:ln>
                              </wps:spPr>
                              <wps:bodyPr upright="1"/>
                            </wps:wsp>
                            <wps:wsp>
                              <wps:cNvPr id="170" name="直接连接符 170"/>
                              <wps:cNvCnPr/>
                              <wps:spPr>
                                <a:xfrm>
                                  <a:off x="8749" y="388999"/>
                                  <a:ext cx="1" cy="624"/>
                                </a:xfrm>
                                <a:prstGeom prst="line">
                                  <a:avLst/>
                                </a:prstGeom>
                                <a:ln w="9525" cap="flat" cmpd="sng">
                                  <a:solidFill>
                                    <a:srgbClr val="000000"/>
                                  </a:solidFill>
                                  <a:prstDash val="solid"/>
                                  <a:headEnd type="none" w="med" len="med"/>
                                  <a:tailEnd type="triangle" w="med" len="med"/>
                                </a:ln>
                              </wps:spPr>
                              <wps:bodyPr upright="1"/>
                            </wps:wsp>
                            <wps:wsp>
                              <wps:cNvPr id="171" name="文本框 171"/>
                              <wps:cNvSpPr txBox="1"/>
                              <wps:spPr>
                                <a:xfrm>
                                  <a:off x="8132" y="389625"/>
                                  <a:ext cx="1260" cy="468"/>
                                </a:xfrm>
                                <a:prstGeom prst="rect">
                                  <a:avLst/>
                                </a:prstGeom>
                                <a:gradFill rotWithShape="1">
                                  <a:gsLst>
                                    <a:gs pos="0">
                                      <a:srgbClr val="FF00FF"/>
                                    </a:gs>
                                    <a:gs pos="50000">
                                      <a:srgbClr val="FFFFFF"/>
                                    </a:gs>
                                    <a:gs pos="100000">
                                      <a:srgbClr val="FF00FF"/>
                                    </a:gs>
                                  </a:gsLst>
                                  <a:lin ang="5400000" scaled="1"/>
                                  <a:tileRect/>
                                </a:gra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出厂</w:t>
                                    </w:r>
                                  </w:p>
                                </w:txbxContent>
                              </wps:txbx>
                              <wps:bodyPr upright="1"/>
                            </wps:wsp>
                          </wpg:wgp>
                        </a:graphicData>
                      </a:graphic>
                    </wp:inline>
                  </w:drawing>
                </mc:Choice>
                <mc:Fallback>
                  <w:pict>
                    <v:group id="_x0000_s1026" o:spid="_x0000_s1026" o:spt="203" style="height:384.15pt;width:415.5pt;" coordorigin="4530,382410" coordsize="8310,7683" o:gfxdata="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">
                      <o:lock v:ext="edit" aspectratio="f"/>
                      <v:shape id="_x0000_s1026" o:spid="_x0000_s1026" o:spt="202" type="#_x0000_t202" style="position:absolute;left:8159;top:382482;height:468;width:1260;" fillcolor="#FFFFFF" filled="t" stroked="t" coordsize="21600,21600" o:gfxdata="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6qh7LsAAADb&#10;AAAADwAAAAAAAAABACAAAAAiAAAAZHJzL2Rvd25yZXYueG1sUEsBAhQAFAAAAAgAh07iQDMvBZ47&#10;AAAAOQAAABAAAAAAAAAAAQAgAAAACgEAAGRycy9zaGFwZXhtbC54bWxQSwUGAAAAAAYABgBbAQAA&#10;tAMAAAAA&#10;">
                        <v:fill type="gradient" on="t" color2="#FFFF99" focus="100%" focussize="0,0" rotate="t"/>
                        <v:stroke color="#000000" joinstyle="miter"/>
                        <v:imagedata o:title=""/>
                        <o:lock v:ext="edit" aspectratio="f"/>
                        <v:textbox>
                          <w:txbxContent>
                            <w:p>
                              <w:pPr>
                                <w:jc w:val="center"/>
                                <w:rPr>
                                  <w:rFonts w:hint="default" w:eastAsia="宋体"/>
                                  <w:sz w:val="21"/>
                                  <w:szCs w:val="21"/>
                                  <w:lang w:val="en-US" w:eastAsia="zh-CN"/>
                                </w:rPr>
                              </w:pPr>
                              <w:r>
                                <w:rPr>
                                  <w:rFonts w:hint="eastAsia"/>
                                  <w:sz w:val="21"/>
                                  <w:szCs w:val="21"/>
                                  <w:lang w:val="en-US" w:eastAsia="zh-CN"/>
                                </w:rPr>
                                <w:t>料仓</w:t>
                              </w:r>
                            </w:p>
                          </w:txbxContent>
                        </v:textbox>
                      </v:shape>
                      <v:shape id="_x0000_s1026" o:spid="_x0000_s1026" o:spt="202" type="#_x0000_t202" style="position:absolute;left:9975;top:382410;height:468;width:758;" fillcolor="#FFFFFF" filled="t" stroked="t" coordsize="21600,21600" o:gfxdata="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J6Eue5AAAA3AAA&#10;AA8AAAAAAAAAAQAgAAAAIgAAAGRycy9kb3ducmV2LnhtbFBLAQIUABQAAAAIAIdO4kAzLwWeOwAA&#10;ADkAAAAQAAAAAAAAAAEAIAAAAAgBAABkcnMvc2hhcGV4bWwueG1sUEsFBgAAAAAGAAYAWwEAALID&#10;AAAAAA==&#10;">
                        <v:fill on="t" focussize="0,0"/>
                        <v:stroke color="#FF0000" joinstyle="miter" dashstyle="dash"/>
                        <v:imagedata o:title=""/>
                        <o:lock v:ext="edit" aspectratio="f"/>
                        <v:textbox>
                          <w:txbxContent>
                            <w:p>
                              <w:pPr>
                                <w:rPr>
                                  <w:rFonts w:hint="eastAsia"/>
                                  <w:sz w:val="21"/>
                                  <w:szCs w:val="21"/>
                                </w:rPr>
                              </w:pPr>
                              <w:r>
                                <w:rPr>
                                  <w:rFonts w:hint="eastAsia"/>
                                  <w:sz w:val="21"/>
                                  <w:szCs w:val="21"/>
                                </w:rPr>
                                <w:t>粉尘</w:t>
                              </w:r>
                            </w:p>
                          </w:txbxContent>
                        </v:textbox>
                      </v:shape>
                      <v:line id="_x0000_s1026" o:spid="_x0000_s1026" o:spt="20" style="position:absolute;left:9435;top:382677;height:0;width:540;" filled="f" stroked="t" coordsize="21600,21600" o:gfxdata="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FNRGb4A&#10;AADcAAAADwAAAAAAAAABACAAAAAiAAAAZHJzL2Rvd25yZXYueG1sUEsBAhQAFAAAAAgAh07iQDMv&#10;BZ47AAAAOQAAABAAAAAAAAAAAQAgAAAADQEAAGRycy9zaGFwZXhtbC54bWxQSwUGAAAAAAYABgBb&#10;AQAAtwMAAAAA&#10;">
                        <v:fill on="f" focussize="0,0"/>
                        <v:stroke color="#FF0000" joinstyle="round" dashstyle="dash" endarrow="block"/>
                        <v:imagedata o:title=""/>
                        <o:lock v:ext="edit" aspectratio="f"/>
                      </v:line>
                      <v:shape id="_x0000_s1026" o:spid="_x0000_s1026" o:spt="202" type="#_x0000_t202" style="position:absolute;left:8888;top:383003;height:481;width:750;" filled="f" stroked="f" coordsize="21600,21600" o:gfxdata="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7nJL4A&#10;AADcAAAADwAAAAAAAAABACAAAAAiAAAAZHJzL2Rvd25yZXYueG1sUEsBAhQAFAAAAAgAh07iQDMv&#10;BZ47AAAAOQAAABAAAAAAAAAAAQAgAAAADQEAAGRycy9zaGFwZXhtbC54bWxQSwUGAAAAAAYABgBb&#10;AQAAtwMAAAAA&#10;">
                        <v:fill on="f" focussize="0,0"/>
                        <v:stroke on="f" weight="1.25pt"/>
                        <v:imagedata o:title=""/>
                        <o:lock v:ext="edit" aspectratio="f"/>
                        <v:textbox>
                          <w:txbxContent>
                            <w:p>
                              <w:pPr>
                                <w:rPr>
                                  <w:rFonts w:hint="eastAsia" w:eastAsia="宋体"/>
                                  <w:sz w:val="21"/>
                                  <w:szCs w:val="21"/>
                                  <w:lang w:val="en-US" w:eastAsia="zh-CN"/>
                                </w:rPr>
                              </w:pPr>
                              <w:r>
                                <w:rPr>
                                  <w:rFonts w:hint="eastAsia"/>
                                  <w:sz w:val="21"/>
                                  <w:szCs w:val="21"/>
                                  <w:lang w:val="en-US" w:eastAsia="zh-CN"/>
                                </w:rPr>
                                <w:t>铲车</w:t>
                              </w:r>
                            </w:p>
                          </w:txbxContent>
                        </v:textbox>
                      </v:shape>
                      <v:line id="_x0000_s1026" o:spid="_x0000_s1026" o:spt="20" style="position:absolute;left:8818;top:382928;height:590;width:1;" filled="f" stroked="t" coordsize="21600,21600" o:gfxdata="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pTh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9975;top:383521;height:468;width:1440;" fillcolor="#FFFFFF" filled="t" stroked="t" coordsize="21600,21600" o:gfxdata="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uz0LsAAADc&#10;AAAADwAAAAAAAAABACAAAAAiAAAAZHJzL2Rvd25yZXYueG1sUEsBAhQAFAAAAAgAh07iQDMvBZ47&#10;AAAAOQAAABAAAAAAAAAAAQAgAAAACgEAAGRycy9zaGFwZXhtbC54bWxQSwUGAAAAAAYABgBbAQAA&#10;tAMAAAAA&#10;">
                        <v:fill on="t" focussize="0,0"/>
                        <v:stroke color="#FF0000" joinstyle="miter" dashstyle="dash"/>
                        <v:imagedata o:title=""/>
                        <o:lock v:ext="edit" aspectratio="f"/>
                        <v:textbox>
                          <w:txbxContent>
                            <w:p>
                              <w:pPr>
                                <w:rPr>
                                  <w:rFonts w:hint="eastAsia"/>
                                  <w:sz w:val="21"/>
                                  <w:szCs w:val="21"/>
                                </w:rPr>
                              </w:pPr>
                              <w:r>
                                <w:rPr>
                                  <w:rFonts w:hint="eastAsia"/>
                                  <w:sz w:val="21"/>
                                  <w:szCs w:val="21"/>
                                </w:rPr>
                                <w:t>噪声、粉尘</w:t>
                              </w:r>
                            </w:p>
                          </w:txbxContent>
                        </v:textbox>
                      </v:shape>
                      <v:line id="_x0000_s1026" o:spid="_x0000_s1026" o:spt="20" style="position:absolute;left:9435;top:383758;height:0;width:540;" filled="f" stroked="t" coordsize="21600,21600" o:gfxdata="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3aFcaugAAANwA&#10;AAAPAAAAAAAAAAEAIAAAACIAAABkcnMvZG93bnJldi54bWxQSwECFAAUAAAACACHTuJAMy8FnjsA&#10;AAA5AAAAEAAAAAAAAAABACAAAAAJAQAAZHJzL3NoYXBleG1sLnhtbFBLBQYAAAAABgAGAFsBAACz&#10;AwAAAAA=&#10;">
                        <v:fill on="f" focussize="0,0"/>
                        <v:stroke color="#FF0000" joinstyle="round" dashstyle="dash" endarrow="block"/>
                        <v:imagedata o:title=""/>
                        <o:lock v:ext="edit" aspectratio="f"/>
                      </v:line>
                      <v:shape id="_x0000_s1026" o:spid="_x0000_s1026" o:spt="202" type="#_x0000_t202" style="position:absolute;left:8175;top:383521;height:468;width:1260;" fillcolor="#FFFFFF" filled="t" stroked="t" coordsize="21600,21600" o:gfxdata="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D8qevQAA&#10;ANwAAAAPAAAAAAAAAAEAIAAAACIAAABkcnMvZG93bnJldi54bWxQSwECFAAUAAAACACHTuJAMy8F&#10;njsAAAA5AAAAEAAAAAAAAAABACAAAAAMAQAAZHJzL3NoYXBleG1sLnhtbFBLBQYAAAAABgAGAFsB&#10;AAC2AwAAAAA=&#10;">
                        <v:fill type="gradient" on="t" color2="#FFFF99" focus="100%" focussize="0,0" rotate="t"/>
                        <v:stroke color="#000000" joinstyle="miter"/>
                        <v:imagedata o:title=""/>
                        <o:lock v:ext="edit" aspectratio="f"/>
                        <v:textbox>
                          <w:txbxContent>
                            <w:p>
                              <w:pPr>
                                <w:jc w:val="center"/>
                                <w:rPr>
                                  <w:rFonts w:hint="eastAsia" w:eastAsia="宋体"/>
                                  <w:sz w:val="21"/>
                                  <w:szCs w:val="21"/>
                                  <w:lang w:val="en-US" w:eastAsia="zh-CN"/>
                                </w:rPr>
                              </w:pPr>
                              <w:r>
                                <w:rPr>
                                  <w:rFonts w:hint="eastAsia"/>
                                  <w:sz w:val="21"/>
                                  <w:szCs w:val="21"/>
                                </w:rPr>
                                <w:t>配料</w:t>
                              </w:r>
                              <w:r>
                                <w:rPr>
                                  <w:rFonts w:hint="eastAsia"/>
                                  <w:sz w:val="21"/>
                                  <w:szCs w:val="21"/>
                                  <w:lang w:val="en-US" w:eastAsia="zh-CN"/>
                                </w:rPr>
                                <w:t>仓</w:t>
                              </w:r>
                            </w:p>
                          </w:txbxContent>
                        </v:textbox>
                      </v:shape>
                      <v:line id="_x0000_s1026" o:spid="_x0000_s1026" o:spt="20" style="position:absolute;left:8788;top:384023;height:468;width:1;" filled="f" stroked="t" coordsize="21600,21600" o:gfxdata="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PBVY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_x0000_s1026" o:spid="_x0000_s1026" o:spt="202" type="#_x0000_t202" style="position:absolute;left:9977;top:384568;height:468;width:1978;" fillcolor="#FFFFFF" filled="t" stroked="t" coordsize="21600,21600" o:gfxdata="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cLXTugAAANwA&#10;AAAPAAAAAAAAAAEAIAAAACIAAABkcnMvZG93bnJldi54bWxQSwECFAAUAAAACACHTuJAMy8FnjsA&#10;AAA5AAAAEAAAAAAAAAABACAAAAAJAQAAZHJzL3NoYXBleG1sLnhtbFBLBQYAAAAABgAGAFsBAACz&#10;AwAAAAA=&#10;">
                        <v:fill on="t" focussize="0,0"/>
                        <v:stroke color="#FF0000" joinstyle="miter" dashstyle="dash"/>
                        <v:imagedata o:title=""/>
                        <o:lock v:ext="edit" aspectratio="f"/>
                        <v:textbox>
                          <w:txbxContent>
                            <w:p>
                              <w:pPr>
                                <w:rPr>
                                  <w:rFonts w:hint="eastAsia"/>
                                  <w:sz w:val="21"/>
                                  <w:szCs w:val="21"/>
                                </w:rPr>
                              </w:pPr>
                              <w:r>
                                <w:rPr>
                                  <w:rFonts w:hint="eastAsia"/>
                                  <w:sz w:val="21"/>
                                  <w:szCs w:val="21"/>
                                </w:rPr>
                                <w:t>噪声、固体废物</w:t>
                              </w:r>
                            </w:p>
                          </w:txbxContent>
                        </v:textbox>
                      </v:shape>
                      <v:line id="_x0000_s1026" o:spid="_x0000_s1026" o:spt="20" style="position:absolute;left:9435;top:384801;height:0;width:540;" filled="f" stroked="t" coordsize="21600,21600" o:gfxdata="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iVdH74A&#10;AADcAAAADwAAAAAAAAABACAAAAAiAAAAZHJzL2Rvd25yZXYueG1sUEsBAhQAFAAAAAgAh07iQDMv&#10;BZ47AAAAOQAAABAAAAAAAAAAAQAgAAAADQEAAGRycy9zaGFwZXhtbC54bWxQSwUGAAAAAAYABgBb&#10;AQAAtwMAAAAA&#10;">
                        <v:fill on="f" focussize="0,0"/>
                        <v:stroke color="#FF0000" joinstyle="round" dashstyle="dash" endarrow="block"/>
                        <v:imagedata o:title=""/>
                        <o:lock v:ext="edit" aspectratio="f"/>
                      </v:line>
                      <v:shape id="_x0000_s1026" o:spid="_x0000_s1026" o:spt="202" type="#_x0000_t202" style="position:absolute;left:8175;top:384534;height:468;width:1260;" fillcolor="#FFFFFF" filled="t" stroked="t" coordsize="21600,21600" o:gfxdata="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QsCbvQAA&#10;ANwAAAAPAAAAAAAAAAEAIAAAACIAAABkcnMvZG93bnJldi54bWxQSwECFAAUAAAACACHTuJAMy8F&#10;njsAAAA5AAAAEAAAAAAAAAABACAAAAAMAQAAZHJzL3NoYXBleG1sLnhtbFBLBQYAAAAABgAGAFsB&#10;AAC2AwAAAAA=&#10;">
                        <v:fill type="gradient" on="t" color2="#FFFF99" focus="100%" focussize="0,0" rotate="t"/>
                        <v:stroke color="#000000" joinstyle="miter"/>
                        <v:imagedata o:title=""/>
                        <o:lock v:ext="edit" aspectratio="f"/>
                        <v:textbox>
                          <w:txbxContent>
                            <w:p>
                              <w:pPr>
                                <w:jc w:val="center"/>
                                <w:rPr>
                                  <w:rFonts w:hint="eastAsia"/>
                                  <w:sz w:val="21"/>
                                  <w:szCs w:val="21"/>
                                </w:rPr>
                              </w:pPr>
                              <w:r>
                                <w:rPr>
                                  <w:rFonts w:hint="eastAsia"/>
                                  <w:sz w:val="21"/>
                                  <w:szCs w:val="21"/>
                                </w:rPr>
                                <w:t>皮带输送</w:t>
                              </w:r>
                            </w:p>
                          </w:txbxContent>
                        </v:textbox>
                      </v:shape>
                      <v:shape id="_x0000_s1026" o:spid="_x0000_s1026" o:spt="202" type="#_x0000_t202" style="position:absolute;left:4530;top:385320;height:988;width:540;" fillcolor="#FFFFFF" filled="t" stroked="t" coordsize="21600,21600" o:gfxdata="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j15xq8AAAA&#10;3AAAAA8AAAAAAAAAAQAgAAAAIgAAAGRycy9kb3ducmV2LnhtbFBLAQIUABQAAAAIAIdO4kAzLwWe&#10;OwAAADkAAAAQAAAAAAAAAAEAIAAAAAsBAABkcnMvc2hhcGV4bWwueG1sUEsFBgAAAAAGAAYAWwEA&#10;ALUDAAAAAA==&#10;">
                        <v:fill on="t" focussize="0,0"/>
                        <v:stroke color="#FF0000" joinstyle="miter" dashstyle="dash"/>
                        <v:imagedata o:title=""/>
                        <o:lock v:ext="edit" aspectratio="f"/>
                        <v:textbox>
                          <w:txbxContent>
                            <w:p>
                              <w:pPr>
                                <w:rPr>
                                  <w:rFonts w:hint="eastAsia"/>
                                  <w:sz w:val="21"/>
                                  <w:szCs w:val="21"/>
                                </w:rPr>
                              </w:pPr>
                              <w:r>
                                <w:rPr>
                                  <w:rFonts w:hint="eastAsia"/>
                                  <w:sz w:val="21"/>
                                  <w:szCs w:val="21"/>
                                </w:rPr>
                                <w:t>粉尘</w:t>
                              </w:r>
                            </w:p>
                          </w:txbxContent>
                        </v:textbox>
                      </v:shape>
                      <v:shape id="_x0000_s1026" o:spid="_x0000_s1026" o:spt="202" type="#_x0000_t202" style="position:absolute;left:10277;top:385472;height:468;width:1260;" fillcolor="#00FF00" filled="t" stroked="t" coordsize="21600,21600" o:gfxdata="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zv8jugAAANwA&#10;AAAPAAAAAAAAAAEAIAAAACIAAABkcnMvZG93bnJldi54bWxQSwECFAAUAAAACACHTuJAMy8FnjsA&#10;AAA5AAAAEAAAAAAAAAABACAAAAAJAQAAZHJzL3NoYXBleG1sLnhtbFBLBQYAAAAABgAGAFsBAACz&#10;AwAAAAA=&#10;">
                        <v:fill type="gradient" on="t" color2="#FFFFFF" opacity="64225f" focus="50%" focussize="0,0" rotate="t"/>
                        <v:stroke color="#000000" joinstyle="miter"/>
                        <v:imagedata o:title=""/>
                        <o:lock v:ext="edit" aspectratio="f"/>
                        <v:textbox>
                          <w:txbxContent>
                            <w:p>
                              <w:pPr>
                                <w:jc w:val="center"/>
                                <w:rPr>
                                  <w:rFonts w:hint="eastAsia"/>
                                  <w:sz w:val="21"/>
                                  <w:szCs w:val="21"/>
                                </w:rPr>
                              </w:pPr>
                              <w:r>
                                <w:rPr>
                                  <w:rFonts w:hint="eastAsia"/>
                                  <w:sz w:val="21"/>
                                  <w:szCs w:val="21"/>
                                </w:rPr>
                                <w:t>水、外加剂</w:t>
                              </w:r>
                            </w:p>
                          </w:txbxContent>
                        </v:textbox>
                      </v:shape>
                      <v:shape id="_x0000_s1026" o:spid="_x0000_s1026" o:spt="202" type="#_x0000_t202" style="position:absolute;left:5608;top:385468;height:468;width:1260;" fillcolor="#00CCFF" filled="t" stroked="t" coordsize="21600,21600" o:gfxdata="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OK5S8AAAA&#10;3AAAAA8AAAAAAAAAAQAgAAAAIgAAAGRycy9kb3ducmV2LnhtbFBLAQIUABQAAAAIAIdO4kAzLwWe&#10;OwAAADkAAAAQAAAAAAAAAAEAIAAAAAsBAABkcnMvc2hhcGV4bWwueG1sUEsFBgAAAAAGAAYAWwEA&#10;ALUDAAAAAA==&#10;">
                        <v:fill type="gradient" on="t" color2="#FFFFFF" focus="50%" focussize="0,0" rotate="t"/>
                        <v:stroke color="#000000" joinstyle="miter"/>
                        <v:imagedata o:title=""/>
                        <o:lock v:ext="edit" aspectratio="f"/>
                        <v:textbox>
                          <w:txbxContent>
                            <w:p>
                              <w:pPr>
                                <w:jc w:val="center"/>
                                <w:rPr>
                                  <w:rFonts w:hint="eastAsia"/>
                                  <w:sz w:val="21"/>
                                  <w:szCs w:val="21"/>
                                </w:rPr>
                              </w:pPr>
                              <w:r>
                                <w:rPr>
                                  <w:rFonts w:hint="eastAsia"/>
                                  <w:sz w:val="21"/>
                                  <w:szCs w:val="21"/>
                                  <w:lang w:val="en-US" w:eastAsia="zh-CN"/>
                                </w:rPr>
                                <w:t>水泥</w:t>
                              </w:r>
                              <w:r>
                                <w:rPr>
                                  <w:rFonts w:hint="eastAsia"/>
                                  <w:sz w:val="21"/>
                                  <w:szCs w:val="21"/>
                                </w:rPr>
                                <w:t>筒仓</w:t>
                              </w:r>
                            </w:p>
                          </w:txbxContent>
                        </v:textbox>
                      </v:shape>
                      <v:line id="_x0000_s1026" o:spid="_x0000_s1026" o:spt="20" style="position:absolute;left:8788;top:385051;height:2597;width:1;" filled="f" stroked="t" coordsize="21600,21600" o:gfxdata="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do8o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5053;top:385739;flip:x;height:0;width:540;" filled="f" stroked="t" coordsize="21600,21600" o:gfxdata="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jahl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10903;top:385987;height:468;width:1;" filled="f" stroked="t" coordsize="21600,21600" o:gfxdata="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8BT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6195;top:385985;height:468;width:1;" filled="f" stroked="t" coordsize="21600,21600" o:gfxdata="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2tnzm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_x0000_s1026" o:spid="_x0000_s1026" o:spt="202" type="#_x0000_t202" style="position:absolute;left:12075;top:386442;height:502;width:765;" fillcolor="#FFFFFF" filled="t" stroked="t" coordsize="21600,21600" o:gfxdata="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HH9uugAAANwA&#10;AAAPAAAAAAAAAAEAIAAAACIAAABkcnMvZG93bnJldi54bWxQSwECFAAUAAAACACHTuJAMy8FnjsA&#10;AAA5AAAAEAAAAAAAAAABACAAAAAJAQAAZHJzL3NoYXBleG1sLnhtbFBLBQYAAAAABgAGAFsBAACz&#10;AwAAAAA=&#10;">
                        <v:fill on="t" focussize="0,0"/>
                        <v:stroke color="#FF0000" joinstyle="miter" dashstyle="dash"/>
                        <v:imagedata o:title=""/>
                        <o:lock v:ext="edit" aspectratio="f"/>
                        <v:textbox>
                          <w:txbxContent>
                            <w:p>
                              <w:pPr>
                                <w:rPr>
                                  <w:rFonts w:hint="eastAsia"/>
                                  <w:sz w:val="21"/>
                                  <w:szCs w:val="21"/>
                                </w:rPr>
                              </w:pPr>
                              <w:r>
                                <w:rPr>
                                  <w:rFonts w:hint="eastAsia"/>
                                  <w:sz w:val="21"/>
                                  <w:szCs w:val="21"/>
                                </w:rPr>
                                <w:t>噪声</w:t>
                              </w:r>
                            </w:p>
                            <w:p>
                              <w:pPr>
                                <w:rPr>
                                  <w:rFonts w:hint="eastAsia"/>
                                  <w:sz w:val="21"/>
                                  <w:szCs w:val="21"/>
                                </w:rPr>
                              </w:pPr>
                            </w:p>
                          </w:txbxContent>
                        </v:textbox>
                      </v:shape>
                      <v:shape id="_x0000_s1026" o:spid="_x0000_s1026" o:spt="202" type="#_x0000_t202" style="position:absolute;left:10290;top:386485;height:468;width:1260;" fillcolor="#00FF00" filled="t" stroked="t" coordsize="21600,21600" o:gfxdata="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9Fa+vQAA&#10;ANwAAAAPAAAAAAAAAAEAIAAAACIAAABkcnMvZG93bnJldi54bWxQSwECFAAUAAAACACHTuJAMy8F&#10;njsAAAA5AAAAEAAAAAAAAAABACAAAAAMAQAAZHJzL3NoYXBleG1sLnhtbFBLBQYAAAAABgAGAFsB&#10;AAC2AwAAAAA=&#10;">
                        <v:fill type="gradient" on="t" color2="#FFFFFF" opacity="64225f" focus="50%" focussize="0,0" rotate="t"/>
                        <v:stroke color="#000000" joinstyle="miter"/>
                        <v:imagedata o:title=""/>
                        <o:lock v:ext="edit" aspectratio="f"/>
                        <v:textbox>
                          <w:txbxContent>
                            <w:p>
                              <w:pPr>
                                <w:jc w:val="center"/>
                                <w:rPr>
                                  <w:rFonts w:hint="eastAsia"/>
                                  <w:sz w:val="21"/>
                                  <w:szCs w:val="21"/>
                                </w:rPr>
                              </w:pPr>
                              <w:r>
                                <w:rPr>
                                  <w:rFonts w:hint="eastAsia"/>
                                  <w:sz w:val="21"/>
                                  <w:szCs w:val="21"/>
                                </w:rPr>
                                <w:t>泵送、计量</w:t>
                              </w:r>
                            </w:p>
                          </w:txbxContent>
                        </v:textbox>
                      </v:shape>
                      <v:shape id="_x0000_s1026" o:spid="_x0000_s1026" o:spt="202" type="#_x0000_t202" style="position:absolute;left:11310;top:386036;height:468;width:900;" filled="f" stroked="f" coordsize="21600,21600" o:gfxdata="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CB7ZC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rPr>
                                  <w:sz w:val="21"/>
                                  <w:szCs w:val="21"/>
                                </w:rPr>
                              </w:pPr>
                            </w:p>
                          </w:txbxContent>
                        </v:textbox>
                      </v:shape>
                      <v:shape id="_x0000_s1026" o:spid="_x0000_s1026" o:spt="202" type="#_x0000_t202" style="position:absolute;left:5655;top:386453;height:468;width:1260;" fillcolor="#00CCFF" filled="t" stroked="t" coordsize="21600,21600" o:gfxdata="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smGpb4A&#10;AADcAAAADwAAAAAAAAABACAAAAAiAAAAZHJzL2Rvd25yZXYueG1sUEsBAhQAFAAAAAgAh07iQDMv&#10;BZ47AAAAOQAAABAAAAAAAAAAAQAgAAAADQEAAGRycy9zaGFwZXhtbC54bWxQSwUGAAAAAAYABgBb&#10;AQAAtwMAAAAA&#10;">
                        <v:fill type="gradient" on="t" color2="#FFFFFF" focus="50%" focussize="0,0" rotate="t"/>
                        <v:stroke color="#000000" joinstyle="miter"/>
                        <v:imagedata o:title=""/>
                        <o:lock v:ext="edit" aspectratio="f"/>
                        <v:textbox>
                          <w:txbxContent>
                            <w:p>
                              <w:pPr>
                                <w:jc w:val="center"/>
                                <w:rPr>
                                  <w:rFonts w:hint="eastAsia"/>
                                  <w:sz w:val="21"/>
                                  <w:szCs w:val="21"/>
                                </w:rPr>
                              </w:pPr>
                              <w:r>
                                <w:rPr>
                                  <w:rFonts w:hint="eastAsia"/>
                                  <w:sz w:val="21"/>
                                  <w:szCs w:val="21"/>
                                </w:rPr>
                                <w:t>计量</w:t>
                              </w:r>
                            </w:p>
                          </w:txbxContent>
                        </v:textbox>
                      </v:shape>
                      <v:line id="_x0000_s1026" o:spid="_x0000_s1026" o:spt="20" style="position:absolute;left:10939;top:386962;height:468;width:1;" filled="f" stroked="t" coordsize="21600,21600" o:gfxdata="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ZGQ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11567;top:386714;height:0;width:540;" filled="f" stroked="t" coordsize="21600,21600" o:gfxdata="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x4NpW5AAAA3AAA&#10;AA8AAAAAAAAAAQAgAAAAIgAAAGRycy9kb3ducmV2LnhtbFBLAQIUABQAAAAIAIdO4kAzLwWeOwAA&#10;ADkAAAAQAAAAAAAAAAEAIAAAAAgBAABkcnMvc2hhcGV4bWwueG1sUEsFBgAAAAAGAAYAWwEAALID&#10;AAAAAA==&#10;">
                        <v:fill on="f" focussize="0,0"/>
                        <v:stroke color="#FF0000" joinstyle="round" dashstyle="dash" endarrow="block"/>
                        <v:imagedata o:title=""/>
                        <o:lock v:ext="edit" aspectratio="f"/>
                      </v:line>
                      <v:line id="_x0000_s1026" o:spid="_x0000_s1026" o:spt="20" style="position:absolute;left:6193;top:386923;height:468;width:1;" filled="f" stroked="t" coordsize="21600,21600" o:gfxdata="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A6p8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11775;top:387273;height:1045;width:1065;" fillcolor="#FFFFFF" filled="t" stroked="t" coordsize="21600,21600" o:gfxdata="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hd3xLsAAADc&#10;AAAADwAAAAAAAAABACAAAAAiAAAAZHJzL2Rvd25yZXYueG1sUEsBAhQAFAAAAAgAh07iQDMvBZ47&#10;AAAAOQAAABAAAAAAAAAAAQAgAAAACgEAAGRycy9zaGFwZXhtbC54bWxQSwUGAAAAAAYABgBbAQAA&#10;tAMAAAAA&#10;">
                        <v:fill on="t" focussize="0,0"/>
                        <v:stroke color="#FF0000" joinstyle="miter" dashstyle="dash"/>
                        <v:imagedata o:title=""/>
                        <o:lock v:ext="edit" aspectratio="f"/>
                        <v:textbox>
                          <w:txbxContent>
                            <w:p>
                              <w:pPr>
                                <w:rPr>
                                  <w:rFonts w:hint="eastAsia"/>
                                  <w:sz w:val="21"/>
                                  <w:szCs w:val="21"/>
                                </w:rPr>
                              </w:pPr>
                              <w:r>
                                <w:rPr>
                                  <w:rFonts w:hint="eastAsia"/>
                                  <w:sz w:val="21"/>
                                  <w:szCs w:val="21"/>
                                </w:rPr>
                                <w:t>噪声、粉尘、固体废物</w:t>
                              </w:r>
                            </w:p>
                          </w:txbxContent>
                        </v:textbox>
                      </v:shape>
                      <v:shape id="_x0000_s1026" o:spid="_x0000_s1026" o:spt="202" type="#_x0000_t202" style="position:absolute;left:6013;top:387424;height:468;width:5220;" fillcolor="#FF00FF" filled="t" stroked="t" coordsize="21600,21600" o:gfxdata="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1EO8AAAA&#10;3AAAAA8AAAAAAAAAAQAgAAAAIgAAAGRycy9kb3ducmV2LnhtbFBLAQIUABQAAAAIAIdO4kAzLwWe&#10;OwAAADkAAAAQAAAAAAAAAAEAIAAAAAsBAABkcnMvc2hhcGV4bWwueG1sUEsFBgAAAAAGAAYAWwEA&#10;ALUDAAAAAA==&#10;">
                        <v:fill type="gradient" on="t" color2="#FFFFFF" focus="50%" focussize="0,0" rotate="t"/>
                        <v:stroke color="#000000" joinstyle="miter"/>
                        <v:imagedata o:title=""/>
                        <o:lock v:ext="edit" aspectratio="f"/>
                        <v:textbox>
                          <w:txbxContent>
                            <w:p>
                              <w:pPr>
                                <w:jc w:val="center"/>
                                <w:rPr>
                                  <w:rFonts w:hint="eastAsia"/>
                                  <w:sz w:val="21"/>
                                  <w:szCs w:val="21"/>
                                </w:rPr>
                              </w:pPr>
                              <w:r>
                                <w:rPr>
                                  <w:rFonts w:hint="eastAsia"/>
                                  <w:sz w:val="21"/>
                                  <w:szCs w:val="21"/>
                                </w:rPr>
                                <w:t>搅拌主机</w:t>
                              </w:r>
                            </w:p>
                          </w:txbxContent>
                        </v:textbox>
                      </v:shape>
                      <v:line id="_x0000_s1026" o:spid="_x0000_s1026" o:spt="20" style="position:absolute;left:11235;top:387669;height:0;width:540;" filled="f" stroked="t" coordsize="21600,21600" o:gfxdata="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24kZ7sAAADc&#10;AAAADwAAAAAAAAABACAAAAAiAAAAZHJzL2Rvd25yZXYueG1sUEsBAhQAFAAAAAgAh07iQDMvBZ47&#10;AAAAOQAAABAAAAAAAAAAAQAgAAAACgEAAGRycy9zaGFwZXhtbC54bWxQSwUGAAAAAAYABgBbAQAA&#10;tAMAAAAA&#10;">
                        <v:fill on="f" focussize="0,0"/>
                        <v:stroke color="#FF0000" joinstyle="round" dashstyle="dash" endarrow="block"/>
                        <v:imagedata o:title=""/>
                        <o:lock v:ext="edit" aspectratio="f"/>
                      </v:line>
                      <v:shape id="_x0000_s1026" o:spid="_x0000_s1026" o:spt="202" type="#_x0000_t202" style="position:absolute;left:8807;top:388002;height:468;width:1078;" filled="f" stroked="f" coordsize="21600,21600" o:gfxdata="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mXlW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hint="eastAsia"/>
                                  <w:sz w:val="21"/>
                                  <w:szCs w:val="21"/>
                                </w:rPr>
                              </w:pPr>
                              <w:r>
                                <w:rPr>
                                  <w:rFonts w:hint="eastAsia"/>
                                  <w:sz w:val="21"/>
                                  <w:szCs w:val="21"/>
                                </w:rPr>
                                <w:t>卸料门</w:t>
                              </w:r>
                            </w:p>
                          </w:txbxContent>
                        </v:textbox>
                      </v:shape>
                      <v:line id="_x0000_s1026" o:spid="_x0000_s1026" o:spt="20" style="position:absolute;left:8715;top:387908;height:624;width:1;" filled="f" stroked="t" coordsize="21600,21600" o:gfxdata="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xyb5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10155;top:388389;height:918;width:969;" fillcolor="#FFFFFF" filled="t" stroked="t" coordsize="21600,21600" o:gfxdata="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dsauugAAANwA&#10;AAAPAAAAAAAAAAEAIAAAACIAAABkcnMvZG93bnJldi54bWxQSwECFAAUAAAACACHTuJAMy8FnjsA&#10;AAA5AAAAEAAAAAAAAAABACAAAAAJAQAAZHJzL3NoYXBleG1sLnhtbFBLBQYAAAAABgAGAFsBAACz&#10;AwAAAAA=&#10;">
                        <v:fill on="t" focussize="0,0"/>
                        <v:stroke color="#FF0000" joinstyle="miter" dashstyle="dash"/>
                        <v:imagedata o:title=""/>
                        <o:lock v:ext="edit" aspectratio="f"/>
                        <v:textbox>
                          <w:txbxContent>
                            <w:p>
                              <w:pPr>
                                <w:rPr>
                                  <w:rFonts w:hint="eastAsia"/>
                                  <w:sz w:val="21"/>
                                  <w:szCs w:val="21"/>
                                </w:rPr>
                              </w:pPr>
                              <w:r>
                                <w:rPr>
                                  <w:rFonts w:hint="eastAsia"/>
                                  <w:sz w:val="21"/>
                                  <w:szCs w:val="21"/>
                                </w:rPr>
                                <w:t>噪声、</w:t>
                              </w:r>
                            </w:p>
                            <w:p>
                              <w:pPr>
                                <w:rPr>
                                  <w:rFonts w:hint="eastAsia"/>
                                  <w:sz w:val="21"/>
                                  <w:szCs w:val="21"/>
                                </w:rPr>
                              </w:pPr>
                              <w:r>
                                <w:rPr>
                                  <w:rFonts w:hint="eastAsia"/>
                                  <w:sz w:val="21"/>
                                  <w:szCs w:val="21"/>
                                </w:rPr>
                                <w:t>粉尘</w:t>
                              </w:r>
                            </w:p>
                          </w:txbxContent>
                        </v:textbox>
                      </v:shape>
                      <v:shape id="_x0000_s1026" o:spid="_x0000_s1026" o:spt="202" type="#_x0000_t202" style="position:absolute;left:7920;top:388526;height:468;width:1622;" fillcolor="#FF00FF" filled="t" stroked="t" coordsize="21600,21600" o:gfxdata="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mpUwL4A&#10;AADcAAAADwAAAAAAAAABACAAAAAiAAAAZHJzL2Rvd25yZXYueG1sUEsBAhQAFAAAAAgAh07iQDMv&#10;BZ47AAAAOQAAABAAAAAAAAAAAQAgAAAADQEAAGRycy9zaGFwZXhtbC54bWxQSwUGAAAAAAYABgBb&#10;AQAAtwMAAAAA&#10;">
                        <v:fill type="gradient" on="t" color2="#FFFFFF" focus="50%" focussize="0,0" rotate="t"/>
                        <v:stroke color="#000000" joinstyle="miter"/>
                        <v:imagedata o:title=""/>
                        <o:lock v:ext="edit" aspectratio="f"/>
                        <v:textbox>
                          <w:txbxContent>
                            <w:p>
                              <w:pPr>
                                <w:jc w:val="center"/>
                                <w:rPr>
                                  <w:rFonts w:hint="default" w:eastAsia="宋体"/>
                                  <w:sz w:val="21"/>
                                  <w:szCs w:val="21"/>
                                  <w:lang w:val="en-US" w:eastAsia="zh-CN"/>
                                </w:rPr>
                              </w:pPr>
                              <w:r>
                                <w:rPr>
                                  <w:rFonts w:hint="eastAsia"/>
                                  <w:sz w:val="21"/>
                                  <w:szCs w:val="21"/>
                                  <w:lang w:val="en-US" w:eastAsia="zh-CN"/>
                                </w:rPr>
                                <w:t>混凝土运输车</w:t>
                              </w:r>
                            </w:p>
                          </w:txbxContent>
                        </v:textbox>
                      </v:shape>
                      <v:line id="_x0000_s1026" o:spid="_x0000_s1026" o:spt="20" style="position:absolute;left:9570;top:388731;height:0;width:540;" filled="f" stroked="t" coordsize="21600,21600" o:gfxdata="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b4v5ugAAANwA&#10;AAAPAAAAAAAAAAEAIAAAACIAAABkcnMvZG93bnJldi54bWxQSwECFAAUAAAACACHTuJAMy8FnjsA&#10;AAA5AAAAEAAAAAAAAAABACAAAAAJAQAAZHJzL3NoYXBleG1sLnhtbFBLBQYAAAAABgAGAFsBAACz&#10;AwAAAAA=&#10;">
                        <v:fill on="f" focussize="0,0"/>
                        <v:stroke color="#FF0000" joinstyle="round" dashstyle="dash" endarrow="block"/>
                        <v:imagedata o:title=""/>
                        <o:lock v:ext="edit" aspectratio="f"/>
                      </v:line>
                      <v:line id="_x0000_s1026" o:spid="_x0000_s1026" o:spt="20" style="position:absolute;left:8749;top:388999;height:624;width:1;" filled="f" stroked="t" coordsize="21600,21600" o:gfxdata="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ruN&#10;y8EAAADc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shape id="_x0000_s1026" o:spid="_x0000_s1026" o:spt="202" type="#_x0000_t202" style="position:absolute;left:8132;top:389625;height:468;width:1260;" fillcolor="#FF00FF" filled="t" stroked="t" coordsize="21600,21600" o:gfxdata="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Ja4C8AAAA&#10;3AAAAA8AAAAAAAAAAQAgAAAAIgAAAGRycy9kb3ducmV2LnhtbFBLAQIUABQAAAAIAIdO4kAzLwWe&#10;OwAAADkAAAAQAAAAAAAAAAEAIAAAAAsBAABkcnMvc2hhcGV4bWwueG1sUEsFBgAAAAAGAAYAWwEA&#10;ALUDAAAAAA==&#10;">
                        <v:fill type="gradient" on="t" color2="#FFFFFF" focus="50%" focussize="0,0" rotate="t"/>
                        <v:stroke color="#000000" joinstyle="miter"/>
                        <v:imagedata o:title=""/>
                        <o:lock v:ext="edit" aspectratio="f"/>
                        <v:textbox>
                          <w:txbxContent>
                            <w:p>
                              <w:pPr>
                                <w:jc w:val="center"/>
                                <w:rPr>
                                  <w:rFonts w:hint="eastAsia"/>
                                  <w:sz w:val="21"/>
                                  <w:szCs w:val="21"/>
                                </w:rPr>
                              </w:pPr>
                              <w:r>
                                <w:rPr>
                                  <w:rFonts w:hint="eastAsia"/>
                                  <w:sz w:val="21"/>
                                  <w:szCs w:val="21"/>
                                </w:rPr>
                                <w:t>出厂</w:t>
                              </w:r>
                            </w:p>
                          </w:txbxContent>
                        </v:textbox>
                      </v:shape>
                      <w10:wrap type="none"/>
                      <w10:anchorlock/>
                    </v:group>
                  </w:pict>
                </mc:Fallback>
              </mc:AlternateContent>
            </w:r>
          </w:p>
          <w:p>
            <w:pPr>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商品混凝土搅拌工艺流程简述：</w:t>
            </w:r>
          </w:p>
          <w:p>
            <w:pPr>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将在料仓暂存的已破碎筛分好的成品料（包括中砂（粒径0.02~0.5cm）、碎石（粒径0.5~1cm、1~2cm、2~3cm））由铲车拉运至配料仓进行配料，共设有4个料仓，分别储存不同粒径的中砂和碎石；水泥由水泥罐车拉运至项目水泥筒仓，利用罐车自带的空压设备将散装水泥泵入水泥筒仓；外加剂为成品液体外加剂，采用电机泵输送至外加剂储罐内。</w:t>
            </w:r>
          </w:p>
          <w:p>
            <w:pPr>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本项目设有操作室，配料采用计算机控制计量，实现自动控制投料。配好的骨料(砂子、石子)经水平皮带机送到主楼上部的骨料中间仓计量后倒入搅拌机，同时，通过自动控制设备将水泥、外加剂和水按比例泵入搅拌机，原料加料过程搅拌机缓慢转动。</w:t>
            </w:r>
          </w:p>
          <w:p>
            <w:pPr>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3）原料送入搅拌机后，搅拌机由缓而急不断旋转，使水泥、中砂、碎石、外加剂及水均匀的混合在一起得到合格混凝土产品，不合格产品回用。同时主机的除尘器按设定的程序自动工作，收集的粉尘加入搅拌主机中。</w:t>
            </w:r>
          </w:p>
          <w:p>
            <w:pPr>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4）原料经搅拌机混合后，将罐车驶入搅拌机下部。搅拌机反向旋转将拌合后的混凝土卸入罐车罐体内（为了防止混凝土凝结，罐车罐体需不断旋转）。罐车装满后驶离拌合站。</w:t>
            </w:r>
          </w:p>
          <w:p>
            <w:pPr>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5）产品质量检验：本项目设置实验室，在搅拌机出料口抽取试样进行检验。</w:t>
            </w:r>
          </w:p>
          <w:p>
            <w:pPr>
              <w:pStyle w:val="26"/>
              <w:bidi w:val="0"/>
              <w:rPr>
                <w:rStyle w:val="179"/>
                <w:rFonts w:hint="default" w:ascii="Times New Roman" w:hAnsi="Times New Roman" w:eastAsia="宋体" w:cs="Times New Roman"/>
                <w:b/>
                <w:bCs/>
                <w:color w:val="auto"/>
                <w:lang w:val="en-US" w:eastAsia="zh-CN"/>
              </w:rPr>
            </w:pPr>
            <w:bookmarkStart w:id="10" w:name="_Toc2627"/>
            <w:r>
              <w:rPr>
                <w:rStyle w:val="179"/>
                <w:rFonts w:hint="default" w:ascii="Times New Roman" w:hAnsi="Times New Roman" w:eastAsia="宋体" w:cs="Times New Roman"/>
                <w:b/>
                <w:bCs/>
                <w:color w:val="auto"/>
                <w:lang w:val="en-US" w:eastAsia="zh-CN"/>
              </w:rPr>
              <w:t>（二）水稳站生产工艺流程</w:t>
            </w:r>
            <w:bookmarkEnd w:id="10"/>
          </w:p>
          <w:p>
            <w:pPr>
              <w:pStyle w:val="60"/>
              <w:rPr>
                <w:rFonts w:hint="default" w:ascii="Times New Roman" w:hAnsi="Times New Roman" w:eastAsia="宋体" w:cs="Times New Roman"/>
                <w:color w:val="auto"/>
                <w:lang w:eastAsia="zh-CN"/>
              </w:rPr>
            </w:pPr>
            <w:r>
              <w:rPr>
                <w:rFonts w:hint="default" w:ascii="Times New Roman" w:hAnsi="Times New Roman" w:eastAsia="宋体" w:cs="Times New Roman"/>
                <w:sz w:val="24"/>
              </w:rPr>
              <mc:AlternateContent>
                <mc:Choice Requires="wpg">
                  <w:drawing>
                    <wp:anchor distT="0" distB="0" distL="114300" distR="114300" simplePos="0" relativeHeight="251657216" behindDoc="0" locked="0" layoutInCell="1" allowOverlap="1">
                      <wp:simplePos x="0" y="0"/>
                      <wp:positionH relativeFrom="column">
                        <wp:posOffset>514350</wp:posOffset>
                      </wp:positionH>
                      <wp:positionV relativeFrom="page">
                        <wp:posOffset>170180</wp:posOffset>
                      </wp:positionV>
                      <wp:extent cx="4720590" cy="4878705"/>
                      <wp:effectExtent l="4445" t="5080" r="18415" b="12065"/>
                      <wp:wrapTopAndBottom/>
                      <wp:docPr id="69" name="组合 69"/>
                      <wp:cNvGraphicFramePr/>
                      <a:graphic xmlns:a="http://schemas.openxmlformats.org/drawingml/2006/main">
                        <a:graphicData uri="http://schemas.microsoft.com/office/word/2010/wordprocessingGroup">
                          <wpg:wgp>
                            <wpg:cNvGrpSpPr/>
                            <wpg:grpSpPr>
                              <a:xfrm>
                                <a:off x="0" y="0"/>
                                <a:ext cx="4720523" cy="4878705"/>
                                <a:chOff x="4530" y="382410"/>
                                <a:chExt cx="8310" cy="7683"/>
                              </a:xfrm>
                            </wpg:grpSpPr>
                            <wps:wsp>
                              <wps:cNvPr id="71" name="文本框 71"/>
                              <wps:cNvSpPr txBox="1"/>
                              <wps:spPr>
                                <a:xfrm>
                                  <a:off x="8159" y="382482"/>
                                  <a:ext cx="1260" cy="468"/>
                                </a:xfrm>
                                <a:prstGeom prst="rect">
                                  <a:avLst/>
                                </a:prstGeom>
                                <a:gradFill rotWithShape="1">
                                  <a:gsLst>
                                    <a:gs pos="0">
                                      <a:srgbClr val="FFFFFF"/>
                                    </a:gs>
                                    <a:gs pos="100000">
                                      <a:srgbClr val="FFFF99"/>
                                    </a:gs>
                                  </a:gsLst>
                                  <a:lin ang="5400000" scaled="1"/>
                                  <a:tileRect/>
                                </a:gradFill>
                                <a:ln w="9525" cap="flat" cmpd="sng">
                                  <a:solidFill>
                                    <a:srgbClr val="000000"/>
                                  </a:solidFill>
                                  <a:prstDash val="solid"/>
                                  <a:miter/>
                                  <a:headEnd type="none" w="med" len="med"/>
                                  <a:tailEnd type="none" w="med" len="med"/>
                                </a:ln>
                              </wps:spPr>
                              <wps:txbx>
                                <w:txbxContent>
                                  <w:p>
                                    <w:pPr>
                                      <w:jc w:val="center"/>
                                      <w:rPr>
                                        <w:rFonts w:hint="default" w:eastAsia="宋体"/>
                                        <w:sz w:val="21"/>
                                        <w:szCs w:val="21"/>
                                        <w:lang w:val="en-US" w:eastAsia="zh-CN"/>
                                      </w:rPr>
                                    </w:pPr>
                                    <w:r>
                                      <w:rPr>
                                        <w:rFonts w:hint="eastAsia"/>
                                        <w:sz w:val="21"/>
                                        <w:szCs w:val="21"/>
                                        <w:lang w:val="en-US" w:eastAsia="zh-CN"/>
                                      </w:rPr>
                                      <w:t>料仓</w:t>
                                    </w:r>
                                  </w:p>
                                </w:txbxContent>
                              </wps:txbx>
                              <wps:bodyPr upright="1"/>
                            </wps:wsp>
                            <wps:wsp>
                              <wps:cNvPr id="72" name="文本框 72"/>
                              <wps:cNvSpPr txBox="1"/>
                              <wps:spPr>
                                <a:xfrm>
                                  <a:off x="9975" y="382410"/>
                                  <a:ext cx="851" cy="468"/>
                                </a:xfrm>
                                <a:prstGeom prst="rect">
                                  <a:avLst/>
                                </a:prstGeom>
                                <a:solidFill>
                                  <a:srgbClr val="FFFFFF"/>
                                </a:solidFill>
                                <a:ln w="9525" cap="flat" cmpd="sng">
                                  <a:solidFill>
                                    <a:srgbClr val="FF0000"/>
                                  </a:solidFill>
                                  <a:prstDash val="dash"/>
                                  <a:miter/>
                                  <a:headEnd type="none" w="med" len="med"/>
                                  <a:tailEnd type="none" w="med" len="med"/>
                                </a:ln>
                              </wps:spPr>
                              <wps:txbx>
                                <w:txbxContent>
                                  <w:p>
                                    <w:pPr>
                                      <w:rPr>
                                        <w:rFonts w:hint="eastAsia"/>
                                        <w:sz w:val="21"/>
                                        <w:szCs w:val="21"/>
                                      </w:rPr>
                                    </w:pPr>
                                    <w:r>
                                      <w:rPr>
                                        <w:rFonts w:hint="eastAsia"/>
                                        <w:sz w:val="21"/>
                                        <w:szCs w:val="21"/>
                                      </w:rPr>
                                      <w:t>粉尘</w:t>
                                    </w:r>
                                  </w:p>
                                </w:txbxContent>
                              </wps:txbx>
                              <wps:bodyPr upright="1"/>
                            </wps:wsp>
                            <wps:wsp>
                              <wps:cNvPr id="73" name="直接连接符 73"/>
                              <wps:cNvCnPr/>
                              <wps:spPr>
                                <a:xfrm>
                                  <a:off x="9435" y="382677"/>
                                  <a:ext cx="540" cy="0"/>
                                </a:xfrm>
                                <a:prstGeom prst="line">
                                  <a:avLst/>
                                </a:prstGeom>
                                <a:ln w="9525" cap="flat" cmpd="sng">
                                  <a:solidFill>
                                    <a:srgbClr val="FF0000"/>
                                  </a:solidFill>
                                  <a:prstDash val="dash"/>
                                  <a:headEnd type="none" w="med" len="med"/>
                                  <a:tailEnd type="triangle" w="med" len="med"/>
                                </a:ln>
                              </wps:spPr>
                              <wps:bodyPr upright="1"/>
                            </wps:wsp>
                            <wps:wsp>
                              <wps:cNvPr id="74" name="文本框 74"/>
                              <wps:cNvSpPr txBox="1"/>
                              <wps:spPr>
                                <a:xfrm>
                                  <a:off x="8888" y="383003"/>
                                  <a:ext cx="750" cy="398"/>
                                </a:xfrm>
                                <a:prstGeom prst="rect">
                                  <a:avLst/>
                                </a:prstGeom>
                                <a:noFill/>
                                <a:ln w="15875">
                                  <a:noFill/>
                                </a:ln>
                              </wps:spPr>
                              <wps:txbx>
                                <w:txbxContent>
                                  <w:p>
                                    <w:pPr>
                                      <w:rPr>
                                        <w:rFonts w:hint="eastAsia" w:eastAsia="宋体"/>
                                        <w:sz w:val="21"/>
                                        <w:szCs w:val="21"/>
                                        <w:lang w:val="en-US" w:eastAsia="zh-CN"/>
                                      </w:rPr>
                                    </w:pPr>
                                    <w:r>
                                      <w:rPr>
                                        <w:rFonts w:hint="eastAsia"/>
                                        <w:sz w:val="21"/>
                                        <w:szCs w:val="21"/>
                                        <w:lang w:val="en-US" w:eastAsia="zh-CN"/>
                                      </w:rPr>
                                      <w:t>铲车</w:t>
                                    </w:r>
                                  </w:p>
                                </w:txbxContent>
                              </wps:txbx>
                              <wps:bodyPr upright="1"/>
                            </wps:wsp>
                            <wps:wsp>
                              <wps:cNvPr id="75" name="直接连接符 75"/>
                              <wps:cNvCnPr/>
                              <wps:spPr>
                                <a:xfrm>
                                  <a:off x="8818" y="382928"/>
                                  <a:ext cx="1" cy="590"/>
                                </a:xfrm>
                                <a:prstGeom prst="line">
                                  <a:avLst/>
                                </a:prstGeom>
                                <a:ln w="9525" cap="flat" cmpd="sng">
                                  <a:solidFill>
                                    <a:srgbClr val="000000"/>
                                  </a:solidFill>
                                  <a:prstDash val="solid"/>
                                  <a:headEnd type="none" w="med" len="med"/>
                                  <a:tailEnd type="triangle" w="med" len="med"/>
                                </a:ln>
                              </wps:spPr>
                              <wps:bodyPr upright="1"/>
                            </wps:wsp>
                            <wps:wsp>
                              <wps:cNvPr id="76" name="文本框 76"/>
                              <wps:cNvSpPr txBox="1"/>
                              <wps:spPr>
                                <a:xfrm>
                                  <a:off x="9975" y="383521"/>
                                  <a:ext cx="1440" cy="468"/>
                                </a:xfrm>
                                <a:prstGeom prst="rect">
                                  <a:avLst/>
                                </a:prstGeom>
                                <a:solidFill>
                                  <a:srgbClr val="FFFFFF"/>
                                </a:solidFill>
                                <a:ln w="9525" cap="flat" cmpd="sng">
                                  <a:solidFill>
                                    <a:srgbClr val="FF0000"/>
                                  </a:solidFill>
                                  <a:prstDash val="dash"/>
                                  <a:miter/>
                                  <a:headEnd type="none" w="med" len="med"/>
                                  <a:tailEnd type="none" w="med" len="med"/>
                                </a:ln>
                              </wps:spPr>
                              <wps:txbx>
                                <w:txbxContent>
                                  <w:p>
                                    <w:pPr>
                                      <w:rPr>
                                        <w:rFonts w:hint="eastAsia"/>
                                        <w:sz w:val="21"/>
                                        <w:szCs w:val="21"/>
                                      </w:rPr>
                                    </w:pPr>
                                    <w:r>
                                      <w:rPr>
                                        <w:rFonts w:hint="eastAsia"/>
                                        <w:sz w:val="21"/>
                                        <w:szCs w:val="21"/>
                                      </w:rPr>
                                      <w:t>噪声、粉尘</w:t>
                                    </w:r>
                                  </w:p>
                                </w:txbxContent>
                              </wps:txbx>
                              <wps:bodyPr upright="1"/>
                            </wps:wsp>
                            <wps:wsp>
                              <wps:cNvPr id="77" name="直接连接符 77"/>
                              <wps:cNvCnPr/>
                              <wps:spPr>
                                <a:xfrm>
                                  <a:off x="9435" y="383758"/>
                                  <a:ext cx="540" cy="0"/>
                                </a:xfrm>
                                <a:prstGeom prst="line">
                                  <a:avLst/>
                                </a:prstGeom>
                                <a:ln w="9525" cap="flat" cmpd="sng">
                                  <a:solidFill>
                                    <a:srgbClr val="FF0000"/>
                                  </a:solidFill>
                                  <a:prstDash val="dash"/>
                                  <a:headEnd type="none" w="med" len="med"/>
                                  <a:tailEnd type="triangle" w="med" len="med"/>
                                </a:ln>
                              </wps:spPr>
                              <wps:bodyPr upright="1"/>
                            </wps:wsp>
                            <wps:wsp>
                              <wps:cNvPr id="78" name="文本框 78"/>
                              <wps:cNvSpPr txBox="1"/>
                              <wps:spPr>
                                <a:xfrm>
                                  <a:off x="8175" y="383521"/>
                                  <a:ext cx="1260" cy="468"/>
                                </a:xfrm>
                                <a:prstGeom prst="rect">
                                  <a:avLst/>
                                </a:prstGeom>
                                <a:gradFill rotWithShape="1">
                                  <a:gsLst>
                                    <a:gs pos="0">
                                      <a:srgbClr val="FFFFFF"/>
                                    </a:gs>
                                    <a:gs pos="100000">
                                      <a:srgbClr val="FFFF99"/>
                                    </a:gs>
                                  </a:gsLst>
                                  <a:lin ang="5400000" scaled="1"/>
                                  <a:tileRect/>
                                </a:gradFill>
                                <a:ln w="9525" cap="flat" cmpd="sng">
                                  <a:solidFill>
                                    <a:srgbClr val="000000"/>
                                  </a:solidFill>
                                  <a:prstDash val="solid"/>
                                  <a:miter/>
                                  <a:headEnd type="none" w="med" len="med"/>
                                  <a:tailEnd type="none" w="med" len="med"/>
                                </a:ln>
                              </wps:spPr>
                              <wps:txbx>
                                <w:txbxContent>
                                  <w:p>
                                    <w:pPr>
                                      <w:jc w:val="center"/>
                                      <w:rPr>
                                        <w:rFonts w:hint="eastAsia" w:eastAsia="宋体"/>
                                        <w:sz w:val="21"/>
                                        <w:szCs w:val="21"/>
                                        <w:lang w:val="en-US" w:eastAsia="zh-CN"/>
                                      </w:rPr>
                                    </w:pPr>
                                    <w:r>
                                      <w:rPr>
                                        <w:rFonts w:hint="eastAsia"/>
                                        <w:sz w:val="21"/>
                                        <w:szCs w:val="21"/>
                                      </w:rPr>
                                      <w:t>配料</w:t>
                                    </w:r>
                                    <w:r>
                                      <w:rPr>
                                        <w:rFonts w:hint="eastAsia"/>
                                        <w:sz w:val="21"/>
                                        <w:szCs w:val="21"/>
                                        <w:lang w:val="en-US" w:eastAsia="zh-CN"/>
                                      </w:rPr>
                                      <w:t>仓</w:t>
                                    </w:r>
                                  </w:p>
                                </w:txbxContent>
                              </wps:txbx>
                              <wps:bodyPr upright="1"/>
                            </wps:wsp>
                            <wps:wsp>
                              <wps:cNvPr id="79" name="直接连接符 79"/>
                              <wps:cNvCnPr/>
                              <wps:spPr>
                                <a:xfrm>
                                  <a:off x="8788" y="384023"/>
                                  <a:ext cx="1" cy="468"/>
                                </a:xfrm>
                                <a:prstGeom prst="line">
                                  <a:avLst/>
                                </a:prstGeom>
                                <a:ln w="9525" cap="flat" cmpd="sng">
                                  <a:solidFill>
                                    <a:srgbClr val="000000"/>
                                  </a:solidFill>
                                  <a:prstDash val="solid"/>
                                  <a:headEnd type="none" w="med" len="med"/>
                                  <a:tailEnd type="triangle" w="med" len="med"/>
                                </a:ln>
                              </wps:spPr>
                              <wps:bodyPr upright="1"/>
                            </wps:wsp>
                            <wps:wsp>
                              <wps:cNvPr id="80" name="文本框 80"/>
                              <wps:cNvSpPr txBox="1"/>
                              <wps:spPr>
                                <a:xfrm>
                                  <a:off x="9977" y="384568"/>
                                  <a:ext cx="1978" cy="468"/>
                                </a:xfrm>
                                <a:prstGeom prst="rect">
                                  <a:avLst/>
                                </a:prstGeom>
                                <a:solidFill>
                                  <a:srgbClr val="FFFFFF"/>
                                </a:solidFill>
                                <a:ln w="9525" cap="flat" cmpd="sng">
                                  <a:solidFill>
                                    <a:srgbClr val="FF0000"/>
                                  </a:solidFill>
                                  <a:prstDash val="dash"/>
                                  <a:miter/>
                                  <a:headEnd type="none" w="med" len="med"/>
                                  <a:tailEnd type="none" w="med" len="med"/>
                                </a:ln>
                              </wps:spPr>
                              <wps:txbx>
                                <w:txbxContent>
                                  <w:p>
                                    <w:pPr>
                                      <w:rPr>
                                        <w:rFonts w:hint="eastAsia"/>
                                        <w:sz w:val="21"/>
                                        <w:szCs w:val="21"/>
                                      </w:rPr>
                                    </w:pPr>
                                    <w:r>
                                      <w:rPr>
                                        <w:rFonts w:hint="eastAsia"/>
                                        <w:sz w:val="21"/>
                                        <w:szCs w:val="21"/>
                                      </w:rPr>
                                      <w:t>噪声、固体废物</w:t>
                                    </w:r>
                                  </w:p>
                                </w:txbxContent>
                              </wps:txbx>
                              <wps:bodyPr upright="1"/>
                            </wps:wsp>
                            <wps:wsp>
                              <wps:cNvPr id="81" name="直接连接符 81"/>
                              <wps:cNvCnPr/>
                              <wps:spPr>
                                <a:xfrm>
                                  <a:off x="9435" y="384801"/>
                                  <a:ext cx="540" cy="0"/>
                                </a:xfrm>
                                <a:prstGeom prst="line">
                                  <a:avLst/>
                                </a:prstGeom>
                                <a:ln w="9525" cap="flat" cmpd="sng">
                                  <a:solidFill>
                                    <a:srgbClr val="FF0000"/>
                                  </a:solidFill>
                                  <a:prstDash val="dash"/>
                                  <a:headEnd type="none" w="med" len="med"/>
                                  <a:tailEnd type="triangle" w="med" len="med"/>
                                </a:ln>
                              </wps:spPr>
                              <wps:bodyPr upright="1"/>
                            </wps:wsp>
                            <wps:wsp>
                              <wps:cNvPr id="82" name="文本框 82"/>
                              <wps:cNvSpPr txBox="1"/>
                              <wps:spPr>
                                <a:xfrm>
                                  <a:off x="8175" y="384534"/>
                                  <a:ext cx="1260" cy="468"/>
                                </a:xfrm>
                                <a:prstGeom prst="rect">
                                  <a:avLst/>
                                </a:prstGeom>
                                <a:gradFill rotWithShape="1">
                                  <a:gsLst>
                                    <a:gs pos="0">
                                      <a:srgbClr val="FFFFFF"/>
                                    </a:gs>
                                    <a:gs pos="100000">
                                      <a:srgbClr val="FFFF99"/>
                                    </a:gs>
                                  </a:gsLst>
                                  <a:lin ang="5400000" scaled="1"/>
                                  <a:tileRect/>
                                </a:gra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皮带输送</w:t>
                                    </w:r>
                                  </w:p>
                                </w:txbxContent>
                              </wps:txbx>
                              <wps:bodyPr upright="1"/>
                            </wps:wsp>
                            <wps:wsp>
                              <wps:cNvPr id="83" name="文本框 83"/>
                              <wps:cNvSpPr txBox="1"/>
                              <wps:spPr>
                                <a:xfrm>
                                  <a:off x="4530" y="385320"/>
                                  <a:ext cx="540" cy="961"/>
                                </a:xfrm>
                                <a:prstGeom prst="rect">
                                  <a:avLst/>
                                </a:prstGeom>
                                <a:solidFill>
                                  <a:srgbClr val="FFFFFF"/>
                                </a:solidFill>
                                <a:ln w="9525" cap="flat" cmpd="sng">
                                  <a:solidFill>
                                    <a:srgbClr val="FF0000"/>
                                  </a:solidFill>
                                  <a:prstDash val="dash"/>
                                  <a:miter/>
                                  <a:headEnd type="none" w="med" len="med"/>
                                  <a:tailEnd type="none" w="med" len="med"/>
                                </a:ln>
                              </wps:spPr>
                              <wps:txbx>
                                <w:txbxContent>
                                  <w:p>
                                    <w:pPr>
                                      <w:rPr>
                                        <w:rFonts w:hint="eastAsia"/>
                                        <w:sz w:val="21"/>
                                        <w:szCs w:val="21"/>
                                      </w:rPr>
                                    </w:pPr>
                                    <w:r>
                                      <w:rPr>
                                        <w:rFonts w:hint="eastAsia"/>
                                        <w:sz w:val="21"/>
                                        <w:szCs w:val="21"/>
                                      </w:rPr>
                                      <w:t>粉尘</w:t>
                                    </w:r>
                                  </w:p>
                                </w:txbxContent>
                              </wps:txbx>
                              <wps:bodyPr upright="1"/>
                            </wps:wsp>
                            <wps:wsp>
                              <wps:cNvPr id="84" name="文本框 84"/>
                              <wps:cNvSpPr txBox="1"/>
                              <wps:spPr>
                                <a:xfrm>
                                  <a:off x="10277" y="385472"/>
                                  <a:ext cx="1260" cy="468"/>
                                </a:xfrm>
                                <a:prstGeom prst="rect">
                                  <a:avLst/>
                                </a:prstGeom>
                                <a:gradFill rotWithShape="1">
                                  <a:gsLst>
                                    <a:gs pos="0">
                                      <a:srgbClr val="00FF00">
                                        <a:alpha val="98000"/>
                                      </a:srgbClr>
                                    </a:gs>
                                    <a:gs pos="50000">
                                      <a:srgbClr val="FFFFFF"/>
                                    </a:gs>
                                    <a:gs pos="100000">
                                      <a:srgbClr val="00FF00">
                                        <a:alpha val="98000"/>
                                      </a:srgbClr>
                                    </a:gs>
                                  </a:gsLst>
                                  <a:lin ang="5400000" scaled="1"/>
                                  <a:tileRect/>
                                </a:gra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水</w:t>
                                    </w:r>
                                  </w:p>
                                </w:txbxContent>
                              </wps:txbx>
                              <wps:bodyPr upright="1"/>
                            </wps:wsp>
                            <wps:wsp>
                              <wps:cNvPr id="85" name="文本框 85"/>
                              <wps:cNvSpPr txBox="1"/>
                              <wps:spPr>
                                <a:xfrm>
                                  <a:off x="5608" y="385468"/>
                                  <a:ext cx="1260" cy="468"/>
                                </a:xfrm>
                                <a:prstGeom prst="rect">
                                  <a:avLst/>
                                </a:prstGeom>
                                <a:gradFill rotWithShape="1">
                                  <a:gsLst>
                                    <a:gs pos="0">
                                      <a:srgbClr val="00CCFF"/>
                                    </a:gs>
                                    <a:gs pos="50000">
                                      <a:srgbClr val="FFFFFF"/>
                                    </a:gs>
                                    <a:gs pos="100000">
                                      <a:srgbClr val="00CCFF"/>
                                    </a:gs>
                                  </a:gsLst>
                                  <a:lin ang="5400000" scaled="1"/>
                                  <a:tileRect/>
                                </a:gra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lang w:val="en-US" w:eastAsia="zh-CN"/>
                                      </w:rPr>
                                      <w:t>水泥</w:t>
                                    </w:r>
                                    <w:r>
                                      <w:rPr>
                                        <w:rFonts w:hint="eastAsia"/>
                                        <w:sz w:val="21"/>
                                        <w:szCs w:val="21"/>
                                      </w:rPr>
                                      <w:t>筒仓</w:t>
                                    </w:r>
                                  </w:p>
                                </w:txbxContent>
                              </wps:txbx>
                              <wps:bodyPr upright="1"/>
                            </wps:wsp>
                            <wps:wsp>
                              <wps:cNvPr id="86" name="直接连接符 86"/>
                              <wps:cNvCnPr/>
                              <wps:spPr>
                                <a:xfrm>
                                  <a:off x="8788" y="385051"/>
                                  <a:ext cx="1" cy="2597"/>
                                </a:xfrm>
                                <a:prstGeom prst="line">
                                  <a:avLst/>
                                </a:prstGeom>
                                <a:ln w="9525" cap="flat" cmpd="sng">
                                  <a:solidFill>
                                    <a:srgbClr val="000000"/>
                                  </a:solidFill>
                                  <a:prstDash val="solid"/>
                                  <a:headEnd type="none" w="med" len="med"/>
                                  <a:tailEnd type="triangle" w="med" len="med"/>
                                </a:ln>
                              </wps:spPr>
                              <wps:bodyPr upright="1"/>
                            </wps:wsp>
                            <wps:wsp>
                              <wps:cNvPr id="87" name="直接连接符 87"/>
                              <wps:cNvCnPr/>
                              <wps:spPr>
                                <a:xfrm flipH="1">
                                  <a:off x="5053" y="385739"/>
                                  <a:ext cx="540" cy="0"/>
                                </a:xfrm>
                                <a:prstGeom prst="line">
                                  <a:avLst/>
                                </a:prstGeom>
                                <a:ln w="9525" cap="flat" cmpd="sng">
                                  <a:solidFill>
                                    <a:srgbClr val="000000"/>
                                  </a:solidFill>
                                  <a:prstDash val="solid"/>
                                  <a:headEnd type="none" w="med" len="med"/>
                                  <a:tailEnd type="triangle" w="med" len="med"/>
                                </a:ln>
                              </wps:spPr>
                              <wps:bodyPr upright="1"/>
                            </wps:wsp>
                            <wps:wsp>
                              <wps:cNvPr id="88" name="直接连接符 88"/>
                              <wps:cNvCnPr/>
                              <wps:spPr>
                                <a:xfrm>
                                  <a:off x="10903" y="385987"/>
                                  <a:ext cx="1" cy="468"/>
                                </a:xfrm>
                                <a:prstGeom prst="line">
                                  <a:avLst/>
                                </a:prstGeom>
                                <a:ln w="9525" cap="flat" cmpd="sng">
                                  <a:solidFill>
                                    <a:srgbClr val="000000"/>
                                  </a:solidFill>
                                  <a:prstDash val="solid"/>
                                  <a:headEnd type="none" w="med" len="med"/>
                                  <a:tailEnd type="triangle" w="med" len="med"/>
                                </a:ln>
                              </wps:spPr>
                              <wps:bodyPr upright="1"/>
                            </wps:wsp>
                            <wps:wsp>
                              <wps:cNvPr id="89" name="直接连接符 89"/>
                              <wps:cNvCnPr/>
                              <wps:spPr>
                                <a:xfrm>
                                  <a:off x="6195" y="385985"/>
                                  <a:ext cx="1" cy="468"/>
                                </a:xfrm>
                                <a:prstGeom prst="line">
                                  <a:avLst/>
                                </a:prstGeom>
                                <a:ln w="9525" cap="flat" cmpd="sng">
                                  <a:solidFill>
                                    <a:srgbClr val="000000"/>
                                  </a:solidFill>
                                  <a:prstDash val="solid"/>
                                  <a:headEnd type="none" w="med" len="med"/>
                                  <a:tailEnd type="triangle" w="med" len="med"/>
                                </a:ln>
                              </wps:spPr>
                              <wps:bodyPr upright="1"/>
                            </wps:wsp>
                            <wps:wsp>
                              <wps:cNvPr id="90" name="文本框 90"/>
                              <wps:cNvSpPr txBox="1"/>
                              <wps:spPr>
                                <a:xfrm>
                                  <a:off x="12075" y="386442"/>
                                  <a:ext cx="765" cy="502"/>
                                </a:xfrm>
                                <a:prstGeom prst="rect">
                                  <a:avLst/>
                                </a:prstGeom>
                                <a:solidFill>
                                  <a:srgbClr val="FFFFFF"/>
                                </a:solidFill>
                                <a:ln w="9525" cap="flat" cmpd="sng">
                                  <a:solidFill>
                                    <a:srgbClr val="FF0000"/>
                                  </a:solidFill>
                                  <a:prstDash val="dash"/>
                                  <a:miter/>
                                  <a:headEnd type="none" w="med" len="med"/>
                                  <a:tailEnd type="none" w="med" len="med"/>
                                </a:ln>
                              </wps:spPr>
                              <wps:txbx>
                                <w:txbxContent>
                                  <w:p>
                                    <w:pPr>
                                      <w:rPr>
                                        <w:rFonts w:hint="eastAsia"/>
                                        <w:sz w:val="21"/>
                                        <w:szCs w:val="21"/>
                                      </w:rPr>
                                    </w:pPr>
                                    <w:r>
                                      <w:rPr>
                                        <w:rFonts w:hint="eastAsia"/>
                                        <w:sz w:val="21"/>
                                        <w:szCs w:val="21"/>
                                      </w:rPr>
                                      <w:t>噪声</w:t>
                                    </w:r>
                                  </w:p>
                                  <w:p>
                                    <w:pPr>
                                      <w:rPr>
                                        <w:rFonts w:hint="eastAsia"/>
                                        <w:sz w:val="21"/>
                                        <w:szCs w:val="21"/>
                                      </w:rPr>
                                    </w:pPr>
                                  </w:p>
                                </w:txbxContent>
                              </wps:txbx>
                              <wps:bodyPr upright="1"/>
                            </wps:wsp>
                            <wps:wsp>
                              <wps:cNvPr id="91" name="文本框 91"/>
                              <wps:cNvSpPr txBox="1"/>
                              <wps:spPr>
                                <a:xfrm>
                                  <a:off x="10290" y="386485"/>
                                  <a:ext cx="1260" cy="468"/>
                                </a:xfrm>
                                <a:prstGeom prst="rect">
                                  <a:avLst/>
                                </a:prstGeom>
                                <a:gradFill rotWithShape="1">
                                  <a:gsLst>
                                    <a:gs pos="0">
                                      <a:srgbClr val="00FF00">
                                        <a:alpha val="98000"/>
                                      </a:srgbClr>
                                    </a:gs>
                                    <a:gs pos="50000">
                                      <a:srgbClr val="FFFFFF"/>
                                    </a:gs>
                                    <a:gs pos="100000">
                                      <a:srgbClr val="00FF00">
                                        <a:alpha val="98000"/>
                                      </a:srgbClr>
                                    </a:gs>
                                  </a:gsLst>
                                  <a:lin ang="5400000" scaled="1"/>
                                  <a:tileRect/>
                                </a:gra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泵送、计量</w:t>
                                    </w:r>
                                  </w:p>
                                </w:txbxContent>
                              </wps:txbx>
                              <wps:bodyPr upright="1"/>
                            </wps:wsp>
                            <wps:wsp>
                              <wps:cNvPr id="92" name="文本框 92"/>
                              <wps:cNvSpPr txBox="1"/>
                              <wps:spPr>
                                <a:xfrm>
                                  <a:off x="11310" y="386036"/>
                                  <a:ext cx="900" cy="468"/>
                                </a:xfrm>
                                <a:prstGeom prst="rect">
                                  <a:avLst/>
                                </a:prstGeom>
                                <a:noFill/>
                                <a:ln>
                                  <a:noFill/>
                                </a:ln>
                              </wps:spPr>
                              <wps:txbx>
                                <w:txbxContent>
                                  <w:p>
                                    <w:pPr>
                                      <w:rPr>
                                        <w:sz w:val="21"/>
                                        <w:szCs w:val="21"/>
                                      </w:rPr>
                                    </w:pPr>
                                  </w:p>
                                </w:txbxContent>
                              </wps:txbx>
                              <wps:bodyPr upright="1"/>
                            </wps:wsp>
                            <wps:wsp>
                              <wps:cNvPr id="93" name="文本框 93"/>
                              <wps:cNvSpPr txBox="1"/>
                              <wps:spPr>
                                <a:xfrm>
                                  <a:off x="5655" y="386453"/>
                                  <a:ext cx="1260" cy="468"/>
                                </a:xfrm>
                                <a:prstGeom prst="rect">
                                  <a:avLst/>
                                </a:prstGeom>
                                <a:gradFill rotWithShape="1">
                                  <a:gsLst>
                                    <a:gs pos="0">
                                      <a:srgbClr val="00CCFF"/>
                                    </a:gs>
                                    <a:gs pos="50000">
                                      <a:srgbClr val="FFFFFF"/>
                                    </a:gs>
                                    <a:gs pos="100000">
                                      <a:srgbClr val="00CCFF"/>
                                    </a:gs>
                                  </a:gsLst>
                                  <a:lin ang="5400000" scaled="1"/>
                                  <a:tileRect/>
                                </a:gra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计量</w:t>
                                    </w:r>
                                  </w:p>
                                </w:txbxContent>
                              </wps:txbx>
                              <wps:bodyPr upright="1"/>
                            </wps:wsp>
                            <wps:wsp>
                              <wps:cNvPr id="94" name="直接连接符 94"/>
                              <wps:cNvCnPr/>
                              <wps:spPr>
                                <a:xfrm>
                                  <a:off x="10939" y="386962"/>
                                  <a:ext cx="1" cy="468"/>
                                </a:xfrm>
                                <a:prstGeom prst="line">
                                  <a:avLst/>
                                </a:prstGeom>
                                <a:ln w="9525" cap="flat" cmpd="sng">
                                  <a:solidFill>
                                    <a:srgbClr val="000000"/>
                                  </a:solidFill>
                                  <a:prstDash val="solid"/>
                                  <a:headEnd type="none" w="med" len="med"/>
                                  <a:tailEnd type="triangle" w="med" len="med"/>
                                </a:ln>
                              </wps:spPr>
                              <wps:bodyPr upright="1"/>
                            </wps:wsp>
                            <wps:wsp>
                              <wps:cNvPr id="95" name="直接连接符 95"/>
                              <wps:cNvCnPr/>
                              <wps:spPr>
                                <a:xfrm>
                                  <a:off x="11567" y="386714"/>
                                  <a:ext cx="540" cy="0"/>
                                </a:xfrm>
                                <a:prstGeom prst="line">
                                  <a:avLst/>
                                </a:prstGeom>
                                <a:ln w="9525" cap="flat" cmpd="sng">
                                  <a:solidFill>
                                    <a:srgbClr val="FF0000"/>
                                  </a:solidFill>
                                  <a:prstDash val="dash"/>
                                  <a:headEnd type="none" w="med" len="med"/>
                                  <a:tailEnd type="triangle" w="med" len="med"/>
                                </a:ln>
                              </wps:spPr>
                              <wps:bodyPr upright="1"/>
                            </wps:wsp>
                            <wps:wsp>
                              <wps:cNvPr id="96" name="直接连接符 96"/>
                              <wps:cNvCnPr/>
                              <wps:spPr>
                                <a:xfrm>
                                  <a:off x="6193" y="386923"/>
                                  <a:ext cx="1" cy="468"/>
                                </a:xfrm>
                                <a:prstGeom prst="line">
                                  <a:avLst/>
                                </a:prstGeom>
                                <a:ln w="9525" cap="flat" cmpd="sng">
                                  <a:solidFill>
                                    <a:srgbClr val="000000"/>
                                  </a:solidFill>
                                  <a:prstDash val="solid"/>
                                  <a:headEnd type="none" w="med" len="med"/>
                                  <a:tailEnd type="triangle" w="med" len="med"/>
                                </a:ln>
                              </wps:spPr>
                              <wps:bodyPr upright="1"/>
                            </wps:wsp>
                            <wps:wsp>
                              <wps:cNvPr id="97" name="文本框 97"/>
                              <wps:cNvSpPr txBox="1"/>
                              <wps:spPr>
                                <a:xfrm>
                                  <a:off x="11775" y="387273"/>
                                  <a:ext cx="1065" cy="1045"/>
                                </a:xfrm>
                                <a:prstGeom prst="rect">
                                  <a:avLst/>
                                </a:prstGeom>
                                <a:solidFill>
                                  <a:srgbClr val="FFFFFF"/>
                                </a:solidFill>
                                <a:ln w="9525" cap="flat" cmpd="sng">
                                  <a:solidFill>
                                    <a:srgbClr val="FF0000"/>
                                  </a:solidFill>
                                  <a:prstDash val="dash"/>
                                  <a:miter/>
                                  <a:headEnd type="none" w="med" len="med"/>
                                  <a:tailEnd type="none" w="med" len="med"/>
                                </a:ln>
                              </wps:spPr>
                              <wps:txbx>
                                <w:txbxContent>
                                  <w:p>
                                    <w:pPr>
                                      <w:rPr>
                                        <w:rFonts w:hint="eastAsia"/>
                                        <w:sz w:val="21"/>
                                        <w:szCs w:val="21"/>
                                      </w:rPr>
                                    </w:pPr>
                                    <w:r>
                                      <w:rPr>
                                        <w:rFonts w:hint="eastAsia"/>
                                        <w:sz w:val="21"/>
                                        <w:szCs w:val="21"/>
                                      </w:rPr>
                                      <w:t>噪声、粉尘、固体废物</w:t>
                                    </w:r>
                                  </w:p>
                                </w:txbxContent>
                              </wps:txbx>
                              <wps:bodyPr upright="1"/>
                            </wps:wsp>
                            <wps:wsp>
                              <wps:cNvPr id="98" name="文本框 98"/>
                              <wps:cNvSpPr txBox="1"/>
                              <wps:spPr>
                                <a:xfrm>
                                  <a:off x="6013" y="387424"/>
                                  <a:ext cx="5220" cy="468"/>
                                </a:xfrm>
                                <a:prstGeom prst="rect">
                                  <a:avLst/>
                                </a:prstGeom>
                                <a:gradFill rotWithShape="1">
                                  <a:gsLst>
                                    <a:gs pos="0">
                                      <a:srgbClr val="FF00FF"/>
                                    </a:gs>
                                    <a:gs pos="50000">
                                      <a:srgbClr val="FFFFFF"/>
                                    </a:gs>
                                    <a:gs pos="100000">
                                      <a:srgbClr val="FF00FF"/>
                                    </a:gs>
                                  </a:gsLst>
                                  <a:lin ang="5400000" scaled="1"/>
                                  <a:tileRect/>
                                </a:gra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搅拌主机</w:t>
                                    </w:r>
                                  </w:p>
                                </w:txbxContent>
                              </wps:txbx>
                              <wps:bodyPr upright="1"/>
                            </wps:wsp>
                            <wps:wsp>
                              <wps:cNvPr id="99" name="直接连接符 99"/>
                              <wps:cNvCnPr/>
                              <wps:spPr>
                                <a:xfrm>
                                  <a:off x="11235" y="387669"/>
                                  <a:ext cx="540" cy="0"/>
                                </a:xfrm>
                                <a:prstGeom prst="line">
                                  <a:avLst/>
                                </a:prstGeom>
                                <a:ln w="9525" cap="flat" cmpd="sng">
                                  <a:solidFill>
                                    <a:srgbClr val="FF0000"/>
                                  </a:solidFill>
                                  <a:prstDash val="dash"/>
                                  <a:headEnd type="none" w="med" len="med"/>
                                  <a:tailEnd type="triangle" w="med" len="med"/>
                                </a:ln>
                              </wps:spPr>
                              <wps:bodyPr upright="1"/>
                            </wps:wsp>
                            <wps:wsp>
                              <wps:cNvPr id="100" name="文本框 100"/>
                              <wps:cNvSpPr txBox="1"/>
                              <wps:spPr>
                                <a:xfrm>
                                  <a:off x="8807" y="388002"/>
                                  <a:ext cx="1078" cy="468"/>
                                </a:xfrm>
                                <a:prstGeom prst="rect">
                                  <a:avLst/>
                                </a:prstGeom>
                                <a:noFill/>
                                <a:ln>
                                  <a:noFill/>
                                </a:ln>
                              </wps:spPr>
                              <wps:txbx>
                                <w:txbxContent>
                                  <w:p>
                                    <w:pPr>
                                      <w:rPr>
                                        <w:rFonts w:hint="eastAsia"/>
                                        <w:sz w:val="21"/>
                                        <w:szCs w:val="21"/>
                                      </w:rPr>
                                    </w:pPr>
                                    <w:r>
                                      <w:rPr>
                                        <w:rFonts w:hint="eastAsia"/>
                                        <w:sz w:val="21"/>
                                        <w:szCs w:val="21"/>
                                      </w:rPr>
                                      <w:t>卸料门</w:t>
                                    </w:r>
                                  </w:p>
                                </w:txbxContent>
                              </wps:txbx>
                              <wps:bodyPr upright="1"/>
                            </wps:wsp>
                            <wps:wsp>
                              <wps:cNvPr id="101" name="直接连接符 101"/>
                              <wps:cNvCnPr/>
                              <wps:spPr>
                                <a:xfrm>
                                  <a:off x="8715" y="387908"/>
                                  <a:ext cx="1" cy="624"/>
                                </a:xfrm>
                                <a:prstGeom prst="line">
                                  <a:avLst/>
                                </a:prstGeom>
                                <a:ln w="9525" cap="flat" cmpd="sng">
                                  <a:solidFill>
                                    <a:srgbClr val="000000"/>
                                  </a:solidFill>
                                  <a:prstDash val="solid"/>
                                  <a:headEnd type="none" w="med" len="med"/>
                                  <a:tailEnd type="triangle" w="med" len="med"/>
                                </a:ln>
                              </wps:spPr>
                              <wps:bodyPr upright="1"/>
                            </wps:wsp>
                            <wps:wsp>
                              <wps:cNvPr id="102" name="文本框 102"/>
                              <wps:cNvSpPr txBox="1"/>
                              <wps:spPr>
                                <a:xfrm>
                                  <a:off x="10155" y="388389"/>
                                  <a:ext cx="900" cy="780"/>
                                </a:xfrm>
                                <a:prstGeom prst="rect">
                                  <a:avLst/>
                                </a:prstGeom>
                                <a:solidFill>
                                  <a:srgbClr val="FFFFFF"/>
                                </a:solidFill>
                                <a:ln w="9525" cap="flat" cmpd="sng">
                                  <a:solidFill>
                                    <a:srgbClr val="FF0000"/>
                                  </a:solidFill>
                                  <a:prstDash val="dash"/>
                                  <a:miter/>
                                  <a:headEnd type="none" w="med" len="med"/>
                                  <a:tailEnd type="none" w="med" len="med"/>
                                </a:ln>
                              </wps:spPr>
                              <wps:txbx>
                                <w:txbxContent>
                                  <w:p>
                                    <w:pPr>
                                      <w:rPr>
                                        <w:rFonts w:hint="eastAsia"/>
                                        <w:sz w:val="21"/>
                                        <w:szCs w:val="21"/>
                                      </w:rPr>
                                    </w:pPr>
                                    <w:r>
                                      <w:rPr>
                                        <w:rFonts w:hint="eastAsia"/>
                                        <w:sz w:val="21"/>
                                        <w:szCs w:val="21"/>
                                      </w:rPr>
                                      <w:t>粉尘</w:t>
                                    </w:r>
                                  </w:p>
                                </w:txbxContent>
                              </wps:txbx>
                              <wps:bodyPr upright="1"/>
                            </wps:wsp>
                            <wps:wsp>
                              <wps:cNvPr id="103" name="文本框 103"/>
                              <wps:cNvSpPr txBox="1"/>
                              <wps:spPr>
                                <a:xfrm>
                                  <a:off x="7920" y="388526"/>
                                  <a:ext cx="1622" cy="468"/>
                                </a:xfrm>
                                <a:prstGeom prst="rect">
                                  <a:avLst/>
                                </a:prstGeom>
                                <a:gradFill rotWithShape="1">
                                  <a:gsLst>
                                    <a:gs pos="0">
                                      <a:srgbClr val="FF00FF"/>
                                    </a:gs>
                                    <a:gs pos="50000">
                                      <a:srgbClr val="FFFFFF"/>
                                    </a:gs>
                                    <a:gs pos="100000">
                                      <a:srgbClr val="FF00FF"/>
                                    </a:gs>
                                  </a:gsLst>
                                  <a:lin ang="5400000" scaled="1"/>
                                  <a:tileRect/>
                                </a:gradFill>
                                <a:ln w="9525" cap="flat" cmpd="sng">
                                  <a:solidFill>
                                    <a:srgbClr val="000000"/>
                                  </a:solidFill>
                                  <a:prstDash val="solid"/>
                                  <a:miter/>
                                  <a:headEnd type="none" w="med" len="med"/>
                                  <a:tailEnd type="none" w="med" len="med"/>
                                </a:ln>
                              </wps:spPr>
                              <wps:txbx>
                                <w:txbxContent>
                                  <w:p>
                                    <w:pPr>
                                      <w:jc w:val="center"/>
                                      <w:rPr>
                                        <w:rFonts w:hint="default" w:eastAsia="宋体"/>
                                        <w:sz w:val="21"/>
                                        <w:szCs w:val="21"/>
                                        <w:lang w:val="en-US" w:eastAsia="zh-CN"/>
                                      </w:rPr>
                                    </w:pPr>
                                    <w:r>
                                      <w:rPr>
                                        <w:rFonts w:hint="eastAsia"/>
                                        <w:sz w:val="21"/>
                                        <w:szCs w:val="21"/>
                                        <w:lang w:val="en-US" w:eastAsia="zh-CN"/>
                                      </w:rPr>
                                      <w:t>成品料仓</w:t>
                                    </w:r>
                                  </w:p>
                                </w:txbxContent>
                              </wps:txbx>
                              <wps:bodyPr upright="1"/>
                            </wps:wsp>
                            <wps:wsp>
                              <wps:cNvPr id="104" name="直接连接符 104"/>
                              <wps:cNvCnPr/>
                              <wps:spPr>
                                <a:xfrm>
                                  <a:off x="9570" y="388731"/>
                                  <a:ext cx="540" cy="0"/>
                                </a:xfrm>
                                <a:prstGeom prst="line">
                                  <a:avLst/>
                                </a:prstGeom>
                                <a:ln w="9525" cap="flat" cmpd="sng">
                                  <a:solidFill>
                                    <a:srgbClr val="FF0000"/>
                                  </a:solidFill>
                                  <a:prstDash val="dash"/>
                                  <a:headEnd type="none" w="med" len="med"/>
                                  <a:tailEnd type="triangle" w="med" len="med"/>
                                </a:ln>
                              </wps:spPr>
                              <wps:bodyPr upright="1"/>
                            </wps:wsp>
                            <wps:wsp>
                              <wps:cNvPr id="105" name="直接连接符 105"/>
                              <wps:cNvCnPr/>
                              <wps:spPr>
                                <a:xfrm>
                                  <a:off x="8749" y="388999"/>
                                  <a:ext cx="1" cy="624"/>
                                </a:xfrm>
                                <a:prstGeom prst="line">
                                  <a:avLst/>
                                </a:prstGeom>
                                <a:ln w="9525" cap="flat" cmpd="sng">
                                  <a:solidFill>
                                    <a:srgbClr val="000000"/>
                                  </a:solidFill>
                                  <a:prstDash val="solid"/>
                                  <a:headEnd type="none" w="med" len="med"/>
                                  <a:tailEnd type="triangle" w="med" len="med"/>
                                </a:ln>
                              </wps:spPr>
                              <wps:bodyPr upright="1"/>
                            </wps:wsp>
                            <wps:wsp>
                              <wps:cNvPr id="106" name="文本框 106"/>
                              <wps:cNvSpPr txBox="1"/>
                              <wps:spPr>
                                <a:xfrm>
                                  <a:off x="8132" y="389625"/>
                                  <a:ext cx="1260" cy="468"/>
                                </a:xfrm>
                                <a:prstGeom prst="rect">
                                  <a:avLst/>
                                </a:prstGeom>
                                <a:gradFill rotWithShape="1">
                                  <a:gsLst>
                                    <a:gs pos="0">
                                      <a:srgbClr val="FF00FF"/>
                                    </a:gs>
                                    <a:gs pos="50000">
                                      <a:srgbClr val="FFFFFF"/>
                                    </a:gs>
                                    <a:gs pos="100000">
                                      <a:srgbClr val="FF00FF"/>
                                    </a:gs>
                                  </a:gsLst>
                                  <a:lin ang="5400000" scaled="1"/>
                                  <a:tileRect/>
                                </a:gra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出厂</w:t>
                                    </w:r>
                                  </w:p>
                                </w:txbxContent>
                              </wps:txbx>
                              <wps:bodyPr upright="1"/>
                            </wps:wsp>
                          </wpg:wgp>
                        </a:graphicData>
                      </a:graphic>
                    </wp:anchor>
                  </w:drawing>
                </mc:Choice>
                <mc:Fallback>
                  <w:pict>
                    <v:group id="_x0000_s1026" o:spid="_x0000_s1026" o:spt="203" style="position:absolute;left:0pt;margin-left:40.5pt;margin-top:13.4pt;height:384.15pt;width:371.7pt;mso-position-vertical-relative:page;mso-wrap-distance-bottom:0pt;mso-wrap-distance-top:0pt;z-index:251657216;mso-width-relative:page;mso-height-relative:page;" coordorigin="4530,382410" coordsize="8310,7683" o:gfxdata="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">
                      <o:lock v:ext="edit" aspectratio="f"/>
                      <v:shape id="_x0000_s1026" o:spid="_x0000_s1026" o:spt="202" type="#_x0000_t202" style="position:absolute;left:8159;top:382482;height:468;width:1260;" fillcolor="#FFFFFF" filled="t" stroked="t" coordsize="21600,21600" o:gfxdata="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dURMvQAA&#10;ANsAAAAPAAAAAAAAAAEAIAAAACIAAABkcnMvZG93bnJldi54bWxQSwECFAAUAAAACACHTuJAMy8F&#10;njsAAAA5AAAAEAAAAAAAAAABACAAAAAMAQAAZHJzL3NoYXBleG1sLnhtbFBLBQYAAAAABgAGAFsB&#10;AAC2AwAAAAA=&#10;">
                        <v:fill type="gradient" on="t" color2="#FFFF99" focus="100%" focussize="0,0" rotate="t"/>
                        <v:stroke color="#000000" joinstyle="miter"/>
                        <v:imagedata o:title=""/>
                        <o:lock v:ext="edit" aspectratio="f"/>
                        <v:textbox>
                          <w:txbxContent>
                            <w:p>
                              <w:pPr>
                                <w:jc w:val="center"/>
                                <w:rPr>
                                  <w:rFonts w:hint="default" w:eastAsia="宋体"/>
                                  <w:sz w:val="21"/>
                                  <w:szCs w:val="21"/>
                                  <w:lang w:val="en-US" w:eastAsia="zh-CN"/>
                                </w:rPr>
                              </w:pPr>
                              <w:r>
                                <w:rPr>
                                  <w:rFonts w:hint="eastAsia"/>
                                  <w:sz w:val="21"/>
                                  <w:szCs w:val="21"/>
                                  <w:lang w:val="en-US" w:eastAsia="zh-CN"/>
                                </w:rPr>
                                <w:t>料仓</w:t>
                              </w:r>
                            </w:p>
                          </w:txbxContent>
                        </v:textbox>
                      </v:shape>
                      <v:shape id="_x0000_s1026" o:spid="_x0000_s1026" o:spt="202" type="#_x0000_t202" style="position:absolute;left:9975;top:382410;height:468;width:851;" fillcolor="#FFFFFF" filled="t" stroked="t" coordsize="21600,21600" o:gfxdata="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9YqK68AAAA&#10;2wAAAA8AAAAAAAAAAQAgAAAAIgAAAGRycy9kb3ducmV2LnhtbFBLAQIUABQAAAAIAIdO4kAzLwWe&#10;OwAAADkAAAAQAAAAAAAAAAEAIAAAAAsBAABkcnMvc2hhcGV4bWwueG1sUEsFBgAAAAAGAAYAWwEA&#10;ALUDAAAAAA==&#10;">
                        <v:fill on="t" focussize="0,0"/>
                        <v:stroke color="#FF0000" joinstyle="miter" dashstyle="dash"/>
                        <v:imagedata o:title=""/>
                        <o:lock v:ext="edit" aspectratio="f"/>
                        <v:textbox>
                          <w:txbxContent>
                            <w:p>
                              <w:pPr>
                                <w:rPr>
                                  <w:rFonts w:hint="eastAsia"/>
                                  <w:sz w:val="21"/>
                                  <w:szCs w:val="21"/>
                                </w:rPr>
                              </w:pPr>
                              <w:r>
                                <w:rPr>
                                  <w:rFonts w:hint="eastAsia"/>
                                  <w:sz w:val="21"/>
                                  <w:szCs w:val="21"/>
                                </w:rPr>
                                <w:t>粉尘</w:t>
                              </w:r>
                            </w:p>
                          </w:txbxContent>
                        </v:textbox>
                      </v:shape>
                      <v:line id="_x0000_s1026" o:spid="_x0000_s1026" o:spt="20" style="position:absolute;left:9435;top:382677;height:0;width:540;" filled="f" stroked="t" coordsize="21600,21600" o:gfxdata="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JK10K8AAAA&#10;2wAAAA8AAAAAAAAAAQAgAAAAIgAAAGRycy9kb3ducmV2LnhtbFBLAQIUABQAAAAIAIdO4kAzLwWe&#10;OwAAADkAAAAQAAAAAAAAAAEAIAAAAAsBAABkcnMvc2hhcGV4bWwueG1sUEsFBgAAAAAGAAYAWwEA&#10;ALUDAAAAAA==&#10;">
                        <v:fill on="f" focussize="0,0"/>
                        <v:stroke color="#FF0000" joinstyle="round" dashstyle="dash" endarrow="block"/>
                        <v:imagedata o:title=""/>
                        <o:lock v:ext="edit" aspectratio="f"/>
                      </v:line>
                      <v:shape id="_x0000_s1026" o:spid="_x0000_s1026" o:spt="202" type="#_x0000_t202" style="position:absolute;left:8888;top:383003;height:398;width:750;" filled="f" stroked="f" coordsize="21600,21600" o:gfxdata="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vnmZ&#10;wAAAANsAAAAPAAAAAAAAAAEAIAAAACIAAABkcnMvZG93bnJldi54bWxQSwECFAAUAAAACACHTuJA&#10;My8FnjsAAAA5AAAAEAAAAAAAAAABACAAAAAPAQAAZHJzL3NoYXBleG1sLnhtbFBLBQYAAAAABgAG&#10;AFsBAAC5AwAAAAA=&#10;">
                        <v:fill on="f" focussize="0,0"/>
                        <v:stroke on="f" weight="1.25pt"/>
                        <v:imagedata o:title=""/>
                        <o:lock v:ext="edit" aspectratio="f"/>
                        <v:textbox>
                          <w:txbxContent>
                            <w:p>
                              <w:pPr>
                                <w:rPr>
                                  <w:rFonts w:hint="eastAsia" w:eastAsia="宋体"/>
                                  <w:sz w:val="21"/>
                                  <w:szCs w:val="21"/>
                                  <w:lang w:val="en-US" w:eastAsia="zh-CN"/>
                                </w:rPr>
                              </w:pPr>
                              <w:r>
                                <w:rPr>
                                  <w:rFonts w:hint="eastAsia"/>
                                  <w:sz w:val="21"/>
                                  <w:szCs w:val="21"/>
                                  <w:lang w:val="en-US" w:eastAsia="zh-CN"/>
                                </w:rPr>
                                <w:t>铲车</w:t>
                              </w:r>
                            </w:p>
                          </w:txbxContent>
                        </v:textbox>
                      </v:shape>
                      <v:line id="_x0000_s1026" o:spid="_x0000_s1026" o:spt="20" style="position:absolute;left:8818;top:382928;height:590;width:1;" filled="f" stroked="t" coordsize="21600,21600" o:gfxdata="UEsDBAoAAAAAAIdO4kAAAAAAAAAAAAAAAAAEAAAAZHJzL1BLAwQUAAAACACHTuJApAG6k78AAADb&#10;AAAADwAAAGRycy9kb3ducmV2LnhtbEWPT2vCQBTE7wW/w/KE3uomQmuI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QBup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9975;top:383521;height:468;width:1440;" fillcolor="#FFFFFF" filled="t" stroked="t" coordsize="21600,21600" o:gfxdata="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jrq28AAAA&#10;2wAAAA8AAAAAAAAAAQAgAAAAIgAAAGRycy9kb3ducmV2LnhtbFBLAQIUABQAAAAIAIdO4kAzLwWe&#10;OwAAADkAAAAQAAAAAAAAAAEAIAAAAAsBAABkcnMvc2hhcGV4bWwueG1sUEsFBgAAAAAGAAYAWwEA&#10;ALUDAAAAAA==&#10;">
                        <v:fill on="t" focussize="0,0"/>
                        <v:stroke color="#FF0000" joinstyle="miter" dashstyle="dash"/>
                        <v:imagedata o:title=""/>
                        <o:lock v:ext="edit" aspectratio="f"/>
                        <v:textbox>
                          <w:txbxContent>
                            <w:p>
                              <w:pPr>
                                <w:rPr>
                                  <w:rFonts w:hint="eastAsia"/>
                                  <w:sz w:val="21"/>
                                  <w:szCs w:val="21"/>
                                </w:rPr>
                              </w:pPr>
                              <w:r>
                                <w:rPr>
                                  <w:rFonts w:hint="eastAsia"/>
                                  <w:sz w:val="21"/>
                                  <w:szCs w:val="21"/>
                                </w:rPr>
                                <w:t>噪声、粉尘</w:t>
                              </w:r>
                            </w:p>
                          </w:txbxContent>
                        </v:textbox>
                      </v:shape>
                      <v:line id="_x0000_s1026" o:spid="_x0000_s1026" o:spt="20" style="position:absolute;left:9435;top:383758;height:0;width:540;" filled="f" stroked="t" coordsize="21600,21600" o:gfxdata="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1x0UG8AAAA&#10;2wAAAA8AAAAAAAAAAQAgAAAAIgAAAGRycy9kb3ducmV2LnhtbFBLAQIUABQAAAAIAIdO4kAzLwWe&#10;OwAAADkAAAAQAAAAAAAAAAEAIAAAAAsBAABkcnMvc2hhcGV4bWwueG1sUEsFBgAAAAAGAAYAWwEA&#10;ALUDAAAAAA==&#10;">
                        <v:fill on="f" focussize="0,0"/>
                        <v:stroke color="#FF0000" joinstyle="round" dashstyle="dash" endarrow="block"/>
                        <v:imagedata o:title=""/>
                        <o:lock v:ext="edit" aspectratio="f"/>
                      </v:line>
                      <v:shape id="_x0000_s1026" o:spid="_x0000_s1026" o:spt="202" type="#_x0000_t202" style="position:absolute;left:8175;top:383521;height:468;width:1260;" fillcolor="#FFFFFF" filled="t" stroked="t" coordsize="21600,21600" o:gfxdata="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0/t0bsAAADb&#10;AAAADwAAAAAAAAABACAAAAAiAAAAZHJzL2Rvd25yZXYueG1sUEsBAhQAFAAAAAgAh07iQDMvBZ47&#10;AAAAOQAAABAAAAAAAAAAAQAgAAAACgEAAGRycy9zaGFwZXhtbC54bWxQSwUGAAAAAAYABgBbAQAA&#10;tAMAAAAA&#10;">
                        <v:fill type="gradient" on="t" color2="#FFFF99" focus="100%" focussize="0,0" rotate="t"/>
                        <v:stroke color="#000000" joinstyle="miter"/>
                        <v:imagedata o:title=""/>
                        <o:lock v:ext="edit" aspectratio="f"/>
                        <v:textbox>
                          <w:txbxContent>
                            <w:p>
                              <w:pPr>
                                <w:jc w:val="center"/>
                                <w:rPr>
                                  <w:rFonts w:hint="eastAsia" w:eastAsia="宋体"/>
                                  <w:sz w:val="21"/>
                                  <w:szCs w:val="21"/>
                                  <w:lang w:val="en-US" w:eastAsia="zh-CN"/>
                                </w:rPr>
                              </w:pPr>
                              <w:r>
                                <w:rPr>
                                  <w:rFonts w:hint="eastAsia"/>
                                  <w:sz w:val="21"/>
                                  <w:szCs w:val="21"/>
                                </w:rPr>
                                <w:t>配料</w:t>
                              </w:r>
                              <w:r>
                                <w:rPr>
                                  <w:rFonts w:hint="eastAsia"/>
                                  <w:sz w:val="21"/>
                                  <w:szCs w:val="21"/>
                                  <w:lang w:val="en-US" w:eastAsia="zh-CN"/>
                                </w:rPr>
                                <w:t>仓</w:t>
                              </w:r>
                            </w:p>
                          </w:txbxContent>
                        </v:textbox>
                      </v:shape>
                      <v:line id="_x0000_s1026" o:spid="_x0000_s1026" o:spt="20" style="position:absolute;left:8788;top:384023;height:468;width:1;" filled="f" stroked="t" coordsize="21600,21600" o:gfxdata="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MsJ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9977;top:384568;height:468;width:1978;" fillcolor="#FFFFFF" filled="t" stroked="t" coordsize="21600,21600" o:gfxdata="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RPjZbUAAADbAAAADwAA&#10;AAAAAAABACAAAAAiAAAAZHJzL2Rvd25yZXYueG1sUEsBAhQAFAAAAAgAh07iQDMvBZ47AAAAOQAA&#10;ABAAAAAAAAAAAQAgAAAABAEAAGRycy9zaGFwZXhtbC54bWxQSwUGAAAAAAYABgBbAQAArgMAAAAA&#10;">
                        <v:fill on="t" focussize="0,0"/>
                        <v:stroke color="#FF0000" joinstyle="miter" dashstyle="dash"/>
                        <v:imagedata o:title=""/>
                        <o:lock v:ext="edit" aspectratio="f"/>
                        <v:textbox>
                          <w:txbxContent>
                            <w:p>
                              <w:pPr>
                                <w:rPr>
                                  <w:rFonts w:hint="eastAsia"/>
                                  <w:sz w:val="21"/>
                                  <w:szCs w:val="21"/>
                                </w:rPr>
                              </w:pPr>
                              <w:r>
                                <w:rPr>
                                  <w:rFonts w:hint="eastAsia"/>
                                  <w:sz w:val="21"/>
                                  <w:szCs w:val="21"/>
                                </w:rPr>
                                <w:t>噪声、固体废物</w:t>
                              </w:r>
                            </w:p>
                          </w:txbxContent>
                        </v:textbox>
                      </v:shape>
                      <v:line id="_x0000_s1026" o:spid="_x0000_s1026" o:spt="20" style="position:absolute;left:9435;top:384801;height:0;width:540;" filled="f" stroked="t" coordsize="21600,21600" o:gfxdata="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BnIm8AAAA&#10;2wAAAA8AAAAAAAAAAQAgAAAAIgAAAGRycy9kb3ducmV2LnhtbFBLAQIUABQAAAAIAIdO4kAzLwWe&#10;OwAAADkAAAAQAAAAAAAAAAEAIAAAAAsBAABkcnMvc2hhcGV4bWwueG1sUEsFBgAAAAAGAAYAWwEA&#10;ALUDAAAAAA==&#10;">
                        <v:fill on="f" focussize="0,0"/>
                        <v:stroke color="#FF0000" joinstyle="round" dashstyle="dash" endarrow="block"/>
                        <v:imagedata o:title=""/>
                        <o:lock v:ext="edit" aspectratio="f"/>
                      </v:line>
                      <v:shape id="_x0000_s1026" o:spid="_x0000_s1026" o:spt="202" type="#_x0000_t202" style="position:absolute;left:8175;top:384534;height:468;width:1260;" fillcolor="#FFFFFF" filled="t" stroked="t" coordsize="21600,21600" o:gfxdata="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cqocvQAA&#10;ANsAAAAPAAAAAAAAAAEAIAAAACIAAABkcnMvZG93bnJldi54bWxQSwECFAAUAAAACACHTuJAMy8F&#10;njsAAAA5AAAAEAAAAAAAAAABACAAAAAMAQAAZHJzL3NoYXBleG1sLnhtbFBLBQYAAAAABgAGAFsB&#10;AAC2AwAAAAA=&#10;">
                        <v:fill type="gradient" on="t" color2="#FFFF99" focus="100%" focussize="0,0" rotate="t"/>
                        <v:stroke color="#000000" joinstyle="miter"/>
                        <v:imagedata o:title=""/>
                        <o:lock v:ext="edit" aspectratio="f"/>
                        <v:textbox>
                          <w:txbxContent>
                            <w:p>
                              <w:pPr>
                                <w:jc w:val="center"/>
                                <w:rPr>
                                  <w:rFonts w:hint="eastAsia"/>
                                  <w:sz w:val="21"/>
                                  <w:szCs w:val="21"/>
                                </w:rPr>
                              </w:pPr>
                              <w:r>
                                <w:rPr>
                                  <w:rFonts w:hint="eastAsia"/>
                                  <w:sz w:val="21"/>
                                  <w:szCs w:val="21"/>
                                </w:rPr>
                                <w:t>皮带输送</w:t>
                              </w:r>
                            </w:p>
                          </w:txbxContent>
                        </v:textbox>
                      </v:shape>
                      <v:shape id="_x0000_s1026" o:spid="_x0000_s1026" o:spt="202" type="#_x0000_t202" style="position:absolute;left:4530;top:385320;height:961;width:540;" fillcolor="#FFFFFF" filled="t" stroked="t" coordsize="21600,21600" o:gfxdata="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BfRK8AAAA&#10;2wAAAA8AAAAAAAAAAQAgAAAAIgAAAGRycy9kb3ducmV2LnhtbFBLAQIUABQAAAAIAIdO4kAzLwWe&#10;OwAAADkAAAAQAAAAAAAAAAEAIAAAAAsBAABkcnMvc2hhcGV4bWwueG1sUEsFBgAAAAAGAAYAWwEA&#10;ALUDAAAAAA==&#10;">
                        <v:fill on="t" focussize="0,0"/>
                        <v:stroke color="#FF0000" joinstyle="miter" dashstyle="dash"/>
                        <v:imagedata o:title=""/>
                        <o:lock v:ext="edit" aspectratio="f"/>
                        <v:textbox>
                          <w:txbxContent>
                            <w:p>
                              <w:pPr>
                                <w:rPr>
                                  <w:rFonts w:hint="eastAsia"/>
                                  <w:sz w:val="21"/>
                                  <w:szCs w:val="21"/>
                                </w:rPr>
                              </w:pPr>
                              <w:r>
                                <w:rPr>
                                  <w:rFonts w:hint="eastAsia"/>
                                  <w:sz w:val="21"/>
                                  <w:szCs w:val="21"/>
                                </w:rPr>
                                <w:t>粉尘</w:t>
                              </w:r>
                            </w:p>
                          </w:txbxContent>
                        </v:textbox>
                      </v:shape>
                      <v:shape id="_x0000_s1026" o:spid="_x0000_s1026" o:spt="202" type="#_x0000_t202" style="position:absolute;left:10277;top:385472;height:468;width:1260;" fillcolor="#00FF00" filled="t" stroked="t" coordsize="21600,21600" o:gfxdata="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T+O8vQAA&#10;ANsAAAAPAAAAAAAAAAEAIAAAACIAAABkcnMvZG93bnJldi54bWxQSwECFAAUAAAACACHTuJAMy8F&#10;njsAAAA5AAAAEAAAAAAAAAABACAAAAAMAQAAZHJzL3NoYXBleG1sLnhtbFBLBQYAAAAABgAGAFsB&#10;AAC2AwAAAAA=&#10;">
                        <v:fill type="gradient" on="t" color2="#FFFFFF" opacity="64225f" focus="50%" focussize="0,0" rotate="t"/>
                        <v:stroke color="#000000" joinstyle="miter"/>
                        <v:imagedata o:title=""/>
                        <o:lock v:ext="edit" aspectratio="f"/>
                        <v:textbox>
                          <w:txbxContent>
                            <w:p>
                              <w:pPr>
                                <w:jc w:val="center"/>
                                <w:rPr>
                                  <w:rFonts w:hint="eastAsia"/>
                                  <w:sz w:val="21"/>
                                  <w:szCs w:val="21"/>
                                </w:rPr>
                              </w:pPr>
                              <w:r>
                                <w:rPr>
                                  <w:rFonts w:hint="eastAsia"/>
                                  <w:sz w:val="21"/>
                                  <w:szCs w:val="21"/>
                                </w:rPr>
                                <w:t>水</w:t>
                              </w:r>
                            </w:p>
                          </w:txbxContent>
                        </v:textbox>
                      </v:shape>
                      <v:shape id="_x0000_s1026" o:spid="_x0000_s1026" o:spt="202" type="#_x0000_t202" style="position:absolute;left:5608;top:385468;height:468;width:1260;" fillcolor="#00CCFF" filled="t" stroked="t" coordsize="21600,21600" o:gfxdata="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aC417sAAADb&#10;AAAADwAAAAAAAAABACAAAAAiAAAAZHJzL2Rvd25yZXYueG1sUEsBAhQAFAAAAAgAh07iQDMvBZ47&#10;AAAAOQAAABAAAAAAAAAAAQAgAAAACgEAAGRycy9zaGFwZXhtbC54bWxQSwUGAAAAAAYABgBbAQAA&#10;tAMAAAAA&#10;">
                        <v:fill type="gradient" on="t" color2="#FFFFFF" focus="50%" focussize="0,0" rotate="t"/>
                        <v:stroke color="#000000" joinstyle="miter"/>
                        <v:imagedata o:title=""/>
                        <o:lock v:ext="edit" aspectratio="f"/>
                        <v:textbox>
                          <w:txbxContent>
                            <w:p>
                              <w:pPr>
                                <w:jc w:val="center"/>
                                <w:rPr>
                                  <w:rFonts w:hint="eastAsia"/>
                                  <w:sz w:val="21"/>
                                  <w:szCs w:val="21"/>
                                </w:rPr>
                              </w:pPr>
                              <w:r>
                                <w:rPr>
                                  <w:rFonts w:hint="eastAsia"/>
                                  <w:sz w:val="21"/>
                                  <w:szCs w:val="21"/>
                                  <w:lang w:val="en-US" w:eastAsia="zh-CN"/>
                                </w:rPr>
                                <w:t>水泥</w:t>
                              </w:r>
                              <w:r>
                                <w:rPr>
                                  <w:rFonts w:hint="eastAsia"/>
                                  <w:sz w:val="21"/>
                                  <w:szCs w:val="21"/>
                                </w:rPr>
                                <w:t>筒仓</w:t>
                              </w:r>
                            </w:p>
                          </w:txbxContent>
                        </v:textbox>
                      </v:shape>
                      <v:line id="_x0000_s1026" o:spid="_x0000_s1026" o:spt="20" style="position:absolute;left:8788;top:385051;height:2597;width:1;" filled="f" stroked="t" coordsize="21600,21600" o:gfxdata="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EGVM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5053;top:385739;flip:x;height:0;width:540;" filled="f" stroked="t" coordsize="21600,21600" o:gfxdata="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SR14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0903;top:385987;height:468;width:1;" filled="f" stroked="t" coordsize="21600,21600" o:gfxdata="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9VlK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6195;top:385985;height:468;width:1;" filled="f" stroked="t" coordsize="21600,21600" o:gfxdata="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JnAs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12075;top:386442;height:502;width:765;" fillcolor="#FFFFFF" filled="t" stroked="t" coordsize="21600,21600" o:gfxdata="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DKdbi5AAAA2wAA&#10;AA8AAAAAAAAAAQAgAAAAIgAAAGRycy9kb3ducmV2LnhtbFBLAQIUABQAAAAIAIdO4kAzLwWeOwAA&#10;ADkAAAAQAAAAAAAAAAEAIAAAAAgBAABkcnMvc2hhcGV4bWwueG1sUEsFBgAAAAAGAAYAWwEAALID&#10;AAAAAA==&#10;">
                        <v:fill on="t" focussize="0,0"/>
                        <v:stroke color="#FF0000" joinstyle="miter" dashstyle="dash"/>
                        <v:imagedata o:title=""/>
                        <o:lock v:ext="edit" aspectratio="f"/>
                        <v:textbox>
                          <w:txbxContent>
                            <w:p>
                              <w:pPr>
                                <w:rPr>
                                  <w:rFonts w:hint="eastAsia"/>
                                  <w:sz w:val="21"/>
                                  <w:szCs w:val="21"/>
                                </w:rPr>
                              </w:pPr>
                              <w:r>
                                <w:rPr>
                                  <w:rFonts w:hint="eastAsia"/>
                                  <w:sz w:val="21"/>
                                  <w:szCs w:val="21"/>
                                </w:rPr>
                                <w:t>噪声</w:t>
                              </w:r>
                            </w:p>
                            <w:p>
                              <w:pPr>
                                <w:rPr>
                                  <w:rFonts w:hint="eastAsia"/>
                                  <w:sz w:val="21"/>
                                  <w:szCs w:val="21"/>
                                </w:rPr>
                              </w:pPr>
                            </w:p>
                          </w:txbxContent>
                        </v:textbox>
                      </v:shape>
                      <v:shape id="_x0000_s1026" o:spid="_x0000_s1026" o:spt="202" type="#_x0000_t202" style="position:absolute;left:10290;top:386485;height:468;width:1260;" fillcolor="#00FF00" filled="t" stroked="t" coordsize="21600,21600" o:gfxdata="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zh1vm8AAAA&#10;2wAAAA8AAAAAAAAAAQAgAAAAIgAAAGRycy9kb3ducmV2LnhtbFBLAQIUABQAAAAIAIdO4kAzLwWe&#10;OwAAADkAAAAQAAAAAAAAAAEAIAAAAAsBAABkcnMvc2hhcGV4bWwueG1sUEsFBgAAAAAGAAYAWwEA&#10;ALUDAAAAAA==&#10;">
                        <v:fill type="gradient" on="t" color2="#FFFFFF" opacity="64225f" focus="50%" focussize="0,0" rotate="t"/>
                        <v:stroke color="#000000" joinstyle="miter"/>
                        <v:imagedata o:title=""/>
                        <o:lock v:ext="edit" aspectratio="f"/>
                        <v:textbox>
                          <w:txbxContent>
                            <w:p>
                              <w:pPr>
                                <w:jc w:val="center"/>
                                <w:rPr>
                                  <w:rFonts w:hint="eastAsia"/>
                                  <w:sz w:val="21"/>
                                  <w:szCs w:val="21"/>
                                </w:rPr>
                              </w:pPr>
                              <w:r>
                                <w:rPr>
                                  <w:rFonts w:hint="eastAsia"/>
                                  <w:sz w:val="21"/>
                                  <w:szCs w:val="21"/>
                                </w:rPr>
                                <w:t>泵送、计量</w:t>
                              </w:r>
                            </w:p>
                          </w:txbxContent>
                        </v:textbox>
                      </v:shape>
                      <v:shape id="_x0000_s1026" o:spid="_x0000_s1026" o:spt="202" type="#_x0000_t202" style="position:absolute;left:11310;top:386036;height:468;width:900;" filled="f" stroked="f" coordsize="21600,21600" o:gfxdata="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f6+Q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sz w:val="21"/>
                                  <w:szCs w:val="21"/>
                                </w:rPr>
                              </w:pPr>
                            </w:p>
                          </w:txbxContent>
                        </v:textbox>
                      </v:shape>
                      <v:shape id="_x0000_s1026" o:spid="_x0000_s1026" o:spt="202" type="#_x0000_t202" style="position:absolute;left:5655;top:386453;height:468;width:1260;" fillcolor="#00CCFF" filled="t" stroked="t" coordsize="21600,21600" o:gfxdata="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3BPlvQAA&#10;ANsAAAAPAAAAAAAAAAEAIAAAACIAAABkcnMvZG93bnJldi54bWxQSwECFAAUAAAACACHTuJAMy8F&#10;njsAAAA5AAAAEAAAAAAAAAABACAAAAAMAQAAZHJzL3NoYXBleG1sLnhtbFBLBQYAAAAABgAGAFsB&#10;AAC2AwAAAAA=&#10;">
                        <v:fill type="gradient" on="t" color2="#FFFFFF" focus="50%" focussize="0,0" rotate="t"/>
                        <v:stroke color="#000000" joinstyle="miter"/>
                        <v:imagedata o:title=""/>
                        <o:lock v:ext="edit" aspectratio="f"/>
                        <v:textbox>
                          <w:txbxContent>
                            <w:p>
                              <w:pPr>
                                <w:jc w:val="center"/>
                                <w:rPr>
                                  <w:rFonts w:hint="eastAsia"/>
                                  <w:sz w:val="21"/>
                                  <w:szCs w:val="21"/>
                                </w:rPr>
                              </w:pPr>
                              <w:r>
                                <w:rPr>
                                  <w:rFonts w:hint="eastAsia"/>
                                  <w:sz w:val="21"/>
                                  <w:szCs w:val="21"/>
                                </w:rPr>
                                <w:t>计量</w:t>
                              </w:r>
                            </w:p>
                          </w:txbxContent>
                        </v:textbox>
                      </v:shape>
                      <v:line id="_x0000_s1026" o:spid="_x0000_s1026" o:spt="20" style="position:absolute;left:10939;top:386962;height:468;width:1;" filled="f" stroked="t" coordsize="21600,21600" o:gfxdata="UEsDBAoAAAAAAIdO4kAAAAAAAAAAAAAAAAAEAAAAZHJzL1BLAwQUAAAACACHTuJAe0H58r8AAADb&#10;AAAADwAAAGRycy9kb3ducmV2LnhtbEWPT2vCQBTE7wW/w/KE3uomUkqM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tB+f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1567;top:386714;height:0;width:540;" filled="f" stroked="t" coordsize="21600,21600" o:gfxdata="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4wxXvQAA&#10;ANsAAAAPAAAAAAAAAAEAIAAAACIAAABkcnMvZG93bnJldi54bWxQSwECFAAUAAAACACHTuJAMy8F&#10;njsAAAA5AAAAEAAAAAAAAAABACAAAAAMAQAAZHJzL3NoYXBleG1sLnhtbFBLBQYAAAAABgAGAFsB&#10;AAC2AwAAAAA=&#10;">
                        <v:fill on="f" focussize="0,0"/>
                        <v:stroke color="#FF0000" joinstyle="round" dashstyle="dash" endarrow="block"/>
                        <v:imagedata o:title=""/>
                        <o:lock v:ext="edit" aspectratio="f"/>
                      </v:line>
                      <v:line id="_x0000_s1026" o:spid="_x0000_s1026" o:spt="20" style="position:absolute;left:6193;top:386923;height:468;width:1;" filled="f" stroked="t" coordsize="21600,21600" o:gfxdata="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CH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11775;top:387273;height:1045;width:1065;" fillcolor="#FFFFFF" filled="t" stroked="t" coordsize="21600,21600" o:gfxdata="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j7cy8AAAA&#10;2wAAAA8AAAAAAAAAAQAgAAAAIgAAAGRycy9kb3ducmV2LnhtbFBLAQIUABQAAAAIAIdO4kAzLwWe&#10;OwAAADkAAAAQAAAAAAAAAAEAIAAAAAsBAABkcnMvc2hhcGV4bWwueG1sUEsFBgAAAAAGAAYAWwEA&#10;ALUDAAAAAA==&#10;">
                        <v:fill on="t" focussize="0,0"/>
                        <v:stroke color="#FF0000" joinstyle="miter" dashstyle="dash"/>
                        <v:imagedata o:title=""/>
                        <o:lock v:ext="edit" aspectratio="f"/>
                        <v:textbox>
                          <w:txbxContent>
                            <w:p>
                              <w:pPr>
                                <w:rPr>
                                  <w:rFonts w:hint="eastAsia"/>
                                  <w:sz w:val="21"/>
                                  <w:szCs w:val="21"/>
                                </w:rPr>
                              </w:pPr>
                              <w:r>
                                <w:rPr>
                                  <w:rFonts w:hint="eastAsia"/>
                                  <w:sz w:val="21"/>
                                  <w:szCs w:val="21"/>
                                </w:rPr>
                                <w:t>噪声、粉尘、固体废物</w:t>
                              </w:r>
                            </w:p>
                          </w:txbxContent>
                        </v:textbox>
                      </v:shape>
                      <v:shape id="_x0000_s1026" o:spid="_x0000_s1026" o:spt="202" type="#_x0000_t202" style="position:absolute;left:6013;top:387424;height:468;width:5220;" fillcolor="#FF00FF" filled="t" stroked="t" coordsize="21600,21600" o:gfxdata="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YJvUugAAANsA&#10;AAAPAAAAAAAAAAEAIAAAACIAAABkcnMvZG93bnJldi54bWxQSwECFAAUAAAACACHTuJAMy8FnjsA&#10;AAA5AAAAEAAAAAAAAAABACAAAAAJAQAAZHJzL3NoYXBleG1sLnhtbFBLBQYAAAAABgAGAFsBAACz&#10;AwAAAAA=&#10;">
                        <v:fill type="gradient" on="t" color2="#FFFFFF" focus="50%" focussize="0,0" rotate="t"/>
                        <v:stroke color="#000000" joinstyle="miter"/>
                        <v:imagedata o:title=""/>
                        <o:lock v:ext="edit" aspectratio="f"/>
                        <v:textbox>
                          <w:txbxContent>
                            <w:p>
                              <w:pPr>
                                <w:jc w:val="center"/>
                                <w:rPr>
                                  <w:rFonts w:hint="eastAsia"/>
                                  <w:sz w:val="21"/>
                                  <w:szCs w:val="21"/>
                                </w:rPr>
                              </w:pPr>
                              <w:r>
                                <w:rPr>
                                  <w:rFonts w:hint="eastAsia"/>
                                  <w:sz w:val="21"/>
                                  <w:szCs w:val="21"/>
                                </w:rPr>
                                <w:t>搅拌主机</w:t>
                              </w:r>
                            </w:p>
                          </w:txbxContent>
                        </v:textbox>
                      </v:shape>
                      <v:line id="_x0000_s1026" o:spid="_x0000_s1026" o:spt="20" style="position:absolute;left:11235;top:387669;height:0;width:540;" filled="f" stroked="t" coordsize="21600,21600" o:gfxdata="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OuBlK8AAAA&#10;2wAAAA8AAAAAAAAAAQAgAAAAIgAAAGRycy9kb3ducmV2LnhtbFBLAQIUABQAAAAIAIdO4kAzLwWe&#10;OwAAADkAAAAQAAAAAAAAAAEAIAAAAAsBAABkcnMvc2hhcGV4bWwueG1sUEsFBgAAAAAGAAYAWwEA&#10;ALUDAAAAAA==&#10;">
                        <v:fill on="f" focussize="0,0"/>
                        <v:stroke color="#FF0000" joinstyle="round" dashstyle="dash" endarrow="block"/>
                        <v:imagedata o:title=""/>
                        <o:lock v:ext="edit" aspectratio="f"/>
                      </v:line>
                      <v:shape id="_x0000_s1026" o:spid="_x0000_s1026" o:spt="202" type="#_x0000_t202" style="position:absolute;left:8807;top:388002;height:468;width:1078;" filled="f" stroked="f" coordsize="21600,21600" o:gfxdata="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Dhht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eastAsia"/>
                                  <w:sz w:val="21"/>
                                  <w:szCs w:val="21"/>
                                </w:rPr>
                              </w:pPr>
                              <w:r>
                                <w:rPr>
                                  <w:rFonts w:hint="eastAsia"/>
                                  <w:sz w:val="21"/>
                                  <w:szCs w:val="21"/>
                                </w:rPr>
                                <w:t>卸料门</w:t>
                              </w:r>
                            </w:p>
                          </w:txbxContent>
                        </v:textbox>
                      </v:shape>
                      <v:line id="_x0000_s1026" o:spid="_x0000_s1026" o:spt="20" style="position:absolute;left:8715;top:387908;height:624;width:1;" filled="f" stroked="t" coordsize="21600,21600" o:gfxdata="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8Vst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10155;top:388389;height:780;width:900;" fillcolor="#FFFFFF" filled="t" stroked="t" coordsize="21600,21600" o:gfxdata="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zegJa5AAAA3AAA&#10;AA8AAAAAAAAAAQAgAAAAIgAAAGRycy9kb3ducmV2LnhtbFBLAQIUABQAAAAIAIdO4kAzLwWeOwAA&#10;ADkAAAAQAAAAAAAAAAEAIAAAAAgBAABkcnMvc2hhcGV4bWwueG1sUEsFBgAAAAAGAAYAWwEAALID&#10;AAAAAA==&#10;">
                        <v:fill on="t" focussize="0,0"/>
                        <v:stroke color="#FF0000" joinstyle="miter" dashstyle="dash"/>
                        <v:imagedata o:title=""/>
                        <o:lock v:ext="edit" aspectratio="f"/>
                        <v:textbox>
                          <w:txbxContent>
                            <w:p>
                              <w:pPr>
                                <w:rPr>
                                  <w:rFonts w:hint="eastAsia"/>
                                  <w:sz w:val="21"/>
                                  <w:szCs w:val="21"/>
                                </w:rPr>
                              </w:pPr>
                              <w:r>
                                <w:rPr>
                                  <w:rFonts w:hint="eastAsia"/>
                                  <w:sz w:val="21"/>
                                  <w:szCs w:val="21"/>
                                </w:rPr>
                                <w:t>粉尘</w:t>
                              </w:r>
                            </w:p>
                          </w:txbxContent>
                        </v:textbox>
                      </v:shape>
                      <v:shape id="_x0000_s1026" o:spid="_x0000_s1026" o:spt="202" type="#_x0000_t202" style="position:absolute;left:7920;top:388526;height:468;width:1622;" fillcolor="#FF00FF" filled="t" stroked="t" coordsize="21600,21600" o:gfxdata="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REjEbsAAADc&#10;AAAADwAAAAAAAAABACAAAAAiAAAAZHJzL2Rvd25yZXYueG1sUEsBAhQAFAAAAAgAh07iQDMvBZ47&#10;AAAAOQAAABAAAAAAAAAAAQAgAAAACgEAAGRycy9zaGFwZXhtbC54bWxQSwUGAAAAAAYABgBbAQAA&#10;tAMAAAAA&#10;">
                        <v:fill type="gradient" on="t" color2="#FFFFFF" focus="50%" focussize="0,0" rotate="t"/>
                        <v:stroke color="#000000" joinstyle="miter"/>
                        <v:imagedata o:title=""/>
                        <o:lock v:ext="edit" aspectratio="f"/>
                        <v:textbox>
                          <w:txbxContent>
                            <w:p>
                              <w:pPr>
                                <w:jc w:val="center"/>
                                <w:rPr>
                                  <w:rFonts w:hint="default" w:eastAsia="宋体"/>
                                  <w:sz w:val="21"/>
                                  <w:szCs w:val="21"/>
                                  <w:lang w:val="en-US" w:eastAsia="zh-CN"/>
                                </w:rPr>
                              </w:pPr>
                              <w:r>
                                <w:rPr>
                                  <w:rFonts w:hint="eastAsia"/>
                                  <w:sz w:val="21"/>
                                  <w:szCs w:val="21"/>
                                  <w:lang w:val="en-US" w:eastAsia="zh-CN"/>
                                </w:rPr>
                                <w:t>成品料仓</w:t>
                              </w:r>
                            </w:p>
                          </w:txbxContent>
                        </v:textbox>
                      </v:shape>
                      <v:line id="_x0000_s1026" o:spid="_x0000_s1026" o:spt="20" style="position:absolute;left:9570;top:388731;height:0;width:540;" filled="f" stroked="t" coordsize="21600,21600" o:gfxdata="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scHHugAAANwA&#10;AAAPAAAAAAAAAAEAIAAAACIAAABkcnMvZG93bnJldi54bWxQSwECFAAUAAAACACHTuJAMy8FnjsA&#10;AAA5AAAAEAAAAAAAAAABACAAAAAJAQAAZHJzL3NoYXBleG1sLnhtbFBLBQYAAAAABgAGAFsBAACz&#10;AwAAAAA=&#10;">
                        <v:fill on="f" focussize="0,0"/>
                        <v:stroke color="#FF0000" joinstyle="round" dashstyle="dash" endarrow="block"/>
                        <v:imagedata o:title=""/>
                        <o:lock v:ext="edit" aspectratio="f"/>
                      </v:line>
                      <v:line id="_x0000_s1026" o:spid="_x0000_s1026" o:spt="20" style="position:absolute;left:8749;top:388999;height:624;width:1;" filled="f" stroked="t" coordsize="21600,21600" o:gfxdata="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yl0u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8132;top:389625;height:468;width:1260;" fillcolor="#FF00FF" filled="t" stroked="t" coordsize="21600,21600" o:gfxdata="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WaAibsAAADc&#10;AAAADwAAAAAAAAABACAAAAAiAAAAZHJzL2Rvd25yZXYueG1sUEsBAhQAFAAAAAgAh07iQDMvBZ47&#10;AAAAOQAAABAAAAAAAAAAAQAgAAAACgEAAGRycy9zaGFwZXhtbC54bWxQSwUGAAAAAAYABgBbAQAA&#10;tAMAAAAA&#10;">
                        <v:fill type="gradient" on="t" color2="#FFFFFF" focus="50%" focussize="0,0" rotate="t"/>
                        <v:stroke color="#000000" joinstyle="miter"/>
                        <v:imagedata o:title=""/>
                        <o:lock v:ext="edit" aspectratio="f"/>
                        <v:textbox>
                          <w:txbxContent>
                            <w:p>
                              <w:pPr>
                                <w:jc w:val="center"/>
                                <w:rPr>
                                  <w:rFonts w:hint="eastAsia"/>
                                  <w:sz w:val="21"/>
                                  <w:szCs w:val="21"/>
                                </w:rPr>
                              </w:pPr>
                              <w:r>
                                <w:rPr>
                                  <w:rFonts w:hint="eastAsia"/>
                                  <w:sz w:val="21"/>
                                  <w:szCs w:val="21"/>
                                </w:rPr>
                                <w:t>出厂</w:t>
                              </w:r>
                            </w:p>
                          </w:txbxContent>
                        </v:textbox>
                      </v:shape>
                      <w10:wrap type="topAndBottom"/>
                    </v:group>
                  </w:pict>
                </mc:Fallback>
              </mc:AlternateContent>
            </w:r>
          </w:p>
          <w:p>
            <w:pPr>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 xml:space="preserve"> </w:t>
            </w:r>
          </w:p>
          <w:p>
            <w:pPr>
              <w:ind w:firstLine="480" w:firstLineChars="200"/>
              <w:jc w:val="center"/>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水稳站工艺流程图</w:t>
            </w:r>
          </w:p>
          <w:p>
            <w:pPr>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工艺流程简述：</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将</w:t>
            </w:r>
            <w:r>
              <w:rPr>
                <w:rFonts w:hint="default" w:ascii="Times New Roman" w:hAnsi="Times New Roman" w:eastAsia="宋体" w:cs="Times New Roman"/>
                <w:bCs/>
                <w:color w:val="auto"/>
                <w:sz w:val="24"/>
                <w:lang w:val="en-US" w:eastAsia="zh-CN"/>
              </w:rPr>
              <w:t>在成品库暂存的已破碎筛分好的成品料</w:t>
            </w:r>
            <w:r>
              <w:rPr>
                <w:rFonts w:hint="default" w:ascii="Times New Roman" w:hAnsi="Times New Roman" w:eastAsia="宋体" w:cs="Times New Roman"/>
                <w:bCs/>
                <w:color w:val="auto"/>
                <w:sz w:val="24"/>
              </w:rPr>
              <w:t>（包括</w:t>
            </w:r>
            <w:r>
              <w:rPr>
                <w:rFonts w:hint="default" w:ascii="Times New Roman" w:hAnsi="Times New Roman" w:eastAsia="宋体" w:cs="Times New Roman"/>
                <w:bCs/>
                <w:color w:val="auto"/>
                <w:sz w:val="24"/>
                <w:lang w:val="en-US" w:eastAsia="zh-CN"/>
              </w:rPr>
              <w:t>中</w:t>
            </w:r>
            <w:r>
              <w:rPr>
                <w:rFonts w:hint="default" w:ascii="Times New Roman" w:hAnsi="Times New Roman" w:eastAsia="宋体" w:cs="Times New Roman"/>
                <w:bCs/>
                <w:color w:val="auto"/>
                <w:sz w:val="24"/>
              </w:rPr>
              <w:t>砂</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lang w:val="en-US" w:eastAsia="zh-CN"/>
              </w:rPr>
              <w:t>粒径0.02~0.5cm</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、碎石（粒径</w:t>
            </w:r>
            <w:r>
              <w:rPr>
                <w:rFonts w:hint="default" w:ascii="Times New Roman" w:hAnsi="Times New Roman" w:eastAsia="宋体" w:cs="Times New Roman"/>
                <w:bCs/>
                <w:color w:val="auto"/>
                <w:sz w:val="24"/>
                <w:lang w:val="en-US" w:eastAsia="zh-CN"/>
              </w:rPr>
              <w:t>0.5~1cm、1~2</w:t>
            </w:r>
            <w:r>
              <w:rPr>
                <w:rFonts w:hint="default" w:ascii="Times New Roman" w:hAnsi="Times New Roman" w:eastAsia="宋体" w:cs="Times New Roman"/>
                <w:bCs/>
                <w:color w:val="auto"/>
                <w:sz w:val="24"/>
              </w:rPr>
              <w:t>cm</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lang w:val="en-US" w:eastAsia="zh-CN"/>
              </w:rPr>
              <w:t>2~3cm</w:t>
            </w:r>
            <w:r>
              <w:rPr>
                <w:rFonts w:hint="default" w:ascii="Times New Roman" w:hAnsi="Times New Roman" w:eastAsia="宋体" w:cs="Times New Roman"/>
                <w:bCs/>
                <w:color w:val="auto"/>
                <w:sz w:val="24"/>
              </w:rPr>
              <w:t>））由</w:t>
            </w:r>
            <w:r>
              <w:rPr>
                <w:rFonts w:hint="default" w:ascii="Times New Roman" w:hAnsi="Times New Roman" w:eastAsia="宋体" w:cs="Times New Roman"/>
                <w:bCs/>
                <w:color w:val="auto"/>
                <w:sz w:val="24"/>
                <w:lang w:val="en-US" w:eastAsia="zh-CN"/>
              </w:rPr>
              <w:t>铲车</w:t>
            </w:r>
            <w:r>
              <w:rPr>
                <w:rFonts w:hint="default" w:ascii="Times New Roman" w:hAnsi="Times New Roman" w:eastAsia="宋体" w:cs="Times New Roman"/>
                <w:bCs/>
                <w:color w:val="auto"/>
                <w:sz w:val="24"/>
              </w:rPr>
              <w:t>拉运至</w:t>
            </w:r>
            <w:r>
              <w:rPr>
                <w:rFonts w:hint="default" w:ascii="Times New Roman" w:hAnsi="Times New Roman" w:eastAsia="宋体" w:cs="Times New Roman"/>
                <w:bCs/>
                <w:color w:val="auto"/>
                <w:sz w:val="24"/>
                <w:lang w:val="en-US" w:eastAsia="zh-CN"/>
              </w:rPr>
              <w:t>料仓进行配料，共设有4个料仓，</w:t>
            </w:r>
            <w:r>
              <w:rPr>
                <w:rFonts w:hint="default" w:ascii="Times New Roman" w:hAnsi="Times New Roman" w:eastAsia="宋体" w:cs="Times New Roman"/>
                <w:bCs/>
                <w:color w:val="auto"/>
                <w:sz w:val="24"/>
              </w:rPr>
              <w:t>分别储存不同粒径的</w:t>
            </w:r>
            <w:r>
              <w:rPr>
                <w:rFonts w:hint="default" w:ascii="Times New Roman" w:hAnsi="Times New Roman" w:eastAsia="宋体" w:cs="Times New Roman"/>
                <w:bCs/>
                <w:color w:val="auto"/>
                <w:sz w:val="24"/>
                <w:lang w:val="en-US" w:eastAsia="zh-CN"/>
              </w:rPr>
              <w:t>中</w:t>
            </w:r>
            <w:r>
              <w:rPr>
                <w:rFonts w:hint="default" w:ascii="Times New Roman" w:hAnsi="Times New Roman" w:eastAsia="宋体" w:cs="Times New Roman"/>
                <w:bCs/>
                <w:color w:val="auto"/>
                <w:sz w:val="24"/>
              </w:rPr>
              <w:t>砂和碎石；水泥由水泥罐车拉运至项目水泥筒仓，利用罐车自带的空压设备将散装水泥泵入水泥筒仓</w:t>
            </w:r>
            <w:r>
              <w:rPr>
                <w:rFonts w:hint="default" w:ascii="Times New Roman" w:hAnsi="Times New Roman" w:eastAsia="宋体" w:cs="Times New Roman"/>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bCs/>
                <w:color w:val="auto"/>
                <w:sz w:val="24"/>
                <w:lang w:val="en-US" w:eastAsia="zh-CN"/>
              </w:rPr>
              <w:t>2）本项目设有操作室，配料采用计算机控制计量，实现自动控制投料。</w:t>
            </w:r>
            <w:r>
              <w:rPr>
                <w:rFonts w:hint="default" w:ascii="Times New Roman" w:hAnsi="Times New Roman" w:eastAsia="宋体" w:cs="Times New Roman"/>
                <w:color w:val="auto"/>
                <w:sz w:val="24"/>
              </w:rPr>
              <w:t>配好的骨料(砂子、石子)经水平皮带机送到主楼上部的骨料中间仓计量</w:t>
            </w:r>
            <w:r>
              <w:rPr>
                <w:rFonts w:hint="default" w:ascii="Times New Roman" w:hAnsi="Times New Roman" w:eastAsia="宋体" w:cs="Times New Roman"/>
                <w:color w:val="auto"/>
                <w:sz w:val="24"/>
                <w:lang w:val="en-US" w:eastAsia="zh-CN"/>
              </w:rPr>
              <w:t>后倒入搅拌机</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同时，</w:t>
            </w:r>
            <w:r>
              <w:rPr>
                <w:rFonts w:hint="default" w:ascii="Times New Roman" w:hAnsi="Times New Roman" w:eastAsia="宋体" w:cs="Times New Roman"/>
                <w:bCs/>
                <w:color w:val="auto"/>
                <w:sz w:val="24"/>
              </w:rPr>
              <w:t>通过自动控制设备将水泥和水按比例泵入搅拌机，原料加料过程搅拌机缓慢转动。</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Cs/>
                <w:color w:val="auto"/>
                <w:sz w:val="24"/>
                <w:lang w:eastAsia="zh-CN"/>
              </w:rPr>
            </w:pPr>
            <w:bookmarkStart w:id="11" w:name="_Toc12125"/>
            <w:r>
              <w:rPr>
                <w:rFonts w:hint="default" w:ascii="Times New Roman" w:hAnsi="Times New Roman" w:eastAsia="宋体" w:cs="Times New Roman"/>
                <w:color w:val="auto"/>
                <w:lang w:val="en-US" w:eastAsia="zh-CN"/>
              </w:rPr>
              <w:t>3）</w:t>
            </w:r>
            <w:r>
              <w:rPr>
                <w:rFonts w:hint="default" w:ascii="Times New Roman" w:hAnsi="Times New Roman" w:eastAsia="宋体" w:cs="Times New Roman"/>
                <w:bCs/>
                <w:color w:val="auto"/>
                <w:sz w:val="24"/>
              </w:rPr>
              <w:t>原料送入搅拌机后，搅拌机由缓而急不断旋转，使水泥、</w:t>
            </w:r>
            <w:r>
              <w:rPr>
                <w:rFonts w:hint="default" w:ascii="Times New Roman" w:hAnsi="Times New Roman" w:eastAsia="宋体" w:cs="Times New Roman"/>
                <w:bCs/>
                <w:color w:val="auto"/>
                <w:sz w:val="24"/>
                <w:lang w:val="en-US" w:eastAsia="zh-CN"/>
              </w:rPr>
              <w:t>中</w:t>
            </w:r>
            <w:r>
              <w:rPr>
                <w:rFonts w:hint="default" w:ascii="Times New Roman" w:hAnsi="Times New Roman" w:eastAsia="宋体" w:cs="Times New Roman"/>
                <w:bCs/>
                <w:color w:val="auto"/>
                <w:sz w:val="24"/>
              </w:rPr>
              <w:t>砂、碎石及水均匀的混合在一起得到</w:t>
            </w:r>
            <w:r>
              <w:rPr>
                <w:rFonts w:hint="default" w:ascii="Times New Roman" w:hAnsi="Times New Roman" w:eastAsia="宋体" w:cs="Times New Roman"/>
                <w:bCs/>
                <w:color w:val="auto"/>
                <w:sz w:val="24"/>
                <w:lang w:val="en-US" w:eastAsia="zh-CN"/>
              </w:rPr>
              <w:t>合格水稳料</w:t>
            </w:r>
            <w:r>
              <w:rPr>
                <w:rFonts w:hint="default" w:ascii="Times New Roman" w:hAnsi="Times New Roman" w:eastAsia="宋体" w:cs="Times New Roman"/>
                <w:bCs/>
                <w:color w:val="auto"/>
                <w:sz w:val="24"/>
              </w:rPr>
              <w:t>产品</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lang w:val="en-US" w:eastAsia="zh-CN"/>
              </w:rPr>
              <w:t>不合格产品回用。</w:t>
            </w:r>
            <w:r>
              <w:rPr>
                <w:rFonts w:hint="default" w:ascii="Times New Roman" w:hAnsi="Times New Roman" w:eastAsia="宋体" w:cs="Times New Roman"/>
                <w:color w:val="auto"/>
                <w:sz w:val="24"/>
              </w:rPr>
              <w:t>同时主机的除尘器按设定的程序自动工作，收集的粉尘加入搅拌主机中</w:t>
            </w:r>
            <w:r>
              <w:rPr>
                <w:rFonts w:hint="default" w:ascii="Times New Roman" w:hAnsi="Times New Roman" w:eastAsia="宋体" w:cs="Times New Roman"/>
                <w:color w:val="auto"/>
                <w:sz w:val="24"/>
                <w:lang w:eastAsia="zh-CN"/>
              </w:rPr>
              <w:t>。</w:t>
            </w:r>
            <w:bookmarkEnd w:id="1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 w:val="0"/>
                <w:bCs w:val="0"/>
                <w:color w:val="auto"/>
                <w:sz w:val="24"/>
                <w:lang w:val="en-US" w:eastAsia="zh-CN"/>
              </w:rPr>
              <w:t>4）</w:t>
            </w:r>
            <w:r>
              <w:rPr>
                <w:rFonts w:hint="default" w:ascii="Times New Roman" w:hAnsi="Times New Roman" w:eastAsia="宋体" w:cs="Times New Roman"/>
                <w:bCs/>
                <w:color w:val="auto"/>
                <w:sz w:val="24"/>
              </w:rPr>
              <w:t>原料经搅拌机混合后，</w:t>
            </w:r>
            <w:r>
              <w:rPr>
                <w:rFonts w:hint="default" w:ascii="Times New Roman" w:hAnsi="Times New Roman" w:eastAsia="宋体" w:cs="Times New Roman"/>
                <w:bCs/>
                <w:color w:val="auto"/>
                <w:sz w:val="24"/>
                <w:lang w:val="en-US" w:eastAsia="zh-CN"/>
              </w:rPr>
              <w:t>合格产品通过斜皮带输送至成品料仓，待运料车到来后，由气缸控制的斗门开启，装入车后斗门关闭，成品料外运。</w:t>
            </w:r>
          </w:p>
          <w:p>
            <w:pPr>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b w:val="0"/>
                <w:bCs w:val="0"/>
                <w:color w:val="auto"/>
                <w:sz w:val="24"/>
                <w:lang w:val="en-US" w:eastAsia="zh-CN"/>
              </w:rPr>
              <w:t>5</w:t>
            </w:r>
            <w:r>
              <w:rPr>
                <w:rFonts w:hint="default" w:ascii="Times New Roman" w:hAnsi="Times New Roman" w:eastAsia="宋体" w:cs="Times New Roman"/>
                <w:b w:val="0"/>
                <w:bCs w:val="0"/>
                <w:color w:val="auto"/>
                <w:sz w:val="24"/>
              </w:rPr>
              <w:t>）产品质量检验：本项目设置实验室，在搅拌机出料口抽取试样进行检验</w:t>
            </w:r>
            <w:r>
              <w:rPr>
                <w:rFonts w:hint="default" w:ascii="Times New Roman" w:hAnsi="Times New Roman" w:eastAsia="宋体" w:cs="Times New Roman"/>
                <w:color w:val="auto"/>
                <w:sz w:val="24"/>
                <w:lang w:val="en-US" w:eastAsia="zh-CN"/>
              </w:rPr>
              <w:t>。</w:t>
            </w:r>
          </w:p>
          <w:p>
            <w:pPr>
              <w:ind w:firstLine="482" w:firstLineChars="200"/>
              <w:rPr>
                <w:rFonts w:hint="default" w:ascii="Times New Roman" w:hAnsi="Times New Roman" w:eastAsia="宋体" w:cs="Times New Roman"/>
                <w:b/>
                <w:bCs/>
                <w:color w:val="auto"/>
                <w:sz w:val="24"/>
                <w:lang w:eastAsia="zh-CN"/>
              </w:rPr>
            </w:pPr>
            <w:r>
              <w:rPr>
                <w:rFonts w:hint="default" w:ascii="Times New Roman" w:hAnsi="Times New Roman" w:eastAsia="宋体" w:cs="Times New Roman"/>
                <w:b/>
                <w:bCs/>
                <w:color w:val="auto"/>
                <w:sz w:val="24"/>
                <w:lang w:eastAsia="zh-CN"/>
              </w:rPr>
              <w:t>（三）预制厂生产工艺流程</w:t>
            </w:r>
          </w:p>
          <w:p>
            <w:pPr>
              <w:ind w:firstLine="640" w:firstLineChars="200"/>
              <w:jc w:val="left"/>
              <w:rPr>
                <w:rFonts w:hint="default" w:ascii="Times New Roman" w:hAnsi="Times New Roman" w:eastAsia="宋体" w:cs="Times New Roman"/>
                <w:color w:val="auto"/>
                <w:sz w:val="24"/>
                <w:lang w:val="en-US" w:eastAsia="zh-CN"/>
              </w:rPr>
            </w:pPr>
            <w:r>
              <w:drawing>
                <wp:anchor distT="0" distB="0" distL="114300" distR="114300" simplePos="0" relativeHeight="251724800" behindDoc="0" locked="0" layoutInCell="1" allowOverlap="1">
                  <wp:simplePos x="0" y="0"/>
                  <wp:positionH relativeFrom="column">
                    <wp:posOffset>995045</wp:posOffset>
                  </wp:positionH>
                  <wp:positionV relativeFrom="paragraph">
                    <wp:posOffset>59055</wp:posOffset>
                  </wp:positionV>
                  <wp:extent cx="3381375" cy="4781550"/>
                  <wp:effectExtent l="0" t="0" r="1905" b="3810"/>
                  <wp:wrapTopAndBottom/>
                  <wp:docPr id="14" name="图片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47"/>
                          <pic:cNvPicPr>
                            <a:picLocks noChangeAspect="1"/>
                          </pic:cNvPicPr>
                        </pic:nvPicPr>
                        <pic:blipFill>
                          <a:blip r:embed="rId8"/>
                          <a:stretch>
                            <a:fillRect/>
                          </a:stretch>
                        </pic:blipFill>
                        <pic:spPr>
                          <a:xfrm>
                            <a:off x="0" y="0"/>
                            <a:ext cx="3381375" cy="4781550"/>
                          </a:xfrm>
                          <a:prstGeom prst="rect">
                            <a:avLst/>
                          </a:prstGeom>
                          <a:noFill/>
                          <a:ln>
                            <a:noFill/>
                          </a:ln>
                        </pic:spPr>
                      </pic:pic>
                    </a:graphicData>
                  </a:graphic>
                </wp:anchor>
              </w:drawing>
            </w:r>
          </w:p>
          <w:p>
            <w:pPr>
              <w:ind w:firstLine="480" w:firstLineChars="200"/>
              <w:jc w:val="center"/>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预制厂工艺流程图</w:t>
            </w:r>
          </w:p>
          <w:p>
            <w:pPr>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（1）模板 采用高强加厚塑料模具，底板厚度不小于3mm，侧板厚度不小于4mm，塑模通常的循环使用周期为100次。</w:t>
            </w:r>
          </w:p>
          <w:p>
            <w:pPr>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（2）清理模具 用小铲刀清理模具上残余的混凝土块，然后再模具清洗池中清洗干净，晾干后在混凝土接触面涂刷脱模剂，涂刷时应均匀、全面，不留死角。</w:t>
            </w:r>
          </w:p>
          <w:p>
            <w:pPr>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（3）钢筋加工及绑扎 钢筋提前进行绑扎，以便于准确控制钢筋的间距、尺寸。在钢筋绑扎时确保确保钢筋的位置间距尺寸正确。钢筋绑扎时，自上而下依次进行，并采取可靠的临时加固措施，保证钢筋骨架的刚度和稳定性。</w:t>
            </w:r>
          </w:p>
          <w:p>
            <w:pPr>
              <w:pStyle w:val="35"/>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（4）混凝土拌制 拌制混凝土配料时，各种衡器应保持准确。对砂石料含水率开盘前进行检测，据以调整砂石料和水的用料。</w:t>
            </w:r>
          </w:p>
          <w:p>
            <w:pPr>
              <w:pStyle w:val="35"/>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（5）混凝土入模 混凝土拌制完成后，混凝土罐车将砼运至预制现场，将砼倒至混凝土池中，混凝土池采用砖墙砌筑，然后人工用铁锹将砼铲入模内。</w:t>
            </w:r>
          </w:p>
          <w:p>
            <w:pPr>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（6）混凝土振捣 混凝土入模完成后，移送至振动台振动，将模具内的砼振动均匀，振动时间为30S，视具体情况作相应调整，直至砼中的气泡完全散尽，混凝土停止下沉，表面出现平坦、泛浆为止。采用油灰刀对砼表面进行平整、收浆。</w:t>
            </w:r>
          </w:p>
          <w:p>
            <w:pPr>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（7）混凝土养生 将振捣好的砼构件移至养生区，采用土工布对构件进行覆盖养护。构件洒水养护时间不少于7天。</w:t>
            </w:r>
          </w:p>
          <w:p>
            <w:pPr>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（8）预制件堆码 预制件养护达到设计强度后从养护区转运到堆码区进行堆码。</w:t>
            </w:r>
          </w:p>
          <w:p>
            <w:pPr>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（9）预制件运输 将预制件运输至施工地。</w:t>
            </w:r>
          </w:p>
          <w:p>
            <w:pPr>
              <w:ind w:firstLine="482" w:firstLineChars="200"/>
              <w:rPr>
                <w:rFonts w:hint="default" w:ascii="Times New Roman" w:hAnsi="Times New Roman" w:eastAsia="宋体" w:cs="Times New Roman"/>
                <w:b/>
                <w:bCs/>
                <w:color w:val="auto"/>
                <w:sz w:val="24"/>
                <w:shd w:val="clear" w:color="auto" w:fill="auto"/>
                <w:lang w:eastAsia="zh-CN"/>
              </w:rPr>
            </w:pPr>
            <w:r>
              <w:rPr>
                <w:rFonts w:hint="default" w:ascii="Times New Roman" w:hAnsi="Times New Roman" w:eastAsia="宋体" w:cs="Times New Roman"/>
                <w:b/>
                <w:bCs/>
                <w:color w:val="auto"/>
                <w:sz w:val="24"/>
                <w:shd w:val="clear" w:color="auto" w:fill="auto"/>
                <w:lang w:eastAsia="zh-CN"/>
              </w:rPr>
              <w:t>（四）钢筋加工厂生产工艺流程</w:t>
            </w:r>
          </w:p>
          <w:p>
            <w:pPr>
              <w:ind w:firstLine="640" w:firstLineChars="200"/>
              <w:rPr>
                <w:rFonts w:hint="default" w:ascii="Times New Roman" w:hAnsi="Times New Roman" w:eastAsia="宋体" w:cs="Times New Roman"/>
                <w:color w:val="auto"/>
                <w:sz w:val="24"/>
                <w:lang w:val="en-US" w:eastAsia="zh-CN"/>
              </w:rPr>
            </w:pPr>
            <w:r>
              <w:drawing>
                <wp:anchor distT="0" distB="0" distL="114300" distR="114300" simplePos="0" relativeHeight="251717632" behindDoc="0" locked="0" layoutInCell="1" allowOverlap="1">
                  <wp:simplePos x="0" y="0"/>
                  <wp:positionH relativeFrom="column">
                    <wp:posOffset>99060</wp:posOffset>
                  </wp:positionH>
                  <wp:positionV relativeFrom="paragraph">
                    <wp:posOffset>143510</wp:posOffset>
                  </wp:positionV>
                  <wp:extent cx="5608320" cy="2766060"/>
                  <wp:effectExtent l="0" t="0" r="0" b="7620"/>
                  <wp:wrapTopAndBottom/>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9"/>
                          <a:stretch>
                            <a:fillRect/>
                          </a:stretch>
                        </pic:blipFill>
                        <pic:spPr>
                          <a:xfrm>
                            <a:off x="0" y="0"/>
                            <a:ext cx="5608320" cy="2766060"/>
                          </a:xfrm>
                          <a:prstGeom prst="rect">
                            <a:avLst/>
                          </a:prstGeom>
                          <a:noFill/>
                          <a:ln>
                            <a:noFill/>
                          </a:ln>
                        </pic:spPr>
                      </pic:pic>
                    </a:graphicData>
                  </a:graphic>
                </wp:anchor>
              </w:drawing>
            </w:r>
          </w:p>
          <w:p>
            <w:pPr>
              <w:ind w:firstLine="480" w:firstLineChars="200"/>
              <w:jc w:val="center"/>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钢筋加工厂工艺流程图</w:t>
            </w:r>
          </w:p>
          <w:p>
            <w:pPr>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 xml:space="preserve"> </w:t>
            </w:r>
          </w:p>
          <w:p>
            <w:pPr>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工艺流程简述：</w:t>
            </w:r>
          </w:p>
          <w:p>
            <w:pPr>
              <w:snapToGrid w:val="0"/>
              <w:spacing w:line="520" w:lineRule="exact"/>
              <w:ind w:firstLine="480" w:firstLineChars="200"/>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eastAsia="zh-CN"/>
              </w:rPr>
              <w:t>（</w:t>
            </w:r>
            <w:r>
              <w:rPr>
                <w:rFonts w:hint="eastAsia" w:ascii="Times New Roman" w:hAnsi="Times New Roman" w:cs="Times New Roman"/>
                <w:color w:val="000000"/>
                <w:sz w:val="24"/>
                <w:lang w:val="en-US" w:eastAsia="zh-CN"/>
              </w:rPr>
              <w:t>1</w:t>
            </w:r>
            <w:r>
              <w:rPr>
                <w:rFonts w:hint="eastAsia" w:ascii="Times New Roman" w:hAnsi="Times New Roman" w:cs="Times New Roman"/>
                <w:color w:val="000000"/>
                <w:sz w:val="24"/>
                <w:lang w:eastAsia="zh-CN"/>
              </w:rPr>
              <w:t>）投料搅拌：将外购原料砂、水泥、石子运用铲车进行投料搅拌，投料（配料）过程加水，并按照产品设计要求进行一定的配比投入，由于生产过程密闭且出料出为钢筋混凝土，不为粉末、颗粒状，故该过程主要为投料搅拌产生的粉尘、噪声。</w:t>
            </w:r>
          </w:p>
          <w:p>
            <w:pPr>
              <w:snapToGrid w:val="0"/>
              <w:spacing w:line="520" w:lineRule="exact"/>
              <w:ind w:firstLine="480" w:firstLineChars="200"/>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（2）加入钢模：外购钢筋需进行焊接，焊接采用滚焊机进行加工，加工过程中不用焊材焊丝等填充金属，因此焊接过程中无有害气体产生，使钢模成型，该过程产生的污染物主要为噪声、废钢筋。</w:t>
            </w:r>
          </w:p>
          <w:p>
            <w:pPr>
              <w:snapToGrid w:val="0"/>
              <w:spacing w:line="520" w:lineRule="exact"/>
              <w:ind w:firstLine="480" w:firstLineChars="200"/>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（3）悬辊成型：主要运用悬辊机离心力、挤压力等使得钢模及料材挤压成型，该过程产生的污染物主要为噪声。</w:t>
            </w:r>
          </w:p>
          <w:p>
            <w:pPr>
              <w:snapToGrid w:val="0"/>
              <w:spacing w:line="520" w:lineRule="exact"/>
              <w:ind w:firstLine="480" w:firstLineChars="200"/>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（4）脱模：加工好的管材经脱模后，钢模回收利用。</w:t>
            </w:r>
          </w:p>
          <w:p>
            <w:pPr>
              <w:snapToGrid w:val="0"/>
              <w:spacing w:line="520" w:lineRule="exact"/>
              <w:ind w:firstLine="480" w:firstLineChars="200"/>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（5）养护：经加工好的产品需加水进行养护，养护过程约10d。</w:t>
            </w:r>
          </w:p>
          <w:p>
            <w:pPr>
              <w:ind w:firstLine="480" w:firstLineChars="200"/>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（6）入库：养护成型后的产品即可入库待用。</w:t>
            </w:r>
          </w:p>
          <w:p>
            <w:pPr>
              <w:ind w:firstLine="482" w:firstLineChars="200"/>
              <w:rPr>
                <w:rFonts w:hint="default" w:ascii="Times New Roman" w:hAnsi="Times New Roman" w:eastAsia="宋体" w:cs="Times New Roman"/>
                <w:b/>
                <w:bCs/>
                <w:color w:val="auto"/>
                <w:sz w:val="24"/>
                <w:shd w:val="clear" w:color="auto" w:fill="auto"/>
                <w:lang w:eastAsia="zh-CN"/>
              </w:rPr>
            </w:pPr>
            <w:r>
              <w:rPr>
                <w:rFonts w:hint="default" w:ascii="Times New Roman" w:hAnsi="Times New Roman" w:eastAsia="宋体" w:cs="Times New Roman"/>
                <w:b/>
                <w:bCs/>
                <w:color w:val="auto"/>
                <w:sz w:val="24"/>
                <w:shd w:val="clear" w:color="auto" w:fill="auto"/>
                <w:lang w:eastAsia="zh-CN"/>
              </w:rPr>
              <w:t>（</w:t>
            </w:r>
            <w:r>
              <w:rPr>
                <w:rFonts w:hint="eastAsia" w:cs="Times New Roman"/>
                <w:b/>
                <w:bCs/>
                <w:color w:val="auto"/>
                <w:sz w:val="24"/>
                <w:shd w:val="clear" w:color="auto" w:fill="auto"/>
                <w:lang w:eastAsia="zh-CN"/>
              </w:rPr>
              <w:t>五</w:t>
            </w:r>
            <w:r>
              <w:rPr>
                <w:rFonts w:hint="default" w:ascii="Times New Roman" w:hAnsi="Times New Roman" w:eastAsia="宋体" w:cs="Times New Roman"/>
                <w:b/>
                <w:bCs/>
                <w:color w:val="auto"/>
                <w:sz w:val="24"/>
                <w:shd w:val="clear" w:color="auto" w:fill="auto"/>
                <w:lang w:eastAsia="zh-CN"/>
              </w:rPr>
              <w:t>）碎石场生产工艺流程</w:t>
            </w:r>
          </w:p>
          <w:p>
            <w:pPr>
              <w:ind w:firstLine="640" w:firstLineChars="200"/>
              <w:rPr>
                <w:rFonts w:hint="default" w:ascii="Times New Roman" w:hAnsi="Times New Roman" w:eastAsia="宋体" w:cs="Times New Roman"/>
                <w:color w:val="auto"/>
              </w:rPr>
            </w:pPr>
          </w:p>
          <w:p>
            <w:pPr>
              <w:ind w:firstLine="480" w:firstLineChars="200"/>
              <w:rPr>
                <w:rFonts w:hint="default" w:ascii="Times New Roman" w:hAnsi="Times New Roman" w:eastAsia="宋体" w:cs="Times New Roman"/>
                <w:color w:val="auto"/>
              </w:rPr>
            </w:pPr>
            <w:r>
              <w:rPr>
                <w:rFonts w:hint="default" w:ascii="Times New Roman" w:hAnsi="Times New Roman" w:eastAsia="宋体" w:cs="Times New Roman"/>
                <w:sz w:val="24"/>
              </w:rPr>
              <mc:AlternateContent>
                <mc:Choice Requires="wpg">
                  <w:drawing>
                    <wp:anchor distT="0" distB="0" distL="114300" distR="114300" simplePos="0" relativeHeight="251701248" behindDoc="0" locked="0" layoutInCell="1" allowOverlap="1">
                      <wp:simplePos x="0" y="0"/>
                      <wp:positionH relativeFrom="column">
                        <wp:posOffset>77470</wp:posOffset>
                      </wp:positionH>
                      <wp:positionV relativeFrom="paragraph">
                        <wp:posOffset>12700</wp:posOffset>
                      </wp:positionV>
                      <wp:extent cx="5363210" cy="2634615"/>
                      <wp:effectExtent l="7620" t="7620" r="20320" b="24765"/>
                      <wp:wrapNone/>
                      <wp:docPr id="250" name="组合 250"/>
                      <wp:cNvGraphicFramePr/>
                      <a:graphic xmlns:a="http://schemas.openxmlformats.org/drawingml/2006/main">
                        <a:graphicData uri="http://schemas.microsoft.com/office/word/2010/wordprocessingGroup">
                          <wpg:wgp>
                            <wpg:cNvGrpSpPr/>
                            <wpg:grpSpPr>
                              <a:xfrm>
                                <a:off x="0" y="0"/>
                                <a:ext cx="5363210" cy="2634615"/>
                                <a:chOff x="6616" y="455818"/>
                                <a:chExt cx="9583" cy="4149"/>
                              </a:xfrm>
                            </wpg:grpSpPr>
                            <wps:wsp>
                              <wps:cNvPr id="215" name="文本框 215"/>
                              <wps:cNvSpPr txBox="1"/>
                              <wps:spPr>
                                <a:xfrm>
                                  <a:off x="8063" y="455935"/>
                                  <a:ext cx="1520" cy="583"/>
                                </a:xfrm>
                                <a:prstGeom prst="rect">
                                  <a:avLst/>
                                </a:prstGeom>
                                <a:noFill/>
                                <a:ln w="15875">
                                  <a:noFill/>
                                </a:ln>
                              </wps:spPr>
                              <wps:txbx>
                                <w:txbxContent>
                                  <w:p>
                                    <w:pPr>
                                      <w:spacing w:line="360" w:lineRule="auto"/>
                                      <w:jc w:val="center"/>
                                      <w:rPr>
                                        <w:rFonts w:hint="default" w:eastAsia="宋体"/>
                                        <w:sz w:val="21"/>
                                        <w:szCs w:val="21"/>
                                        <w:lang w:val="en-US" w:eastAsia="zh-CN"/>
                                      </w:rPr>
                                    </w:pPr>
                                    <w:r>
                                      <w:rPr>
                                        <w:rFonts w:hint="eastAsia"/>
                                        <w:sz w:val="21"/>
                                        <w:szCs w:val="21"/>
                                        <w:lang w:val="en-US" w:eastAsia="zh-CN"/>
                                      </w:rPr>
                                      <w:t>粉尘、噪声</w:t>
                                    </w:r>
                                  </w:p>
                                </w:txbxContent>
                              </wps:txbx>
                              <wps:bodyPr upright="1"/>
                            </wps:wsp>
                            <wps:wsp>
                              <wps:cNvPr id="216" name="文本框 216"/>
                              <wps:cNvSpPr txBox="1"/>
                              <wps:spPr>
                                <a:xfrm>
                                  <a:off x="12463" y="455884"/>
                                  <a:ext cx="1519" cy="583"/>
                                </a:xfrm>
                                <a:prstGeom prst="rect">
                                  <a:avLst/>
                                </a:prstGeom>
                                <a:noFill/>
                                <a:ln w="15875">
                                  <a:noFill/>
                                </a:ln>
                              </wps:spPr>
                              <wps:txbx>
                                <w:txbxContent>
                                  <w:p>
                                    <w:pPr>
                                      <w:spacing w:line="360" w:lineRule="auto"/>
                                      <w:jc w:val="center"/>
                                      <w:rPr>
                                        <w:rFonts w:hint="default" w:eastAsia="宋体"/>
                                        <w:sz w:val="21"/>
                                        <w:szCs w:val="21"/>
                                        <w:lang w:val="en-US" w:eastAsia="zh-CN"/>
                                      </w:rPr>
                                    </w:pPr>
                                    <w:r>
                                      <w:rPr>
                                        <w:rFonts w:hint="eastAsia"/>
                                        <w:sz w:val="21"/>
                                        <w:szCs w:val="21"/>
                                        <w:lang w:val="en-US" w:eastAsia="zh-CN"/>
                                      </w:rPr>
                                      <w:t>粉尘、噪声</w:t>
                                    </w:r>
                                  </w:p>
                                </w:txbxContent>
                              </wps:txbx>
                              <wps:bodyPr upright="1"/>
                            </wps:wsp>
                            <wps:wsp>
                              <wps:cNvPr id="217" name="文本框 217"/>
                              <wps:cNvSpPr txBox="1"/>
                              <wps:spPr>
                                <a:xfrm>
                                  <a:off x="14747" y="455867"/>
                                  <a:ext cx="1284" cy="583"/>
                                </a:xfrm>
                                <a:prstGeom prst="rect">
                                  <a:avLst/>
                                </a:prstGeom>
                                <a:noFill/>
                                <a:ln w="15875">
                                  <a:noFill/>
                                </a:ln>
                              </wps:spPr>
                              <wps:txbx>
                                <w:txbxContent>
                                  <w:p>
                                    <w:pPr>
                                      <w:spacing w:line="360" w:lineRule="auto"/>
                                      <w:jc w:val="center"/>
                                      <w:rPr>
                                        <w:rFonts w:hint="default" w:eastAsia="宋体"/>
                                        <w:sz w:val="21"/>
                                        <w:szCs w:val="21"/>
                                        <w:lang w:val="en-US" w:eastAsia="zh-CN"/>
                                      </w:rPr>
                                    </w:pPr>
                                    <w:r>
                                      <w:rPr>
                                        <w:rFonts w:hint="eastAsia"/>
                                        <w:sz w:val="21"/>
                                        <w:szCs w:val="21"/>
                                        <w:lang w:val="en-US" w:eastAsia="zh-CN"/>
                                      </w:rPr>
                                      <w:t>粉尘、噪声</w:t>
                                    </w:r>
                                  </w:p>
                                </w:txbxContent>
                              </wps:txbx>
                              <wps:bodyPr upright="1"/>
                            </wps:wsp>
                            <wps:wsp>
                              <wps:cNvPr id="218" name="文本框 218"/>
                              <wps:cNvSpPr txBox="1"/>
                              <wps:spPr>
                                <a:xfrm>
                                  <a:off x="11024" y="455868"/>
                                  <a:ext cx="1442" cy="583"/>
                                </a:xfrm>
                                <a:prstGeom prst="rect">
                                  <a:avLst/>
                                </a:prstGeom>
                                <a:noFill/>
                                <a:ln w="15875">
                                  <a:noFill/>
                                </a:ln>
                              </wps:spPr>
                              <wps:txbx>
                                <w:txbxContent>
                                  <w:p>
                                    <w:pPr>
                                      <w:spacing w:line="360" w:lineRule="auto"/>
                                      <w:jc w:val="center"/>
                                      <w:rPr>
                                        <w:rFonts w:hint="default" w:eastAsia="宋体"/>
                                        <w:sz w:val="21"/>
                                        <w:szCs w:val="21"/>
                                        <w:lang w:val="en-US" w:eastAsia="zh-CN"/>
                                      </w:rPr>
                                    </w:pPr>
                                    <w:r>
                                      <w:rPr>
                                        <w:rFonts w:hint="eastAsia"/>
                                        <w:sz w:val="21"/>
                                        <w:szCs w:val="21"/>
                                        <w:lang w:val="en-US" w:eastAsia="zh-CN"/>
                                      </w:rPr>
                                      <w:t>粉尘、噪声</w:t>
                                    </w:r>
                                  </w:p>
                                </w:txbxContent>
                              </wps:txbx>
                              <wps:bodyPr upright="1"/>
                            </wps:wsp>
                            <wps:wsp>
                              <wps:cNvPr id="219" name="文本框 219"/>
                              <wps:cNvSpPr txBox="1"/>
                              <wps:spPr>
                                <a:xfrm>
                                  <a:off x="10149" y="455818"/>
                                  <a:ext cx="950" cy="583"/>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spacing w:line="360" w:lineRule="auto"/>
                                      <w:jc w:val="center"/>
                                      <w:rPr>
                                        <w:rFonts w:hint="default" w:eastAsia="宋体"/>
                                        <w:sz w:val="21"/>
                                        <w:szCs w:val="21"/>
                                        <w:lang w:val="en-US" w:eastAsia="zh-CN"/>
                                      </w:rPr>
                                    </w:pPr>
                                    <w:r>
                                      <w:rPr>
                                        <w:rFonts w:hint="eastAsia"/>
                                        <w:sz w:val="21"/>
                                        <w:szCs w:val="21"/>
                                        <w:lang w:val="en-US" w:eastAsia="zh-CN"/>
                                      </w:rPr>
                                      <w:t>储料斗</w:t>
                                    </w:r>
                                  </w:p>
                                </w:txbxContent>
                              </wps:txbx>
                              <wps:bodyPr upright="1"/>
                            </wps:wsp>
                            <wps:wsp>
                              <wps:cNvPr id="220" name="文本框 220"/>
                              <wps:cNvSpPr txBox="1"/>
                              <wps:spPr>
                                <a:xfrm>
                                  <a:off x="9650" y="456451"/>
                                  <a:ext cx="933" cy="512"/>
                                </a:xfrm>
                                <a:prstGeom prst="rect">
                                  <a:avLst/>
                                </a:prstGeom>
                                <a:noFill/>
                                <a:ln w="15875">
                                  <a:noFill/>
                                </a:ln>
                              </wps:spPr>
                              <wps:txbx>
                                <w:txbxContent>
                                  <w:p>
                                    <w:pPr>
                                      <w:rPr>
                                        <w:rFonts w:hint="eastAsia" w:eastAsia="宋体"/>
                                        <w:sz w:val="21"/>
                                        <w:szCs w:val="21"/>
                                        <w:lang w:val="en-US" w:eastAsia="zh-CN"/>
                                      </w:rPr>
                                    </w:pPr>
                                    <w:r>
                                      <w:rPr>
                                        <w:rFonts w:hint="eastAsia"/>
                                        <w:sz w:val="21"/>
                                        <w:szCs w:val="21"/>
                                        <w:lang w:val="en-US" w:eastAsia="zh-CN"/>
                                      </w:rPr>
                                      <w:t>河卵石</w:t>
                                    </w:r>
                                  </w:p>
                                </w:txbxContent>
                              </wps:txbx>
                              <wps:bodyPr upright="1"/>
                            </wps:wsp>
                            <wps:wsp>
                              <wps:cNvPr id="221" name="直接连接符 221"/>
                              <wps:cNvCnPr/>
                              <wps:spPr>
                                <a:xfrm flipV="1">
                                  <a:off x="15416" y="456467"/>
                                  <a:ext cx="1" cy="500"/>
                                </a:xfrm>
                                <a:prstGeom prst="line">
                                  <a:avLst/>
                                </a:prstGeom>
                                <a:ln w="15875" cap="flat" cmpd="sng">
                                  <a:solidFill>
                                    <a:srgbClr val="739CC3"/>
                                  </a:solidFill>
                                  <a:prstDash val="dash"/>
                                  <a:headEnd type="none" w="med" len="med"/>
                                  <a:tailEnd type="arrow" w="med" len="med"/>
                                </a:ln>
                              </wps:spPr>
                              <wps:bodyPr upright="1"/>
                            </wps:wsp>
                            <wps:wsp>
                              <wps:cNvPr id="222" name="直接连接符 222"/>
                              <wps:cNvCnPr/>
                              <wps:spPr>
                                <a:xfrm flipV="1">
                                  <a:off x="13350" y="456534"/>
                                  <a:ext cx="1" cy="500"/>
                                </a:xfrm>
                                <a:prstGeom prst="line">
                                  <a:avLst/>
                                </a:prstGeom>
                                <a:ln w="15875" cap="flat" cmpd="sng">
                                  <a:solidFill>
                                    <a:srgbClr val="739CC3"/>
                                  </a:solidFill>
                                  <a:prstDash val="dash"/>
                                  <a:headEnd type="none" w="med" len="med"/>
                                  <a:tailEnd type="arrow" w="med" len="med"/>
                                </a:ln>
                              </wps:spPr>
                              <wps:bodyPr upright="1"/>
                            </wps:wsp>
                            <wps:wsp>
                              <wps:cNvPr id="223" name="直接连接符 223"/>
                              <wps:cNvCnPr/>
                              <wps:spPr>
                                <a:xfrm flipV="1">
                                  <a:off x="11499" y="456501"/>
                                  <a:ext cx="1" cy="500"/>
                                </a:xfrm>
                                <a:prstGeom prst="line">
                                  <a:avLst/>
                                </a:prstGeom>
                                <a:ln w="15875" cap="flat" cmpd="sng">
                                  <a:solidFill>
                                    <a:srgbClr val="739CC3"/>
                                  </a:solidFill>
                                  <a:prstDash val="dash"/>
                                  <a:headEnd type="none" w="med" len="med"/>
                                  <a:tailEnd type="arrow" w="med" len="med"/>
                                </a:ln>
                              </wps:spPr>
                              <wps:bodyPr upright="1"/>
                            </wps:wsp>
                            <wps:wsp>
                              <wps:cNvPr id="224" name="直接连接符 224"/>
                              <wps:cNvCnPr/>
                              <wps:spPr>
                                <a:xfrm>
                                  <a:off x="10649" y="456435"/>
                                  <a:ext cx="1" cy="550"/>
                                </a:xfrm>
                                <a:prstGeom prst="line">
                                  <a:avLst/>
                                </a:prstGeom>
                                <a:ln w="15875" cap="flat" cmpd="sng">
                                  <a:solidFill>
                                    <a:srgbClr val="739CC3"/>
                                  </a:solidFill>
                                  <a:prstDash val="solid"/>
                                  <a:headEnd type="none" w="med" len="med"/>
                                  <a:tailEnd type="arrow" w="med" len="med"/>
                                </a:ln>
                              </wps:spPr>
                              <wps:bodyPr upright="1"/>
                            </wps:wsp>
                            <wps:wsp>
                              <wps:cNvPr id="225" name="直接连接符 225"/>
                              <wps:cNvCnPr/>
                              <wps:spPr>
                                <a:xfrm flipV="1">
                                  <a:off x="8917" y="456518"/>
                                  <a:ext cx="1" cy="500"/>
                                </a:xfrm>
                                <a:prstGeom prst="line">
                                  <a:avLst/>
                                </a:prstGeom>
                                <a:ln w="15875" cap="flat" cmpd="sng">
                                  <a:solidFill>
                                    <a:srgbClr val="739CC3"/>
                                  </a:solidFill>
                                  <a:prstDash val="dash"/>
                                  <a:headEnd type="none" w="med" len="med"/>
                                  <a:tailEnd type="arrow" w="med" len="med"/>
                                </a:ln>
                              </wps:spPr>
                              <wps:bodyPr upright="1"/>
                            </wps:wsp>
                            <wps:wsp>
                              <wps:cNvPr id="226" name="文本框 226"/>
                              <wps:cNvSpPr txBox="1"/>
                              <wps:spPr>
                                <a:xfrm>
                                  <a:off x="7498" y="456733"/>
                                  <a:ext cx="933" cy="430"/>
                                </a:xfrm>
                                <a:prstGeom prst="rect">
                                  <a:avLst/>
                                </a:prstGeom>
                                <a:noFill/>
                                <a:ln w="15875">
                                  <a:noFill/>
                                </a:ln>
                              </wps:spPr>
                              <wps:txbx>
                                <w:txbxContent>
                                  <w:p>
                                    <w:pPr>
                                      <w:rPr>
                                        <w:rFonts w:hint="default" w:eastAsia="宋体"/>
                                        <w:sz w:val="21"/>
                                        <w:szCs w:val="21"/>
                                        <w:lang w:val="en-US" w:eastAsia="zh-CN"/>
                                      </w:rPr>
                                    </w:pPr>
                                    <w:r>
                                      <w:rPr>
                                        <w:rFonts w:hint="eastAsia"/>
                                        <w:sz w:val="21"/>
                                        <w:szCs w:val="21"/>
                                        <w:lang w:val="en-US" w:eastAsia="zh-CN"/>
                                      </w:rPr>
                                      <w:t>混砂</w:t>
                                    </w:r>
                                  </w:p>
                                </w:txbxContent>
                              </wps:txbx>
                              <wps:bodyPr upright="1"/>
                            </wps:wsp>
                            <wps:wsp>
                              <wps:cNvPr id="227" name="文本框 227"/>
                              <wps:cNvSpPr txBox="1"/>
                              <wps:spPr>
                                <a:xfrm>
                                  <a:off x="14733" y="457001"/>
                                  <a:ext cx="1400" cy="583"/>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spacing w:line="360" w:lineRule="auto"/>
                                      <w:jc w:val="center"/>
                                      <w:rPr>
                                        <w:rFonts w:hint="default" w:eastAsia="宋体"/>
                                        <w:sz w:val="21"/>
                                        <w:szCs w:val="21"/>
                                        <w:lang w:val="en-US" w:eastAsia="zh-CN"/>
                                      </w:rPr>
                                    </w:pPr>
                                    <w:r>
                                      <w:rPr>
                                        <w:rFonts w:hint="eastAsia"/>
                                        <w:sz w:val="21"/>
                                        <w:szCs w:val="21"/>
                                        <w:lang w:val="en-US" w:eastAsia="zh-CN"/>
                                      </w:rPr>
                                      <w:t>二次筛分</w:t>
                                    </w:r>
                                  </w:p>
                                </w:txbxContent>
                              </wps:txbx>
                              <wps:bodyPr upright="1"/>
                            </wps:wsp>
                            <wps:wsp>
                              <wps:cNvPr id="228" name="文本框 228"/>
                              <wps:cNvSpPr txBox="1"/>
                              <wps:spPr>
                                <a:xfrm>
                                  <a:off x="12466" y="457018"/>
                                  <a:ext cx="1600" cy="583"/>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spacing w:line="360" w:lineRule="auto"/>
                                      <w:jc w:val="center"/>
                                      <w:rPr>
                                        <w:rFonts w:hint="default" w:eastAsia="宋体"/>
                                        <w:sz w:val="21"/>
                                        <w:szCs w:val="21"/>
                                        <w:lang w:val="en-US" w:eastAsia="zh-CN"/>
                                      </w:rPr>
                                    </w:pPr>
                                    <w:r>
                                      <w:rPr>
                                        <w:rFonts w:hint="eastAsia"/>
                                        <w:sz w:val="21"/>
                                        <w:szCs w:val="21"/>
                                        <w:lang w:val="en-US" w:eastAsia="zh-CN"/>
                                      </w:rPr>
                                      <w:t>锤式破碎机</w:t>
                                    </w:r>
                                  </w:p>
                                </w:txbxContent>
                              </wps:txbx>
                              <wps:bodyPr upright="1"/>
                            </wps:wsp>
                            <wps:wsp>
                              <wps:cNvPr id="229" name="文本框 229"/>
                              <wps:cNvSpPr txBox="1"/>
                              <wps:spPr>
                                <a:xfrm>
                                  <a:off x="10233" y="457018"/>
                                  <a:ext cx="1600" cy="583"/>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spacing w:line="360" w:lineRule="auto"/>
                                      <w:jc w:val="center"/>
                                      <w:rPr>
                                        <w:rFonts w:hint="default" w:eastAsia="宋体"/>
                                        <w:sz w:val="21"/>
                                        <w:szCs w:val="21"/>
                                        <w:lang w:val="en-US" w:eastAsia="zh-CN"/>
                                      </w:rPr>
                                    </w:pPr>
                                    <w:r>
                                      <w:rPr>
                                        <w:rFonts w:hint="eastAsia"/>
                                        <w:sz w:val="21"/>
                                        <w:szCs w:val="21"/>
                                        <w:lang w:val="en-US" w:eastAsia="zh-CN"/>
                                      </w:rPr>
                                      <w:t>颚式破碎机</w:t>
                                    </w:r>
                                  </w:p>
                                </w:txbxContent>
                              </wps:txbx>
                              <wps:bodyPr upright="1"/>
                            </wps:wsp>
                            <wps:wsp>
                              <wps:cNvPr id="230" name="文本框 230"/>
                              <wps:cNvSpPr txBox="1"/>
                              <wps:spPr>
                                <a:xfrm>
                                  <a:off x="8199" y="457018"/>
                                  <a:ext cx="1400" cy="583"/>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spacing w:line="360" w:lineRule="auto"/>
                                      <w:jc w:val="center"/>
                                      <w:rPr>
                                        <w:rFonts w:hint="default" w:eastAsia="宋体"/>
                                        <w:sz w:val="21"/>
                                        <w:szCs w:val="21"/>
                                        <w:lang w:val="en-US" w:eastAsia="zh-CN"/>
                                      </w:rPr>
                                    </w:pPr>
                                    <w:r>
                                      <w:rPr>
                                        <w:rFonts w:hint="eastAsia"/>
                                        <w:sz w:val="21"/>
                                        <w:szCs w:val="21"/>
                                        <w:lang w:val="en-US" w:eastAsia="zh-CN"/>
                                      </w:rPr>
                                      <w:t>初次筛分</w:t>
                                    </w:r>
                                  </w:p>
                                </w:txbxContent>
                              </wps:txbx>
                              <wps:bodyPr upright="1"/>
                            </wps:wsp>
                            <wps:wsp>
                              <wps:cNvPr id="231" name="文本框 231"/>
                              <wps:cNvSpPr txBox="1"/>
                              <wps:spPr>
                                <a:xfrm>
                                  <a:off x="6616" y="457018"/>
                                  <a:ext cx="950" cy="583"/>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spacing w:line="360" w:lineRule="auto"/>
                                      <w:jc w:val="center"/>
                                      <w:rPr>
                                        <w:rFonts w:hint="eastAsia" w:eastAsia="宋体"/>
                                        <w:sz w:val="21"/>
                                        <w:szCs w:val="21"/>
                                        <w:lang w:val="en-US" w:eastAsia="zh-CN"/>
                                      </w:rPr>
                                    </w:pPr>
                                    <w:r>
                                      <w:rPr>
                                        <w:rFonts w:hint="eastAsia"/>
                                        <w:sz w:val="21"/>
                                        <w:szCs w:val="21"/>
                                        <w:lang w:val="en-US" w:eastAsia="zh-CN"/>
                                      </w:rPr>
                                      <w:t>料仓</w:t>
                                    </w:r>
                                  </w:p>
                                </w:txbxContent>
                              </wps:txbx>
                              <wps:bodyPr upright="1"/>
                            </wps:wsp>
                            <wps:wsp>
                              <wps:cNvPr id="232" name="直接连接符 232"/>
                              <wps:cNvCnPr/>
                              <wps:spPr>
                                <a:xfrm>
                                  <a:off x="14099" y="457284"/>
                                  <a:ext cx="634" cy="1"/>
                                </a:xfrm>
                                <a:prstGeom prst="line">
                                  <a:avLst/>
                                </a:prstGeom>
                                <a:ln w="15875" cap="flat" cmpd="sng">
                                  <a:solidFill>
                                    <a:srgbClr val="739CC3"/>
                                  </a:solidFill>
                                  <a:prstDash val="solid"/>
                                  <a:headEnd type="none" w="med" len="med"/>
                                  <a:tailEnd type="arrow" w="med" len="med"/>
                                </a:ln>
                              </wps:spPr>
                              <wps:bodyPr upright="1"/>
                            </wps:wsp>
                            <wps:wsp>
                              <wps:cNvPr id="233" name="直接连接符 233"/>
                              <wps:cNvCnPr/>
                              <wps:spPr>
                                <a:xfrm>
                                  <a:off x="11816" y="457284"/>
                                  <a:ext cx="634" cy="1"/>
                                </a:xfrm>
                                <a:prstGeom prst="line">
                                  <a:avLst/>
                                </a:prstGeom>
                                <a:ln w="15875" cap="flat" cmpd="sng">
                                  <a:solidFill>
                                    <a:srgbClr val="739CC3"/>
                                  </a:solidFill>
                                  <a:prstDash val="solid"/>
                                  <a:headEnd type="none" w="med" len="med"/>
                                  <a:tailEnd type="arrow" w="med" len="med"/>
                                </a:ln>
                              </wps:spPr>
                              <wps:bodyPr upright="1"/>
                            </wps:wsp>
                            <wps:wsp>
                              <wps:cNvPr id="234" name="直接连接符 234"/>
                              <wps:cNvCnPr/>
                              <wps:spPr>
                                <a:xfrm>
                                  <a:off x="9583" y="457301"/>
                                  <a:ext cx="634" cy="1"/>
                                </a:xfrm>
                                <a:prstGeom prst="line">
                                  <a:avLst/>
                                </a:prstGeom>
                                <a:ln w="15875" cap="flat" cmpd="sng">
                                  <a:solidFill>
                                    <a:srgbClr val="739CC3"/>
                                  </a:solidFill>
                                  <a:prstDash val="solid"/>
                                  <a:headEnd type="none" w="med" len="med"/>
                                  <a:tailEnd type="arrow" w="med" len="med"/>
                                </a:ln>
                              </wps:spPr>
                              <wps:bodyPr upright="1"/>
                            </wps:wsp>
                            <wps:wsp>
                              <wps:cNvPr id="235" name="直接连接符 235"/>
                              <wps:cNvCnPr/>
                              <wps:spPr>
                                <a:xfrm>
                                  <a:off x="7566" y="457301"/>
                                  <a:ext cx="634" cy="1"/>
                                </a:xfrm>
                                <a:prstGeom prst="line">
                                  <a:avLst/>
                                </a:prstGeom>
                                <a:ln w="15875" cap="flat" cmpd="sng">
                                  <a:solidFill>
                                    <a:srgbClr val="739CC3"/>
                                  </a:solidFill>
                                  <a:prstDash val="solid"/>
                                  <a:headEnd type="none" w="med" len="med"/>
                                  <a:tailEnd type="arrow" w="med" len="med"/>
                                </a:ln>
                              </wps:spPr>
                              <wps:bodyPr upright="1"/>
                            </wps:wsp>
                            <wps:wsp>
                              <wps:cNvPr id="236" name="文本框 236"/>
                              <wps:cNvSpPr txBox="1"/>
                              <wps:spPr>
                                <a:xfrm>
                                  <a:off x="10015" y="457935"/>
                                  <a:ext cx="818" cy="583"/>
                                </a:xfrm>
                                <a:prstGeom prst="rect">
                                  <a:avLst/>
                                </a:prstGeom>
                                <a:noFill/>
                                <a:ln w="15875">
                                  <a:noFill/>
                                </a:ln>
                              </wps:spPr>
                              <wps:txbx>
                                <w:txbxContent>
                                  <w:p>
                                    <w:pPr>
                                      <w:spacing w:line="360" w:lineRule="auto"/>
                                      <w:jc w:val="center"/>
                                      <w:rPr>
                                        <w:rFonts w:hint="default" w:eastAsia="宋体"/>
                                        <w:sz w:val="21"/>
                                        <w:szCs w:val="21"/>
                                        <w:lang w:val="en-US" w:eastAsia="zh-CN"/>
                                      </w:rPr>
                                    </w:pPr>
                                    <w:r>
                                      <w:rPr>
                                        <w:rFonts w:hint="eastAsia"/>
                                        <w:sz w:val="21"/>
                                        <w:szCs w:val="21"/>
                                        <w:lang w:val="en-US" w:eastAsia="zh-CN"/>
                                      </w:rPr>
                                      <w:t>噪声</w:t>
                                    </w:r>
                                  </w:p>
                                </w:txbxContent>
                              </wps:txbx>
                              <wps:bodyPr upright="1"/>
                            </wps:wsp>
                            <wps:wsp>
                              <wps:cNvPr id="237" name="肘形连接符 237"/>
                              <wps:cNvCnPr>
                                <a:stCxn id="242" idx="3"/>
                                <a:endCxn id="227" idx="2"/>
                              </wps:cNvCnPr>
                              <wps:spPr>
                                <a:xfrm flipV="1">
                                  <a:off x="9415" y="457584"/>
                                  <a:ext cx="6018" cy="844"/>
                                </a:xfrm>
                                <a:prstGeom prst="bentConnector2">
                                  <a:avLst/>
                                </a:prstGeom>
                                <a:ln w="15875" cap="flat" cmpd="sng">
                                  <a:solidFill>
                                    <a:srgbClr val="739CC3"/>
                                  </a:solidFill>
                                  <a:prstDash val="solid"/>
                                  <a:miter/>
                                  <a:headEnd type="none" w="med" len="med"/>
                                  <a:tailEnd type="arrow" w="med" len="med"/>
                                </a:ln>
                              </wps:spPr>
                              <wps:bodyPr/>
                            </wps:wsp>
                            <wps:wsp>
                              <wps:cNvPr id="238" name="直接连接符 238"/>
                              <wps:cNvCnPr/>
                              <wps:spPr>
                                <a:xfrm flipH="1">
                                  <a:off x="15500" y="457601"/>
                                  <a:ext cx="16" cy="1765"/>
                                </a:xfrm>
                                <a:prstGeom prst="line">
                                  <a:avLst/>
                                </a:prstGeom>
                                <a:ln w="15875" cap="flat" cmpd="sng">
                                  <a:solidFill>
                                    <a:srgbClr val="739CC3"/>
                                  </a:solidFill>
                                  <a:prstDash val="solid"/>
                                  <a:headEnd type="none" w="med" len="med"/>
                                  <a:tailEnd type="arrow" w="med" len="med"/>
                                </a:ln>
                              </wps:spPr>
                              <wps:bodyPr upright="1"/>
                            </wps:wsp>
                            <wps:wsp>
                              <wps:cNvPr id="239" name="直接连接符 239"/>
                              <wps:cNvCnPr/>
                              <wps:spPr>
                                <a:xfrm>
                                  <a:off x="8932" y="457601"/>
                                  <a:ext cx="1" cy="550"/>
                                </a:xfrm>
                                <a:prstGeom prst="line">
                                  <a:avLst/>
                                </a:prstGeom>
                                <a:ln w="15875" cap="flat" cmpd="sng">
                                  <a:solidFill>
                                    <a:srgbClr val="739CC3"/>
                                  </a:solidFill>
                                  <a:prstDash val="solid"/>
                                  <a:headEnd type="none" w="med" len="med"/>
                                  <a:tailEnd type="arrow" w="med" len="med"/>
                                </a:ln>
                              </wps:spPr>
                              <wps:bodyPr upright="1"/>
                            </wps:wsp>
                            <wps:wsp>
                              <wps:cNvPr id="240" name="直接连接符 240"/>
                              <wps:cNvCnPr/>
                              <wps:spPr>
                                <a:xfrm flipV="1">
                                  <a:off x="9400" y="458235"/>
                                  <a:ext cx="635" cy="17"/>
                                </a:xfrm>
                                <a:prstGeom prst="line">
                                  <a:avLst/>
                                </a:prstGeom>
                                <a:ln w="15875" cap="flat" cmpd="sng">
                                  <a:solidFill>
                                    <a:srgbClr val="739CC3"/>
                                  </a:solidFill>
                                  <a:prstDash val="dash"/>
                                  <a:headEnd type="none" w="med" len="med"/>
                                  <a:tailEnd type="arrow" w="med" len="med"/>
                                </a:ln>
                              </wps:spPr>
                              <wps:bodyPr upright="1"/>
                            </wps:wsp>
                            <wps:wsp>
                              <wps:cNvPr id="241" name="肘形连接符 241"/>
                              <wps:cNvCnPr>
                                <a:stCxn id="247" idx="1"/>
                                <a:endCxn id="242" idx="1"/>
                              </wps:cNvCnPr>
                              <wps:spPr>
                                <a:xfrm rot="10800000">
                                  <a:off x="8465" y="458428"/>
                                  <a:ext cx="18" cy="1215"/>
                                </a:xfrm>
                                <a:prstGeom prst="bentConnector3">
                                  <a:avLst>
                                    <a:gd name="adj1" fmla="val 2183333"/>
                                  </a:avLst>
                                </a:prstGeom>
                                <a:ln w="15875" cap="flat" cmpd="sng">
                                  <a:solidFill>
                                    <a:srgbClr val="739CC3"/>
                                  </a:solidFill>
                                  <a:prstDash val="dash"/>
                                  <a:miter/>
                                  <a:headEnd type="none" w="med" len="med"/>
                                  <a:tailEnd type="arrow" w="med" len="med"/>
                                </a:ln>
                              </wps:spPr>
                              <wps:bodyPr/>
                            </wps:wsp>
                            <wps:wsp>
                              <wps:cNvPr id="242" name="文本框 242"/>
                              <wps:cNvSpPr txBox="1"/>
                              <wps:spPr>
                                <a:xfrm>
                                  <a:off x="8465" y="458136"/>
                                  <a:ext cx="950" cy="583"/>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spacing w:line="360" w:lineRule="auto"/>
                                      <w:jc w:val="center"/>
                                      <w:rPr>
                                        <w:rFonts w:hint="default" w:eastAsia="宋体"/>
                                        <w:sz w:val="21"/>
                                        <w:szCs w:val="21"/>
                                        <w:lang w:val="en-US" w:eastAsia="zh-CN"/>
                                      </w:rPr>
                                    </w:pPr>
                                    <w:r>
                                      <w:rPr>
                                        <w:rFonts w:hint="eastAsia"/>
                                        <w:sz w:val="21"/>
                                        <w:szCs w:val="21"/>
                                        <w:lang w:val="en-US" w:eastAsia="zh-CN"/>
                                      </w:rPr>
                                      <w:t>洗砂</w:t>
                                    </w:r>
                                  </w:p>
                                </w:txbxContent>
                              </wps:txbx>
                              <wps:bodyPr upright="1"/>
                            </wps:wsp>
                            <wps:wsp>
                              <wps:cNvPr id="243" name="文本框 243"/>
                              <wps:cNvSpPr txBox="1"/>
                              <wps:spPr>
                                <a:xfrm>
                                  <a:off x="7149" y="458783"/>
                                  <a:ext cx="933" cy="485"/>
                                </a:xfrm>
                                <a:prstGeom prst="rect">
                                  <a:avLst/>
                                </a:prstGeom>
                                <a:noFill/>
                                <a:ln w="15875">
                                  <a:noFill/>
                                </a:ln>
                              </wps:spPr>
                              <wps:txbx>
                                <w:txbxContent>
                                  <w:p>
                                    <w:pPr>
                                      <w:jc w:val="center"/>
                                      <w:rPr>
                                        <w:rFonts w:hint="default" w:eastAsia="宋体"/>
                                        <w:sz w:val="21"/>
                                        <w:szCs w:val="21"/>
                                        <w:lang w:val="en-US" w:eastAsia="zh-CN"/>
                                      </w:rPr>
                                    </w:pPr>
                                    <w:r>
                                      <w:rPr>
                                        <w:rFonts w:hint="eastAsia"/>
                                        <w:sz w:val="21"/>
                                        <w:szCs w:val="21"/>
                                        <w:lang w:val="en-US" w:eastAsia="zh-CN"/>
                                      </w:rPr>
                                      <w:t>回用</w:t>
                                    </w:r>
                                  </w:p>
                                </w:txbxContent>
                              </wps:txbx>
                              <wps:bodyPr upright="1"/>
                            </wps:wsp>
                            <wps:wsp>
                              <wps:cNvPr id="244" name="文本框 244"/>
                              <wps:cNvSpPr txBox="1"/>
                              <wps:spPr>
                                <a:xfrm>
                                  <a:off x="8832" y="458766"/>
                                  <a:ext cx="933" cy="526"/>
                                </a:xfrm>
                                <a:prstGeom prst="rect">
                                  <a:avLst/>
                                </a:prstGeom>
                                <a:noFill/>
                                <a:ln w="15875">
                                  <a:noFill/>
                                </a:ln>
                              </wps:spPr>
                              <wps:txbx>
                                <w:txbxContent>
                                  <w:p>
                                    <w:pPr>
                                      <w:rPr>
                                        <w:rFonts w:hint="default" w:eastAsia="宋体"/>
                                        <w:sz w:val="21"/>
                                        <w:szCs w:val="21"/>
                                        <w:lang w:val="en-US" w:eastAsia="zh-CN"/>
                                      </w:rPr>
                                    </w:pPr>
                                    <w:r>
                                      <w:rPr>
                                        <w:rFonts w:hint="eastAsia"/>
                                        <w:sz w:val="21"/>
                                        <w:szCs w:val="21"/>
                                        <w:lang w:val="en-US" w:eastAsia="zh-CN"/>
                                      </w:rPr>
                                      <w:t>废水</w:t>
                                    </w:r>
                                  </w:p>
                                </w:txbxContent>
                              </wps:txbx>
                              <wps:bodyPr upright="1"/>
                            </wps:wsp>
                            <wps:wsp>
                              <wps:cNvPr id="245" name="直接连接符 245"/>
                              <wps:cNvCnPr/>
                              <wps:spPr>
                                <a:xfrm>
                                  <a:off x="8933" y="458718"/>
                                  <a:ext cx="1" cy="616"/>
                                </a:xfrm>
                                <a:prstGeom prst="line">
                                  <a:avLst/>
                                </a:prstGeom>
                                <a:ln w="15875" cap="flat" cmpd="sng">
                                  <a:solidFill>
                                    <a:srgbClr val="739CC3"/>
                                  </a:solidFill>
                                  <a:prstDash val="dash"/>
                                  <a:headEnd type="none" w="med" len="med"/>
                                  <a:tailEnd type="arrow" w="med" len="med"/>
                                </a:ln>
                              </wps:spPr>
                              <wps:bodyPr upright="1"/>
                            </wps:wsp>
                            <wps:wsp>
                              <wps:cNvPr id="246" name="文本框 246"/>
                              <wps:cNvSpPr txBox="1"/>
                              <wps:spPr>
                                <a:xfrm>
                                  <a:off x="10115" y="459253"/>
                                  <a:ext cx="945" cy="665"/>
                                </a:xfrm>
                                <a:prstGeom prst="rect">
                                  <a:avLst/>
                                </a:prstGeom>
                                <a:noFill/>
                                <a:ln w="15875">
                                  <a:noFill/>
                                </a:ln>
                              </wps:spPr>
                              <wps:txbx>
                                <w:txbxContent>
                                  <w:p>
                                    <w:pPr>
                                      <w:spacing w:line="360" w:lineRule="auto"/>
                                      <w:jc w:val="center"/>
                                      <w:rPr>
                                        <w:rFonts w:hint="default" w:eastAsia="宋体"/>
                                        <w:sz w:val="21"/>
                                        <w:szCs w:val="21"/>
                                        <w:lang w:val="en-US" w:eastAsia="zh-CN"/>
                                      </w:rPr>
                                    </w:pPr>
                                    <w:r>
                                      <w:rPr>
                                        <w:rFonts w:hint="eastAsia"/>
                                        <w:sz w:val="21"/>
                                        <w:szCs w:val="21"/>
                                        <w:lang w:val="en-US" w:eastAsia="zh-CN"/>
                                      </w:rPr>
                                      <w:t>沉渣</w:t>
                                    </w:r>
                                  </w:p>
                                </w:txbxContent>
                              </wps:txbx>
                              <wps:bodyPr upright="1"/>
                            </wps:wsp>
                            <wps:wsp>
                              <wps:cNvPr id="247" name="文本框 247"/>
                              <wps:cNvSpPr txBox="1"/>
                              <wps:spPr>
                                <a:xfrm>
                                  <a:off x="8483" y="459351"/>
                                  <a:ext cx="950" cy="583"/>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spacing w:line="360" w:lineRule="auto"/>
                                      <w:jc w:val="center"/>
                                      <w:rPr>
                                        <w:rFonts w:hint="default" w:eastAsia="宋体"/>
                                        <w:sz w:val="21"/>
                                        <w:szCs w:val="21"/>
                                        <w:lang w:val="en-US" w:eastAsia="zh-CN"/>
                                      </w:rPr>
                                    </w:pPr>
                                    <w:r>
                                      <w:rPr>
                                        <w:rFonts w:hint="eastAsia"/>
                                        <w:sz w:val="21"/>
                                        <w:szCs w:val="21"/>
                                        <w:lang w:val="en-US" w:eastAsia="zh-CN"/>
                                      </w:rPr>
                                      <w:t>沉淀池</w:t>
                                    </w:r>
                                  </w:p>
                                </w:txbxContent>
                              </wps:txbx>
                              <wps:bodyPr upright="1"/>
                            </wps:wsp>
                            <wps:wsp>
                              <wps:cNvPr id="248" name="直接连接符 248"/>
                              <wps:cNvCnPr/>
                              <wps:spPr>
                                <a:xfrm flipV="1">
                                  <a:off x="9450" y="459635"/>
                                  <a:ext cx="635" cy="17"/>
                                </a:xfrm>
                                <a:prstGeom prst="line">
                                  <a:avLst/>
                                </a:prstGeom>
                                <a:ln w="15875" cap="flat" cmpd="sng">
                                  <a:solidFill>
                                    <a:srgbClr val="739CC3"/>
                                  </a:solidFill>
                                  <a:prstDash val="dash"/>
                                  <a:headEnd type="none" w="med" len="med"/>
                                  <a:tailEnd type="arrow" w="med" len="med"/>
                                </a:ln>
                              </wps:spPr>
                              <wps:bodyPr upright="1"/>
                            </wps:wsp>
                            <wps:wsp>
                              <wps:cNvPr id="249" name="文本框 249"/>
                              <wps:cNvSpPr txBox="1"/>
                              <wps:spPr>
                                <a:xfrm>
                                  <a:off x="14799" y="459384"/>
                                  <a:ext cx="1400" cy="583"/>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spacing w:line="360" w:lineRule="auto"/>
                                      <w:jc w:val="center"/>
                                      <w:rPr>
                                        <w:rFonts w:hint="default" w:eastAsia="宋体"/>
                                        <w:sz w:val="21"/>
                                        <w:szCs w:val="21"/>
                                        <w:lang w:val="en-US" w:eastAsia="zh-CN"/>
                                      </w:rPr>
                                    </w:pPr>
                                    <w:r>
                                      <w:rPr>
                                        <w:rFonts w:hint="eastAsia"/>
                                        <w:sz w:val="21"/>
                                        <w:szCs w:val="21"/>
                                        <w:lang w:val="en-US" w:eastAsia="zh-CN"/>
                                      </w:rPr>
                                      <w:t>成品料</w:t>
                                    </w:r>
                                  </w:p>
                                </w:txbxContent>
                              </wps:txbx>
                              <wps:bodyPr upright="1"/>
                            </wps:wsp>
                          </wpg:wgp>
                        </a:graphicData>
                      </a:graphic>
                    </wp:anchor>
                  </w:drawing>
                </mc:Choice>
                <mc:Fallback>
                  <w:pict>
                    <v:group id="_x0000_s1026" o:spid="_x0000_s1026" o:spt="203" style="position:absolute;left:0pt;margin-left:6.1pt;margin-top:1pt;height:207.45pt;width:422.3pt;z-index:251701248;mso-width-relative:page;mso-height-relative:page;" coordorigin="6616,455818" coordsize="9583,4149" o:gfxdata="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">
                      <o:lock v:ext="edit" aspectratio="f"/>
                      <v:shape id="_x0000_s1026" o:spid="_x0000_s1026" o:spt="202" type="#_x0000_t202" style="position:absolute;left:8063;top:455935;height:583;width:1520;" filled="f" stroked="f" coordsize="21600,21600" o:gfxdata="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WCA&#10;W8EAAADcAAAADwAAAAAAAAABACAAAAAiAAAAZHJzL2Rvd25yZXYueG1sUEsBAhQAFAAAAAgAh07i&#10;QDMvBZ47AAAAOQAAABAAAAAAAAAAAQAgAAAAEAEAAGRycy9zaGFwZXhtbC54bWxQSwUGAAAAAAYA&#10;BgBbAQAAugMAAAAA&#10;">
                        <v:fill on="f" focussize="0,0"/>
                        <v:stroke on="f" weight="1.25pt"/>
                        <v:imagedata o:title=""/>
                        <o:lock v:ext="edit" aspectratio="f"/>
                        <v:textbox>
                          <w:txbxContent>
                            <w:p>
                              <w:pPr>
                                <w:spacing w:line="360" w:lineRule="auto"/>
                                <w:jc w:val="center"/>
                                <w:rPr>
                                  <w:rFonts w:hint="default" w:eastAsia="宋体"/>
                                  <w:sz w:val="21"/>
                                  <w:szCs w:val="21"/>
                                  <w:lang w:val="en-US" w:eastAsia="zh-CN"/>
                                </w:rPr>
                              </w:pPr>
                              <w:r>
                                <w:rPr>
                                  <w:rFonts w:hint="eastAsia"/>
                                  <w:sz w:val="21"/>
                                  <w:szCs w:val="21"/>
                                  <w:lang w:val="en-US" w:eastAsia="zh-CN"/>
                                </w:rPr>
                                <w:t>粉尘、噪声</w:t>
                              </w:r>
                            </w:p>
                          </w:txbxContent>
                        </v:textbox>
                      </v:shape>
                      <v:shape id="_x0000_s1026" o:spid="_x0000_s1026" o:spt="202" type="#_x0000_t202" style="position:absolute;left:12463;top:455884;height:583;width:1519;" filled="f" stroked="f" coordsize="21600,21600" o:gfxdata="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Jsh4s&#10;wAAAANwAAAAPAAAAAAAAAAEAIAAAACIAAABkcnMvZG93bnJldi54bWxQSwECFAAUAAAACACHTuJA&#10;My8FnjsAAAA5AAAAEAAAAAAAAAABACAAAAAPAQAAZHJzL3NoYXBleG1sLnhtbFBLBQYAAAAABgAG&#10;AFsBAAC5AwAAAAA=&#10;">
                        <v:fill on="f" focussize="0,0"/>
                        <v:stroke on="f" weight="1.25pt"/>
                        <v:imagedata o:title=""/>
                        <o:lock v:ext="edit" aspectratio="f"/>
                        <v:textbox>
                          <w:txbxContent>
                            <w:p>
                              <w:pPr>
                                <w:spacing w:line="360" w:lineRule="auto"/>
                                <w:jc w:val="center"/>
                                <w:rPr>
                                  <w:rFonts w:hint="default" w:eastAsia="宋体"/>
                                  <w:sz w:val="21"/>
                                  <w:szCs w:val="21"/>
                                  <w:lang w:val="en-US" w:eastAsia="zh-CN"/>
                                </w:rPr>
                              </w:pPr>
                              <w:r>
                                <w:rPr>
                                  <w:rFonts w:hint="eastAsia"/>
                                  <w:sz w:val="21"/>
                                  <w:szCs w:val="21"/>
                                  <w:lang w:val="en-US" w:eastAsia="zh-CN"/>
                                </w:rPr>
                                <w:t>粉尘、噪声</w:t>
                              </w:r>
                            </w:p>
                          </w:txbxContent>
                        </v:textbox>
                      </v:shape>
                      <v:shape id="_x0000_s1026" o:spid="_x0000_s1026" o:spt="202" type="#_x0000_t202" style="position:absolute;left:14747;top:455867;height:583;width:1284;" filled="f" stroked="f" coordsize="21600,21600" o:gfxdata="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v67&#10;t8EAAADcAAAADwAAAAAAAAABACAAAAAiAAAAZHJzL2Rvd25yZXYueG1sUEsBAhQAFAAAAAgAh07i&#10;QDMvBZ47AAAAOQAAABAAAAAAAAAAAQAgAAAAEAEAAGRycy9zaGFwZXhtbC54bWxQSwUGAAAAAAYA&#10;BgBbAQAAugMAAAAA&#10;">
                        <v:fill on="f" focussize="0,0"/>
                        <v:stroke on="f" weight="1.25pt"/>
                        <v:imagedata o:title=""/>
                        <o:lock v:ext="edit" aspectratio="f"/>
                        <v:textbox>
                          <w:txbxContent>
                            <w:p>
                              <w:pPr>
                                <w:spacing w:line="360" w:lineRule="auto"/>
                                <w:jc w:val="center"/>
                                <w:rPr>
                                  <w:rFonts w:hint="default" w:eastAsia="宋体"/>
                                  <w:sz w:val="21"/>
                                  <w:szCs w:val="21"/>
                                  <w:lang w:val="en-US" w:eastAsia="zh-CN"/>
                                </w:rPr>
                              </w:pPr>
                              <w:r>
                                <w:rPr>
                                  <w:rFonts w:hint="eastAsia"/>
                                  <w:sz w:val="21"/>
                                  <w:szCs w:val="21"/>
                                  <w:lang w:val="en-US" w:eastAsia="zh-CN"/>
                                </w:rPr>
                                <w:t>粉尘、噪声</w:t>
                              </w:r>
                            </w:p>
                          </w:txbxContent>
                        </v:textbox>
                      </v:shape>
                      <v:shape id="_x0000_s1026" o:spid="_x0000_s1026" o:spt="202" type="#_x0000_t202" style="position:absolute;left:11024;top:455868;height:583;width:1442;" filled="f" stroked="f" coordsize="21600,21600" o:gfxdata="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2Evxb4A&#10;AADcAAAADwAAAAAAAAABACAAAAAiAAAAZHJzL2Rvd25yZXYueG1sUEsBAhQAFAAAAAgAh07iQDMv&#10;BZ47AAAAOQAAABAAAAAAAAAAAQAgAAAADQEAAGRycy9zaGFwZXhtbC54bWxQSwUGAAAAAAYABgBb&#10;AQAAtwMAAAAA&#10;">
                        <v:fill on="f" focussize="0,0"/>
                        <v:stroke on="f" weight="1.25pt"/>
                        <v:imagedata o:title=""/>
                        <o:lock v:ext="edit" aspectratio="f"/>
                        <v:textbox>
                          <w:txbxContent>
                            <w:p>
                              <w:pPr>
                                <w:spacing w:line="360" w:lineRule="auto"/>
                                <w:jc w:val="center"/>
                                <w:rPr>
                                  <w:rFonts w:hint="default" w:eastAsia="宋体"/>
                                  <w:sz w:val="21"/>
                                  <w:szCs w:val="21"/>
                                  <w:lang w:val="en-US" w:eastAsia="zh-CN"/>
                                </w:rPr>
                              </w:pPr>
                              <w:r>
                                <w:rPr>
                                  <w:rFonts w:hint="eastAsia"/>
                                  <w:sz w:val="21"/>
                                  <w:szCs w:val="21"/>
                                  <w:lang w:val="en-US" w:eastAsia="zh-CN"/>
                                </w:rPr>
                                <w:t>粉尘、噪声</w:t>
                              </w:r>
                            </w:p>
                          </w:txbxContent>
                        </v:textbox>
                      </v:shape>
                      <v:shape id="_x0000_s1026" o:spid="_x0000_s1026" o:spt="202" type="#_x0000_t202" style="position:absolute;left:10149;top:455818;height:583;width:950;" fillcolor="#FFFFFF" filled="t" stroked="t" coordsize="21600,21600" o:gfxdata="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hVL4A&#10;AADcAAAADwAAAAAAAAABACAAAAAiAAAAZHJzL2Rvd25yZXYueG1sUEsBAhQAFAAAAAgAh07iQDMv&#10;BZ47AAAAOQAAABAAAAAAAAAAAQAgAAAADQEAAGRycy9zaGFwZXhtbC54bWxQSwUGAAAAAAYABgBb&#10;AQAAtwMAAAAA&#10;">
                        <v:fill type="gradient" on="t" color2="#FFFFFF" angle="90" focus="100%" focussize="0,0">
                          <o:fill type="gradientUnscaled" v:ext="backwardCompatible"/>
                        </v:fill>
                        <v:stroke weight="1.25pt" color="#739CC3" joinstyle="miter"/>
                        <v:imagedata o:title=""/>
                        <o:lock v:ext="edit" aspectratio="f"/>
                        <v:textbox>
                          <w:txbxContent>
                            <w:p>
                              <w:pPr>
                                <w:spacing w:line="360" w:lineRule="auto"/>
                                <w:jc w:val="center"/>
                                <w:rPr>
                                  <w:rFonts w:hint="default" w:eastAsia="宋体"/>
                                  <w:sz w:val="21"/>
                                  <w:szCs w:val="21"/>
                                  <w:lang w:val="en-US" w:eastAsia="zh-CN"/>
                                </w:rPr>
                              </w:pPr>
                              <w:r>
                                <w:rPr>
                                  <w:rFonts w:hint="eastAsia"/>
                                  <w:sz w:val="21"/>
                                  <w:szCs w:val="21"/>
                                  <w:lang w:val="en-US" w:eastAsia="zh-CN"/>
                                </w:rPr>
                                <w:t>储料斗</w:t>
                              </w:r>
                            </w:p>
                          </w:txbxContent>
                        </v:textbox>
                      </v:shape>
                      <v:shape id="_x0000_s1026" o:spid="_x0000_s1026" o:spt="202" type="#_x0000_t202" style="position:absolute;left:9650;top:456451;height:512;width:933;" filled="f" stroked="f" coordsize="21600,21600" o:gfxdata="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e+l+vQAA&#10;ANwAAAAPAAAAAAAAAAEAIAAAACIAAABkcnMvZG93bnJldi54bWxQSwECFAAUAAAACACHTuJAMy8F&#10;njsAAAA5AAAAEAAAAAAAAAABACAAAAAMAQAAZHJzL3NoYXBleG1sLnhtbFBLBQYAAAAABgAGAFsB&#10;AAC2AwAAAAA=&#10;">
                        <v:fill on="f" focussize="0,0"/>
                        <v:stroke on="f" weight="1.25pt"/>
                        <v:imagedata o:title=""/>
                        <o:lock v:ext="edit" aspectratio="f"/>
                        <v:textbox>
                          <w:txbxContent>
                            <w:p>
                              <w:pPr>
                                <w:rPr>
                                  <w:rFonts w:hint="eastAsia" w:eastAsia="宋体"/>
                                  <w:sz w:val="21"/>
                                  <w:szCs w:val="21"/>
                                  <w:lang w:val="en-US" w:eastAsia="zh-CN"/>
                                </w:rPr>
                              </w:pPr>
                              <w:r>
                                <w:rPr>
                                  <w:rFonts w:hint="eastAsia"/>
                                  <w:sz w:val="21"/>
                                  <w:szCs w:val="21"/>
                                  <w:lang w:val="en-US" w:eastAsia="zh-CN"/>
                                </w:rPr>
                                <w:t>河卵石</w:t>
                              </w:r>
                            </w:p>
                          </w:txbxContent>
                        </v:textbox>
                      </v:shape>
                      <v:line id="_x0000_s1026" o:spid="_x0000_s1026" o:spt="20" style="position:absolute;left:15416;top:456467;flip:y;height:500;width:1;" filled="f" stroked="t" coordsize="21600,21600" o:gfxdata="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DpF74A&#10;AADcAAAADwAAAAAAAAABACAAAAAiAAAAZHJzL2Rvd25yZXYueG1sUEsBAhQAFAAAAAgAh07iQDMv&#10;BZ47AAAAOQAAABAAAAAAAAAAAQAgAAAADQEAAGRycy9zaGFwZXhtbC54bWxQSwUGAAAAAAYABgBb&#10;AQAAtwMAAAAA&#10;">
                        <v:fill on="f" focussize="0,0"/>
                        <v:stroke weight="1.25pt" color="#739CC3" joinstyle="round" dashstyle="dash" endarrow="open"/>
                        <v:imagedata o:title=""/>
                        <o:lock v:ext="edit" aspectratio="f"/>
                      </v:line>
                      <v:line id="_x0000_s1026" o:spid="_x0000_s1026" o:spt="20" style="position:absolute;left:13350;top:456534;flip:y;height:500;width:1;" filled="f" stroked="t" coordsize="21600,21600" o:gfxdata="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OJ3YL4A&#10;AADcAAAADwAAAAAAAAABACAAAAAiAAAAZHJzL2Rvd25yZXYueG1sUEsBAhQAFAAAAAgAh07iQDMv&#10;BZ47AAAAOQAAABAAAAAAAAAAAQAgAAAADQEAAGRycy9zaGFwZXhtbC54bWxQSwUGAAAAAAYABgBb&#10;AQAAtwMAAAAA&#10;">
                        <v:fill on="f" focussize="0,0"/>
                        <v:stroke weight="1.25pt" color="#739CC3" joinstyle="round" dashstyle="dash" endarrow="open"/>
                        <v:imagedata o:title=""/>
                        <o:lock v:ext="edit" aspectratio="f"/>
                      </v:line>
                      <v:line id="_x0000_s1026" o:spid="_x0000_s1026" o:spt="20" style="position:absolute;left:11499;top:456501;flip:y;height:500;width:1;" filled="f" stroked="t" coordsize="21600,21600" o:gfxdata="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eu0vu/&#10;AAAA3AAAAA8AAAAAAAAAAQAgAAAAIgAAAGRycy9kb3ducmV2LnhtbFBLAQIUABQAAAAIAIdO4kAz&#10;LwWeOwAAADkAAAAQAAAAAAAAAAEAIAAAAA4BAABkcnMvc2hhcGV4bWwueG1sUEsFBgAAAAAGAAYA&#10;WwEAALgDAAAAAA==&#10;">
                        <v:fill on="f" focussize="0,0"/>
                        <v:stroke weight="1.25pt" color="#739CC3" joinstyle="round" dashstyle="dash" endarrow="open"/>
                        <v:imagedata o:title=""/>
                        <o:lock v:ext="edit" aspectratio="f"/>
                      </v:line>
                      <v:line id="_x0000_s1026" o:spid="_x0000_s1026" o:spt="20" style="position:absolute;left:10649;top:456435;height:550;width:1;" filled="f" stroked="t" coordsize="21600,21600" o:gfxdata="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54MYq8AAAA&#10;3AAAAA8AAAAAAAAAAQAgAAAAIgAAAGRycy9kb3ducmV2LnhtbFBLAQIUABQAAAAIAIdO4kAzLwWe&#10;OwAAADkAAAAQAAAAAAAAAAEAIAAAAAsBAABkcnMvc2hhcGV4bWwueG1sUEsFBgAAAAAGAAYAWwEA&#10;ALUDAAAAAA==&#10;">
                        <v:fill on="f" focussize="0,0"/>
                        <v:stroke weight="1.25pt" color="#739CC3" joinstyle="round" endarrow="open"/>
                        <v:imagedata o:title=""/>
                        <o:lock v:ext="edit" aspectratio="f"/>
                      </v:line>
                      <v:line id="_x0000_s1026" o:spid="_x0000_s1026" o:spt="20" style="position:absolute;left:8917;top:456518;flip:y;height:500;width:1;" filled="f" stroked="t" coordsize="21600,21600" o:gfxdata="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cL7xS/&#10;AAAA3AAAAA8AAAAAAAAAAQAgAAAAIgAAAGRycy9kb3ducmV2LnhtbFBLAQIUABQAAAAIAIdO4kAz&#10;LwWeOwAAADkAAAAQAAAAAAAAAAEAIAAAAA4BAABkcnMvc2hhcGV4bWwueG1sUEsFBgAAAAAGAAYA&#10;WwEAALgDAAAAAA==&#10;">
                        <v:fill on="f" focussize="0,0"/>
                        <v:stroke weight="1.25pt" color="#739CC3" joinstyle="round" dashstyle="dash" endarrow="open"/>
                        <v:imagedata o:title=""/>
                        <o:lock v:ext="edit" aspectratio="f"/>
                      </v:line>
                      <v:shape id="_x0000_s1026" o:spid="_x0000_s1026" o:spt="202" type="#_x0000_t202" style="position:absolute;left:7498;top:456733;height:430;width:933;" filled="f" stroked="f" coordsize="21600,21600" o:gfxdata="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3tSR&#10;wAAAANwAAAAPAAAAAAAAAAEAIAAAACIAAABkcnMvZG93bnJldi54bWxQSwECFAAUAAAACACHTuJA&#10;My8FnjsAAAA5AAAAEAAAAAAAAAABACAAAAAPAQAAZHJzL3NoYXBleG1sLnhtbFBLBQYAAAAABgAG&#10;AFsBAAC5AwAAAAA=&#10;">
                        <v:fill on="f" focussize="0,0"/>
                        <v:stroke on="f" weight="1.25pt"/>
                        <v:imagedata o:title=""/>
                        <o:lock v:ext="edit" aspectratio="f"/>
                        <v:textbox>
                          <w:txbxContent>
                            <w:p>
                              <w:pPr>
                                <w:rPr>
                                  <w:rFonts w:hint="default" w:eastAsia="宋体"/>
                                  <w:sz w:val="21"/>
                                  <w:szCs w:val="21"/>
                                  <w:lang w:val="en-US" w:eastAsia="zh-CN"/>
                                </w:rPr>
                              </w:pPr>
                              <w:r>
                                <w:rPr>
                                  <w:rFonts w:hint="eastAsia"/>
                                  <w:sz w:val="21"/>
                                  <w:szCs w:val="21"/>
                                  <w:lang w:val="en-US" w:eastAsia="zh-CN"/>
                                </w:rPr>
                                <w:t>混砂</w:t>
                              </w:r>
                            </w:p>
                          </w:txbxContent>
                        </v:textbox>
                      </v:shape>
                      <v:shape id="_x0000_s1026" o:spid="_x0000_s1026" o:spt="202" type="#_x0000_t202" style="position:absolute;left:14733;top:457001;height:583;width:1400;" fillcolor="#FFFFFF" filled="t" stroked="t" coordsize="21600,21600" o:gfxdata="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dBaAL4A&#10;AADcAAAADwAAAAAAAAABACAAAAAiAAAAZHJzL2Rvd25yZXYueG1sUEsBAhQAFAAAAAgAh07iQDMv&#10;BZ47AAAAOQAAABAAAAAAAAAAAQAgAAAADQEAAGRycy9zaGFwZXhtbC54bWxQSwUGAAAAAAYABgBb&#10;AQAAtwMAAAAA&#10;">
                        <v:fill type="gradient" on="t" color2="#FFFFFF" angle="90" focus="100%" focussize="0,0">
                          <o:fill type="gradientUnscaled" v:ext="backwardCompatible"/>
                        </v:fill>
                        <v:stroke weight="1.25pt" color="#739CC3" joinstyle="miter"/>
                        <v:imagedata o:title=""/>
                        <o:lock v:ext="edit" aspectratio="f"/>
                        <v:textbox>
                          <w:txbxContent>
                            <w:p>
                              <w:pPr>
                                <w:spacing w:line="360" w:lineRule="auto"/>
                                <w:jc w:val="center"/>
                                <w:rPr>
                                  <w:rFonts w:hint="default" w:eastAsia="宋体"/>
                                  <w:sz w:val="21"/>
                                  <w:szCs w:val="21"/>
                                  <w:lang w:val="en-US" w:eastAsia="zh-CN"/>
                                </w:rPr>
                              </w:pPr>
                              <w:r>
                                <w:rPr>
                                  <w:rFonts w:hint="eastAsia"/>
                                  <w:sz w:val="21"/>
                                  <w:szCs w:val="21"/>
                                  <w:lang w:val="en-US" w:eastAsia="zh-CN"/>
                                </w:rPr>
                                <w:t>二次筛分</w:t>
                              </w:r>
                            </w:p>
                          </w:txbxContent>
                        </v:textbox>
                      </v:shape>
                      <v:shape id="_x0000_s1026" o:spid="_x0000_s1026" o:spt="202" type="#_x0000_t202" style="position:absolute;left:12466;top:457018;height:583;width:1600;" fillcolor="#FFFFFF" filled="t" stroked="t" coordsize="21600,21600" o:gfxdata="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E/OcrsAAADc&#10;AAAADwAAAAAAAAABACAAAAAiAAAAZHJzL2Rvd25yZXYueG1sUEsBAhQAFAAAAAgAh07iQDMvBZ47&#10;AAAAOQAAABAAAAAAAAAAAQAgAAAACgEAAGRycy9zaGFwZXhtbC54bWxQSwUGAAAAAAYABgBbAQAA&#10;tAMAAAAA&#10;">
                        <v:fill type="gradient" on="t" color2="#FFFFFF" angle="90" focus="100%" focussize="0,0">
                          <o:fill type="gradientUnscaled" v:ext="backwardCompatible"/>
                        </v:fill>
                        <v:stroke weight="1.25pt" color="#739CC3" joinstyle="miter"/>
                        <v:imagedata o:title=""/>
                        <o:lock v:ext="edit" aspectratio="f"/>
                        <v:textbox>
                          <w:txbxContent>
                            <w:p>
                              <w:pPr>
                                <w:spacing w:line="360" w:lineRule="auto"/>
                                <w:jc w:val="center"/>
                                <w:rPr>
                                  <w:rFonts w:hint="default" w:eastAsia="宋体"/>
                                  <w:sz w:val="21"/>
                                  <w:szCs w:val="21"/>
                                  <w:lang w:val="en-US" w:eastAsia="zh-CN"/>
                                </w:rPr>
                              </w:pPr>
                              <w:r>
                                <w:rPr>
                                  <w:rFonts w:hint="eastAsia"/>
                                  <w:sz w:val="21"/>
                                  <w:szCs w:val="21"/>
                                  <w:lang w:val="en-US" w:eastAsia="zh-CN"/>
                                </w:rPr>
                                <w:t>锤式破碎机</w:t>
                              </w:r>
                            </w:p>
                          </w:txbxContent>
                        </v:textbox>
                      </v:shape>
                      <v:shape id="_x0000_s1026" o:spid="_x0000_s1026" o:spt="202" type="#_x0000_t202" style="position:absolute;left:10233;top:457018;height:583;width:1600;" fillcolor="#FFFFFF" filled="t" stroked="t" coordsize="21600,21600" o:gfxdata="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wNr6b4A&#10;AADcAAAADwAAAAAAAAABACAAAAAiAAAAZHJzL2Rvd25yZXYueG1sUEsBAhQAFAAAAAgAh07iQDMv&#10;BZ47AAAAOQAAABAAAAAAAAAAAQAgAAAADQEAAGRycy9zaGFwZXhtbC54bWxQSwUGAAAAAAYABgBb&#10;AQAAtwMAAAAA&#10;">
                        <v:fill type="gradient" on="t" color2="#FFFFFF" angle="90" focus="100%" focussize="0,0">
                          <o:fill type="gradientUnscaled" v:ext="backwardCompatible"/>
                        </v:fill>
                        <v:stroke weight="1.25pt" color="#739CC3" joinstyle="miter"/>
                        <v:imagedata o:title=""/>
                        <o:lock v:ext="edit" aspectratio="f"/>
                        <v:textbox>
                          <w:txbxContent>
                            <w:p>
                              <w:pPr>
                                <w:spacing w:line="360" w:lineRule="auto"/>
                                <w:jc w:val="center"/>
                                <w:rPr>
                                  <w:rFonts w:hint="default" w:eastAsia="宋体"/>
                                  <w:sz w:val="21"/>
                                  <w:szCs w:val="21"/>
                                  <w:lang w:val="en-US" w:eastAsia="zh-CN"/>
                                </w:rPr>
                              </w:pPr>
                              <w:r>
                                <w:rPr>
                                  <w:rFonts w:hint="eastAsia"/>
                                  <w:sz w:val="21"/>
                                  <w:szCs w:val="21"/>
                                  <w:lang w:val="en-US" w:eastAsia="zh-CN"/>
                                </w:rPr>
                                <w:t>颚式破碎机</w:t>
                              </w:r>
                            </w:p>
                          </w:txbxContent>
                        </v:textbox>
                      </v:shape>
                      <v:shape id="_x0000_s1026" o:spid="_x0000_s1026" o:spt="202" type="#_x0000_t202" style="position:absolute;left:8199;top:457018;height:583;width:1400;" fillcolor="#FFFFFF" filled="t" stroked="t" coordsize="21600,21600" o:gfxdata="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gVKm8AAAA&#10;3AAAAA8AAAAAAAAAAQAgAAAAIgAAAGRycy9kb3ducmV2LnhtbFBLAQIUABQAAAAIAIdO4kAzLwWe&#10;OwAAADkAAAAQAAAAAAAAAAEAIAAAAAsBAABkcnMvc2hhcGV4bWwueG1sUEsFBgAAAAAGAAYAWwEA&#10;ALUDAAAAAA==&#10;">
                        <v:fill type="gradient" on="t" color2="#FFFFFF" angle="90" focus="100%" focussize="0,0">
                          <o:fill type="gradientUnscaled" v:ext="backwardCompatible"/>
                        </v:fill>
                        <v:stroke weight="1.25pt" color="#739CC3" joinstyle="miter"/>
                        <v:imagedata o:title=""/>
                        <o:lock v:ext="edit" aspectratio="f"/>
                        <v:textbox>
                          <w:txbxContent>
                            <w:p>
                              <w:pPr>
                                <w:spacing w:line="360" w:lineRule="auto"/>
                                <w:jc w:val="center"/>
                                <w:rPr>
                                  <w:rFonts w:hint="default" w:eastAsia="宋体"/>
                                  <w:sz w:val="21"/>
                                  <w:szCs w:val="21"/>
                                  <w:lang w:val="en-US" w:eastAsia="zh-CN"/>
                                </w:rPr>
                              </w:pPr>
                              <w:r>
                                <w:rPr>
                                  <w:rFonts w:hint="eastAsia"/>
                                  <w:sz w:val="21"/>
                                  <w:szCs w:val="21"/>
                                  <w:lang w:val="en-US" w:eastAsia="zh-CN"/>
                                </w:rPr>
                                <w:t>初次筛分</w:t>
                              </w:r>
                            </w:p>
                          </w:txbxContent>
                        </v:textbox>
                      </v:shape>
                      <v:shape id="_x0000_s1026" o:spid="_x0000_s1026" o:spt="202" type="#_x0000_t202" style="position:absolute;left:6616;top:457018;height:583;width:950;" fillcolor="#FFFFFF" filled="t" stroked="t" coordsize="21600,21600" o:gfxdata="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KzxMr4A&#10;AADcAAAADwAAAAAAAAABACAAAAAiAAAAZHJzL2Rvd25yZXYueG1sUEsBAhQAFAAAAAgAh07iQDMv&#10;BZ47AAAAOQAAABAAAAAAAAAAAQAgAAAADQEAAGRycy9zaGFwZXhtbC54bWxQSwUGAAAAAAYABgBb&#10;AQAAtwMAAAAA&#10;">
                        <v:fill type="gradient" on="t" color2="#FFFFFF" angle="90" focus="100%" focussize="0,0">
                          <o:fill type="gradientUnscaled" v:ext="backwardCompatible"/>
                        </v:fill>
                        <v:stroke weight="1.25pt" color="#739CC3" joinstyle="miter"/>
                        <v:imagedata o:title=""/>
                        <o:lock v:ext="edit" aspectratio="f"/>
                        <v:textbox>
                          <w:txbxContent>
                            <w:p>
                              <w:pPr>
                                <w:spacing w:line="360" w:lineRule="auto"/>
                                <w:jc w:val="center"/>
                                <w:rPr>
                                  <w:rFonts w:hint="eastAsia" w:eastAsia="宋体"/>
                                  <w:sz w:val="21"/>
                                  <w:szCs w:val="21"/>
                                  <w:lang w:val="en-US" w:eastAsia="zh-CN"/>
                                </w:rPr>
                              </w:pPr>
                              <w:r>
                                <w:rPr>
                                  <w:rFonts w:hint="eastAsia"/>
                                  <w:sz w:val="21"/>
                                  <w:szCs w:val="21"/>
                                  <w:lang w:val="en-US" w:eastAsia="zh-CN"/>
                                </w:rPr>
                                <w:t>料仓</w:t>
                              </w:r>
                            </w:p>
                          </w:txbxContent>
                        </v:textbox>
                      </v:shape>
                      <v:line id="_x0000_s1026" o:spid="_x0000_s1026" o:spt="20" style="position:absolute;left:14099;top:457284;height:1;width:634;" filled="f" stroked="t" coordsize="21600,21600" o:gfxdata="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Emri8AAAA&#10;3AAAAA8AAAAAAAAAAQAgAAAAIgAAAGRycy9kb3ducmV2LnhtbFBLAQIUABQAAAAIAIdO4kAzLwWe&#10;OwAAADkAAAAQAAAAAAAAAAEAIAAAAAsBAABkcnMvc2hhcGV4bWwueG1sUEsFBgAAAAAGAAYAWwEA&#10;ALUDAAAAAA==&#10;">
                        <v:fill on="f" focussize="0,0"/>
                        <v:stroke weight="1.25pt" color="#739CC3" joinstyle="round" endarrow="open"/>
                        <v:imagedata o:title=""/>
                        <o:lock v:ext="edit" aspectratio="f"/>
                      </v:line>
                      <v:line id="_x0000_s1026" o:spid="_x0000_s1026" o:spt="20" style="position:absolute;left:11816;top:457284;height:1;width:634;" filled="f" stroked="t" coordsize="21600,21600" o:gfxdata="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IPyO8AAAA&#10;3AAAAA8AAAAAAAAAAQAgAAAAIgAAAGRycy9kb3ducmV2LnhtbFBLAQIUABQAAAAIAIdO4kAzLwWe&#10;OwAAADkAAAAQAAAAAAAAAAEAIAAAAAsBAABkcnMvc2hhcGV4bWwueG1sUEsFBgAAAAAGAAYAWwEA&#10;ALUDAAAAAA==&#10;">
                        <v:fill on="f" focussize="0,0"/>
                        <v:stroke weight="1.25pt" color="#739CC3" joinstyle="round" endarrow="open"/>
                        <v:imagedata o:title=""/>
                        <o:lock v:ext="edit" aspectratio="f"/>
                      </v:line>
                      <v:line id="_x0000_s1026" o:spid="_x0000_s1026" o:spt="20" style="position:absolute;left:9583;top:457301;height:1;width:634;" filled="f" stroked="t" coordsize="21600,21600" o:gfxdata="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adXvQAA&#10;ANwAAAAPAAAAAAAAAAEAIAAAACIAAABkcnMvZG93bnJldi54bWxQSwECFAAUAAAACACHTuJAMy8F&#10;njsAAAA5AAAAEAAAAAAAAAABACAAAAAMAQAAZHJzL3NoYXBleG1sLnhtbFBLBQYAAAAABgAGAFsB&#10;AAC2AwAAAAA=&#10;">
                        <v:fill on="f" focussize="0,0"/>
                        <v:stroke weight="1.25pt" color="#739CC3" joinstyle="round" endarrow="open"/>
                        <v:imagedata o:title=""/>
                        <o:lock v:ext="edit" aspectratio="f"/>
                      </v:line>
                      <v:line id="_x0000_s1026" o:spid="_x0000_s1026" o:spt="20" style="position:absolute;left:7566;top:457301;height:1;width:634;" filled="f" stroked="t" coordsize="21600,21600" o:gfxdata="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7QLMvQAA&#10;ANwAAAAPAAAAAAAAAAEAIAAAACIAAABkcnMvZG93bnJldi54bWxQSwECFAAUAAAACACHTuJAMy8F&#10;njsAAAA5AAAAEAAAAAAAAAABACAAAAAMAQAAZHJzL3NoYXBleG1sLnhtbFBLBQYAAAAABgAGAFsB&#10;AAC2AwAAAAA=&#10;">
                        <v:fill on="f" focussize="0,0"/>
                        <v:stroke weight="1.25pt" color="#739CC3" joinstyle="round" endarrow="open"/>
                        <v:imagedata o:title=""/>
                        <o:lock v:ext="edit" aspectratio="f"/>
                      </v:line>
                      <v:shape id="_x0000_s1026" o:spid="_x0000_s1026" o:spt="202" type="#_x0000_t202" style="position:absolute;left:10015;top:457935;height:583;width:818;" filled="f" stroked="f" coordsize="21600,21600" o:gfxdata="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gdC&#10;TMEAAADcAAAADwAAAAAAAAABACAAAAAiAAAAZHJzL2Rvd25yZXYueG1sUEsBAhQAFAAAAAgAh07i&#10;QDMvBZ47AAAAOQAAABAAAAAAAAAAAQAgAAAAEAEAAGRycy9zaGFwZXhtbC54bWxQSwUGAAAAAAYA&#10;BgBbAQAAugMAAAAA&#10;">
                        <v:fill on="f" focussize="0,0"/>
                        <v:stroke on="f" weight="1.25pt"/>
                        <v:imagedata o:title=""/>
                        <o:lock v:ext="edit" aspectratio="f"/>
                        <v:textbox>
                          <w:txbxContent>
                            <w:p>
                              <w:pPr>
                                <w:spacing w:line="360" w:lineRule="auto"/>
                                <w:jc w:val="center"/>
                                <w:rPr>
                                  <w:rFonts w:hint="default" w:eastAsia="宋体"/>
                                  <w:sz w:val="21"/>
                                  <w:szCs w:val="21"/>
                                  <w:lang w:val="en-US" w:eastAsia="zh-CN"/>
                                </w:rPr>
                              </w:pPr>
                              <w:r>
                                <w:rPr>
                                  <w:rFonts w:hint="eastAsia"/>
                                  <w:sz w:val="21"/>
                                  <w:szCs w:val="21"/>
                                  <w:lang w:val="en-US" w:eastAsia="zh-CN"/>
                                </w:rPr>
                                <w:t>噪声</w:t>
                              </w:r>
                            </w:p>
                          </w:txbxContent>
                        </v:textbox>
                      </v:shape>
                      <v:shape id="_x0000_s1026" o:spid="_x0000_s1026" o:spt="33" type="#_x0000_t33" style="position:absolute;left:9415;top:457584;flip:y;height:844;width:6018;" filled="f" stroked="t" coordsize="21600,21600" o:gfxdata="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RfJ+r4A&#10;AADcAAAADwAAAAAAAAABACAAAAAiAAAAZHJzL2Rvd25yZXYueG1sUEsBAhQAFAAAAAgAh07iQDMv&#10;BZ47AAAAOQAAABAAAAAAAAAAAQAgAAAADQEAAGRycy9zaGFwZXhtbC54bWxQSwUGAAAAAAYABgBb&#10;AQAAtwMAAAAA&#10;">
                        <v:fill on="f" focussize="0,0"/>
                        <v:stroke weight="1.25pt" color="#739CC3" joinstyle="miter" endarrow="open"/>
                        <v:imagedata o:title=""/>
                        <o:lock v:ext="edit" aspectratio="f"/>
                      </v:shape>
                      <v:line id="_x0000_s1026" o:spid="_x0000_s1026" o:spt="20" style="position:absolute;left:15500;top:457601;flip:x;height:1765;width:16;" filled="f" stroked="t" coordsize="21600,21600" o:gfxdata="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D2HprsAAADc&#10;AAAADwAAAAAAAAABACAAAAAiAAAAZHJzL2Rvd25yZXYueG1sUEsBAhQAFAAAAAgAh07iQDMvBZ47&#10;AAAAOQAAABAAAAAAAAAAAQAgAAAACgEAAGRycy9zaGFwZXhtbC54bWxQSwUGAAAAAAYABgBbAQAA&#10;tAMAAAAA&#10;">
                        <v:fill on="f" focussize="0,0"/>
                        <v:stroke weight="1.25pt" color="#739CC3" joinstyle="round" endarrow="open"/>
                        <v:imagedata o:title=""/>
                        <o:lock v:ext="edit" aspectratio="f"/>
                      </v:line>
                      <v:line id="_x0000_s1026" o:spid="_x0000_s1026" o:spt="20" style="position:absolute;left:8932;top:457601;height:550;width:1;" filled="f" stroked="t" coordsize="21600,21600" o:gfxdata="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oAjJvQAA&#10;ANwAAAAPAAAAAAAAAAEAIAAAACIAAABkcnMvZG93bnJldi54bWxQSwECFAAUAAAACACHTuJAMy8F&#10;njsAAAA5AAAAEAAAAAAAAAABACAAAAAMAQAAZHJzL3NoYXBleG1sLnhtbFBLBQYAAAAABgAGAFsB&#10;AAC2AwAAAAA=&#10;">
                        <v:fill on="f" focussize="0,0"/>
                        <v:stroke weight="1.25pt" color="#739CC3" joinstyle="round" endarrow="open"/>
                        <v:imagedata o:title=""/>
                        <o:lock v:ext="edit" aspectratio="f"/>
                      </v:line>
                      <v:line id="_x0000_s1026" o:spid="_x0000_s1026" o:spt="20" style="position:absolute;left:9400;top:458235;flip:y;height:17;width:635;" filled="f" stroked="t" coordsize="21600,21600" o:gfxdata="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qjqSy5AAAA3AAA&#10;AA8AAAAAAAAAAQAgAAAAIgAAAGRycy9kb3ducmV2LnhtbFBLAQIUABQAAAAIAIdO4kAzLwWeOwAA&#10;ADkAAAAQAAAAAAAAAAEAIAAAAAgBAABkcnMvc2hhcGV4bWwueG1sUEsFBgAAAAAGAAYAWwEAALID&#10;AAAAAA==&#10;">
                        <v:fill on="f" focussize="0,0"/>
                        <v:stroke weight="1.25pt" color="#739CC3" joinstyle="round" dashstyle="dash" endarrow="open"/>
                        <v:imagedata o:title=""/>
                        <o:lock v:ext="edit" aspectratio="f"/>
                      </v:line>
                      <v:shape id="_x0000_s1026" o:spid="_x0000_s1026" o:spt="34" type="#_x0000_t34" style="position:absolute;left:8465;top:458428;height:1215;width:18;rotation:11796480f;" filled="f" stroked="t" coordsize="21600,21600" o:gfxdata="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LTpb4A&#10;AADcAAAADwAAAAAAAAABACAAAAAiAAAAZHJzL2Rvd25yZXYueG1sUEsBAhQAFAAAAAgAh07iQDMv&#10;BZ47AAAAOQAAABAAAAAAAAAAAQAgAAAADQEAAGRycy9zaGFwZXhtbC54bWxQSwUGAAAAAAYABgBb&#10;AQAAtwMAAAAA&#10;" adj="471600">
                        <v:fill on="f" focussize="0,0"/>
                        <v:stroke weight="1.25pt" color="#739CC3" joinstyle="miter" dashstyle="dash" endarrow="open"/>
                        <v:imagedata o:title=""/>
                        <o:lock v:ext="edit" aspectratio="f"/>
                      </v:shape>
                      <v:shape id="_x0000_s1026" o:spid="_x0000_s1026" o:spt="202" type="#_x0000_t202" style="position:absolute;left:8465;top:458136;height:583;width:950;" fillcolor="#FFFFFF" filled="t" stroked="t" coordsize="21600,21600" o:gfxdata="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R4HDi/&#10;AAAA3AAAAA8AAAAAAAAAAQAgAAAAIgAAAGRycy9kb3ducmV2LnhtbFBLAQIUABQAAAAIAIdO4kAz&#10;LwWeOwAAADkAAAAQAAAAAAAAAAEAIAAAAA4BAABkcnMvc2hhcGV4bWwueG1sUEsFBgAAAAAGAAYA&#10;WwEAALgDAAAAAA==&#10;">
                        <v:fill type="gradient" on="t" color2="#FFFFFF" angle="90" focus="100%" focussize="0,0">
                          <o:fill type="gradientUnscaled" v:ext="backwardCompatible"/>
                        </v:fill>
                        <v:stroke weight="1.25pt" color="#739CC3" joinstyle="miter"/>
                        <v:imagedata o:title=""/>
                        <o:lock v:ext="edit" aspectratio="f"/>
                        <v:textbox>
                          <w:txbxContent>
                            <w:p>
                              <w:pPr>
                                <w:spacing w:line="360" w:lineRule="auto"/>
                                <w:jc w:val="center"/>
                                <w:rPr>
                                  <w:rFonts w:hint="default" w:eastAsia="宋体"/>
                                  <w:sz w:val="21"/>
                                  <w:szCs w:val="21"/>
                                  <w:lang w:val="en-US" w:eastAsia="zh-CN"/>
                                </w:rPr>
                              </w:pPr>
                              <w:r>
                                <w:rPr>
                                  <w:rFonts w:hint="eastAsia"/>
                                  <w:sz w:val="21"/>
                                  <w:szCs w:val="21"/>
                                  <w:lang w:val="en-US" w:eastAsia="zh-CN"/>
                                </w:rPr>
                                <w:t>洗砂</w:t>
                              </w:r>
                            </w:p>
                          </w:txbxContent>
                        </v:textbox>
                      </v:shape>
                      <v:shape id="_x0000_s1026" o:spid="_x0000_s1026" o:spt="202" type="#_x0000_t202" style="position:absolute;left:7149;top:458783;height:485;width:933;" filled="f" stroked="f" coordsize="21600,21600" o:gfxdata="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naS&#10;qcEAAADcAAAADwAAAAAAAAABACAAAAAiAAAAZHJzL2Rvd25yZXYueG1sUEsBAhQAFAAAAAgAh07i&#10;QDMvBZ47AAAAOQAAABAAAAAAAAAAAQAgAAAAEAEAAGRycy9zaGFwZXhtbC54bWxQSwUGAAAAAAYA&#10;BgBbAQAAugMAAAAA&#10;">
                        <v:fill on="f" focussize="0,0"/>
                        <v:stroke on="f" weight="1.25pt"/>
                        <v:imagedata o:title=""/>
                        <o:lock v:ext="edit" aspectratio="f"/>
                        <v:textbox>
                          <w:txbxContent>
                            <w:p>
                              <w:pPr>
                                <w:jc w:val="center"/>
                                <w:rPr>
                                  <w:rFonts w:hint="default" w:eastAsia="宋体"/>
                                  <w:sz w:val="21"/>
                                  <w:szCs w:val="21"/>
                                  <w:lang w:val="en-US" w:eastAsia="zh-CN"/>
                                </w:rPr>
                              </w:pPr>
                              <w:r>
                                <w:rPr>
                                  <w:rFonts w:hint="eastAsia"/>
                                  <w:sz w:val="21"/>
                                  <w:szCs w:val="21"/>
                                  <w:lang w:val="en-US" w:eastAsia="zh-CN"/>
                                </w:rPr>
                                <w:t>回用</w:t>
                              </w:r>
                            </w:p>
                          </w:txbxContent>
                        </v:textbox>
                      </v:shape>
                      <v:shape id="_x0000_s1026" o:spid="_x0000_s1026" o:spt="202" type="#_x0000_t202" style="position:absolute;left:8832;top:458766;height:526;width:933;" filled="f" stroked="f" coordsize="21600,21600" o:gfxdata="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Z8K&#10;3cEAAADcAAAADwAAAAAAAAABACAAAAAiAAAAZHJzL2Rvd25yZXYueG1sUEsBAhQAFAAAAAgAh07i&#10;QDMvBZ47AAAAOQAAABAAAAAAAAAAAQAgAAAAEAEAAGRycy9zaGFwZXhtbC54bWxQSwUGAAAAAAYA&#10;BgBbAQAAugMAAAAA&#10;">
                        <v:fill on="f" focussize="0,0"/>
                        <v:stroke on="f" weight="1.25pt"/>
                        <v:imagedata o:title=""/>
                        <o:lock v:ext="edit" aspectratio="f"/>
                        <v:textbox>
                          <w:txbxContent>
                            <w:p>
                              <w:pPr>
                                <w:rPr>
                                  <w:rFonts w:hint="default" w:eastAsia="宋体"/>
                                  <w:sz w:val="21"/>
                                  <w:szCs w:val="21"/>
                                  <w:lang w:val="en-US" w:eastAsia="zh-CN"/>
                                </w:rPr>
                              </w:pPr>
                              <w:r>
                                <w:rPr>
                                  <w:rFonts w:hint="eastAsia"/>
                                  <w:sz w:val="21"/>
                                  <w:szCs w:val="21"/>
                                  <w:lang w:val="en-US" w:eastAsia="zh-CN"/>
                                </w:rPr>
                                <w:t>废水</w:t>
                              </w:r>
                            </w:p>
                          </w:txbxContent>
                        </v:textbox>
                      </v:shape>
                      <v:line id="_x0000_s1026" o:spid="_x0000_s1026" o:spt="20" style="position:absolute;left:8933;top:458718;height:616;width:1;" filled="f" stroked="t" coordsize="21600,21600" o:gfxdata="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KOGevQAA&#10;ANwAAAAPAAAAAAAAAAEAIAAAACIAAABkcnMvZG93bnJldi54bWxQSwECFAAUAAAACACHTuJAMy8F&#10;njsAAAA5AAAAEAAAAAAAAAABACAAAAAMAQAAZHJzL3NoYXBleG1sLnhtbFBLBQYAAAAABgAGAFsB&#10;AAC2AwAAAAA=&#10;">
                        <v:fill on="f" focussize="0,0"/>
                        <v:stroke weight="1.25pt" color="#739CC3" joinstyle="round" dashstyle="dash" endarrow="open"/>
                        <v:imagedata o:title=""/>
                        <o:lock v:ext="edit" aspectratio="f"/>
                      </v:line>
                      <v:shape id="_x0000_s1026" o:spid="_x0000_s1026" o:spt="202" type="#_x0000_t202" style="position:absolute;left:10115;top:459253;height:665;width:945;" filled="f" stroked="f" coordsize="21600,21600" o:gfxdata="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gEx&#10;McEAAADcAAAADwAAAAAAAAABACAAAAAiAAAAZHJzL2Rvd25yZXYueG1sUEsBAhQAFAAAAAgAh07i&#10;QDMvBZ47AAAAOQAAABAAAAAAAAAAAQAgAAAAEAEAAGRycy9zaGFwZXhtbC54bWxQSwUGAAAAAAYA&#10;BgBbAQAAugMAAAAA&#10;">
                        <v:fill on="f" focussize="0,0"/>
                        <v:stroke on="f" weight="1.25pt"/>
                        <v:imagedata o:title=""/>
                        <o:lock v:ext="edit" aspectratio="f"/>
                        <v:textbox>
                          <w:txbxContent>
                            <w:p>
                              <w:pPr>
                                <w:spacing w:line="360" w:lineRule="auto"/>
                                <w:jc w:val="center"/>
                                <w:rPr>
                                  <w:rFonts w:hint="default" w:eastAsia="宋体"/>
                                  <w:sz w:val="21"/>
                                  <w:szCs w:val="21"/>
                                  <w:lang w:val="en-US" w:eastAsia="zh-CN"/>
                                </w:rPr>
                              </w:pPr>
                              <w:r>
                                <w:rPr>
                                  <w:rFonts w:hint="eastAsia"/>
                                  <w:sz w:val="21"/>
                                  <w:szCs w:val="21"/>
                                  <w:lang w:val="en-US" w:eastAsia="zh-CN"/>
                                </w:rPr>
                                <w:t>沉渣</w:t>
                              </w:r>
                            </w:p>
                          </w:txbxContent>
                        </v:textbox>
                      </v:shape>
                      <v:shape id="_x0000_s1026" o:spid="_x0000_s1026" o:spt="202" type="#_x0000_t202" style="position:absolute;left:8483;top:459351;height:583;width:950;" fillcolor="#FFFFFF" filled="t" stroked="t" coordsize="21600,21600" o:gfxdata="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QPv6C/&#10;AAAA3AAAAA8AAAAAAAAAAQAgAAAAIgAAAGRycy9kb3ducmV2LnhtbFBLAQIUABQAAAAIAIdO4kAz&#10;LwWeOwAAADkAAAAQAAAAAAAAAAEAIAAAAA4BAABkcnMvc2hhcGV4bWwueG1sUEsFBgAAAAAGAAYA&#10;WwEAALgDAAAAAA==&#10;">
                        <v:fill type="gradient" on="t" color2="#FFFFFF" angle="90" focus="100%" focussize="0,0">
                          <o:fill type="gradientUnscaled" v:ext="backwardCompatible"/>
                        </v:fill>
                        <v:stroke weight="1.25pt" color="#739CC3" joinstyle="miter"/>
                        <v:imagedata o:title=""/>
                        <o:lock v:ext="edit" aspectratio="f"/>
                        <v:textbox>
                          <w:txbxContent>
                            <w:p>
                              <w:pPr>
                                <w:spacing w:line="360" w:lineRule="auto"/>
                                <w:jc w:val="center"/>
                                <w:rPr>
                                  <w:rFonts w:hint="default" w:eastAsia="宋体"/>
                                  <w:sz w:val="21"/>
                                  <w:szCs w:val="21"/>
                                  <w:lang w:val="en-US" w:eastAsia="zh-CN"/>
                                </w:rPr>
                              </w:pPr>
                              <w:r>
                                <w:rPr>
                                  <w:rFonts w:hint="eastAsia"/>
                                  <w:sz w:val="21"/>
                                  <w:szCs w:val="21"/>
                                  <w:lang w:val="en-US" w:eastAsia="zh-CN"/>
                                </w:rPr>
                                <w:t>沉淀池</w:t>
                              </w:r>
                            </w:p>
                          </w:txbxContent>
                        </v:textbox>
                      </v:shape>
                      <v:line id="_x0000_s1026" o:spid="_x0000_s1026" o:spt="20" style="position:absolute;left:9450;top:459635;flip:y;height:17;width:635;" filled="f" stroked="t" coordsize="21600,21600" o:gfxdata="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TVpSq5AAAA3AAA&#10;AA8AAAAAAAAAAQAgAAAAIgAAAGRycy9kb3ducmV2LnhtbFBLAQIUABQAAAAIAIdO4kAzLwWeOwAA&#10;ADkAAAAQAAAAAAAAAAEAIAAAAAgBAABkcnMvc2hhcGV4bWwueG1sUEsFBgAAAAAGAAYAWwEAALID&#10;AAAAAA==&#10;">
                        <v:fill on="f" focussize="0,0"/>
                        <v:stroke weight="1.25pt" color="#739CC3" joinstyle="round" dashstyle="dash" endarrow="open"/>
                        <v:imagedata o:title=""/>
                        <o:lock v:ext="edit" aspectratio="f"/>
                      </v:line>
                      <v:shape id="_x0000_s1026" o:spid="_x0000_s1026" o:spt="202" type="#_x0000_t202" style="position:absolute;left:14799;top:459384;height:583;width:1400;" fillcolor="#FFFFFF" filled="t" stroked="t" coordsize="21600,21600" o:gfxdata="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tyOSb4A&#10;AADcAAAADwAAAAAAAAABACAAAAAiAAAAZHJzL2Rvd25yZXYueG1sUEsBAhQAFAAAAAgAh07iQDMv&#10;BZ47AAAAOQAAABAAAAAAAAAAAQAgAAAADQEAAGRycy9zaGFwZXhtbC54bWxQSwUGAAAAAAYABgBb&#10;AQAAtwMAAAAA&#10;">
                        <v:fill type="gradient" on="t" color2="#FFFFFF" angle="90" focus="100%" focussize="0,0">
                          <o:fill type="gradientUnscaled" v:ext="backwardCompatible"/>
                        </v:fill>
                        <v:stroke weight="1.25pt" color="#739CC3" joinstyle="miter"/>
                        <v:imagedata o:title=""/>
                        <o:lock v:ext="edit" aspectratio="f"/>
                        <v:textbox>
                          <w:txbxContent>
                            <w:p>
                              <w:pPr>
                                <w:spacing w:line="360" w:lineRule="auto"/>
                                <w:jc w:val="center"/>
                                <w:rPr>
                                  <w:rFonts w:hint="default" w:eastAsia="宋体"/>
                                  <w:sz w:val="21"/>
                                  <w:szCs w:val="21"/>
                                  <w:lang w:val="en-US" w:eastAsia="zh-CN"/>
                                </w:rPr>
                              </w:pPr>
                              <w:r>
                                <w:rPr>
                                  <w:rFonts w:hint="eastAsia"/>
                                  <w:sz w:val="21"/>
                                  <w:szCs w:val="21"/>
                                  <w:lang w:val="en-US" w:eastAsia="zh-CN"/>
                                </w:rPr>
                                <w:t>成品料</w:t>
                              </w:r>
                            </w:p>
                          </w:txbxContent>
                        </v:textbox>
                      </v:shape>
                    </v:group>
                  </w:pict>
                </mc:Fallback>
              </mc:AlternateContent>
            </w:r>
          </w:p>
          <w:p>
            <w:pPr>
              <w:ind w:firstLine="640" w:firstLineChars="200"/>
              <w:rPr>
                <w:rFonts w:hint="default" w:ascii="Times New Roman" w:hAnsi="Times New Roman" w:eastAsia="宋体" w:cs="Times New Roman"/>
                <w:color w:val="auto"/>
              </w:rPr>
            </w:pPr>
          </w:p>
          <w:p>
            <w:pPr>
              <w:ind w:firstLine="640" w:firstLineChars="200"/>
              <w:rPr>
                <w:rFonts w:hint="default" w:ascii="Times New Roman" w:hAnsi="Times New Roman" w:eastAsia="宋体" w:cs="Times New Roman"/>
                <w:color w:val="auto"/>
              </w:rPr>
            </w:pPr>
          </w:p>
          <w:p>
            <w:pPr>
              <w:ind w:firstLine="640" w:firstLineChars="200"/>
              <w:rPr>
                <w:rFonts w:hint="default" w:ascii="Times New Roman" w:hAnsi="Times New Roman" w:eastAsia="宋体" w:cs="Times New Roman"/>
                <w:color w:val="auto"/>
              </w:rPr>
            </w:pPr>
          </w:p>
          <w:p>
            <w:pPr>
              <w:ind w:firstLine="640" w:firstLineChars="200"/>
              <w:rPr>
                <w:rFonts w:hint="default" w:ascii="Times New Roman" w:hAnsi="Times New Roman" w:eastAsia="宋体" w:cs="Times New Roman"/>
                <w:color w:val="auto"/>
              </w:rPr>
            </w:pPr>
          </w:p>
          <w:p>
            <w:pPr>
              <w:ind w:firstLine="640" w:firstLineChars="200"/>
              <w:rPr>
                <w:rFonts w:hint="default" w:ascii="Times New Roman" w:hAnsi="Times New Roman" w:eastAsia="宋体" w:cs="Times New Roman"/>
                <w:color w:val="auto"/>
              </w:rPr>
            </w:pPr>
          </w:p>
          <w:p>
            <w:pPr>
              <w:ind w:firstLine="640" w:firstLineChars="200"/>
              <w:rPr>
                <w:rFonts w:hint="default" w:ascii="Times New Roman" w:hAnsi="Times New Roman" w:eastAsia="宋体" w:cs="Times New Roman"/>
                <w:color w:val="auto"/>
              </w:rPr>
            </w:pPr>
          </w:p>
          <w:p>
            <w:pPr>
              <w:ind w:firstLine="640" w:firstLineChars="200"/>
              <w:rPr>
                <w:rFonts w:hint="default" w:ascii="Times New Roman" w:hAnsi="Times New Roman" w:eastAsia="宋体" w:cs="Times New Roman"/>
                <w:color w:val="auto"/>
              </w:rPr>
            </w:pPr>
          </w:p>
          <w:p>
            <w:pPr>
              <w:ind w:firstLine="640" w:firstLineChars="200"/>
              <w:rPr>
                <w:rFonts w:hint="default" w:ascii="Times New Roman" w:hAnsi="Times New Roman" w:eastAsia="宋体" w:cs="Times New Roman"/>
                <w:color w:val="auto"/>
                <w:lang w:val="en-US" w:eastAsia="zh-CN"/>
              </w:rPr>
            </w:pPr>
          </w:p>
          <w:p>
            <w:pPr>
              <w:ind w:firstLine="640" w:firstLineChars="200"/>
              <w:rPr>
                <w:rFonts w:hint="default" w:ascii="Times New Roman" w:hAnsi="Times New Roman" w:eastAsia="宋体" w:cs="Times New Roman"/>
                <w:color w:val="auto"/>
                <w:lang w:val="en-US" w:eastAsia="zh-CN"/>
              </w:rPr>
            </w:pPr>
          </w:p>
          <w:p>
            <w:pPr>
              <w:spacing w:line="360" w:lineRule="auto"/>
              <w:ind w:firstLine="480" w:firstLineChars="200"/>
              <w:rPr>
                <w:rFonts w:hint="default" w:ascii="Times New Roman" w:hAnsi="Times New Roman" w:eastAsia="宋体" w:cs="Times New Roman"/>
                <w:bCs/>
                <w:color w:val="auto"/>
                <w:kern w:val="0"/>
                <w:sz w:val="24"/>
                <w:szCs w:val="20"/>
              </w:rPr>
            </w:pPr>
            <w:r>
              <w:rPr>
                <w:rFonts w:hint="default" w:ascii="Times New Roman" w:hAnsi="Times New Roman" w:eastAsia="宋体" w:cs="Times New Roman"/>
                <w:b w:val="0"/>
                <w:bCs/>
                <w:color w:val="auto"/>
                <w:sz w:val="24"/>
                <w:szCs w:val="24"/>
                <w:lang w:val="en-US" w:eastAsia="zh-CN"/>
              </w:rPr>
              <w:t>破碎筛分</w:t>
            </w:r>
            <w:r>
              <w:rPr>
                <w:rFonts w:hint="default" w:ascii="Times New Roman" w:hAnsi="Times New Roman" w:eastAsia="宋体" w:cs="Times New Roman"/>
                <w:bCs/>
                <w:color w:val="auto"/>
                <w:kern w:val="0"/>
                <w:sz w:val="24"/>
                <w:szCs w:val="20"/>
              </w:rPr>
              <w:t>工艺流程简述：</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eastAsia="宋体" w:cs="Times New Roman"/>
                <w:sz w:val="24"/>
                <w:szCs w:val="24"/>
                <w:lang w:val="en-US" w:eastAsia="zh-CN"/>
              </w:rPr>
              <w:t>本项目不涉及采砂，主要原料混砂、河卵石均外购，定期运至厂内原料库暂存。其中混砂通过料仓通过输送带传送经振动筛筛分后筛出成品料（0.5~1cm，1~2cm），其余颗粒较小部分通过排沙槽进入中沙池进行洗砂，洗砂工序后的产品经排沙槽送至振动筛进行二次筛分，筛分出成品料（0.02~0.5cm）；河卵石则通过铲车进入储料斗经给料机送至颚式破碎机、锤式破碎机、振动筛工序，筛分出成品料（2~3cm），筛上料经回流管重新进行破碎筛分工序。成品料有铲车运至成品库作为下一步的原料待用。</w:t>
            </w:r>
            <w:r>
              <w:rPr>
                <w:rFonts w:hint="default" w:ascii="Times New Roman" w:hAnsi="Times New Roman" w:cs="Times New Roman"/>
                <w:sz w:val="24"/>
                <w:szCs w:val="24"/>
              </w:rPr>
              <w:t>本项目建设1条碎石生产线，年产各规格碎石</w:t>
            </w:r>
            <w:r>
              <w:rPr>
                <w:rFonts w:hint="default" w:ascii="Times New Roman" w:hAnsi="Times New Roman" w:cs="Times New Roman"/>
                <w:sz w:val="24"/>
                <w:szCs w:val="24"/>
                <w:lang w:val="en-US" w:eastAsia="zh-CN"/>
              </w:rPr>
              <w:t>共3</w:t>
            </w:r>
            <w:r>
              <w:rPr>
                <w:rFonts w:hint="default" w:ascii="Times New Roman" w:hAnsi="Times New Roman" w:cs="Times New Roman"/>
                <w:sz w:val="24"/>
                <w:szCs w:val="24"/>
              </w:rPr>
              <w:t>0万吨。主要原料为石块，均为外购，石块储存于密闭车间内，散装堆放，经颚式破碎、反击式破碎、筛分等工序生产碎石和</w:t>
            </w:r>
            <w:r>
              <w:rPr>
                <w:rFonts w:hint="default" w:ascii="Times New Roman" w:hAnsi="Times New Roman" w:cs="Times New Roman"/>
                <w:sz w:val="24"/>
                <w:szCs w:val="24"/>
                <w:lang w:eastAsia="zh-CN"/>
              </w:rPr>
              <w:t>石沫</w:t>
            </w:r>
            <w:r>
              <w:rPr>
                <w:rFonts w:hint="default" w:ascii="Times New Roman" w:hAnsi="Times New Roman" w:cs="Times New Roman"/>
                <w:sz w:val="24"/>
                <w:szCs w:val="24"/>
              </w:rPr>
              <w:t>。其生产工艺流程如下：</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（1）给料</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原料经汽车运至封闭原料堆场卸车堆放，生产时，原料由装载机装入振动给料机料仓，料仓三面封闭，物料经料仓进入振动给料机，由振动给料机均匀给料至颚式破碎机进行一次破碎。</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（2）颚式破碎</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经振动给料机输送过来的块石物料落入颚式破碎机破碎料仓，破碎后的物料经密闭皮带输送至反击式破碎机。经颚式破碎机后的物料粒径＜10cm。</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（3）反击式破碎</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经过颚式破碎机后的物料由密闭皮带输送至反击式破碎机进行二次破碎，破碎后物料粒径＜4cm；破碎后的物料由皮带输送至振动筛进行筛分。</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（4）筛分</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二次破碎后物料密闭输送至震动筛内进行筛分，筛下不同规格的产品通过各自密闭皮带输送至相应成品库区。各类产品经密闭输送皮带输送至封闭的成品堆场内暂存待售，少量筛上物料（约10%，粒径＞40mm）返回反击式破碎机进行再次破碎。成品库区上方设置喷淋洒水系统，保证成品表面湿润，以减少物料储存与转运过程扬尘产生量；</w:t>
            </w:r>
          </w:p>
          <w:p>
            <w:pPr>
              <w:pStyle w:val="63"/>
              <w:snapToGrid w:val="0"/>
              <w:spacing w:line="360" w:lineRule="auto"/>
              <w:ind w:firstLine="480"/>
              <w:jc w:val="both"/>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（5）</w:t>
            </w:r>
            <w:r>
              <w:rPr>
                <w:rFonts w:hint="default" w:ascii="Times New Roman" w:hAnsi="Times New Roman" w:cs="Times New Roman"/>
                <w:sz w:val="24"/>
                <w:szCs w:val="24"/>
                <w:lang w:eastAsia="zh-CN"/>
              </w:rPr>
              <w:t>石沫</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碎石</w:t>
            </w:r>
          </w:p>
          <w:p>
            <w:pPr>
              <w:pStyle w:val="63"/>
              <w:snapToGrid w:val="0"/>
              <w:spacing w:line="360" w:lineRule="auto"/>
              <w:ind w:firstLine="480"/>
              <w:jc w:val="both"/>
              <w:rPr>
                <w:rFonts w:hint="default" w:ascii="Times New Roman" w:hAnsi="Times New Roman" w:cs="Times New Roman"/>
                <w:sz w:val="24"/>
                <w:szCs w:val="24"/>
              </w:rPr>
            </w:pPr>
            <w:r>
              <w:rPr>
                <w:rFonts w:hint="default" w:ascii="Times New Roman" w:hAnsi="Times New Roman" w:cs="Times New Roman"/>
                <w:sz w:val="24"/>
                <w:szCs w:val="24"/>
              </w:rPr>
              <w:t>项目生产</w:t>
            </w:r>
            <w:r>
              <w:rPr>
                <w:rFonts w:hint="eastAsia" w:ascii="Times New Roman" w:hAnsi="Times New Roman" w:cs="Times New Roman"/>
                <w:sz w:val="24"/>
                <w:szCs w:val="24"/>
                <w:lang w:val="en-US" w:eastAsia="zh-CN"/>
              </w:rPr>
              <w:t>碎石</w:t>
            </w:r>
            <w:r>
              <w:rPr>
                <w:rFonts w:hint="default" w:ascii="Times New Roman" w:hAnsi="Times New Roman" w:cs="Times New Roman"/>
                <w:sz w:val="24"/>
                <w:szCs w:val="24"/>
              </w:rPr>
              <w:t>成品直接</w:t>
            </w:r>
            <w:r>
              <w:rPr>
                <w:rFonts w:hint="eastAsia" w:ascii="Times New Roman" w:hAnsi="Times New Roman" w:cs="Times New Roman"/>
                <w:sz w:val="24"/>
                <w:szCs w:val="24"/>
                <w:lang w:val="en-US" w:eastAsia="zh-CN"/>
              </w:rPr>
              <w:t>利用</w:t>
            </w:r>
            <w:r>
              <w:rPr>
                <w:rFonts w:hint="default" w:ascii="Times New Roman" w:hAnsi="Times New Roman" w:cs="Times New Roman"/>
                <w:sz w:val="24"/>
                <w:szCs w:val="24"/>
              </w:rPr>
              <w:t>，副产物</w:t>
            </w:r>
            <w:r>
              <w:rPr>
                <w:rFonts w:hint="default" w:ascii="Times New Roman" w:hAnsi="Times New Roman" w:cs="Times New Roman"/>
                <w:sz w:val="24"/>
                <w:szCs w:val="24"/>
                <w:lang w:eastAsia="zh-CN"/>
              </w:rPr>
              <w:t>石沫</w:t>
            </w:r>
            <w:r>
              <w:rPr>
                <w:rFonts w:hint="default" w:ascii="Times New Roman" w:hAnsi="Times New Roman" w:cs="Times New Roman"/>
                <w:sz w:val="24"/>
                <w:szCs w:val="24"/>
              </w:rPr>
              <w:t>作为</w:t>
            </w:r>
            <w:r>
              <w:rPr>
                <w:rFonts w:hint="default" w:ascii="Times New Roman" w:hAnsi="Times New Roman" w:cs="Times New Roman"/>
                <w:sz w:val="24"/>
                <w:szCs w:val="24"/>
                <w:lang w:eastAsia="zh-CN"/>
              </w:rPr>
              <w:t>机制砂</w:t>
            </w:r>
            <w:r>
              <w:rPr>
                <w:rFonts w:hint="default" w:ascii="Times New Roman" w:hAnsi="Times New Roman" w:cs="Times New Roman"/>
                <w:sz w:val="24"/>
                <w:szCs w:val="24"/>
              </w:rPr>
              <w:t>原料进行</w:t>
            </w:r>
            <w:r>
              <w:rPr>
                <w:rFonts w:hint="eastAsia" w:ascii="Times New Roman" w:hAnsi="Times New Roman" w:cs="Times New Roman"/>
                <w:sz w:val="24"/>
                <w:szCs w:val="24"/>
                <w:lang w:val="en-US" w:eastAsia="zh-CN"/>
              </w:rPr>
              <w:t>筛分</w:t>
            </w:r>
            <w:r>
              <w:rPr>
                <w:rFonts w:hint="default" w:ascii="Times New Roman" w:hAnsi="Times New Roman" w:cs="Times New Roman"/>
                <w:sz w:val="24"/>
                <w:szCs w:val="24"/>
              </w:rPr>
              <w:t>再利用；</w:t>
            </w:r>
          </w:p>
          <w:p>
            <w:pPr>
              <w:pStyle w:val="63"/>
              <w:snapToGrid w:val="0"/>
              <w:spacing w:line="360" w:lineRule="auto"/>
              <w:ind w:firstLine="480"/>
              <w:jc w:val="both"/>
              <w:rPr>
                <w:rFonts w:hint="default" w:ascii="Times New Roman" w:hAnsi="Times New Roman" w:cs="Times New Roman"/>
                <w:sz w:val="24"/>
                <w:szCs w:val="24"/>
              </w:rPr>
            </w:pPr>
            <w:r>
              <w:rPr>
                <w:rFonts w:hint="default" w:ascii="Times New Roman" w:hAnsi="Times New Roman" w:cs="Times New Roman"/>
                <w:sz w:val="24"/>
                <w:szCs w:val="24"/>
              </w:rPr>
              <w:t>（6）皮带上料、滚筒筛筛分</w:t>
            </w:r>
          </w:p>
          <w:p>
            <w:pPr>
              <w:pStyle w:val="63"/>
              <w:snapToGrid w:val="0"/>
              <w:spacing w:line="360" w:lineRule="auto"/>
              <w:ind w:firstLine="480"/>
              <w:jc w:val="both"/>
              <w:rPr>
                <w:rFonts w:hint="default" w:ascii="Times New Roman" w:hAnsi="Times New Roman" w:cs="Times New Roman"/>
                <w:sz w:val="24"/>
                <w:szCs w:val="24"/>
              </w:rPr>
            </w:pPr>
            <w:r>
              <w:rPr>
                <w:rFonts w:hint="default" w:ascii="Times New Roman" w:hAnsi="Times New Roman" w:cs="Times New Roman"/>
                <w:sz w:val="24"/>
                <w:szCs w:val="24"/>
              </w:rPr>
              <w:t>进料斗粗晒后的</w:t>
            </w:r>
            <w:r>
              <w:rPr>
                <w:rFonts w:hint="default" w:ascii="Times New Roman" w:hAnsi="Times New Roman" w:cs="Times New Roman"/>
                <w:sz w:val="24"/>
                <w:szCs w:val="24"/>
                <w:lang w:eastAsia="zh-CN"/>
              </w:rPr>
              <w:t>石沫</w:t>
            </w:r>
            <w:r>
              <w:rPr>
                <w:rFonts w:hint="default" w:ascii="Times New Roman" w:hAnsi="Times New Roman" w:cs="Times New Roman"/>
                <w:sz w:val="24"/>
                <w:szCs w:val="24"/>
              </w:rPr>
              <w:t>经皮带输送至滚筒筛进一步筛分，该过程产生粉尘、噪声和固废。</w:t>
            </w:r>
          </w:p>
          <w:p>
            <w:pPr>
              <w:pStyle w:val="63"/>
              <w:snapToGrid w:val="0"/>
              <w:spacing w:line="360" w:lineRule="auto"/>
              <w:ind w:firstLine="480"/>
              <w:jc w:val="both"/>
              <w:rPr>
                <w:rFonts w:hint="default" w:ascii="Times New Roman" w:hAnsi="Times New Roman" w:eastAsia="宋体" w:cs="Times New Roman"/>
                <w:lang w:val="en-US" w:eastAsia="zh-CN"/>
              </w:rPr>
            </w:pPr>
            <w:r>
              <w:rPr>
                <w:rFonts w:hint="default" w:ascii="Times New Roman" w:hAnsi="Times New Roman" w:cs="Times New Roman"/>
              </w:rPr>
              <w:t>（</w:t>
            </w:r>
            <w:r>
              <w:rPr>
                <w:rFonts w:hint="default" w:ascii="Times New Roman" w:hAnsi="Times New Roman" w:cs="Times New Roman"/>
                <w:lang w:val="en-US" w:eastAsia="zh-CN"/>
              </w:rPr>
              <w:t>7</w:t>
            </w:r>
            <w:r>
              <w:rPr>
                <w:rFonts w:hint="default" w:ascii="Times New Roman" w:hAnsi="Times New Roman" w:cs="Times New Roman"/>
              </w:rPr>
              <w:t>）成品</w:t>
            </w:r>
            <w:r>
              <w:rPr>
                <w:rFonts w:hint="eastAsia" w:ascii="Times New Roman" w:hAnsi="Times New Roman" w:cs="Times New Roman"/>
                <w:lang w:val="en-US" w:eastAsia="zh-CN"/>
              </w:rPr>
              <w:t>直接用于各类生产</w:t>
            </w:r>
            <w:r>
              <w:rPr>
                <w:rFonts w:hint="default" w:ascii="Times New Roman" w:hAnsi="Times New Roman" w:eastAsia="宋体" w:cs="Times New Roman"/>
                <w:sz w:val="24"/>
                <w:szCs w:val="24"/>
                <w:lang w:val="en-US" w:eastAsia="zh-CN"/>
              </w:rPr>
              <w:t>。</w:t>
            </w:r>
          </w:p>
          <w:p>
            <w:pPr>
              <w:ind w:firstLine="482" w:firstLineChars="200"/>
              <w:rPr>
                <w:rFonts w:hint="default" w:ascii="Times New Roman" w:hAnsi="Times New Roman" w:eastAsia="宋体" w:cs="Times New Roman"/>
                <w:b/>
                <w:bCs/>
                <w:color w:val="auto"/>
                <w:sz w:val="24"/>
                <w:shd w:val="clear" w:color="auto" w:fill="auto"/>
                <w:lang w:eastAsia="zh-CN"/>
              </w:rPr>
            </w:pPr>
            <w:r>
              <w:rPr>
                <w:rFonts w:hint="default" w:ascii="Times New Roman" w:hAnsi="Times New Roman" w:eastAsia="宋体" w:cs="Times New Roman"/>
                <w:b/>
                <w:bCs/>
                <w:color w:val="auto"/>
                <w:sz w:val="24"/>
                <w:shd w:val="clear" w:color="auto" w:fill="auto"/>
                <w:lang w:eastAsia="zh-CN"/>
              </w:rPr>
              <w:t>（</w:t>
            </w:r>
            <w:r>
              <w:rPr>
                <w:rFonts w:hint="eastAsia" w:cs="Times New Roman"/>
                <w:b/>
                <w:bCs/>
                <w:color w:val="auto"/>
                <w:sz w:val="24"/>
                <w:shd w:val="clear" w:color="auto" w:fill="auto"/>
                <w:lang w:eastAsia="zh-CN"/>
              </w:rPr>
              <w:t>六</w:t>
            </w:r>
            <w:r>
              <w:rPr>
                <w:rFonts w:hint="default" w:ascii="Times New Roman" w:hAnsi="Times New Roman" w:eastAsia="宋体" w:cs="Times New Roman"/>
                <w:b/>
                <w:bCs/>
                <w:color w:val="auto"/>
                <w:sz w:val="24"/>
                <w:shd w:val="clear" w:color="auto" w:fill="auto"/>
                <w:lang w:eastAsia="zh-CN"/>
              </w:rPr>
              <w:t>）沥青拌合站生产工艺流程</w:t>
            </w:r>
          </w:p>
          <w:p>
            <w:pPr>
              <w:ind w:firstLine="640" w:firstLineChars="200"/>
              <w:jc w:val="center"/>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Cs w:val="24"/>
              </w:rPr>
              <mc:AlternateContent>
                <mc:Choice Requires="wpc">
                  <w:drawing>
                    <wp:anchor distT="0" distB="0" distL="114300" distR="114300" simplePos="0" relativeHeight="251820032" behindDoc="0" locked="0" layoutInCell="1" allowOverlap="1">
                      <wp:simplePos x="0" y="0"/>
                      <wp:positionH relativeFrom="column">
                        <wp:posOffset>1905</wp:posOffset>
                      </wp:positionH>
                      <wp:positionV relativeFrom="paragraph">
                        <wp:posOffset>236855</wp:posOffset>
                      </wp:positionV>
                      <wp:extent cx="5457190" cy="3109595"/>
                      <wp:effectExtent l="0" t="0" r="0" b="0"/>
                      <wp:wrapTopAndBottom/>
                      <wp:docPr id="136" name="画布 1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文本框 109"/>
                              <wps:cNvSpPr txBox="1"/>
                              <wps:spPr>
                                <a:xfrm>
                                  <a:off x="2794600" y="106702"/>
                                  <a:ext cx="1599000" cy="219005"/>
                                </a:xfrm>
                                <a:prstGeom prst="rect">
                                  <a:avLst/>
                                </a:prstGeom>
                                <a:solidFill>
                                  <a:srgbClr val="FFFFFF">
                                    <a:alpha val="0"/>
                                  </a:srgbClr>
                                </a:solidFill>
                                <a:ln>
                                  <a:noFill/>
                                </a:ln>
                              </wps:spPr>
                              <wps:txbx>
                                <w:txbxContent>
                                  <w:p>
                                    <w:pPr>
                                      <w:ind w:firstLine="420"/>
                                      <w:rPr>
                                        <w:sz w:val="21"/>
                                        <w:szCs w:val="21"/>
                                      </w:rPr>
                                    </w:pPr>
                                    <w:r>
                                      <w:rPr>
                                        <w:rFonts w:hint="eastAsia"/>
                                        <w:sz w:val="21"/>
                                        <w:szCs w:val="21"/>
                                      </w:rPr>
                                      <w:t>石子</w:t>
                                    </w:r>
                                  </w:p>
                                </w:txbxContent>
                              </wps:txbx>
                              <wps:bodyPr lIns="0" tIns="0" rIns="0" bIns="0" upright="1"/>
                            </wps:wsp>
                            <wps:wsp>
                              <wps:cNvPr id="6" name="文本框 110"/>
                              <wps:cNvSpPr txBox="1"/>
                              <wps:spPr>
                                <a:xfrm>
                                  <a:off x="2606300" y="515312"/>
                                  <a:ext cx="1080300" cy="2167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楷体_GB2312"/>
                                        <w:sz w:val="21"/>
                                        <w:szCs w:val="21"/>
                                      </w:rPr>
                                    </w:pPr>
                                    <w:r>
                                      <w:rPr>
                                        <w:rFonts w:hint="eastAsia" w:eastAsia="楷体_GB2312"/>
                                        <w:sz w:val="21"/>
                                        <w:szCs w:val="21"/>
                                      </w:rPr>
                                      <w:t>输送</w:t>
                                    </w:r>
                                  </w:p>
                                </w:txbxContent>
                              </wps:txbx>
                              <wps:bodyPr lIns="0" tIns="0" rIns="0" bIns="0" upright="1"/>
                            </wps:wsp>
                            <wps:wsp>
                              <wps:cNvPr id="7" name="直接箭头连接符 111"/>
                              <wps:cNvCnPr/>
                              <wps:spPr>
                                <a:xfrm>
                                  <a:off x="3153100" y="335508"/>
                                  <a:ext cx="5700" cy="179804"/>
                                </a:xfrm>
                                <a:prstGeom prst="straightConnector1">
                                  <a:avLst/>
                                </a:prstGeom>
                                <a:ln w="9525" cap="flat" cmpd="sng">
                                  <a:solidFill>
                                    <a:srgbClr val="000000"/>
                                  </a:solidFill>
                                  <a:prstDash val="solid"/>
                                  <a:headEnd type="none" w="med" len="med"/>
                                  <a:tailEnd type="triangle" w="med" len="med"/>
                                </a:ln>
                              </wps:spPr>
                              <wps:bodyPr/>
                            </wps:wsp>
                            <wps:wsp>
                              <wps:cNvPr id="8" name="文本框 112"/>
                              <wps:cNvSpPr txBox="1"/>
                              <wps:spPr>
                                <a:xfrm>
                                  <a:off x="2596800" y="1297029"/>
                                  <a:ext cx="1080200" cy="2167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楷体_GB2312"/>
                                        <w:sz w:val="21"/>
                                        <w:szCs w:val="21"/>
                                      </w:rPr>
                                    </w:pPr>
                                    <w:r>
                                      <w:rPr>
                                        <w:rFonts w:hint="eastAsia" w:eastAsia="楷体_GB2312"/>
                                        <w:sz w:val="21"/>
                                        <w:szCs w:val="21"/>
                                      </w:rPr>
                                      <w:t>提升</w:t>
                                    </w:r>
                                  </w:p>
                                </w:txbxContent>
                              </wps:txbx>
                              <wps:bodyPr lIns="0" tIns="0" rIns="0" bIns="0" upright="1"/>
                            </wps:wsp>
                            <wps:wsp>
                              <wps:cNvPr id="9" name="直接箭头连接符 113"/>
                              <wps:cNvCnPr/>
                              <wps:spPr>
                                <a:xfrm>
                                  <a:off x="3142900" y="1117825"/>
                                  <a:ext cx="5700" cy="179204"/>
                                </a:xfrm>
                                <a:prstGeom prst="straightConnector1">
                                  <a:avLst/>
                                </a:prstGeom>
                                <a:ln w="9525" cap="flat" cmpd="sng">
                                  <a:solidFill>
                                    <a:srgbClr val="000000"/>
                                  </a:solidFill>
                                  <a:prstDash val="solid"/>
                                  <a:headEnd type="none" w="med" len="med"/>
                                  <a:tailEnd type="triangle" w="med" len="med"/>
                                </a:ln>
                              </wps:spPr>
                              <wps:bodyPr/>
                            </wps:wsp>
                            <wps:wsp>
                              <wps:cNvPr id="10" name="文本框 114"/>
                              <wps:cNvSpPr txBox="1"/>
                              <wps:spPr>
                                <a:xfrm>
                                  <a:off x="2606300" y="897320"/>
                                  <a:ext cx="1080300" cy="2154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楷体_GB2312"/>
                                        <w:sz w:val="21"/>
                                        <w:szCs w:val="21"/>
                                      </w:rPr>
                                    </w:pPr>
                                    <w:r>
                                      <w:rPr>
                                        <w:rFonts w:hint="eastAsia" w:eastAsia="楷体_GB2312"/>
                                        <w:sz w:val="21"/>
                                        <w:szCs w:val="21"/>
                                      </w:rPr>
                                      <w:t>烘干</w:t>
                                    </w:r>
                                  </w:p>
                                </w:txbxContent>
                              </wps:txbx>
                              <wps:bodyPr lIns="0" tIns="0" rIns="0" bIns="0" upright="1"/>
                            </wps:wsp>
                            <wps:wsp>
                              <wps:cNvPr id="12" name="直接箭头连接符 115"/>
                              <wps:cNvCnPr/>
                              <wps:spPr>
                                <a:xfrm>
                                  <a:off x="3153100" y="716816"/>
                                  <a:ext cx="5700" cy="180504"/>
                                </a:xfrm>
                                <a:prstGeom prst="straightConnector1">
                                  <a:avLst/>
                                </a:prstGeom>
                                <a:ln w="9525" cap="flat" cmpd="sng">
                                  <a:solidFill>
                                    <a:srgbClr val="000000"/>
                                  </a:solidFill>
                                  <a:prstDash val="solid"/>
                                  <a:headEnd type="none" w="med" len="med"/>
                                  <a:tailEnd type="triangle" w="med" len="med"/>
                                </a:ln>
                              </wps:spPr>
                              <wps:bodyPr/>
                            </wps:wsp>
                            <wps:wsp>
                              <wps:cNvPr id="13" name="文本框 116"/>
                              <wps:cNvSpPr txBox="1"/>
                              <wps:spPr>
                                <a:xfrm>
                                  <a:off x="2596800" y="1697438"/>
                                  <a:ext cx="1080200" cy="2167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楷体_GB2312"/>
                                        <w:sz w:val="21"/>
                                        <w:szCs w:val="21"/>
                                      </w:rPr>
                                    </w:pPr>
                                    <w:r>
                                      <w:rPr>
                                        <w:rFonts w:hint="eastAsia" w:eastAsia="楷体_GB2312"/>
                                        <w:sz w:val="21"/>
                                        <w:szCs w:val="21"/>
                                      </w:rPr>
                                      <w:t>筛分</w:t>
                                    </w:r>
                                  </w:p>
                                </w:txbxContent>
                              </wps:txbx>
                              <wps:bodyPr lIns="0" tIns="0" rIns="0" bIns="0" upright="1"/>
                            </wps:wsp>
                            <wps:wsp>
                              <wps:cNvPr id="16" name="直接箭头连接符 117"/>
                              <wps:cNvCnPr/>
                              <wps:spPr>
                                <a:xfrm>
                                  <a:off x="3142900" y="1517534"/>
                                  <a:ext cx="5700" cy="179904"/>
                                </a:xfrm>
                                <a:prstGeom prst="straightConnector1">
                                  <a:avLst/>
                                </a:prstGeom>
                                <a:ln w="9525" cap="flat" cmpd="sng">
                                  <a:solidFill>
                                    <a:srgbClr val="000000"/>
                                  </a:solidFill>
                                  <a:prstDash val="solid"/>
                                  <a:headEnd type="none" w="med" len="med"/>
                                  <a:tailEnd type="triangle" w="med" len="med"/>
                                </a:ln>
                              </wps:spPr>
                              <wps:bodyPr/>
                            </wps:wsp>
                            <wps:wsp>
                              <wps:cNvPr id="17" name="文本框 118"/>
                              <wps:cNvSpPr txBox="1"/>
                              <wps:spPr>
                                <a:xfrm>
                                  <a:off x="2679000" y="2595258"/>
                                  <a:ext cx="1080200" cy="215305"/>
                                </a:xfrm>
                                <a:prstGeom prst="rect">
                                  <a:avLst/>
                                </a:prstGeom>
                                <a:solidFill>
                                  <a:srgbClr val="FFFFFF"/>
                                </a:solidFill>
                                <a:ln>
                                  <a:noFill/>
                                </a:ln>
                              </wps:spPr>
                              <wps:txbx>
                                <w:txbxContent>
                                  <w:p>
                                    <w:pPr>
                                      <w:ind w:firstLine="0" w:firstLineChars="0"/>
                                      <w:jc w:val="center"/>
                                      <w:rPr>
                                        <w:rFonts w:eastAsia="楷体_GB2312"/>
                                        <w:sz w:val="21"/>
                                        <w:szCs w:val="21"/>
                                      </w:rPr>
                                    </w:pPr>
                                    <w:r>
                                      <w:rPr>
                                        <w:rFonts w:hint="eastAsia" w:eastAsia="楷体_GB2312"/>
                                        <w:sz w:val="21"/>
                                        <w:szCs w:val="21"/>
                                      </w:rPr>
                                      <w:t>装车</w:t>
                                    </w:r>
                                  </w:p>
                                </w:txbxContent>
                              </wps:txbx>
                              <wps:bodyPr lIns="0" tIns="0" rIns="0" bIns="0" upright="1"/>
                            </wps:wsp>
                            <wps:wsp>
                              <wps:cNvPr id="18" name="文本框 119"/>
                              <wps:cNvSpPr txBox="1"/>
                              <wps:spPr>
                                <a:xfrm>
                                  <a:off x="4034200" y="2012945"/>
                                  <a:ext cx="1439500" cy="546112"/>
                                </a:xfrm>
                                <a:prstGeom prst="rect">
                                  <a:avLst/>
                                </a:prstGeom>
                                <a:solidFill>
                                  <a:srgbClr val="FFFFFF">
                                    <a:alpha val="0"/>
                                  </a:srgbClr>
                                </a:solidFill>
                                <a:ln>
                                  <a:noFill/>
                                </a:ln>
                              </wps:spPr>
                              <wps:txbx>
                                <w:txbxContent>
                                  <w:p>
                                    <w:pPr>
                                      <w:spacing w:line="240" w:lineRule="auto"/>
                                      <w:ind w:firstLine="0" w:firstLineChars="0"/>
                                      <w:jc w:val="center"/>
                                      <w:rPr>
                                        <w:rFonts w:eastAsia="楷体_GB2312"/>
                                        <w:sz w:val="21"/>
                                        <w:szCs w:val="21"/>
                                      </w:rPr>
                                    </w:pPr>
                                    <w:r>
                                      <w:rPr>
                                        <w:rFonts w:hint="eastAsia" w:eastAsia="楷体_GB2312"/>
                                        <w:sz w:val="21"/>
                                        <w:szCs w:val="21"/>
                                      </w:rPr>
                                      <w:t>G1沥青烟气、G2粉尘、G4燃烧废气、</w:t>
                                    </w:r>
                                    <w:r>
                                      <w:rPr>
                                        <w:rFonts w:hint="eastAsia" w:eastAsia="楷体_GB2312"/>
                                        <w:color w:val="FF0000"/>
                                        <w:sz w:val="21"/>
                                        <w:szCs w:val="21"/>
                                        <w:lang w:val="en-US" w:eastAsia="zh-CN"/>
                                      </w:rPr>
                                      <w:t>G5臭气浓度</w:t>
                                    </w:r>
                                    <w:r>
                                      <w:rPr>
                                        <w:rFonts w:hint="eastAsia" w:eastAsia="楷体_GB2312"/>
                                        <w:sz w:val="21"/>
                                        <w:szCs w:val="21"/>
                                        <w:lang w:val="en-US" w:eastAsia="zh-CN"/>
                                      </w:rPr>
                                      <w:t>、</w:t>
                                    </w:r>
                                    <w:r>
                                      <w:rPr>
                                        <w:rFonts w:hint="eastAsia" w:eastAsia="楷体_GB2312"/>
                                        <w:sz w:val="21"/>
                                        <w:szCs w:val="21"/>
                                      </w:rPr>
                                      <w:t>N噪声</w:t>
                                    </w:r>
                                  </w:p>
                                  <w:p>
                                    <w:pPr>
                                      <w:ind w:firstLine="480"/>
                                      <w:rPr>
                                        <w:rFonts w:eastAsia="楷体_GB2312"/>
                                        <w:szCs w:val="21"/>
                                      </w:rPr>
                                    </w:pPr>
                                  </w:p>
                                </w:txbxContent>
                              </wps:txbx>
                              <wps:bodyPr lIns="0" tIns="0" rIns="0" bIns="0" upright="1"/>
                            </wps:wsp>
                            <wps:wsp>
                              <wps:cNvPr id="19" name="直接箭头连接符 120"/>
                              <wps:cNvCnPr/>
                              <wps:spPr>
                                <a:xfrm>
                                  <a:off x="3724900" y="2221850"/>
                                  <a:ext cx="391100" cy="700"/>
                                </a:xfrm>
                                <a:prstGeom prst="straightConnector1">
                                  <a:avLst/>
                                </a:prstGeom>
                                <a:ln w="9525" cap="flat" cmpd="sng">
                                  <a:solidFill>
                                    <a:srgbClr val="000000"/>
                                  </a:solidFill>
                                  <a:prstDash val="dash"/>
                                  <a:headEnd type="none" w="med" len="med"/>
                                  <a:tailEnd type="triangle" w="med" len="med"/>
                                </a:ln>
                              </wps:spPr>
                              <wps:bodyPr/>
                            </wps:wsp>
                            <wps:wsp>
                              <wps:cNvPr id="20" name="直接箭头连接符 121"/>
                              <wps:cNvCnPr/>
                              <wps:spPr>
                                <a:xfrm>
                                  <a:off x="3142900" y="1908343"/>
                                  <a:ext cx="5700" cy="179904"/>
                                </a:xfrm>
                                <a:prstGeom prst="straightConnector1">
                                  <a:avLst/>
                                </a:prstGeom>
                                <a:ln w="9525" cap="flat" cmpd="sng">
                                  <a:solidFill>
                                    <a:srgbClr val="000000"/>
                                  </a:solidFill>
                                  <a:prstDash val="solid"/>
                                  <a:headEnd type="none" w="med" len="med"/>
                                  <a:tailEnd type="triangle" w="med" len="med"/>
                                </a:ln>
                              </wps:spPr>
                              <wps:bodyPr/>
                            </wps:wsp>
                            <wps:wsp>
                              <wps:cNvPr id="21" name="文本框 122"/>
                              <wps:cNvSpPr txBox="1"/>
                              <wps:spPr>
                                <a:xfrm>
                                  <a:off x="2638400" y="2101847"/>
                                  <a:ext cx="1080100" cy="2165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楷体_GB2312"/>
                                        <w:sz w:val="21"/>
                                        <w:szCs w:val="21"/>
                                      </w:rPr>
                                    </w:pPr>
                                    <w:r>
                                      <w:rPr>
                                        <w:rFonts w:hint="eastAsia" w:eastAsia="楷体_GB2312"/>
                                        <w:sz w:val="21"/>
                                        <w:szCs w:val="21"/>
                                      </w:rPr>
                                      <w:t>搅拌</w:t>
                                    </w:r>
                                  </w:p>
                                </w:txbxContent>
                              </wps:txbx>
                              <wps:bodyPr lIns="0" tIns="0" rIns="0" bIns="0" upright="1"/>
                            </wps:wsp>
                            <wps:wsp>
                              <wps:cNvPr id="22" name="直接箭头连接符 123"/>
                              <wps:cNvCnPr/>
                              <wps:spPr>
                                <a:xfrm>
                                  <a:off x="3149600" y="2309452"/>
                                  <a:ext cx="5700" cy="179804"/>
                                </a:xfrm>
                                <a:prstGeom prst="straightConnector1">
                                  <a:avLst/>
                                </a:prstGeom>
                                <a:ln w="9525" cap="flat" cmpd="sng">
                                  <a:solidFill>
                                    <a:srgbClr val="000000"/>
                                  </a:solidFill>
                                  <a:prstDash val="solid"/>
                                  <a:headEnd type="none" w="med" len="med"/>
                                  <a:tailEnd type="triangle" w="med" len="med"/>
                                </a:ln>
                              </wps:spPr>
                              <wps:bodyPr/>
                            </wps:wsp>
                            <wps:wsp>
                              <wps:cNvPr id="23" name="文本框 124"/>
                              <wps:cNvSpPr txBox="1"/>
                              <wps:spPr>
                                <a:xfrm>
                                  <a:off x="614600" y="2132948"/>
                                  <a:ext cx="1778700" cy="219105"/>
                                </a:xfrm>
                                <a:prstGeom prst="rect">
                                  <a:avLst/>
                                </a:prstGeom>
                                <a:solidFill>
                                  <a:srgbClr val="FFFFFF">
                                    <a:alpha val="0"/>
                                  </a:srgbClr>
                                </a:solidFill>
                                <a:ln>
                                  <a:noFill/>
                                </a:ln>
                              </wps:spPr>
                              <wps:txbx>
                                <w:txbxContent>
                                  <w:p>
                                    <w:pPr>
                                      <w:ind w:firstLine="420"/>
                                    </w:pPr>
                                    <w:r>
                                      <w:rPr>
                                        <w:rFonts w:hint="eastAsia"/>
                                        <w:sz w:val="21"/>
                                        <w:szCs w:val="21"/>
                                      </w:rPr>
                                      <w:t>沥青（120℃）、矿粉</w:t>
                                    </w:r>
                                  </w:p>
                                </w:txbxContent>
                              </wps:txbx>
                              <wps:bodyPr lIns="0" tIns="0" rIns="0" bIns="0" upright="1"/>
                            </wps:wsp>
                            <wps:wsp>
                              <wps:cNvPr id="24" name="直接箭头连接符 125"/>
                              <wps:cNvCnPr/>
                              <wps:spPr>
                                <a:xfrm flipV="1">
                                  <a:off x="2294200" y="2204049"/>
                                  <a:ext cx="307300" cy="4500"/>
                                </a:xfrm>
                                <a:prstGeom prst="straightConnector1">
                                  <a:avLst/>
                                </a:prstGeom>
                                <a:ln w="9525" cap="flat" cmpd="sng">
                                  <a:solidFill>
                                    <a:srgbClr val="000000"/>
                                  </a:solidFill>
                                  <a:prstDash val="solid"/>
                                  <a:headEnd type="none" w="med" len="med"/>
                                  <a:tailEnd type="triangle" w="med" len="med"/>
                                </a:ln>
                              </wps:spPr>
                              <wps:bodyPr/>
                            </wps:wsp>
                            <wps:wsp>
                              <wps:cNvPr id="25" name="直接箭头连接符 126"/>
                              <wps:cNvCnPr/>
                              <wps:spPr>
                                <a:xfrm>
                                  <a:off x="3713400" y="617814"/>
                                  <a:ext cx="391200" cy="600"/>
                                </a:xfrm>
                                <a:prstGeom prst="straightConnector1">
                                  <a:avLst/>
                                </a:prstGeom>
                                <a:ln w="9525" cap="flat" cmpd="sng">
                                  <a:solidFill>
                                    <a:srgbClr val="000000"/>
                                  </a:solidFill>
                                  <a:prstDash val="dash"/>
                                  <a:headEnd type="none" w="med" len="med"/>
                                  <a:tailEnd type="triangle" w="med" len="med"/>
                                </a:ln>
                              </wps:spPr>
                              <wps:bodyPr/>
                            </wps:wsp>
                            <wps:wsp>
                              <wps:cNvPr id="26" name="直接箭头连接符 127"/>
                              <wps:cNvCnPr/>
                              <wps:spPr>
                                <a:xfrm>
                                  <a:off x="3684900" y="1017923"/>
                                  <a:ext cx="391100" cy="600"/>
                                </a:xfrm>
                                <a:prstGeom prst="straightConnector1">
                                  <a:avLst/>
                                </a:prstGeom>
                                <a:ln w="9525" cap="flat" cmpd="sng">
                                  <a:solidFill>
                                    <a:srgbClr val="000000"/>
                                  </a:solidFill>
                                  <a:prstDash val="dash"/>
                                  <a:headEnd type="none" w="med" len="med"/>
                                  <a:tailEnd type="triangle" w="med" len="med"/>
                                </a:ln>
                              </wps:spPr>
                              <wps:bodyPr/>
                            </wps:wsp>
                            <wps:wsp>
                              <wps:cNvPr id="27" name="直接箭头连接符 128"/>
                              <wps:cNvCnPr/>
                              <wps:spPr>
                                <a:xfrm>
                                  <a:off x="3684900" y="1408432"/>
                                  <a:ext cx="391100" cy="600"/>
                                </a:xfrm>
                                <a:prstGeom prst="straightConnector1">
                                  <a:avLst/>
                                </a:prstGeom>
                                <a:ln w="9525" cap="flat" cmpd="sng">
                                  <a:solidFill>
                                    <a:srgbClr val="000000"/>
                                  </a:solidFill>
                                  <a:prstDash val="dash"/>
                                  <a:headEnd type="none" w="med" len="med"/>
                                  <a:tailEnd type="triangle" w="med" len="med"/>
                                </a:ln>
                              </wps:spPr>
                              <wps:bodyPr/>
                            </wps:wsp>
                            <wps:wsp>
                              <wps:cNvPr id="28" name="直接箭头连接符 129"/>
                              <wps:cNvCnPr/>
                              <wps:spPr>
                                <a:xfrm>
                                  <a:off x="3703900" y="1808441"/>
                                  <a:ext cx="391200" cy="700"/>
                                </a:xfrm>
                                <a:prstGeom prst="straightConnector1">
                                  <a:avLst/>
                                </a:prstGeom>
                                <a:ln w="9525" cap="flat" cmpd="sng">
                                  <a:solidFill>
                                    <a:srgbClr val="000000"/>
                                  </a:solidFill>
                                  <a:prstDash val="dash"/>
                                  <a:headEnd type="none" w="med" len="med"/>
                                  <a:tailEnd type="triangle" w="med" len="med"/>
                                </a:ln>
                              </wps:spPr>
                              <wps:bodyPr/>
                            </wps:wsp>
                            <wps:wsp>
                              <wps:cNvPr id="29" name="文本框 130"/>
                              <wps:cNvSpPr txBox="1"/>
                              <wps:spPr>
                                <a:xfrm>
                                  <a:off x="4034100" y="522612"/>
                                  <a:ext cx="697200" cy="199304"/>
                                </a:xfrm>
                                <a:prstGeom prst="rect">
                                  <a:avLst/>
                                </a:prstGeom>
                                <a:solidFill>
                                  <a:srgbClr val="FFFFFF">
                                    <a:alpha val="0"/>
                                  </a:srgbClr>
                                </a:solidFill>
                                <a:ln>
                                  <a:noFill/>
                                </a:ln>
                              </wps:spPr>
                              <wps:txbx>
                                <w:txbxContent>
                                  <w:p>
                                    <w:pPr>
                                      <w:ind w:firstLine="0" w:firstLineChars="0"/>
                                      <w:jc w:val="center"/>
                                      <w:rPr>
                                        <w:rFonts w:eastAsia="楷体_GB2312"/>
                                        <w:sz w:val="21"/>
                                        <w:szCs w:val="21"/>
                                      </w:rPr>
                                    </w:pPr>
                                    <w:r>
                                      <w:rPr>
                                        <w:rFonts w:hint="eastAsia" w:eastAsia="楷体_GB2312"/>
                                        <w:sz w:val="21"/>
                                        <w:szCs w:val="21"/>
                                      </w:rPr>
                                      <w:t>N噪声</w:t>
                                    </w:r>
                                  </w:p>
                                  <w:p>
                                    <w:pPr>
                                      <w:ind w:firstLine="480"/>
                                      <w:rPr>
                                        <w:rFonts w:eastAsia="楷体_GB2312"/>
                                        <w:szCs w:val="21"/>
                                      </w:rPr>
                                    </w:pPr>
                                  </w:p>
                                </w:txbxContent>
                              </wps:txbx>
                              <wps:bodyPr lIns="0" tIns="0" rIns="0" bIns="0" upright="1"/>
                            </wps:wsp>
                            <wps:wsp>
                              <wps:cNvPr id="30" name="文本框 131"/>
                              <wps:cNvSpPr txBox="1"/>
                              <wps:spPr>
                                <a:xfrm>
                                  <a:off x="3999200" y="894720"/>
                                  <a:ext cx="1439500" cy="351808"/>
                                </a:xfrm>
                                <a:prstGeom prst="rect">
                                  <a:avLst/>
                                </a:prstGeom>
                                <a:solidFill>
                                  <a:srgbClr val="FFFFFF">
                                    <a:alpha val="0"/>
                                  </a:srgbClr>
                                </a:solidFill>
                                <a:ln>
                                  <a:noFill/>
                                </a:ln>
                              </wps:spPr>
                              <wps:txbx>
                                <w:txbxContent>
                                  <w:p>
                                    <w:pPr>
                                      <w:spacing w:line="240" w:lineRule="auto"/>
                                      <w:ind w:firstLine="0" w:firstLineChars="0"/>
                                      <w:jc w:val="center"/>
                                      <w:rPr>
                                        <w:rFonts w:eastAsia="楷体_GB2312"/>
                                        <w:sz w:val="21"/>
                                        <w:szCs w:val="21"/>
                                      </w:rPr>
                                    </w:pPr>
                                    <w:r>
                                      <w:rPr>
                                        <w:rFonts w:hint="eastAsia" w:eastAsia="楷体_GB2312"/>
                                        <w:sz w:val="21"/>
                                        <w:szCs w:val="21"/>
                                      </w:rPr>
                                      <w:t>G3</w:t>
                                    </w:r>
                                    <w:r>
                                      <w:rPr>
                                        <w:rFonts w:hint="eastAsia" w:eastAsia="楷体_GB2312"/>
                                        <w:sz w:val="21"/>
                                        <w:szCs w:val="21"/>
                                        <w:lang w:eastAsia="zh-CN"/>
                                      </w:rPr>
                                      <w:t>烘干</w:t>
                                    </w:r>
                                    <w:r>
                                      <w:rPr>
                                        <w:rFonts w:hint="eastAsia" w:eastAsia="楷体_GB2312"/>
                                        <w:sz w:val="21"/>
                                        <w:szCs w:val="21"/>
                                      </w:rPr>
                                      <w:t>废气</w:t>
                                    </w:r>
                                    <w:r>
                                      <w:rPr>
                                        <w:rFonts w:hint="eastAsia" w:eastAsia="楷体_GB2312"/>
                                        <w:sz w:val="21"/>
                                        <w:szCs w:val="21"/>
                                        <w:lang w:eastAsia="zh-CN"/>
                                      </w:rPr>
                                      <w:t>、</w:t>
                                    </w:r>
                                    <w:r>
                                      <w:rPr>
                                        <w:rFonts w:hint="eastAsia" w:eastAsia="楷体_GB2312"/>
                                        <w:sz w:val="21"/>
                                        <w:szCs w:val="21"/>
                                      </w:rPr>
                                      <w:t>N噪声</w:t>
                                    </w:r>
                                  </w:p>
                                  <w:p>
                                    <w:pPr>
                                      <w:ind w:firstLine="480"/>
                                      <w:rPr>
                                        <w:rFonts w:eastAsia="楷体_GB2312"/>
                                        <w:szCs w:val="21"/>
                                      </w:rPr>
                                    </w:pPr>
                                  </w:p>
                                </w:txbxContent>
                              </wps:txbx>
                              <wps:bodyPr lIns="0" tIns="0" rIns="0" bIns="0" upright="1"/>
                            </wps:wsp>
                            <wps:wsp>
                              <wps:cNvPr id="31" name="文本框 132"/>
                              <wps:cNvSpPr txBox="1"/>
                              <wps:spPr>
                                <a:xfrm>
                                  <a:off x="3961100" y="1313129"/>
                                  <a:ext cx="791800" cy="199404"/>
                                </a:xfrm>
                                <a:prstGeom prst="rect">
                                  <a:avLst/>
                                </a:prstGeom>
                                <a:solidFill>
                                  <a:srgbClr val="FFFFFF">
                                    <a:alpha val="0"/>
                                  </a:srgbClr>
                                </a:solidFill>
                                <a:ln>
                                  <a:noFill/>
                                </a:ln>
                              </wps:spPr>
                              <wps:txbx>
                                <w:txbxContent>
                                  <w:p>
                                    <w:pPr>
                                      <w:ind w:firstLine="0" w:firstLineChars="0"/>
                                      <w:jc w:val="center"/>
                                      <w:rPr>
                                        <w:rFonts w:eastAsia="楷体_GB2312"/>
                                        <w:sz w:val="21"/>
                                        <w:szCs w:val="21"/>
                                      </w:rPr>
                                    </w:pPr>
                                    <w:r>
                                      <w:rPr>
                                        <w:rFonts w:hint="eastAsia" w:eastAsia="楷体_GB2312"/>
                                        <w:sz w:val="21"/>
                                        <w:szCs w:val="21"/>
                                      </w:rPr>
                                      <w:t>N噪声</w:t>
                                    </w:r>
                                  </w:p>
                                  <w:p>
                                    <w:pPr>
                                      <w:ind w:firstLine="480"/>
                                      <w:rPr>
                                        <w:rFonts w:eastAsia="楷体_GB2312"/>
                                        <w:szCs w:val="21"/>
                                      </w:rPr>
                                    </w:pPr>
                                  </w:p>
                                </w:txbxContent>
                              </wps:txbx>
                              <wps:bodyPr lIns="0" tIns="0" rIns="0" bIns="0" upright="1"/>
                            </wps:wsp>
                            <wps:wsp>
                              <wps:cNvPr id="32" name="文本框 133"/>
                              <wps:cNvSpPr txBox="1"/>
                              <wps:spPr>
                                <a:xfrm>
                                  <a:off x="3989700" y="1694138"/>
                                  <a:ext cx="1439500" cy="208905"/>
                                </a:xfrm>
                                <a:prstGeom prst="rect">
                                  <a:avLst/>
                                </a:prstGeom>
                                <a:solidFill>
                                  <a:srgbClr val="FFFFFF">
                                    <a:alpha val="0"/>
                                  </a:srgbClr>
                                </a:solidFill>
                                <a:ln>
                                  <a:noFill/>
                                </a:ln>
                              </wps:spPr>
                              <wps:txbx>
                                <w:txbxContent>
                                  <w:p>
                                    <w:pPr>
                                      <w:ind w:firstLine="0" w:firstLineChars="0"/>
                                      <w:jc w:val="center"/>
                                      <w:rPr>
                                        <w:rFonts w:eastAsia="楷体_GB2312"/>
                                        <w:sz w:val="21"/>
                                        <w:szCs w:val="21"/>
                                      </w:rPr>
                                    </w:pPr>
                                    <w:r>
                                      <w:rPr>
                                        <w:rFonts w:hint="eastAsia" w:eastAsia="楷体_GB2312"/>
                                        <w:sz w:val="21"/>
                                        <w:szCs w:val="21"/>
                                      </w:rPr>
                                      <w:t>G2粉尘、N噪声</w:t>
                                    </w:r>
                                  </w:p>
                                  <w:p>
                                    <w:pPr>
                                      <w:ind w:firstLine="480"/>
                                      <w:rPr>
                                        <w:rFonts w:eastAsia="楷体_GB2312"/>
                                        <w:szCs w:val="21"/>
                                      </w:rPr>
                                    </w:pPr>
                                  </w:p>
                                </w:txbxContent>
                              </wps:txbx>
                              <wps:bodyPr lIns="0" tIns="0" rIns="0" bIns="0" upright="1"/>
                            </wps:wsp>
                            <wps:wsp>
                              <wps:cNvPr id="33" name="直接箭头连接符 134"/>
                              <wps:cNvCnPr/>
                              <wps:spPr>
                                <a:xfrm>
                                  <a:off x="3712200" y="2665060"/>
                                  <a:ext cx="391100" cy="700"/>
                                </a:xfrm>
                                <a:prstGeom prst="straightConnector1">
                                  <a:avLst/>
                                </a:prstGeom>
                                <a:ln w="9525" cap="flat" cmpd="sng">
                                  <a:solidFill>
                                    <a:srgbClr val="000000"/>
                                  </a:solidFill>
                                  <a:prstDash val="dash"/>
                                  <a:headEnd type="none" w="med" len="med"/>
                                  <a:tailEnd type="triangle" w="med" len="med"/>
                                </a:ln>
                              </wps:spPr>
                              <wps:bodyPr/>
                            </wps:wsp>
                            <wps:wsp>
                              <wps:cNvPr id="34" name="文本框 135"/>
                              <wps:cNvSpPr txBox="1"/>
                              <wps:spPr>
                                <a:xfrm>
                                  <a:off x="4034100" y="2586958"/>
                                  <a:ext cx="1439600" cy="209005"/>
                                </a:xfrm>
                                <a:prstGeom prst="rect">
                                  <a:avLst/>
                                </a:prstGeom>
                                <a:solidFill>
                                  <a:srgbClr val="FFFFFF">
                                    <a:alpha val="0"/>
                                  </a:srgbClr>
                                </a:solidFill>
                                <a:ln>
                                  <a:noFill/>
                                </a:ln>
                              </wps:spPr>
                              <wps:txbx>
                                <w:txbxContent>
                                  <w:p>
                                    <w:pPr>
                                      <w:ind w:firstLine="420"/>
                                      <w:rPr>
                                        <w:rFonts w:eastAsia="楷体_GB2312"/>
                                        <w:szCs w:val="21"/>
                                      </w:rPr>
                                    </w:pPr>
                                    <w:r>
                                      <w:rPr>
                                        <w:rFonts w:hint="eastAsia" w:eastAsia="楷体_GB2312"/>
                                        <w:color w:val="FF0000"/>
                                        <w:sz w:val="21"/>
                                        <w:szCs w:val="21"/>
                                      </w:rPr>
                                      <w:t>S1掉</w:t>
                                    </w:r>
                                    <w:r>
                                      <w:rPr>
                                        <w:rFonts w:hint="eastAsia" w:eastAsia="楷体_GB2312"/>
                                        <w:sz w:val="21"/>
                                        <w:szCs w:val="21"/>
                                      </w:rPr>
                                      <w:t>落沥青混凝土</w:t>
                                    </w:r>
                                  </w:p>
                                </w:txbxContent>
                              </wps:txbx>
                              <wps:bodyPr lIns="0" tIns="0" rIns="0" bIns="0" upright="1"/>
                            </wps:wsp>
                          </wpc:wpc>
                        </a:graphicData>
                      </a:graphic>
                    </wp:anchor>
                  </w:drawing>
                </mc:Choice>
                <mc:Fallback>
                  <w:pict>
                    <v:group id="_x0000_s1026" o:spid="_x0000_s1026" o:spt="203" style="position:absolute;left:0pt;margin-left:0.15pt;margin-top:18.65pt;height:244.85pt;width:429.7pt;mso-wrap-distance-bottom:0pt;mso-wrap-distance-top:0pt;z-index:251820032;mso-width-relative:page;mso-height-relative:page;" coordsize="5457190,3109595" editas="canvas" o:gfxdata="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">
                      <o:lock v:ext="edit" aspectratio="f"/>
                      <v:shape id="_x0000_s1026" o:spid="_x0000_s1026" style="position:absolute;left:0;top:0;height:3109595;width:5457190;" filled="f" stroked="f" coordsize="21600,21600" o:gfxdata="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">
                        <v:fill on="f" focussize="0,0"/>
                        <v:stroke on="f"/>
                        <v:imagedata o:title=""/>
                        <o:lock v:ext="edit" aspectratio="t"/>
                      </v:shape>
                      <v:shape id="文本框 109" o:spid="_x0000_s1026" o:spt="202" type="#_x0000_t202" style="position:absolute;left:2794600;top:106702;height:219005;width:1599000;" fillcolor="#FFFFFF" filled="t" stroked="f" coordsize="21600,21600" o:gfxdata="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MiKLnUAAAABwEAAA8AAAAAAAAAAQAgAAAAIgAAAGRycy9kb3du&#10;cmV2LnhtbFBLAQIUABQAAAAIAIdO4kDOokJkygEAAHcDAAAOAAAAAAAAAAEAIAAAACMBAABkcnMv&#10;ZTJvRG9jLnhtbFBLBQYAAAAABgAGAFkBAABfBQAAAAA=&#10;">
                        <v:fill on="t" opacity="0f" focussize="0,0"/>
                        <v:stroke on="f"/>
                        <v:imagedata o:title=""/>
                        <o:lock v:ext="edit" aspectratio="f"/>
                        <v:textbox inset="0mm,0mm,0mm,0mm">
                          <w:txbxContent>
                            <w:p>
                              <w:pPr>
                                <w:ind w:firstLine="420"/>
                                <w:rPr>
                                  <w:sz w:val="21"/>
                                  <w:szCs w:val="21"/>
                                </w:rPr>
                              </w:pPr>
                              <w:r>
                                <w:rPr>
                                  <w:rFonts w:hint="eastAsia"/>
                                  <w:sz w:val="21"/>
                                  <w:szCs w:val="21"/>
                                </w:rPr>
                                <w:t>石子</w:t>
                              </w:r>
                            </w:p>
                          </w:txbxContent>
                        </v:textbox>
                      </v:shape>
                      <v:shape id="文本框 110" o:spid="_x0000_s1026" o:spt="202" type="#_x0000_t202" style="position:absolute;left:2606300;top:515312;height:216705;width:1080300;" fillcolor="#FFFFFF" filled="t" stroked="t" coordsize="21600,21600" o:gfxdata="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lavBO1gAAAAcBAAAPAAAAAAAAAAEAIAAAACIAAABk&#10;cnMvZG93bnJldi54bWxQSwECFAAUAAAACACHTuJAxCVSoQgCAAAZBAAADgAAAAAAAAABACAAAAAl&#10;AQAAZHJzL2Uyb0RvYy54bWxQSwUGAAAAAAYABgBZAQAAnwUAAAAA&#10;">
                        <v:fill on="t" focussize="0,0"/>
                        <v:stroke color="#000000" joinstyle="miter"/>
                        <v:imagedata o:title=""/>
                        <o:lock v:ext="edit" aspectratio="f"/>
                        <v:textbox inset="0mm,0mm,0mm,0mm">
                          <w:txbxContent>
                            <w:p>
                              <w:pPr>
                                <w:ind w:firstLine="0" w:firstLineChars="0"/>
                                <w:jc w:val="center"/>
                                <w:rPr>
                                  <w:rFonts w:eastAsia="楷体_GB2312"/>
                                  <w:sz w:val="21"/>
                                  <w:szCs w:val="21"/>
                                </w:rPr>
                              </w:pPr>
                              <w:r>
                                <w:rPr>
                                  <w:rFonts w:hint="eastAsia" w:eastAsia="楷体_GB2312"/>
                                  <w:sz w:val="21"/>
                                  <w:szCs w:val="21"/>
                                </w:rPr>
                                <w:t>输送</w:t>
                              </w:r>
                            </w:p>
                          </w:txbxContent>
                        </v:textbox>
                      </v:shape>
                      <v:shape id="直接箭头连接符 111" o:spid="_x0000_s1026" o:spt="32" type="#_x0000_t32" style="position:absolute;left:3153100;top:335508;height:179804;width:5700;" filled="f" stroked="t" coordsize="21600,21600" o:gfxdata="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cp++bYAAAABwEAAA8AAAAAAAAAAQAgAAAAIgAAAGRycy9kb3ducmV2LnhtbFBL&#10;AQIUABQAAAAIAIdO4kABPoPC9gEAALEDAAAOAAAAAAAAAAEAIAAAACcBAABkcnMvZTJvRG9jLnht&#10;bFBLBQYAAAAABgAGAFkBAACPBQAAAAA=&#10;">
                        <v:fill on="f" focussize="0,0"/>
                        <v:stroke color="#000000" joinstyle="round" endarrow="block"/>
                        <v:imagedata o:title=""/>
                        <o:lock v:ext="edit" aspectratio="f"/>
                      </v:shape>
                      <v:shape id="文本框 112" o:spid="_x0000_s1026" o:spt="202" type="#_x0000_t202" style="position:absolute;left:2596800;top:1297029;height:216705;width:1080200;" fillcolor="#FFFFFF" filled="t" stroked="t" coordsize="21600,21600" o:gfxdata="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WrwTtYAAAAHAQAADwAAAAAAAAABACAAAAAiAAAA&#10;ZHJzL2Rvd25yZXYueG1sUEsBAhQAFAAAAAgAh07iQCuSkWEJAgAAGgQAAA4AAAAAAAAAAQAgAAAA&#10;JQEAAGRycy9lMm9Eb2MueG1sUEsFBgAAAAAGAAYAWQEAAKAFAAAAAA==&#10;">
                        <v:fill on="t" focussize="0,0"/>
                        <v:stroke color="#000000" joinstyle="miter"/>
                        <v:imagedata o:title=""/>
                        <o:lock v:ext="edit" aspectratio="f"/>
                        <v:textbox inset="0mm,0mm,0mm,0mm">
                          <w:txbxContent>
                            <w:p>
                              <w:pPr>
                                <w:ind w:firstLine="0" w:firstLineChars="0"/>
                                <w:jc w:val="center"/>
                                <w:rPr>
                                  <w:rFonts w:eastAsia="楷体_GB2312"/>
                                  <w:sz w:val="21"/>
                                  <w:szCs w:val="21"/>
                                </w:rPr>
                              </w:pPr>
                              <w:r>
                                <w:rPr>
                                  <w:rFonts w:hint="eastAsia" w:eastAsia="楷体_GB2312"/>
                                  <w:sz w:val="21"/>
                                  <w:szCs w:val="21"/>
                                </w:rPr>
                                <w:t>提升</w:t>
                              </w:r>
                            </w:p>
                          </w:txbxContent>
                        </v:textbox>
                      </v:shape>
                      <v:shape id="直接箭头连接符 113" o:spid="_x0000_s1026" o:spt="32" type="#_x0000_t32" style="position:absolute;left:3142900;top:1117825;height:179204;width:5700;" filled="f" stroked="t" coordsize="21600,21600" o:gfxdata="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nKfvm2AAAAAcBAAAPAAAAAAAAAAEAIAAAACIAAABkcnMvZG93bnJldi54bWxQ&#10;SwECFAAUAAAACACHTuJAuyYnTPcBAACyAwAADgAAAAAAAAABACAAAAAnAQAAZHJzL2Uyb0RvYy54&#10;bWxQSwUGAAAAAAYABgBZAQAAkAUAAAAA&#10;">
                        <v:fill on="f" focussize="0,0"/>
                        <v:stroke color="#000000" joinstyle="round" endarrow="block"/>
                        <v:imagedata o:title=""/>
                        <o:lock v:ext="edit" aspectratio="f"/>
                      </v:shape>
                      <v:shape id="文本框 114" o:spid="_x0000_s1026" o:spt="202" type="#_x0000_t202" style="position:absolute;left:2606300;top:897320;height:215405;width:1080300;" fillcolor="#FFFFFF" filled="t" stroked="t" coordsize="21600,21600" o:gfxdata="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lavBO1gAAAAcBAAAPAAAAAAAAAAEAIAAAACIAAABk&#10;cnMvZG93bnJldi54bWxQSwECFAAUAAAACACHTuJA3KpEFwgCAAAaBAAADgAAAAAAAAABACAAAAAl&#10;AQAAZHJzL2Uyb0RvYy54bWxQSwUGAAAAAAYABgBZAQAAnwUAAAAA&#10;">
                        <v:fill on="t" focussize="0,0"/>
                        <v:stroke color="#000000" joinstyle="miter"/>
                        <v:imagedata o:title=""/>
                        <o:lock v:ext="edit" aspectratio="f"/>
                        <v:textbox inset="0mm,0mm,0mm,0mm">
                          <w:txbxContent>
                            <w:p>
                              <w:pPr>
                                <w:ind w:firstLine="0" w:firstLineChars="0"/>
                                <w:jc w:val="center"/>
                                <w:rPr>
                                  <w:rFonts w:eastAsia="楷体_GB2312"/>
                                  <w:sz w:val="21"/>
                                  <w:szCs w:val="21"/>
                                </w:rPr>
                              </w:pPr>
                              <w:r>
                                <w:rPr>
                                  <w:rFonts w:hint="eastAsia" w:eastAsia="楷体_GB2312"/>
                                  <w:sz w:val="21"/>
                                  <w:szCs w:val="21"/>
                                </w:rPr>
                                <w:t>烘干</w:t>
                              </w:r>
                            </w:p>
                          </w:txbxContent>
                        </v:textbox>
                      </v:shape>
                      <v:shape id="直接箭头连接符 115" o:spid="_x0000_s1026" o:spt="32" type="#_x0000_t32" style="position:absolute;left:3153100;top:716816;height:180504;width:5700;" filled="f" stroked="t" coordsize="21600,21600" o:gfxdata="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cp++bYAAAABwEAAA8AAAAAAAAAAQAgAAAAIgAAAGRycy9kb3ducmV2Lnht&#10;bFBLAQIUABQAAAAIAIdO4kButrlm+QEAALIDAAAOAAAAAAAAAAEAIAAAACcBAABkcnMvZTJvRG9j&#10;LnhtbFBLBQYAAAAABgAGAFkBAACSBQAAAAA=&#10;">
                        <v:fill on="f" focussize="0,0"/>
                        <v:stroke color="#000000" joinstyle="round" endarrow="block"/>
                        <v:imagedata o:title=""/>
                        <o:lock v:ext="edit" aspectratio="f"/>
                      </v:shape>
                      <v:shape id="文本框 116" o:spid="_x0000_s1026" o:spt="202" type="#_x0000_t202" style="position:absolute;left:2596800;top:1697438;height:216705;width:1080200;" fillcolor="#FFFFFF" filled="t" stroked="t" coordsize="21600,21600" o:gfxdata="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Vq8E7WAAAABwEAAA8AAAAAAAAAAQAgAAAAIgAA&#10;AGRycy9kb3ducmV2LnhtbFBLAQIUABQAAAAIAIdO4kBP7GSFCgIAABsEAAAOAAAAAAAAAAEAIAAA&#10;ACUBAABkcnMvZTJvRG9jLnhtbFBLBQYAAAAABgAGAFkBAAChBQAAAAA=&#10;">
                        <v:fill on="t" focussize="0,0"/>
                        <v:stroke color="#000000" joinstyle="miter"/>
                        <v:imagedata o:title=""/>
                        <o:lock v:ext="edit" aspectratio="f"/>
                        <v:textbox inset="0mm,0mm,0mm,0mm">
                          <w:txbxContent>
                            <w:p>
                              <w:pPr>
                                <w:ind w:firstLine="0" w:firstLineChars="0"/>
                                <w:jc w:val="center"/>
                                <w:rPr>
                                  <w:rFonts w:eastAsia="楷体_GB2312"/>
                                  <w:sz w:val="21"/>
                                  <w:szCs w:val="21"/>
                                </w:rPr>
                              </w:pPr>
                              <w:r>
                                <w:rPr>
                                  <w:rFonts w:hint="eastAsia" w:eastAsia="楷体_GB2312"/>
                                  <w:sz w:val="21"/>
                                  <w:szCs w:val="21"/>
                                </w:rPr>
                                <w:t>筛分</w:t>
                              </w:r>
                            </w:p>
                          </w:txbxContent>
                        </v:textbox>
                      </v:shape>
                      <v:shape id="直接箭头连接符 117" o:spid="_x0000_s1026" o:spt="32" type="#_x0000_t32" style="position:absolute;left:3142900;top:1517534;height:179904;width:5700;" filled="f" stroked="t" coordsize="21600,21600" o:gfxdata="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nKfvm2AAAAAcBAAAPAAAAAAAAAAEAIAAAACIAAABkcnMvZG93bnJldi54&#10;bWxQSwECFAAUAAAACACHTuJAhgj3zPoBAACzAwAADgAAAAAAAAABACAAAAAnAQAAZHJzL2Uyb0Rv&#10;Yy54bWxQSwUGAAAAAAYABgBZAQAAkwUAAAAA&#10;">
                        <v:fill on="f" focussize="0,0"/>
                        <v:stroke color="#000000" joinstyle="round" endarrow="block"/>
                        <v:imagedata o:title=""/>
                        <o:lock v:ext="edit" aspectratio="f"/>
                      </v:shape>
                      <v:shape id="文本框 118" o:spid="_x0000_s1026" o:spt="202" type="#_x0000_t202" style="position:absolute;left:2679000;top:2595258;height:215305;width:1080200;" fillcolor="#FFFFFF" filled="t" stroked="f" coordsize="21600,21600" o:gfxdata="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jsr2utcAAAAHAQAADwAAAAAAAAABACAAAAAiAAAAZHJzL2Rvd25yZXYueG1s&#10;UEsBAhQAFAAAAAgAh07iQMZTAzTAAQAAXAMAAA4AAAAAAAAAAQAgAAAAJgEAAGRycy9lMm9Eb2Mu&#10;eG1sUEsFBgAAAAAGAAYAWQEAAFgFAAAAAA==&#10;">
                        <v:fill on="t" focussize="0,0"/>
                        <v:stroke on="f"/>
                        <v:imagedata o:title=""/>
                        <o:lock v:ext="edit" aspectratio="f"/>
                        <v:textbox inset="0mm,0mm,0mm,0mm">
                          <w:txbxContent>
                            <w:p>
                              <w:pPr>
                                <w:ind w:firstLine="0" w:firstLineChars="0"/>
                                <w:jc w:val="center"/>
                                <w:rPr>
                                  <w:rFonts w:eastAsia="楷体_GB2312"/>
                                  <w:sz w:val="21"/>
                                  <w:szCs w:val="21"/>
                                </w:rPr>
                              </w:pPr>
                              <w:r>
                                <w:rPr>
                                  <w:rFonts w:hint="eastAsia" w:eastAsia="楷体_GB2312"/>
                                  <w:sz w:val="21"/>
                                  <w:szCs w:val="21"/>
                                </w:rPr>
                                <w:t>装车</w:t>
                              </w:r>
                            </w:p>
                          </w:txbxContent>
                        </v:textbox>
                      </v:shape>
                      <v:shape id="文本框 119" o:spid="_x0000_s1026" o:spt="202" type="#_x0000_t202" style="position:absolute;left:4034200;top:2012945;height:546112;width:1439500;" fillcolor="#FFFFFF" filled="t" stroked="f" coordsize="21600,21600" o:gfxdata="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Iii51AAAAAcBAAAPAAAAAAAAAAEAIAAAACIAAABkcnMvZG93&#10;bnJldi54bWxQSwECFAAUAAAACACHTuJAV42OmMsBAAB5AwAADgAAAAAAAAABACAAAAAjAQAAZHJz&#10;L2Uyb0RvYy54bWxQSwUGAAAAAAYABgBZAQAAYAUAAAAA&#10;">
                        <v:fill on="t" opacity="0f" focussize="0,0"/>
                        <v:stroke on="f"/>
                        <v:imagedata o:title=""/>
                        <o:lock v:ext="edit" aspectratio="f"/>
                        <v:textbox inset="0mm,0mm,0mm,0mm">
                          <w:txbxContent>
                            <w:p>
                              <w:pPr>
                                <w:spacing w:line="240" w:lineRule="auto"/>
                                <w:ind w:firstLine="0" w:firstLineChars="0"/>
                                <w:jc w:val="center"/>
                                <w:rPr>
                                  <w:rFonts w:eastAsia="楷体_GB2312"/>
                                  <w:sz w:val="21"/>
                                  <w:szCs w:val="21"/>
                                </w:rPr>
                              </w:pPr>
                              <w:r>
                                <w:rPr>
                                  <w:rFonts w:hint="eastAsia" w:eastAsia="楷体_GB2312"/>
                                  <w:sz w:val="21"/>
                                  <w:szCs w:val="21"/>
                                </w:rPr>
                                <w:t>G1沥青烟气、G2粉尘、G4燃烧废气、</w:t>
                              </w:r>
                              <w:r>
                                <w:rPr>
                                  <w:rFonts w:hint="eastAsia" w:eastAsia="楷体_GB2312"/>
                                  <w:color w:val="FF0000"/>
                                  <w:sz w:val="21"/>
                                  <w:szCs w:val="21"/>
                                  <w:lang w:val="en-US" w:eastAsia="zh-CN"/>
                                </w:rPr>
                                <w:t>G5臭气浓度</w:t>
                              </w:r>
                              <w:r>
                                <w:rPr>
                                  <w:rFonts w:hint="eastAsia" w:eastAsia="楷体_GB2312"/>
                                  <w:sz w:val="21"/>
                                  <w:szCs w:val="21"/>
                                  <w:lang w:val="en-US" w:eastAsia="zh-CN"/>
                                </w:rPr>
                                <w:t>、</w:t>
                              </w:r>
                              <w:r>
                                <w:rPr>
                                  <w:rFonts w:hint="eastAsia" w:eastAsia="楷体_GB2312"/>
                                  <w:sz w:val="21"/>
                                  <w:szCs w:val="21"/>
                                </w:rPr>
                                <w:t>N噪声</w:t>
                              </w:r>
                            </w:p>
                            <w:p>
                              <w:pPr>
                                <w:ind w:firstLine="480"/>
                                <w:rPr>
                                  <w:rFonts w:eastAsia="楷体_GB2312"/>
                                  <w:szCs w:val="21"/>
                                </w:rPr>
                              </w:pPr>
                            </w:p>
                          </w:txbxContent>
                        </v:textbox>
                      </v:shape>
                      <v:shape id="直接箭头连接符 120" o:spid="_x0000_s1026" o:spt="32" type="#_x0000_t32" style="position:absolute;left:3724900;top:2221850;height:700;width:391100;" filled="f" stroked="t" coordsize="21600,21600" o:gfxdata="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PEr0/UAAAABwEAAA8AAAAAAAAAAQAgAAAAIgAAAGRycy9kb3ducmV2LnhtbFBLAQIUABQA&#10;AAAIAIdO4kDi0InY9AEAALEDAAAOAAAAAAAAAAEAIAAAACMBAABkcnMvZTJvRG9jLnhtbFBLBQYA&#10;AAAABgAGAFkBAACJBQAAAAA=&#10;">
                        <v:fill on="f" focussize="0,0"/>
                        <v:stroke color="#000000" joinstyle="round" dashstyle="dash" endarrow="block"/>
                        <v:imagedata o:title=""/>
                        <o:lock v:ext="edit" aspectratio="f"/>
                      </v:shape>
                      <v:shape id="直接箭头连接符 121" o:spid="_x0000_s1026" o:spt="32" type="#_x0000_t32" style="position:absolute;left:3142900;top:1908343;height:179904;width:5700;" filled="f" stroked="t" coordsize="21600,21600" o:gfxdata="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cp++bYAAAABwEAAA8AAAAAAAAAAQAgAAAAIgAAAGRycy9kb3ducmV2Lnht&#10;bFBLAQIUABQAAAAIAIdO4kCp7NGS+QEAALMDAAAOAAAAAAAAAAEAIAAAACcBAABkcnMvZTJvRG9j&#10;LnhtbFBLBQYAAAAABgAGAFkBAACSBQAAAAA=&#10;">
                        <v:fill on="f" focussize="0,0"/>
                        <v:stroke color="#000000" joinstyle="round" endarrow="block"/>
                        <v:imagedata o:title=""/>
                        <o:lock v:ext="edit" aspectratio="f"/>
                      </v:shape>
                      <v:shape id="文本框 122" o:spid="_x0000_s1026" o:spt="202" type="#_x0000_t202" style="position:absolute;left:2638400;top:2101847;height:216505;width:1080100;" fillcolor="#FFFFFF" filled="t" stroked="t" coordsize="21600,21600" o:gfxdata="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&#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8E7WAAAABwEAAA8AAAAAAAAAAQAgAAAAIgAAAGRy&#10;cy9kb3ducmV2LnhtbFBLAQIUABQAAAAIAIdO4kCj7WLBBwIAABsEAAAOAAAAAAAAAAEAIAAAACUB&#10;AABkcnMvZTJvRG9jLnhtbFBLBQYAAAAABgAGAFkBAACeBQAAAAA=&#10;">
                        <v:fill on="t" focussize="0,0"/>
                        <v:stroke color="#000000" joinstyle="miter"/>
                        <v:imagedata o:title=""/>
                        <o:lock v:ext="edit" aspectratio="f"/>
                        <v:textbox inset="0mm,0mm,0mm,0mm">
                          <w:txbxContent>
                            <w:p>
                              <w:pPr>
                                <w:ind w:firstLine="0" w:firstLineChars="0"/>
                                <w:jc w:val="center"/>
                                <w:rPr>
                                  <w:rFonts w:eastAsia="楷体_GB2312"/>
                                  <w:sz w:val="21"/>
                                  <w:szCs w:val="21"/>
                                </w:rPr>
                              </w:pPr>
                              <w:r>
                                <w:rPr>
                                  <w:rFonts w:hint="eastAsia" w:eastAsia="楷体_GB2312"/>
                                  <w:sz w:val="21"/>
                                  <w:szCs w:val="21"/>
                                </w:rPr>
                                <w:t>搅拌</w:t>
                              </w:r>
                            </w:p>
                          </w:txbxContent>
                        </v:textbox>
                      </v:shape>
                      <v:shape id="直接箭头连接符 123" o:spid="_x0000_s1026" o:spt="32" type="#_x0000_t32" style="position:absolute;left:3149600;top:2309452;height:179804;width:5700;" filled="f" stroked="t" coordsize="21600,21600" o:gfxdata="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nKfvm2AAAAAcBAAAPAAAAAAAAAAEAIAAAACIAAABkcnMvZG93bnJldi54&#10;bWxQSwECFAAUAAAACACHTuJANTJsJvoBAACzAwAADgAAAAAAAAABACAAAAAnAQAAZHJzL2Uyb0Rv&#10;Yy54bWxQSwUGAAAAAAYABgBZAQAAkwUAAAAA&#10;">
                        <v:fill on="f" focussize="0,0"/>
                        <v:stroke color="#000000" joinstyle="round" endarrow="block"/>
                        <v:imagedata o:title=""/>
                        <o:lock v:ext="edit" aspectratio="f"/>
                      </v:shape>
                      <v:shape id="文本框 124" o:spid="_x0000_s1026" o:spt="202" type="#_x0000_t202" style="position:absolute;left:614600;top:2132948;height:219105;width:1778700;" fillcolor="#FFFFFF" filled="t" stroked="f" coordsize="21600,21600" o:gfxdata="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Iii51AAAAAcBAAAPAAAAAAAAAAEAIAAAACIAAABkcnMvZG93&#10;bnJldi54bWxQSwECFAAUAAAACACHTuJA5MTdFMsBAAB4AwAADgAAAAAAAAABACAAAAAjAQAAZHJz&#10;L2Uyb0RvYy54bWxQSwUGAAAAAAYABgBZAQAAYAUAAAAA&#10;">
                        <v:fill on="t" opacity="0f" focussize="0,0"/>
                        <v:stroke on="f"/>
                        <v:imagedata o:title=""/>
                        <o:lock v:ext="edit" aspectratio="f"/>
                        <v:textbox inset="0mm,0mm,0mm,0mm">
                          <w:txbxContent>
                            <w:p>
                              <w:pPr>
                                <w:ind w:firstLine="420"/>
                              </w:pPr>
                              <w:r>
                                <w:rPr>
                                  <w:rFonts w:hint="eastAsia"/>
                                  <w:sz w:val="21"/>
                                  <w:szCs w:val="21"/>
                                </w:rPr>
                                <w:t>沥青（120℃）、矿粉</w:t>
                              </w:r>
                            </w:p>
                          </w:txbxContent>
                        </v:textbox>
                      </v:shape>
                      <v:shape id="直接箭头连接符 125" o:spid="_x0000_s1026" o:spt="32" type="#_x0000_t32" style="position:absolute;left:2294200;top:2204049;flip:y;height:4500;width:307300;" filled="f" stroked="t" coordsize="21600,21600" o:gfxdata="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TvgTA1wAAAAcBAAAPAAAAAAAAAAEAIAAAACIAAABkcnMvZG93bnJl&#10;di54bWxQSwECFAAUAAAACACHTuJAl9Jomf4BAAC9AwAADgAAAAAAAAABACAAAAAmAQAAZHJzL2Uy&#10;b0RvYy54bWxQSwUGAAAAAAYABgBZAQAAlgUAAAAA&#10;">
                        <v:fill on="f" focussize="0,0"/>
                        <v:stroke color="#000000" joinstyle="round" endarrow="block"/>
                        <v:imagedata o:title=""/>
                        <o:lock v:ext="edit" aspectratio="f"/>
                      </v:shape>
                      <v:shape id="直接箭头连接符 126" o:spid="_x0000_s1026" o:spt="32" type="#_x0000_t32" style="position:absolute;left:3713400;top:617814;height:600;width:391200;" filled="f" stroked="t" coordsize="21600,21600" o:gfxdata="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PEr0/UAAAABwEAAA8AAAAAAAAAAQAgAAAAIgAAAGRycy9kb3ducmV2LnhtbFBLAQIU&#10;ABQAAAAIAIdO4kDO0j5+9wEAALADAAAOAAAAAAAAAAEAIAAAACMBAABkcnMvZTJvRG9jLnhtbFBL&#10;BQYAAAAABgAGAFkBAACMBQAAAAA=&#10;">
                        <v:fill on="f" focussize="0,0"/>
                        <v:stroke color="#000000" joinstyle="round" dashstyle="dash" endarrow="block"/>
                        <v:imagedata o:title=""/>
                        <o:lock v:ext="edit" aspectratio="f"/>
                      </v:shape>
                      <v:shape id="直接箭头连接符 127" o:spid="_x0000_s1026" o:spt="32" type="#_x0000_t32" style="position:absolute;left:3684900;top:1017923;height:600;width:391100;" filled="f" stroked="t" coordsize="21600,21600" o:gfxdata="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8SvT9QAAAAHAQAADwAAAAAAAAABACAAAAAiAAAAZHJzL2Rvd25yZXYueG1sUEsB&#10;AhQAFAAAAAgAh07iQBa3lQ/5AQAAsQMAAA4AAAAAAAAAAQAgAAAAIwEAAGRycy9lMm9Eb2MueG1s&#10;UEsFBgAAAAAGAAYAWQEAAI4FAAAAAA==&#10;">
                        <v:fill on="f" focussize="0,0"/>
                        <v:stroke color="#000000" joinstyle="round" dashstyle="dash" endarrow="block"/>
                        <v:imagedata o:title=""/>
                        <o:lock v:ext="edit" aspectratio="f"/>
                      </v:shape>
                      <v:shape id="直接箭头连接符 128" o:spid="_x0000_s1026" o:spt="32" type="#_x0000_t32" style="position:absolute;left:3684900;top:1408432;height:600;width:391100;" filled="f" stroked="t" coordsize="21600,21600" o:gfxdata="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TxK9P1AAAAAcBAAAPAAAAAAAAAAEAIAAAACIAAABkcnMvZG93bnJldi54bWxQSwEC&#10;FAAUAAAACACHTuJAgbPHzPgBAACxAwAADgAAAAAAAAABACAAAAAjAQAAZHJzL2Uyb0RvYy54bWxQ&#10;SwUGAAAAAAYABgBZAQAAjQUAAAAA&#10;">
                        <v:fill on="f" focussize="0,0"/>
                        <v:stroke color="#000000" joinstyle="round" dashstyle="dash" endarrow="block"/>
                        <v:imagedata o:title=""/>
                        <o:lock v:ext="edit" aspectratio="f"/>
                      </v:shape>
                      <v:shape id="直接箭头连接符 129" o:spid="_x0000_s1026" o:spt="32" type="#_x0000_t32" style="position:absolute;left:3703900;top:1808441;height:700;width:391200;" filled="f" stroked="t" coordsize="21600,21600" o:gfxdata="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8SvT9QAAAAHAQAADwAAAAAAAAABACAAAAAiAAAAZHJzL2Rvd25yZXYueG1sUEsB&#10;AhQAFAAAAAgAh07iQHjBqnj5AQAAsQMAAA4AAAAAAAAAAQAgAAAAIwEAAGRycy9lMm9Eb2MueG1s&#10;UEsFBgAAAAAGAAYAWQEAAI4FAAAAAA==&#10;">
                        <v:fill on="f" focussize="0,0"/>
                        <v:stroke color="#000000" joinstyle="round" dashstyle="dash" endarrow="block"/>
                        <v:imagedata o:title=""/>
                        <o:lock v:ext="edit" aspectratio="f"/>
                      </v:shape>
                      <v:shape id="文本框 130" o:spid="_x0000_s1026" o:spt="202" type="#_x0000_t202" style="position:absolute;left:4034100;top:522612;height:199304;width:697200;" fillcolor="#FFFFFF" filled="t" stroked="f" coordsize="21600,21600" o:gfxdata="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Iii51AAAAAcBAAAPAAAAAAAAAAEAIAAAACIAAABkcnMvZG93&#10;bnJldi54bWxQSwECFAAUAAAACACHTuJAL+F4kcsBAAB3AwAADgAAAAAAAAABACAAAAAjAQAAZHJz&#10;L2Uyb0RvYy54bWxQSwUGAAAAAAYABgBZAQAAYAUAAAAA&#10;">
                        <v:fill on="t" opacity="0f" focussize="0,0"/>
                        <v:stroke on="f"/>
                        <v:imagedata o:title=""/>
                        <o:lock v:ext="edit" aspectratio="f"/>
                        <v:textbox inset="0mm,0mm,0mm,0mm">
                          <w:txbxContent>
                            <w:p>
                              <w:pPr>
                                <w:ind w:firstLine="0" w:firstLineChars="0"/>
                                <w:jc w:val="center"/>
                                <w:rPr>
                                  <w:rFonts w:eastAsia="楷体_GB2312"/>
                                  <w:sz w:val="21"/>
                                  <w:szCs w:val="21"/>
                                </w:rPr>
                              </w:pPr>
                              <w:r>
                                <w:rPr>
                                  <w:rFonts w:hint="eastAsia" w:eastAsia="楷体_GB2312"/>
                                  <w:sz w:val="21"/>
                                  <w:szCs w:val="21"/>
                                </w:rPr>
                                <w:t>N噪声</w:t>
                              </w:r>
                            </w:p>
                            <w:p>
                              <w:pPr>
                                <w:ind w:firstLine="480"/>
                                <w:rPr>
                                  <w:rFonts w:eastAsia="楷体_GB2312"/>
                                  <w:szCs w:val="21"/>
                                </w:rPr>
                              </w:pPr>
                            </w:p>
                          </w:txbxContent>
                        </v:textbox>
                      </v:shape>
                      <v:shape id="文本框 131" o:spid="_x0000_s1026" o:spt="202" type="#_x0000_t202" style="position:absolute;left:3999200;top:894720;height:351808;width:1439500;" fillcolor="#FFFFFF" filled="t" stroked="f" coordsize="21600,21600" o:gfxdata="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Iii51AAAAAcBAAAPAAAAAAAAAAEAIAAAACIAAABkcnMvZG93&#10;bnJldi54bWxQSwECFAAUAAAACACHTuJA+iZUrssBAAB4AwAADgAAAAAAAAABACAAAAAjAQAAZHJz&#10;L2Uyb0RvYy54bWxQSwUGAAAAAAYABgBZAQAAYAUAAAAA&#10;">
                        <v:fill on="t" opacity="0f" focussize="0,0"/>
                        <v:stroke on="f"/>
                        <v:imagedata o:title=""/>
                        <o:lock v:ext="edit" aspectratio="f"/>
                        <v:textbox inset="0mm,0mm,0mm,0mm">
                          <w:txbxContent>
                            <w:p>
                              <w:pPr>
                                <w:spacing w:line="240" w:lineRule="auto"/>
                                <w:ind w:firstLine="0" w:firstLineChars="0"/>
                                <w:jc w:val="center"/>
                                <w:rPr>
                                  <w:rFonts w:eastAsia="楷体_GB2312"/>
                                  <w:sz w:val="21"/>
                                  <w:szCs w:val="21"/>
                                </w:rPr>
                              </w:pPr>
                              <w:r>
                                <w:rPr>
                                  <w:rFonts w:hint="eastAsia" w:eastAsia="楷体_GB2312"/>
                                  <w:sz w:val="21"/>
                                  <w:szCs w:val="21"/>
                                </w:rPr>
                                <w:t>G3</w:t>
                              </w:r>
                              <w:r>
                                <w:rPr>
                                  <w:rFonts w:hint="eastAsia" w:eastAsia="楷体_GB2312"/>
                                  <w:sz w:val="21"/>
                                  <w:szCs w:val="21"/>
                                  <w:lang w:eastAsia="zh-CN"/>
                                </w:rPr>
                                <w:t>烘干</w:t>
                              </w:r>
                              <w:r>
                                <w:rPr>
                                  <w:rFonts w:hint="eastAsia" w:eastAsia="楷体_GB2312"/>
                                  <w:sz w:val="21"/>
                                  <w:szCs w:val="21"/>
                                </w:rPr>
                                <w:t>废气</w:t>
                              </w:r>
                              <w:r>
                                <w:rPr>
                                  <w:rFonts w:hint="eastAsia" w:eastAsia="楷体_GB2312"/>
                                  <w:sz w:val="21"/>
                                  <w:szCs w:val="21"/>
                                  <w:lang w:eastAsia="zh-CN"/>
                                </w:rPr>
                                <w:t>、</w:t>
                              </w:r>
                              <w:r>
                                <w:rPr>
                                  <w:rFonts w:hint="eastAsia" w:eastAsia="楷体_GB2312"/>
                                  <w:sz w:val="21"/>
                                  <w:szCs w:val="21"/>
                                </w:rPr>
                                <w:t>N噪声</w:t>
                              </w:r>
                            </w:p>
                            <w:p>
                              <w:pPr>
                                <w:ind w:firstLine="480"/>
                                <w:rPr>
                                  <w:rFonts w:eastAsia="楷体_GB2312"/>
                                  <w:szCs w:val="21"/>
                                </w:rPr>
                              </w:pPr>
                            </w:p>
                          </w:txbxContent>
                        </v:textbox>
                      </v:shape>
                      <v:shape id="文本框 132" o:spid="_x0000_s1026" o:spt="202" type="#_x0000_t202" style="position:absolute;left:3961100;top:1313129;height:199404;width:791800;" fillcolor="#FFFFFF" filled="t" stroked="f" coordsize="21600,21600" o:gfxdata="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Iii51AAAAAcBAAAPAAAAAAAAAAEAIAAAACIAAABkcnMvZG93&#10;bnJldi54bWxQSwECFAAUAAAACACHTuJALVqCqcsBAAB4AwAADgAAAAAAAAABACAAAAAjAQAAZHJz&#10;L2Uyb0RvYy54bWxQSwUGAAAAAAYABgBZAQAAYAUAAAAA&#10;">
                        <v:fill on="t" opacity="0f" focussize="0,0"/>
                        <v:stroke on="f"/>
                        <v:imagedata o:title=""/>
                        <o:lock v:ext="edit" aspectratio="f"/>
                        <v:textbox inset="0mm,0mm,0mm,0mm">
                          <w:txbxContent>
                            <w:p>
                              <w:pPr>
                                <w:ind w:firstLine="0" w:firstLineChars="0"/>
                                <w:jc w:val="center"/>
                                <w:rPr>
                                  <w:rFonts w:eastAsia="楷体_GB2312"/>
                                  <w:sz w:val="21"/>
                                  <w:szCs w:val="21"/>
                                </w:rPr>
                              </w:pPr>
                              <w:r>
                                <w:rPr>
                                  <w:rFonts w:hint="eastAsia" w:eastAsia="楷体_GB2312"/>
                                  <w:sz w:val="21"/>
                                  <w:szCs w:val="21"/>
                                </w:rPr>
                                <w:t>N噪声</w:t>
                              </w:r>
                            </w:p>
                            <w:p>
                              <w:pPr>
                                <w:ind w:firstLine="480"/>
                                <w:rPr>
                                  <w:rFonts w:eastAsia="楷体_GB2312"/>
                                  <w:szCs w:val="21"/>
                                </w:rPr>
                              </w:pPr>
                            </w:p>
                          </w:txbxContent>
                        </v:textbox>
                      </v:shape>
                      <v:shape id="文本框 133" o:spid="_x0000_s1026" o:spt="202" type="#_x0000_t202" style="position:absolute;left:3989700;top:1694138;height:208905;width:1439500;" fillcolor="#FFFFFF" filled="t" stroked="f" coordsize="21600,21600" o:gfxdata="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MiKLnUAAAABwEAAA8AAAAAAAAAAQAgAAAAIgAAAGRycy9k&#10;b3ducmV2LnhtbFBLAQIUABQAAAAIAIdO4kAaJPvbzQEAAHkDAAAOAAAAAAAAAAEAIAAAACMBAABk&#10;cnMvZTJvRG9jLnhtbFBLBQYAAAAABgAGAFkBAABiBQAAAAA=&#10;">
                        <v:fill on="t" opacity="0f" focussize="0,0"/>
                        <v:stroke on="f"/>
                        <v:imagedata o:title=""/>
                        <o:lock v:ext="edit" aspectratio="f"/>
                        <v:textbox inset="0mm,0mm,0mm,0mm">
                          <w:txbxContent>
                            <w:p>
                              <w:pPr>
                                <w:ind w:firstLine="0" w:firstLineChars="0"/>
                                <w:jc w:val="center"/>
                                <w:rPr>
                                  <w:rFonts w:eastAsia="楷体_GB2312"/>
                                  <w:sz w:val="21"/>
                                  <w:szCs w:val="21"/>
                                </w:rPr>
                              </w:pPr>
                              <w:r>
                                <w:rPr>
                                  <w:rFonts w:hint="eastAsia" w:eastAsia="楷体_GB2312"/>
                                  <w:sz w:val="21"/>
                                  <w:szCs w:val="21"/>
                                </w:rPr>
                                <w:t>G2粉尘、N噪声</w:t>
                              </w:r>
                            </w:p>
                            <w:p>
                              <w:pPr>
                                <w:ind w:firstLine="480"/>
                                <w:rPr>
                                  <w:rFonts w:eastAsia="楷体_GB2312"/>
                                  <w:szCs w:val="21"/>
                                </w:rPr>
                              </w:pPr>
                            </w:p>
                          </w:txbxContent>
                        </v:textbox>
                      </v:shape>
                      <v:shape id="直接箭头连接符 134" o:spid="_x0000_s1026" o:spt="32" type="#_x0000_t32" style="position:absolute;left:3712200;top:2665060;height:700;width:391100;" filled="f" stroked="t" coordsize="21600,21600" o:gfxdata="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8SvT9QAAAAHAQAADwAAAAAAAAABACAAAAAiAAAAZHJzL2Rvd25yZXYueG1sUEsBAhQA&#10;FAAAAAgAh07iQDoghDX2AQAAsQMAAA4AAAAAAAAAAQAgAAAAIwEAAGRycy9lMm9Eb2MueG1sUEsF&#10;BgAAAAAGAAYAWQEAAIsFAAAAAA==&#10;">
                        <v:fill on="f" focussize="0,0"/>
                        <v:stroke color="#000000" joinstyle="round" dashstyle="dash" endarrow="block"/>
                        <v:imagedata o:title=""/>
                        <o:lock v:ext="edit" aspectratio="f"/>
                      </v:shape>
                      <v:shape id="文本框 135" o:spid="_x0000_s1026" o:spt="202" type="#_x0000_t202" style="position:absolute;left:4034100;top:2586958;height:209005;width:1439600;" fillcolor="#FFFFFF" filled="t" stroked="f" coordsize="21600,21600" o:gfxdata="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8yIoudQAAAAHAQAADwAAAAAAAAABACAAAAAiAAAAZHJzL2Rv&#10;d25yZXYueG1sUEsBAhQAFAAAAAgAh07iQF0Abk/MAQAAeQMAAA4AAAAAAAAAAQAgAAAAIwEAAGRy&#10;cy9lMm9Eb2MueG1sUEsFBgAAAAAGAAYAWQEAAGEFAAAAAA==&#10;">
                        <v:fill on="t" opacity="0f" focussize="0,0"/>
                        <v:stroke on="f"/>
                        <v:imagedata o:title=""/>
                        <o:lock v:ext="edit" aspectratio="f"/>
                        <v:textbox inset="0mm,0mm,0mm,0mm">
                          <w:txbxContent>
                            <w:p>
                              <w:pPr>
                                <w:ind w:firstLine="420"/>
                                <w:rPr>
                                  <w:rFonts w:eastAsia="楷体_GB2312"/>
                                  <w:szCs w:val="21"/>
                                </w:rPr>
                              </w:pPr>
                              <w:r>
                                <w:rPr>
                                  <w:rFonts w:hint="eastAsia" w:eastAsia="楷体_GB2312"/>
                                  <w:color w:val="FF0000"/>
                                  <w:sz w:val="21"/>
                                  <w:szCs w:val="21"/>
                                </w:rPr>
                                <w:t>S1掉</w:t>
                              </w:r>
                              <w:r>
                                <w:rPr>
                                  <w:rFonts w:hint="eastAsia" w:eastAsia="楷体_GB2312"/>
                                  <w:sz w:val="21"/>
                                  <w:szCs w:val="21"/>
                                </w:rPr>
                                <w:t>落沥青混凝土</w:t>
                              </w:r>
                            </w:p>
                          </w:txbxContent>
                        </v:textbox>
                      </v:shape>
                      <w10:wrap type="topAndBottom"/>
                    </v:group>
                  </w:pict>
                </mc:Fallback>
              </mc:AlternateContent>
            </w:r>
            <w:r>
              <w:rPr>
                <w:rFonts w:hint="default" w:ascii="Times New Roman" w:hAnsi="Times New Roman" w:eastAsia="宋体" w:cs="Times New Roman"/>
                <w:color w:val="auto"/>
                <w:sz w:val="24"/>
                <w:lang w:val="en-US" w:eastAsia="zh-CN"/>
              </w:rPr>
              <w:t>沥青搅拌站工艺流程图</w:t>
            </w:r>
          </w:p>
          <w:p>
            <w:pPr>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本项目生产工艺简述：</w:t>
            </w:r>
          </w:p>
          <w:p>
            <w:pPr>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（1）输送：外购的石子由装载机运送到拌和楼的冷配料斗，由冷料斗规则的供给皮带给料器，由皮带密闭输送到干燥筒的进料端。过程中产生输送带运行产生的N噪声。</w:t>
            </w:r>
          </w:p>
          <w:p>
            <w:pPr>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（2）烘干：石子在拌和楼的干燥筒内进行烘干、加热，烘干热源由喷燃器提供，喷燃器采用燃油提供热能。过程中产设备运行产生的N噪声、石子烘干产生的G3烘干废气。</w:t>
            </w:r>
          </w:p>
          <w:p>
            <w:pPr>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（3）提升：由干燥筒卸出的烘干、加热的石料由热料提升机提升到振动筛内进行筛分。过程中产生设备运行产生的N噪声。</w:t>
            </w:r>
          </w:p>
          <w:p>
            <w:pPr>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（4）筛分：石料经过振动筛筛分后分成不同规格大小的石料，暂时存入热料仓内。然后石子从热料仓内根据级配要求通过石料称量斗进入搅拌器。过程中产生设备运行产生的N噪声以及石子产生的G2粉尘。</w:t>
            </w:r>
          </w:p>
          <w:p>
            <w:pPr>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5）搅拌：存储在沥青罐内的沥青由导热油保温在120℃左右（导热油由导热油锅炉进行加热），再根据需要计量后吸入搅拌器内。筛分后的石子由称量斗称量后输送到搅拌器内，与沥青一起充分搅拌，使石料均匀分散在沥青中。本项目搅拌时会产生G1沥青烟气，其中主要污染物为沥青烟、苯并[a]芘，矿粉产生的G2粉尘，锅炉燃烧产生的G4燃烧废气，沥青产生的G5臭气浓度以及设备运行产生的N噪声。</w:t>
            </w:r>
          </w:p>
          <w:p>
            <w:pPr>
              <w:rPr>
                <w:rFonts w:hint="default" w:ascii="Times New Roman" w:hAnsi="Times New Roman" w:eastAsia="宋体" w:cs="Times New Roman"/>
                <w:b/>
                <w:bCs/>
                <w:color w:val="auto"/>
                <w:sz w:val="24"/>
              </w:rPr>
            </w:pPr>
            <w:r>
              <w:rPr>
                <w:rFonts w:hint="default" w:ascii="Times New Roman" w:hAnsi="Times New Roman" w:eastAsia="宋体" w:cs="Times New Roman"/>
                <w:color w:val="auto"/>
                <w:sz w:val="24"/>
                <w:lang w:val="en-US" w:eastAsia="zh-CN"/>
              </w:rPr>
              <w:t>（6）装车：搅拌后的产品通过拌和楼的出口直接装车运走，过程中可能会掉落部分沥青混凝土S1。</w:t>
            </w:r>
          </w:p>
          <w:p>
            <w:pPr>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主要污染工序：</w:t>
            </w:r>
          </w:p>
          <w:p>
            <w:pPr>
              <w:ind w:firstLine="482" w:firstLineChars="200"/>
              <w:rPr>
                <w:rFonts w:hint="default" w:ascii="Times New Roman" w:hAnsi="Times New Roman" w:eastAsia="宋体" w:cs="Times New Roman"/>
                <w:b/>
                <w:bCs/>
                <w:color w:val="auto"/>
                <w:sz w:val="24"/>
              </w:rPr>
            </w:pPr>
            <w:r>
              <w:rPr>
                <w:rFonts w:hint="default" w:ascii="Times New Roman" w:hAnsi="Times New Roman" w:eastAsia="宋体" w:cs="Times New Roman"/>
                <w:b/>
                <w:color w:val="auto"/>
                <w:sz w:val="24"/>
              </w:rPr>
              <w:t>一、施工期污染工序：</w:t>
            </w:r>
          </w:p>
          <w:p>
            <w:pPr>
              <w:tabs>
                <w:tab w:val="left" w:pos="1280"/>
              </w:tabs>
              <w:ind w:firstLine="482" w:firstLineChars="200"/>
              <w:textAlignment w:val="baseline"/>
              <w:rPr>
                <w:rFonts w:hint="default" w:ascii="Times New Roman" w:hAnsi="Times New Roman" w:eastAsia="宋体" w:cs="Times New Roman"/>
                <w:b/>
                <w:bCs/>
                <w:color w:val="auto"/>
                <w:sz w:val="24"/>
                <w:lang w:eastAsia="zh-CN"/>
              </w:rPr>
            </w:pPr>
            <w:r>
              <w:rPr>
                <w:rFonts w:hint="default" w:ascii="Times New Roman" w:hAnsi="Times New Roman" w:eastAsia="宋体" w:cs="Times New Roman"/>
                <w:b/>
                <w:bCs/>
                <w:color w:val="auto"/>
                <w:sz w:val="24"/>
              </w:rPr>
              <w:t>1、施工期废气污染源</w:t>
            </w:r>
            <w:r>
              <w:rPr>
                <w:rFonts w:hint="default" w:ascii="Times New Roman" w:hAnsi="Times New Roman" w:eastAsia="宋体" w:cs="Times New Roman"/>
                <w:b/>
                <w:bCs/>
                <w:color w:val="auto"/>
                <w:sz w:val="24"/>
                <w:lang w:eastAsia="zh-CN"/>
              </w:rPr>
              <w:t>分析</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项目场进厂道路硬化时现场不设水泥搅拌机。根据本工程的特点，其施工期大气污染源主要为：</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①建筑施工过程和建筑材料运输过程中所产生的大量含沙尘埃；</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②人来车往造成的现场道路扬尘；</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③装修时产生的油漆废气。不同施工阶段主要污染源和排放的污染物如下表。</w:t>
            </w:r>
          </w:p>
          <w:p>
            <w:pPr>
              <w:snapToGrid w:val="0"/>
              <w:spacing w:line="500" w:lineRule="exact"/>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表</w:t>
            </w:r>
            <w:r>
              <w:rPr>
                <w:rFonts w:hint="default" w:ascii="Times New Roman" w:hAnsi="Times New Roman" w:eastAsia="宋体" w:cs="Times New Roman"/>
                <w:b/>
                <w:color w:val="auto"/>
                <w:sz w:val="24"/>
                <w:szCs w:val="24"/>
                <w:lang w:val="en-US" w:eastAsia="zh-CN"/>
              </w:rPr>
              <w:t>5.1</w:t>
            </w:r>
            <w:r>
              <w:rPr>
                <w:rFonts w:hint="default" w:ascii="Times New Roman" w:hAnsi="Times New Roman" w:eastAsia="宋体" w:cs="Times New Roman"/>
                <w:b/>
                <w:color w:val="auto"/>
                <w:sz w:val="24"/>
                <w:szCs w:val="24"/>
              </w:rPr>
              <w:t>-1   不同施工阶段主要气型污染源</w:t>
            </w:r>
          </w:p>
          <w:tbl>
            <w:tblPr>
              <w:tblStyle w:val="43"/>
              <w:tblW w:w="87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5"/>
              <w:gridCol w:w="4315"/>
              <w:gridCol w:w="26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715" w:type="dxa"/>
                  <w:noWrap w:val="0"/>
                  <w:vAlign w:val="center"/>
                </w:tcPr>
                <w:p>
                  <w:pPr>
                    <w:pStyle w:val="16"/>
                    <w:jc w:val="left"/>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施工阶段</w:t>
                  </w:r>
                </w:p>
              </w:tc>
              <w:tc>
                <w:tcPr>
                  <w:tcW w:w="4315" w:type="dxa"/>
                  <w:noWrap w:val="0"/>
                  <w:vAlign w:val="center"/>
                </w:tcPr>
                <w:p>
                  <w:pPr>
                    <w:pStyle w:val="16"/>
                    <w:jc w:val="left"/>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主要污染源</w:t>
                  </w:r>
                </w:p>
              </w:tc>
              <w:tc>
                <w:tcPr>
                  <w:tcW w:w="2679" w:type="dxa"/>
                  <w:noWrap w:val="0"/>
                  <w:vAlign w:val="center"/>
                </w:tcPr>
                <w:p>
                  <w:pPr>
                    <w:pStyle w:val="16"/>
                    <w:jc w:val="left"/>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主要污染物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715" w:type="dxa"/>
                  <w:noWrap w:val="0"/>
                  <w:vAlign w:val="center"/>
                </w:tcPr>
                <w:p>
                  <w:pPr>
                    <w:pStyle w:val="16"/>
                    <w:jc w:val="left"/>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挖土、打桩</w:t>
                  </w:r>
                </w:p>
              </w:tc>
              <w:tc>
                <w:tcPr>
                  <w:tcW w:w="4315" w:type="dxa"/>
                  <w:noWrap w:val="0"/>
                  <w:vAlign w:val="center"/>
                </w:tcPr>
                <w:p>
                  <w:pPr>
                    <w:pStyle w:val="16"/>
                    <w:jc w:val="left"/>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1、裸露地面、土方堆场、土方装卸、道路扬尘、建材堆场等</w:t>
                  </w:r>
                </w:p>
                <w:p>
                  <w:pPr>
                    <w:pStyle w:val="16"/>
                    <w:jc w:val="left"/>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2、挖土机、铲车、运输卡车等</w:t>
                  </w:r>
                </w:p>
              </w:tc>
              <w:tc>
                <w:tcPr>
                  <w:tcW w:w="2679" w:type="dxa"/>
                  <w:noWrap w:val="0"/>
                  <w:vAlign w:val="center"/>
                </w:tcPr>
                <w:p>
                  <w:pPr>
                    <w:pStyle w:val="16"/>
                    <w:jc w:val="left"/>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扬尘、NOx、CO、HC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715" w:type="dxa"/>
                  <w:noWrap w:val="0"/>
                  <w:vAlign w:val="center"/>
                </w:tcPr>
                <w:p>
                  <w:pPr>
                    <w:pStyle w:val="16"/>
                    <w:jc w:val="left"/>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建筑物构筑</w:t>
                  </w:r>
                </w:p>
              </w:tc>
              <w:tc>
                <w:tcPr>
                  <w:tcW w:w="4315" w:type="dxa"/>
                  <w:noWrap w:val="0"/>
                  <w:vAlign w:val="center"/>
                </w:tcPr>
                <w:p>
                  <w:pPr>
                    <w:pStyle w:val="16"/>
                    <w:jc w:val="left"/>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1、建材堆场、建材装卸、地面道路场尘等</w:t>
                  </w:r>
                </w:p>
                <w:p>
                  <w:pPr>
                    <w:pStyle w:val="16"/>
                    <w:jc w:val="left"/>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2、运输卡车</w:t>
                  </w:r>
                </w:p>
              </w:tc>
              <w:tc>
                <w:tcPr>
                  <w:tcW w:w="2679" w:type="dxa"/>
                  <w:noWrap w:val="0"/>
                  <w:vAlign w:val="center"/>
                </w:tcPr>
                <w:p>
                  <w:pPr>
                    <w:pStyle w:val="16"/>
                    <w:jc w:val="left"/>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扬尘、NOx、CO、HC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715" w:type="dxa"/>
                  <w:noWrap w:val="0"/>
                  <w:vAlign w:val="center"/>
                </w:tcPr>
                <w:p>
                  <w:pPr>
                    <w:pStyle w:val="16"/>
                    <w:jc w:val="left"/>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装饰、装修</w:t>
                  </w:r>
                </w:p>
              </w:tc>
              <w:tc>
                <w:tcPr>
                  <w:tcW w:w="4315" w:type="dxa"/>
                  <w:noWrap w:val="0"/>
                  <w:vAlign w:val="center"/>
                </w:tcPr>
                <w:p>
                  <w:pPr>
                    <w:pStyle w:val="16"/>
                    <w:jc w:val="left"/>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 xml:space="preserve">1、油漆挥发 </w:t>
                  </w:r>
                </w:p>
                <w:p>
                  <w:pPr>
                    <w:pStyle w:val="16"/>
                    <w:jc w:val="left"/>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2、装修粉尘</w:t>
                  </w:r>
                </w:p>
              </w:tc>
              <w:tc>
                <w:tcPr>
                  <w:tcW w:w="2679" w:type="dxa"/>
                  <w:noWrap w:val="0"/>
                  <w:vAlign w:val="center"/>
                </w:tcPr>
                <w:p>
                  <w:pPr>
                    <w:pStyle w:val="16"/>
                    <w:jc w:val="left"/>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扬尘、VOCs</w:t>
                  </w:r>
                </w:p>
              </w:tc>
            </w:tr>
          </w:tbl>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（1）基础工程施工扬尘污染状况</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①主要污染源</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项目土建施工过程中，粉尘起尘特征总体分为两类：一类是静态起尘，主要指水泥等建筑材料及土方、建筑垃圾堆放过程中风蚀尘及施工场地的风蚀尘，另一类是动态起尘，主要指起尘及运输车辆往来造成的地面扬尘。</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粉尘污染一般来源于以下几方面：</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土方挖掘、堆放、清运、回填及场地平整过程产生的粉尘；</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建筑材料如水泥、白灰、砂子等在其装卸、运输、堆放等过程中，因风力作用而产生的扬尘污染；</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搅拌车辆和运输车辆往来造成地面扬尘；</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施工垃圾在其堆放过程和清运过程中产生扬尘。</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项目施工期起尘环节虽然较多，但根据同类项目类比资料及现场调查结果，施工期主要起尘环节为物料堆场及装卸过程，其它过程如场地平整及车辆运输造成的地面扬尘，因产生量相对较小、较为分散且受自然条件影响较大，本评价报告中对其产生量不作定量评述。</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②建筑材料装卸过程粉尘源强预测</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因施工过程中产生的粉尘及扬尘污染量主要取决于施工作业方式、材料堆放及风力等因素。</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一般来说，静态起尘主要与堆放材料粒径及其表面含水率、地面粗糙程度和地面风速等关系密切，其堆场风蚀起尘系数与风速、堆场表面湿度的关系如下：</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 xml:space="preserve">     Q1=α·U</w:t>
            </w:r>
            <w:r>
              <w:rPr>
                <w:rFonts w:hint="default" w:ascii="Times New Roman" w:hAnsi="Times New Roman" w:eastAsia="宋体" w:cs="Times New Roman"/>
                <w:color w:val="auto"/>
                <w:position w:val="3"/>
                <w:sz w:val="24"/>
                <w:szCs w:val="24"/>
                <w:vertAlign w:val="superscript"/>
              </w:rPr>
              <w:t>2.56</w:t>
            </w:r>
            <w:r>
              <w:rPr>
                <w:rFonts w:hint="default" w:ascii="Times New Roman" w:hAnsi="Times New Roman" w:eastAsia="宋体" w:cs="Times New Roman"/>
                <w:color w:val="auto"/>
                <w:position w:val="3"/>
                <w:sz w:val="24"/>
                <w:szCs w:val="24"/>
              </w:rPr>
              <w:t>·е</w:t>
            </w:r>
            <w:r>
              <w:rPr>
                <w:rFonts w:hint="default" w:ascii="Times New Roman" w:hAnsi="Times New Roman" w:eastAsia="宋体" w:cs="Times New Roman"/>
                <w:color w:val="auto"/>
                <w:position w:val="3"/>
                <w:sz w:val="24"/>
                <w:szCs w:val="24"/>
                <w:vertAlign w:val="superscript"/>
              </w:rPr>
              <w:t>-0.47ω</w:t>
            </w:r>
            <w:r>
              <w:rPr>
                <w:rFonts w:hint="default" w:ascii="Times New Roman" w:hAnsi="Times New Roman" w:eastAsia="宋体" w:cs="Times New Roman"/>
                <w:color w:val="auto"/>
                <w:position w:val="3"/>
                <w:sz w:val="24"/>
                <w:szCs w:val="24"/>
              </w:rPr>
              <w:t xml:space="preserve">  </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式中：Q1—堆场起尘系数（kg/t）；</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 xml:space="preserve">      α—试验系数，与材料及地面粗糙度等有关；</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 xml:space="preserve">      U—平均风速（m/s）；</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 xml:space="preserve">      ω—堆场表面湿度（%）。</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动态起尘与材料粒径、环境风速、装卸高度、装卸强度等密切相关，其中受风力因素的影响取大，根据有关试验结果，风速4m/s时装卸相对起尘量约为万分之0.5至4。其动态起尘规律表征为：</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 xml:space="preserve">     Q</w:t>
            </w:r>
            <w:r>
              <w:rPr>
                <w:rFonts w:hint="default" w:ascii="Times New Roman" w:hAnsi="Times New Roman" w:eastAsia="宋体" w:cs="Times New Roman"/>
                <w:color w:val="auto"/>
                <w:position w:val="3"/>
                <w:sz w:val="24"/>
                <w:szCs w:val="24"/>
                <w:vertAlign w:val="subscript"/>
              </w:rPr>
              <w:t>2</w:t>
            </w:r>
            <w:r>
              <w:rPr>
                <w:rFonts w:hint="default" w:ascii="Times New Roman" w:hAnsi="Times New Roman" w:eastAsia="宋体" w:cs="Times New Roman"/>
                <w:color w:val="auto"/>
                <w:position w:val="3"/>
                <w:sz w:val="24"/>
                <w:szCs w:val="24"/>
              </w:rPr>
              <w:t>= 1.35×10</w:t>
            </w:r>
            <w:r>
              <w:rPr>
                <w:rFonts w:hint="default" w:ascii="Times New Roman" w:hAnsi="Times New Roman" w:eastAsia="宋体" w:cs="Times New Roman"/>
                <w:color w:val="auto"/>
                <w:position w:val="3"/>
                <w:sz w:val="24"/>
                <w:szCs w:val="24"/>
                <w:vertAlign w:val="superscript"/>
              </w:rPr>
              <w:t>-5</w:t>
            </w:r>
            <w:r>
              <w:rPr>
                <w:rFonts w:hint="default" w:ascii="Times New Roman" w:hAnsi="Times New Roman" w:eastAsia="宋体" w:cs="Times New Roman"/>
                <w:color w:val="auto"/>
                <w:position w:val="3"/>
                <w:sz w:val="24"/>
                <w:szCs w:val="24"/>
              </w:rPr>
              <w:t>·U</w:t>
            </w:r>
            <w:r>
              <w:rPr>
                <w:rFonts w:hint="default" w:ascii="Times New Roman" w:hAnsi="Times New Roman" w:eastAsia="宋体" w:cs="Times New Roman"/>
                <w:color w:val="auto"/>
                <w:position w:val="3"/>
                <w:sz w:val="24"/>
                <w:szCs w:val="24"/>
                <w:vertAlign w:val="superscript"/>
              </w:rPr>
              <w:t>2.05</w:t>
            </w:r>
            <w:r>
              <w:rPr>
                <w:rFonts w:hint="default" w:ascii="Times New Roman" w:hAnsi="Times New Roman" w:eastAsia="宋体" w:cs="Times New Roman"/>
                <w:color w:val="auto"/>
                <w:position w:val="3"/>
                <w:sz w:val="24"/>
                <w:szCs w:val="24"/>
              </w:rPr>
              <w:t>·H</w:t>
            </w:r>
            <w:r>
              <w:rPr>
                <w:rFonts w:hint="default" w:ascii="Times New Roman" w:hAnsi="Times New Roman" w:eastAsia="宋体" w:cs="Times New Roman"/>
                <w:color w:val="auto"/>
                <w:position w:val="3"/>
                <w:sz w:val="24"/>
                <w:szCs w:val="24"/>
                <w:vertAlign w:val="superscript"/>
              </w:rPr>
              <w:t>1.23</w:t>
            </w:r>
            <w:r>
              <w:rPr>
                <w:rFonts w:hint="default" w:ascii="Times New Roman" w:hAnsi="Times New Roman" w:eastAsia="宋体" w:cs="Times New Roman"/>
                <w:color w:val="auto"/>
                <w:position w:val="3"/>
                <w:sz w:val="24"/>
                <w:szCs w:val="24"/>
              </w:rPr>
              <w:t xml:space="preserve">·β </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 xml:space="preserve"> 式中：Q</w:t>
            </w:r>
            <w:r>
              <w:rPr>
                <w:rFonts w:hint="default" w:ascii="Times New Roman" w:hAnsi="Times New Roman" w:eastAsia="宋体" w:cs="Times New Roman"/>
                <w:color w:val="auto"/>
                <w:position w:val="3"/>
                <w:sz w:val="24"/>
                <w:szCs w:val="24"/>
                <w:vertAlign w:val="subscript"/>
              </w:rPr>
              <w:t>2</w:t>
            </w:r>
            <w:r>
              <w:rPr>
                <w:rFonts w:hint="default" w:ascii="Times New Roman" w:hAnsi="Times New Roman" w:eastAsia="宋体" w:cs="Times New Roman"/>
                <w:color w:val="auto"/>
                <w:position w:val="3"/>
                <w:sz w:val="24"/>
                <w:szCs w:val="24"/>
              </w:rPr>
              <w:t>—起尘系数（kg/t）；</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 xml:space="preserve">       H—装卸落差（m）；</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 xml:space="preserve">       U—平均风速（m/s）；</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 xml:space="preserve">       β—试验系数，与装卸强度等有关。</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③车辆行驶扬尘</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根据《亚银贷款项目承德市煤气工程环评报告书》的资料，施工工地运输土方时行车道两旁扬尘的浓度可达8~10mg/m</w:t>
            </w:r>
            <w:r>
              <w:rPr>
                <w:rFonts w:hint="default" w:ascii="Times New Roman" w:hAnsi="Times New Roman" w:eastAsia="宋体" w:cs="Times New Roman"/>
                <w:color w:val="auto"/>
                <w:position w:val="3"/>
                <w:sz w:val="24"/>
                <w:szCs w:val="24"/>
                <w:vertAlign w:val="superscript"/>
              </w:rPr>
              <w:t>3</w:t>
            </w:r>
            <w:r>
              <w:rPr>
                <w:rFonts w:hint="default" w:ascii="Times New Roman" w:hAnsi="Times New Roman" w:eastAsia="宋体" w:cs="Times New Roman"/>
                <w:color w:val="auto"/>
                <w:position w:val="3"/>
                <w:sz w:val="24"/>
                <w:szCs w:val="24"/>
              </w:rPr>
              <w:t>，类比这一结果，本项目施工工地道路两侧的扬尘浓度也可达8mg/m</w:t>
            </w:r>
            <w:r>
              <w:rPr>
                <w:rFonts w:hint="default" w:ascii="Times New Roman" w:hAnsi="Times New Roman" w:eastAsia="宋体" w:cs="Times New Roman"/>
                <w:color w:val="auto"/>
                <w:position w:val="3"/>
                <w:sz w:val="24"/>
                <w:szCs w:val="24"/>
                <w:vertAlign w:val="superscript"/>
              </w:rPr>
              <w:t>3</w:t>
            </w:r>
            <w:r>
              <w:rPr>
                <w:rFonts w:hint="default" w:ascii="Times New Roman" w:hAnsi="Times New Roman" w:eastAsia="宋体" w:cs="Times New Roman"/>
                <w:color w:val="auto"/>
                <w:position w:val="3"/>
                <w:sz w:val="24"/>
                <w:szCs w:val="24"/>
              </w:rPr>
              <w:t>。</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车辆行驶产生的扬尘，在完全干燥情况下，可按下列经验公式计算：</w:t>
            </w:r>
          </w:p>
          <w:p>
            <w:pPr>
              <w:snapToGrid w:val="0"/>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fldChar w:fldCharType="begin"/>
            </w:r>
            <w:r>
              <w:rPr>
                <w:rFonts w:hint="default" w:ascii="Times New Roman" w:hAnsi="Times New Roman" w:eastAsia="宋体" w:cs="Times New Roman"/>
                <w:color w:val="auto"/>
                <w:position w:val="3"/>
                <w:sz w:val="24"/>
                <w:szCs w:val="24"/>
              </w:rPr>
              <w:instrText xml:space="preserve"> INCLUDEPICTURE "../Documents/WeChat%20Files/Gldl0202/Files/AppData/Roaming/Microsoft/AppData/Local/Temp/HZ$D.345.4589/HZ$D.345.4590/ADMINI~1/AppData/Local/Temp/ksohtml/wps18F.tmp.png" \* MERGEFORMAT </w:instrText>
            </w:r>
            <w:r>
              <w:rPr>
                <w:rFonts w:hint="default" w:ascii="Times New Roman" w:hAnsi="Times New Roman" w:eastAsia="宋体" w:cs="Times New Roman"/>
                <w:color w:val="auto"/>
                <w:position w:val="3"/>
                <w:sz w:val="24"/>
                <w:szCs w:val="24"/>
              </w:rPr>
              <w:fldChar w:fldCharType="separate"/>
            </w:r>
            <w:r>
              <w:rPr>
                <w:rFonts w:hint="default" w:ascii="Times New Roman" w:hAnsi="Times New Roman" w:eastAsia="宋体" w:cs="Times New Roman"/>
                <w:color w:val="auto"/>
                <w:position w:val="3"/>
                <w:sz w:val="24"/>
                <w:szCs w:val="24"/>
              </w:rPr>
              <w:drawing>
                <wp:inline distT="0" distB="0" distL="114300" distR="114300">
                  <wp:extent cx="2774315" cy="279400"/>
                  <wp:effectExtent l="0" t="0" r="6985" b="5715"/>
                  <wp:docPr id="1" name="图片 20" descr="wps1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descr="wps18F"/>
                          <pic:cNvPicPr>
                            <a:picLocks noChangeAspect="1"/>
                          </pic:cNvPicPr>
                        </pic:nvPicPr>
                        <pic:blipFill>
                          <a:blip r:embed="rId10"/>
                          <a:stretch>
                            <a:fillRect/>
                          </a:stretch>
                        </pic:blipFill>
                        <pic:spPr>
                          <a:xfrm>
                            <a:off x="0" y="0"/>
                            <a:ext cx="2774315" cy="279400"/>
                          </a:xfrm>
                          <a:prstGeom prst="rect">
                            <a:avLst/>
                          </a:prstGeom>
                          <a:noFill/>
                          <a:ln>
                            <a:noFill/>
                          </a:ln>
                        </pic:spPr>
                      </pic:pic>
                    </a:graphicData>
                  </a:graphic>
                </wp:inline>
              </w:drawing>
            </w:r>
            <w:r>
              <w:rPr>
                <w:rFonts w:hint="default" w:ascii="Times New Roman" w:hAnsi="Times New Roman" w:eastAsia="宋体" w:cs="Times New Roman"/>
                <w:color w:val="auto"/>
                <w:position w:val="3"/>
                <w:sz w:val="24"/>
                <w:szCs w:val="24"/>
              </w:rPr>
              <w:fldChar w:fldCharType="end"/>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式中：Q——汽车行驶的扬尘，Kg/km·辆；</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V——汽车速度，Km/hr；</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W——汽车载重量，吨；</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P——道路表面粉尘量，kg/m</w:t>
            </w:r>
            <w:r>
              <w:rPr>
                <w:rFonts w:hint="default" w:ascii="Times New Roman" w:hAnsi="Times New Roman" w:eastAsia="宋体" w:cs="Times New Roman"/>
                <w:color w:val="auto"/>
                <w:position w:val="3"/>
                <w:sz w:val="24"/>
                <w:szCs w:val="24"/>
                <w:vertAlign w:val="superscript"/>
              </w:rPr>
              <w:t>2</w:t>
            </w:r>
            <w:r>
              <w:rPr>
                <w:rFonts w:hint="default" w:ascii="Times New Roman" w:hAnsi="Times New Roman" w:eastAsia="宋体" w:cs="Times New Roman"/>
                <w:color w:val="auto"/>
                <w:position w:val="3"/>
                <w:sz w:val="24"/>
                <w:szCs w:val="24"/>
              </w:rPr>
              <w:t>。</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（2）装修阶段油漆废气</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装修、装饰过程废气主要是装修粉尘、油漆废气。装修粉尘主要是楼房在贴瓷砖、地板砖过程时，水泥、砂石等拌合产生的，因拌合过程大多在室内，且一次拌合量很小。从其他在建厂房观察，其污染主要集中在室内，对外环境影响很小。</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厂房装饰工程施工如漆、涂、磨、刨、钻、砂等装饰作业以及使用某些装饰材料如油漆、人造板、某些有害物质（如苯系物、甲醛、酚等污染物）的涂料等产生油漆废气。油漆废气属于无组织排放，其主要污染因子为二甲苯和甲苯，此外还有极少量的汽油、丁醇和丙醇等。根据工程经验油漆涂布率为8.4m</w:t>
            </w:r>
            <w:r>
              <w:rPr>
                <w:rFonts w:hint="default" w:ascii="Times New Roman" w:hAnsi="Times New Roman" w:eastAsia="宋体" w:cs="Times New Roman"/>
                <w:color w:val="auto"/>
                <w:position w:val="3"/>
                <w:sz w:val="24"/>
                <w:szCs w:val="24"/>
                <w:vertAlign w:val="superscript"/>
              </w:rPr>
              <w:t>2</w:t>
            </w:r>
            <w:r>
              <w:rPr>
                <w:rFonts w:hint="default" w:ascii="Times New Roman" w:hAnsi="Times New Roman" w:eastAsia="宋体" w:cs="Times New Roman"/>
                <w:color w:val="auto"/>
                <w:position w:val="3"/>
                <w:sz w:val="24"/>
                <w:szCs w:val="24"/>
              </w:rPr>
              <w:t>/升，本项目厂房的油漆涂布面积约为47</w:t>
            </w:r>
            <w:r>
              <w:rPr>
                <w:rFonts w:hint="default" w:ascii="Times New Roman" w:hAnsi="Times New Roman" w:eastAsia="宋体" w:cs="Times New Roman"/>
                <w:color w:val="auto"/>
                <w:position w:val="3"/>
                <w:sz w:val="24"/>
                <w:szCs w:val="24"/>
                <w:lang w:val="en-US" w:eastAsia="zh-CN"/>
              </w:rPr>
              <w:t>0</w:t>
            </w:r>
            <w:r>
              <w:rPr>
                <w:rFonts w:hint="default" w:ascii="Times New Roman" w:hAnsi="Times New Roman" w:eastAsia="宋体" w:cs="Times New Roman"/>
                <w:color w:val="auto"/>
                <w:position w:val="3"/>
                <w:sz w:val="24"/>
                <w:szCs w:val="24"/>
              </w:rPr>
              <w:t>0m</w:t>
            </w:r>
            <w:r>
              <w:rPr>
                <w:rFonts w:hint="default" w:ascii="Times New Roman" w:hAnsi="Times New Roman" w:eastAsia="宋体" w:cs="Times New Roman"/>
                <w:color w:val="auto"/>
                <w:position w:val="3"/>
                <w:sz w:val="24"/>
                <w:szCs w:val="24"/>
                <w:vertAlign w:val="superscript"/>
              </w:rPr>
              <w:t>2</w:t>
            </w:r>
            <w:r>
              <w:rPr>
                <w:rFonts w:hint="default" w:ascii="Times New Roman" w:hAnsi="Times New Roman" w:eastAsia="宋体" w:cs="Times New Roman"/>
                <w:color w:val="auto"/>
                <w:position w:val="3"/>
                <w:sz w:val="24"/>
                <w:szCs w:val="24"/>
              </w:rPr>
              <w:t>，含甲苯约为5%、二甲苯约20%，共需消耗油漆0.056t，向周围大气环境排放甲苯2.8kg、二甲苯约11.2kg。</w:t>
            </w:r>
          </w:p>
          <w:p>
            <w:pPr>
              <w:snapToGrid w:val="0"/>
              <w:spacing w:line="500" w:lineRule="exact"/>
              <w:ind w:firstLine="482"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b/>
                <w:bCs/>
                <w:color w:val="auto"/>
                <w:sz w:val="24"/>
                <w:lang w:val="en-US" w:eastAsia="zh-CN"/>
              </w:rPr>
              <w:t>2</w:t>
            </w:r>
            <w:r>
              <w:rPr>
                <w:rFonts w:hint="default" w:ascii="Times New Roman" w:hAnsi="Times New Roman" w:eastAsia="宋体" w:cs="Times New Roman"/>
                <w:b/>
                <w:bCs/>
                <w:color w:val="auto"/>
                <w:sz w:val="24"/>
              </w:rPr>
              <w:t>、施工期水污染源分析</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施工期用水主要由以下四个方面构成：①施工现场浇注、养护用水，占总用水量的90%；②环保喷洒水；③施工机械设备冲洗水；④施工人员生活用水。</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施工期的污水主要是施工过程产生的泥浆水和施工人员的生活污水。</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①生活污水</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施工人员主要为附近居民，不在项目部食宿。施工人员日常生活产生的生活污水主要是施工活动的粪便污水、清洗污水等，生活污水主要污染物是CODcr、NH</w:t>
            </w:r>
            <w:r>
              <w:rPr>
                <w:rFonts w:hint="default" w:ascii="Times New Roman" w:hAnsi="Times New Roman" w:eastAsia="宋体" w:cs="Times New Roman"/>
                <w:color w:val="auto"/>
                <w:position w:val="3"/>
                <w:sz w:val="24"/>
                <w:szCs w:val="24"/>
                <w:vertAlign w:val="subscript"/>
              </w:rPr>
              <w:t>3</w:t>
            </w:r>
            <w:r>
              <w:rPr>
                <w:rFonts w:hint="default" w:ascii="Times New Roman" w:hAnsi="Times New Roman" w:eastAsia="宋体" w:cs="Times New Roman"/>
                <w:color w:val="auto"/>
                <w:position w:val="3"/>
                <w:sz w:val="24"/>
                <w:szCs w:val="24"/>
              </w:rPr>
              <w:t>-N、BOD</w:t>
            </w:r>
            <w:r>
              <w:rPr>
                <w:rFonts w:hint="default" w:ascii="Times New Roman" w:hAnsi="Times New Roman" w:eastAsia="宋体" w:cs="Times New Roman"/>
                <w:color w:val="auto"/>
                <w:position w:val="3"/>
                <w:sz w:val="24"/>
                <w:szCs w:val="24"/>
                <w:vertAlign w:val="subscript"/>
              </w:rPr>
              <w:t>5</w:t>
            </w:r>
            <w:r>
              <w:rPr>
                <w:rFonts w:hint="default" w:ascii="Times New Roman" w:hAnsi="Times New Roman" w:eastAsia="宋体" w:cs="Times New Roman"/>
                <w:color w:val="auto"/>
                <w:position w:val="3"/>
                <w:sz w:val="24"/>
                <w:szCs w:val="24"/>
              </w:rPr>
              <w:t>和SS等。据估计本工程施工人员的人数最大约30人，以施工人员每天生活用水量为50L/人·天，生活污水按用水量的80%计，施工人员生活污水产生量为1.2t/d。废水水质为CODcr200～400mg/L、BOD</w:t>
            </w:r>
            <w:r>
              <w:rPr>
                <w:rFonts w:hint="default" w:ascii="Times New Roman" w:hAnsi="Times New Roman" w:eastAsia="宋体" w:cs="Times New Roman"/>
                <w:color w:val="auto"/>
                <w:position w:val="3"/>
                <w:sz w:val="24"/>
                <w:szCs w:val="24"/>
                <w:vertAlign w:val="subscript"/>
              </w:rPr>
              <w:t>5</w:t>
            </w:r>
            <w:r>
              <w:rPr>
                <w:rFonts w:hint="default" w:ascii="Times New Roman" w:hAnsi="Times New Roman" w:eastAsia="宋体" w:cs="Times New Roman"/>
                <w:color w:val="auto"/>
                <w:position w:val="3"/>
                <w:sz w:val="24"/>
                <w:szCs w:val="24"/>
              </w:rPr>
              <w:t>100～200mg/L、NH</w:t>
            </w:r>
            <w:r>
              <w:rPr>
                <w:rFonts w:hint="default" w:ascii="Times New Roman" w:hAnsi="Times New Roman" w:eastAsia="宋体" w:cs="Times New Roman"/>
                <w:color w:val="auto"/>
                <w:position w:val="3"/>
                <w:sz w:val="24"/>
                <w:szCs w:val="24"/>
                <w:vertAlign w:val="subscript"/>
              </w:rPr>
              <w:t>3</w:t>
            </w:r>
            <w:r>
              <w:rPr>
                <w:rFonts w:hint="default" w:ascii="Times New Roman" w:hAnsi="Times New Roman" w:eastAsia="宋体" w:cs="Times New Roman"/>
                <w:color w:val="auto"/>
                <w:position w:val="3"/>
                <w:sz w:val="24"/>
                <w:szCs w:val="24"/>
              </w:rPr>
              <w:t>-N30mg/L、SS100～200mg/L。其中人的粪便污水所含污染物数量占生活污水中污染物总量的50～60%，故对建设施工人员的粪便污水必须进行妥善处理，不得随地排放。</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②施工废水</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施工废水主要包括打桩阶段的泥浆废水、结构阶段混凝土养护废水及各种车辆冲洗水。根据类比，建筑施工用水为2m</w:t>
            </w:r>
            <w:r>
              <w:rPr>
                <w:rFonts w:hint="default" w:ascii="Times New Roman" w:hAnsi="Times New Roman" w:eastAsia="宋体" w:cs="Times New Roman"/>
                <w:color w:val="auto"/>
                <w:position w:val="3"/>
                <w:sz w:val="24"/>
                <w:szCs w:val="24"/>
                <w:vertAlign w:val="superscript"/>
              </w:rPr>
              <w:t>3</w:t>
            </w:r>
            <w:r>
              <w:rPr>
                <w:rFonts w:hint="default" w:ascii="Times New Roman" w:hAnsi="Times New Roman" w:eastAsia="宋体" w:cs="Times New Roman"/>
                <w:color w:val="auto"/>
                <w:position w:val="3"/>
                <w:sz w:val="24"/>
                <w:szCs w:val="24"/>
              </w:rPr>
              <w:t>/m</w:t>
            </w:r>
            <w:r>
              <w:rPr>
                <w:rFonts w:hint="default" w:ascii="Times New Roman" w:hAnsi="Times New Roman" w:eastAsia="宋体" w:cs="Times New Roman"/>
                <w:color w:val="auto"/>
                <w:position w:val="3"/>
                <w:sz w:val="24"/>
                <w:szCs w:val="24"/>
                <w:vertAlign w:val="superscript"/>
              </w:rPr>
              <w:t>2</w:t>
            </w:r>
            <w:r>
              <w:rPr>
                <w:rFonts w:hint="default" w:ascii="Times New Roman" w:hAnsi="Times New Roman" w:eastAsia="宋体" w:cs="Times New Roman"/>
                <w:color w:val="auto"/>
                <w:position w:val="3"/>
                <w:sz w:val="24"/>
                <w:szCs w:val="24"/>
              </w:rPr>
              <w:t>，项目建筑面积为21356m</w:t>
            </w:r>
            <w:r>
              <w:rPr>
                <w:rFonts w:hint="default" w:ascii="Times New Roman" w:hAnsi="Times New Roman" w:eastAsia="宋体" w:cs="Times New Roman"/>
                <w:color w:val="auto"/>
                <w:position w:val="3"/>
                <w:sz w:val="24"/>
                <w:szCs w:val="24"/>
                <w:vertAlign w:val="superscript"/>
              </w:rPr>
              <w:t>2</w:t>
            </w:r>
            <w:r>
              <w:rPr>
                <w:rFonts w:hint="default" w:ascii="Times New Roman" w:hAnsi="Times New Roman" w:eastAsia="宋体" w:cs="Times New Roman"/>
                <w:color w:val="auto"/>
                <w:position w:val="3"/>
                <w:sz w:val="24"/>
                <w:szCs w:val="24"/>
              </w:rPr>
              <w:t>，则建筑施工用水量约为42712m</w:t>
            </w:r>
            <w:r>
              <w:rPr>
                <w:rFonts w:hint="default" w:ascii="Times New Roman" w:hAnsi="Times New Roman" w:eastAsia="宋体" w:cs="Times New Roman"/>
                <w:color w:val="auto"/>
                <w:position w:val="3"/>
                <w:sz w:val="24"/>
                <w:szCs w:val="24"/>
                <w:vertAlign w:val="superscript"/>
              </w:rPr>
              <w:t>3</w:t>
            </w:r>
            <w:r>
              <w:rPr>
                <w:rFonts w:hint="default" w:ascii="Times New Roman" w:hAnsi="Times New Roman" w:eastAsia="宋体" w:cs="Times New Roman"/>
                <w:color w:val="auto"/>
                <w:position w:val="3"/>
                <w:sz w:val="24"/>
                <w:szCs w:val="24"/>
              </w:rPr>
              <w:t>，废水量按施工用水量的20%，按120个工作日计，则施工废水产生量为71.18m</w:t>
            </w:r>
            <w:r>
              <w:rPr>
                <w:rFonts w:hint="default" w:ascii="Times New Roman" w:hAnsi="Times New Roman" w:eastAsia="宋体" w:cs="Times New Roman"/>
                <w:color w:val="auto"/>
                <w:position w:val="3"/>
                <w:sz w:val="24"/>
                <w:szCs w:val="24"/>
                <w:vertAlign w:val="superscript"/>
              </w:rPr>
              <w:t>3</w:t>
            </w:r>
            <w:r>
              <w:rPr>
                <w:rFonts w:hint="default" w:ascii="Times New Roman" w:hAnsi="Times New Roman" w:eastAsia="宋体" w:cs="Times New Roman"/>
                <w:color w:val="auto"/>
                <w:position w:val="3"/>
                <w:sz w:val="24"/>
                <w:szCs w:val="24"/>
              </w:rPr>
              <w:t>/d。根据类比监测调查，施工废水主要污染物是SS，SS浓度为1000~3000mg/L之间，肆意排放会造成泥浆四溢，有可能排放到区域河流中造成水体恶化、污泥淤积，必须妥善处置。</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施工废水经沉淀池处理后，大部分回用于施工场地洒水抑尘、车辆冲洗。</w:t>
            </w:r>
          </w:p>
          <w:p>
            <w:pPr>
              <w:snapToGrid w:val="0"/>
              <w:spacing w:line="500" w:lineRule="exact"/>
              <w:ind w:firstLine="482" w:firstLineChars="200"/>
              <w:rPr>
                <w:rFonts w:hint="default" w:ascii="Times New Roman" w:hAnsi="Times New Roman" w:eastAsia="宋体" w:cs="Times New Roman"/>
                <w:color w:val="auto"/>
                <w:position w:val="3"/>
                <w:sz w:val="24"/>
                <w:szCs w:val="24"/>
                <w:lang w:eastAsia="zh-CN"/>
              </w:rPr>
            </w:pPr>
            <w:r>
              <w:rPr>
                <w:rFonts w:hint="default" w:ascii="Times New Roman" w:hAnsi="Times New Roman" w:eastAsia="宋体" w:cs="Times New Roman"/>
                <w:b/>
                <w:bCs/>
                <w:color w:val="auto"/>
                <w:sz w:val="24"/>
                <w:lang w:val="en-US" w:eastAsia="zh-CN"/>
              </w:rPr>
              <w:t>3</w:t>
            </w:r>
            <w:r>
              <w:rPr>
                <w:rFonts w:hint="default" w:ascii="Times New Roman" w:hAnsi="Times New Roman" w:eastAsia="宋体" w:cs="Times New Roman"/>
                <w:b/>
                <w:bCs/>
                <w:color w:val="auto"/>
                <w:sz w:val="24"/>
              </w:rPr>
              <w:t>、施工期噪声污染源</w:t>
            </w:r>
            <w:r>
              <w:rPr>
                <w:rFonts w:hint="default" w:ascii="Times New Roman" w:hAnsi="Times New Roman" w:eastAsia="宋体" w:cs="Times New Roman"/>
                <w:b/>
                <w:bCs/>
                <w:color w:val="auto"/>
                <w:sz w:val="24"/>
                <w:lang w:eastAsia="zh-CN"/>
              </w:rPr>
              <w:t>分析</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施工噪声主要来自施工机械和运输车辆，施工机械和运输车辆的单体声级一般均在80dB（A）以上，其中声级最大的是打桩机，声级达105 dB（A），施工机械和运输车辆的噪声将影响施工场地周围区域声环境质量。</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①施工机械噪声</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施工设备中噪声级较高的机械设备有挖掘机、装载机、振捣棒、吊车等，其噪声级详见下表。</w:t>
            </w:r>
          </w:p>
          <w:p>
            <w:pPr>
              <w:snapToGrid w:val="0"/>
              <w:spacing w:line="500" w:lineRule="exact"/>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表</w:t>
            </w:r>
            <w:r>
              <w:rPr>
                <w:rFonts w:hint="default" w:ascii="Times New Roman" w:hAnsi="Times New Roman" w:eastAsia="宋体" w:cs="Times New Roman"/>
                <w:b/>
                <w:color w:val="auto"/>
                <w:sz w:val="21"/>
                <w:szCs w:val="21"/>
                <w:lang w:val="en-US" w:eastAsia="zh-CN"/>
              </w:rPr>
              <w:t>5.1</w:t>
            </w:r>
            <w:r>
              <w:rPr>
                <w:rFonts w:hint="default" w:ascii="Times New Roman" w:hAnsi="Times New Roman" w:eastAsia="宋体" w:cs="Times New Roman"/>
                <w:b/>
                <w:color w:val="auto"/>
                <w:sz w:val="21"/>
                <w:szCs w:val="21"/>
              </w:rPr>
              <w:t>-2  施工机械噪声级    单位：dB（A）</w:t>
            </w:r>
          </w:p>
          <w:tbl>
            <w:tblPr>
              <w:tblStyle w:val="43"/>
              <w:tblW w:w="87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35"/>
              <w:gridCol w:w="1877"/>
              <w:gridCol w:w="938"/>
              <w:gridCol w:w="1268"/>
              <w:gridCol w:w="2298"/>
              <w:gridCol w:w="9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335"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施工阶段</w:t>
                  </w:r>
                </w:p>
              </w:tc>
              <w:tc>
                <w:tcPr>
                  <w:tcW w:w="1877"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施工设备</w:t>
                  </w:r>
                </w:p>
              </w:tc>
              <w:tc>
                <w:tcPr>
                  <w:tcW w:w="93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声级</w:t>
                  </w:r>
                </w:p>
              </w:tc>
              <w:tc>
                <w:tcPr>
                  <w:tcW w:w="126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施工阶段</w:t>
                  </w:r>
                </w:p>
              </w:tc>
              <w:tc>
                <w:tcPr>
                  <w:tcW w:w="229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施工设备</w:t>
                  </w:r>
                </w:p>
              </w:tc>
              <w:tc>
                <w:tcPr>
                  <w:tcW w:w="993"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声级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335" w:type="dxa"/>
                  <w:vMerge w:val="restart"/>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土方阶段</w:t>
                  </w:r>
                </w:p>
              </w:tc>
              <w:tc>
                <w:tcPr>
                  <w:tcW w:w="1877" w:type="dxa"/>
                  <w:vMerge w:val="restart"/>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挖掘机</w:t>
                  </w:r>
                </w:p>
              </w:tc>
              <w:tc>
                <w:tcPr>
                  <w:tcW w:w="938" w:type="dxa"/>
                  <w:vMerge w:val="restart"/>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90</w:t>
                  </w:r>
                </w:p>
              </w:tc>
              <w:tc>
                <w:tcPr>
                  <w:tcW w:w="1268" w:type="dxa"/>
                  <w:vMerge w:val="restart"/>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结构阶段</w:t>
                  </w:r>
                </w:p>
              </w:tc>
              <w:tc>
                <w:tcPr>
                  <w:tcW w:w="229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振捣棒</w:t>
                  </w:r>
                </w:p>
              </w:tc>
              <w:tc>
                <w:tcPr>
                  <w:tcW w:w="993"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335" w:type="dxa"/>
                  <w:vMerge w:val="continue"/>
                  <w:noWrap w:val="0"/>
                  <w:vAlign w:val="center"/>
                </w:tcPr>
                <w:p>
                  <w:pPr>
                    <w:widowControl/>
                    <w:jc w:val="center"/>
                    <w:rPr>
                      <w:rFonts w:hint="default" w:ascii="Times New Roman" w:hAnsi="Times New Roman" w:eastAsia="宋体" w:cs="Times New Roman"/>
                      <w:color w:val="auto"/>
                      <w:sz w:val="21"/>
                      <w:szCs w:val="21"/>
                    </w:rPr>
                  </w:pPr>
                </w:p>
              </w:tc>
              <w:tc>
                <w:tcPr>
                  <w:tcW w:w="1877" w:type="dxa"/>
                  <w:vMerge w:val="continue"/>
                  <w:noWrap w:val="0"/>
                  <w:vAlign w:val="center"/>
                </w:tcPr>
                <w:p>
                  <w:pPr>
                    <w:widowControl/>
                    <w:jc w:val="center"/>
                    <w:rPr>
                      <w:rFonts w:hint="default" w:ascii="Times New Roman" w:hAnsi="Times New Roman" w:eastAsia="宋体" w:cs="Times New Roman"/>
                      <w:color w:val="auto"/>
                      <w:sz w:val="21"/>
                      <w:szCs w:val="21"/>
                    </w:rPr>
                  </w:pPr>
                </w:p>
              </w:tc>
              <w:tc>
                <w:tcPr>
                  <w:tcW w:w="938" w:type="dxa"/>
                  <w:vMerge w:val="continue"/>
                  <w:noWrap w:val="0"/>
                  <w:vAlign w:val="center"/>
                </w:tcPr>
                <w:p>
                  <w:pPr>
                    <w:widowControl/>
                    <w:jc w:val="center"/>
                    <w:rPr>
                      <w:rFonts w:hint="default" w:ascii="Times New Roman" w:hAnsi="Times New Roman" w:eastAsia="宋体" w:cs="Times New Roman"/>
                      <w:color w:val="auto"/>
                      <w:sz w:val="21"/>
                      <w:szCs w:val="21"/>
                    </w:rPr>
                  </w:pPr>
                </w:p>
              </w:tc>
              <w:tc>
                <w:tcPr>
                  <w:tcW w:w="1268" w:type="dxa"/>
                  <w:vMerge w:val="continue"/>
                  <w:noWrap w:val="0"/>
                  <w:vAlign w:val="center"/>
                </w:tcPr>
                <w:p>
                  <w:pPr>
                    <w:widowControl/>
                    <w:jc w:val="center"/>
                    <w:rPr>
                      <w:rFonts w:hint="default" w:ascii="Times New Roman" w:hAnsi="Times New Roman" w:eastAsia="宋体" w:cs="Times New Roman"/>
                      <w:color w:val="auto"/>
                      <w:sz w:val="21"/>
                      <w:szCs w:val="21"/>
                    </w:rPr>
                  </w:pPr>
                </w:p>
              </w:tc>
              <w:tc>
                <w:tcPr>
                  <w:tcW w:w="229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电锯、电刨</w:t>
                  </w:r>
                </w:p>
              </w:tc>
              <w:tc>
                <w:tcPr>
                  <w:tcW w:w="993"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335" w:type="dxa"/>
                  <w:vMerge w:val="continue"/>
                  <w:noWrap w:val="0"/>
                  <w:vAlign w:val="center"/>
                </w:tcPr>
                <w:p>
                  <w:pPr>
                    <w:widowControl/>
                    <w:jc w:val="center"/>
                    <w:rPr>
                      <w:rFonts w:hint="default" w:ascii="Times New Roman" w:hAnsi="Times New Roman" w:eastAsia="宋体" w:cs="Times New Roman"/>
                      <w:color w:val="auto"/>
                      <w:sz w:val="21"/>
                      <w:szCs w:val="21"/>
                    </w:rPr>
                  </w:pPr>
                </w:p>
              </w:tc>
              <w:tc>
                <w:tcPr>
                  <w:tcW w:w="1877"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装载机</w:t>
                  </w:r>
                </w:p>
              </w:tc>
              <w:tc>
                <w:tcPr>
                  <w:tcW w:w="93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85</w:t>
                  </w:r>
                </w:p>
              </w:tc>
              <w:tc>
                <w:tcPr>
                  <w:tcW w:w="1268" w:type="dxa"/>
                  <w:vMerge w:val="continue"/>
                  <w:noWrap w:val="0"/>
                  <w:vAlign w:val="center"/>
                </w:tcPr>
                <w:p>
                  <w:pPr>
                    <w:widowControl/>
                    <w:jc w:val="center"/>
                    <w:rPr>
                      <w:rFonts w:hint="default" w:ascii="Times New Roman" w:hAnsi="Times New Roman" w:eastAsia="宋体" w:cs="Times New Roman"/>
                      <w:color w:val="auto"/>
                      <w:sz w:val="21"/>
                      <w:szCs w:val="21"/>
                    </w:rPr>
                  </w:pPr>
                </w:p>
              </w:tc>
              <w:tc>
                <w:tcPr>
                  <w:tcW w:w="229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w:t>
                  </w:r>
                </w:p>
              </w:tc>
              <w:tc>
                <w:tcPr>
                  <w:tcW w:w="993"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335"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施工阶段</w:t>
                  </w:r>
                </w:p>
              </w:tc>
              <w:tc>
                <w:tcPr>
                  <w:tcW w:w="1877"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空压机等</w:t>
                  </w:r>
                </w:p>
              </w:tc>
              <w:tc>
                <w:tcPr>
                  <w:tcW w:w="93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95</w:t>
                  </w:r>
                </w:p>
              </w:tc>
              <w:tc>
                <w:tcPr>
                  <w:tcW w:w="126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装修阶段</w:t>
                  </w:r>
                </w:p>
              </w:tc>
              <w:tc>
                <w:tcPr>
                  <w:tcW w:w="229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吊车、升降机、切割机</w:t>
                  </w:r>
                </w:p>
              </w:tc>
              <w:tc>
                <w:tcPr>
                  <w:tcW w:w="993"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80</w:t>
                  </w:r>
                </w:p>
              </w:tc>
            </w:tr>
          </w:tbl>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②运输车辆噪声</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施工期需要运输大量的土石方、原材料，物料运输车流量增加，施工过程中使用的大型货运卡车，其噪声级高达95dB（A），施工期交通运输车辆噪声源强见下表。</w:t>
            </w:r>
          </w:p>
          <w:p>
            <w:pPr>
              <w:snapToGrid w:val="0"/>
              <w:spacing w:line="500" w:lineRule="exact"/>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表</w:t>
            </w:r>
            <w:r>
              <w:rPr>
                <w:rFonts w:hint="default" w:ascii="Times New Roman" w:hAnsi="Times New Roman" w:eastAsia="宋体" w:cs="Times New Roman"/>
                <w:b/>
                <w:color w:val="auto"/>
                <w:sz w:val="21"/>
                <w:szCs w:val="21"/>
                <w:lang w:val="en-US" w:eastAsia="zh-CN"/>
              </w:rPr>
              <w:t>5.1</w:t>
            </w:r>
            <w:r>
              <w:rPr>
                <w:rFonts w:hint="default" w:ascii="Times New Roman" w:hAnsi="Times New Roman" w:eastAsia="宋体" w:cs="Times New Roman"/>
                <w:b/>
                <w:color w:val="auto"/>
                <w:sz w:val="21"/>
                <w:szCs w:val="21"/>
              </w:rPr>
              <w:t>-3   施工期运输车辆噪声级    单位：dB（A）</w:t>
            </w:r>
          </w:p>
          <w:tbl>
            <w:tblPr>
              <w:tblStyle w:val="43"/>
              <w:tblW w:w="8709"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404"/>
              <w:gridCol w:w="2083"/>
              <w:gridCol w:w="2676"/>
              <w:gridCol w:w="254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04"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声源</w:t>
                  </w:r>
                </w:p>
              </w:tc>
              <w:tc>
                <w:tcPr>
                  <w:tcW w:w="2083"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大型载重车</w:t>
                  </w:r>
                </w:p>
              </w:tc>
              <w:tc>
                <w:tcPr>
                  <w:tcW w:w="267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混凝土罐车、载重车</w:t>
                  </w:r>
                </w:p>
              </w:tc>
              <w:tc>
                <w:tcPr>
                  <w:tcW w:w="254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轻型载重卡车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04"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声级dB(A)</w:t>
                  </w:r>
                </w:p>
              </w:tc>
              <w:tc>
                <w:tcPr>
                  <w:tcW w:w="2083"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95</w:t>
                  </w:r>
                </w:p>
              </w:tc>
              <w:tc>
                <w:tcPr>
                  <w:tcW w:w="267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80~85</w:t>
                  </w:r>
                </w:p>
              </w:tc>
              <w:tc>
                <w:tcPr>
                  <w:tcW w:w="254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75</w:t>
                  </w:r>
                </w:p>
              </w:tc>
            </w:tr>
          </w:tbl>
          <w:p>
            <w:pPr>
              <w:snapToGrid w:val="0"/>
              <w:spacing w:line="500" w:lineRule="exact"/>
              <w:ind w:firstLine="482" w:firstLineChars="200"/>
              <w:rPr>
                <w:rFonts w:hint="default" w:ascii="Times New Roman" w:hAnsi="Times New Roman" w:eastAsia="宋体" w:cs="Times New Roman"/>
                <w:b/>
                <w:bCs/>
                <w:color w:val="auto"/>
                <w:sz w:val="24"/>
                <w:lang w:eastAsia="zh-CN"/>
              </w:rPr>
            </w:pPr>
            <w:r>
              <w:rPr>
                <w:rFonts w:hint="default" w:ascii="Times New Roman" w:hAnsi="Times New Roman" w:eastAsia="宋体" w:cs="Times New Roman"/>
                <w:b/>
                <w:bCs/>
                <w:color w:val="auto"/>
                <w:sz w:val="24"/>
                <w:lang w:val="en-US" w:eastAsia="zh-CN"/>
              </w:rPr>
              <w:t>4</w:t>
            </w:r>
            <w:r>
              <w:rPr>
                <w:rFonts w:hint="default" w:ascii="Times New Roman" w:hAnsi="Times New Roman" w:eastAsia="宋体" w:cs="Times New Roman"/>
                <w:b/>
                <w:bCs/>
                <w:color w:val="auto"/>
                <w:sz w:val="24"/>
              </w:rPr>
              <w:t>、施工期固体废物</w:t>
            </w:r>
            <w:r>
              <w:rPr>
                <w:rFonts w:hint="default" w:ascii="Times New Roman" w:hAnsi="Times New Roman" w:eastAsia="宋体" w:cs="Times New Roman"/>
                <w:b/>
                <w:bCs/>
                <w:color w:val="auto"/>
                <w:sz w:val="24"/>
                <w:lang w:eastAsia="zh-CN"/>
              </w:rPr>
              <w:t>污染分析</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施工期固体废物主要包括废弃土石方、建筑垃圾、施工人员生活垃圾。</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①废弃土石方</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土石方工程：本项目施工期开挖土石方2万m</w:t>
            </w:r>
            <w:r>
              <w:rPr>
                <w:rFonts w:hint="default" w:ascii="Times New Roman" w:hAnsi="Times New Roman" w:eastAsia="宋体" w:cs="Times New Roman"/>
                <w:color w:val="auto"/>
                <w:position w:val="3"/>
                <w:sz w:val="24"/>
                <w:szCs w:val="24"/>
                <w:vertAlign w:val="superscript"/>
              </w:rPr>
              <w:t>3</w:t>
            </w:r>
            <w:r>
              <w:rPr>
                <w:rFonts w:hint="default" w:ascii="Times New Roman" w:hAnsi="Times New Roman" w:eastAsia="宋体" w:cs="Times New Roman"/>
                <w:color w:val="auto"/>
                <w:position w:val="3"/>
                <w:sz w:val="24"/>
                <w:szCs w:val="24"/>
              </w:rPr>
              <w:t>，填方</w:t>
            </w:r>
            <w:r>
              <w:rPr>
                <w:rFonts w:hint="default" w:ascii="Times New Roman" w:hAnsi="Times New Roman" w:eastAsia="宋体" w:cs="Times New Roman"/>
                <w:color w:val="auto"/>
                <w:position w:val="3"/>
                <w:sz w:val="24"/>
                <w:szCs w:val="24"/>
                <w:lang w:val="en-US" w:eastAsia="zh-CN"/>
              </w:rPr>
              <w:t>2</w:t>
            </w:r>
            <w:r>
              <w:rPr>
                <w:rFonts w:hint="default" w:ascii="Times New Roman" w:hAnsi="Times New Roman" w:eastAsia="宋体" w:cs="Times New Roman"/>
                <w:color w:val="auto"/>
                <w:position w:val="3"/>
                <w:sz w:val="24"/>
                <w:szCs w:val="24"/>
              </w:rPr>
              <w:t>万m</w:t>
            </w:r>
            <w:r>
              <w:rPr>
                <w:rFonts w:hint="default" w:ascii="Times New Roman" w:hAnsi="Times New Roman" w:eastAsia="宋体" w:cs="Times New Roman"/>
                <w:color w:val="auto"/>
                <w:position w:val="3"/>
                <w:sz w:val="24"/>
                <w:szCs w:val="24"/>
                <w:vertAlign w:val="superscript"/>
              </w:rPr>
              <w:t>3</w:t>
            </w:r>
            <w:r>
              <w:rPr>
                <w:rFonts w:hint="default" w:ascii="Times New Roman" w:hAnsi="Times New Roman" w:eastAsia="宋体" w:cs="Times New Roman"/>
                <w:color w:val="auto"/>
                <w:position w:val="3"/>
                <w:sz w:val="24"/>
                <w:szCs w:val="24"/>
              </w:rPr>
              <w:t>，本项目无需设置弃土场，项目区域内可实现土石方平衡。</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②建筑垃圾</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 xml:space="preserve">建筑过程中建筑垃圾的产生量与施工水平、建筑类型等多种因素有关，数据之间相差较大。在施工建筑的不同阶段，所产生的垃圾种类和数量有较大差别。本项目不同阶段产生的固体废物如下： </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a、基础工程阶段：包括打桩、砌筑基础等。这个阶段产生的建筑垃圾主要是弃土、混凝土碎块、废弃钢筋。</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b、结构工程阶段：包括钢筋、混凝土工程、钢木工程、砌体工程等。这个阶段产生的建筑垃圾主要有弃土砖瓦、混凝土碎块、废弃钢筋、施工下脚料等。</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c、装修阶段：这个阶段产生的建筑垃圾主要有废砖头、砂、水泥、木屑以及废涂料等。</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根据同类施工统计资料，项目土建施工期碎砖、过剩混凝土等建筑垃圾产生定额为0.5~1.0kg/m</w:t>
            </w:r>
            <w:r>
              <w:rPr>
                <w:rFonts w:hint="default" w:ascii="Times New Roman" w:hAnsi="Times New Roman" w:eastAsia="宋体" w:cs="Times New Roman"/>
                <w:color w:val="auto"/>
                <w:position w:val="3"/>
                <w:sz w:val="24"/>
                <w:szCs w:val="24"/>
                <w:vertAlign w:val="superscript"/>
              </w:rPr>
              <w:t>2</w:t>
            </w:r>
            <w:r>
              <w:rPr>
                <w:rFonts w:hint="default" w:ascii="Times New Roman" w:hAnsi="Times New Roman" w:eastAsia="宋体" w:cs="Times New Roman"/>
                <w:color w:val="auto"/>
                <w:position w:val="3"/>
                <w:sz w:val="24"/>
                <w:szCs w:val="24"/>
              </w:rPr>
              <w:t>，本评价按0.75kg/m</w:t>
            </w:r>
            <w:r>
              <w:rPr>
                <w:rFonts w:hint="default" w:ascii="Times New Roman" w:hAnsi="Times New Roman" w:eastAsia="宋体" w:cs="Times New Roman"/>
                <w:color w:val="auto"/>
                <w:position w:val="3"/>
                <w:sz w:val="24"/>
                <w:szCs w:val="24"/>
                <w:vertAlign w:val="superscript"/>
              </w:rPr>
              <w:t>2</w:t>
            </w:r>
            <w:r>
              <w:rPr>
                <w:rFonts w:hint="default" w:ascii="Times New Roman" w:hAnsi="Times New Roman" w:eastAsia="宋体" w:cs="Times New Roman"/>
                <w:color w:val="auto"/>
                <w:position w:val="3"/>
                <w:sz w:val="24"/>
                <w:szCs w:val="24"/>
              </w:rPr>
              <w:t>计，本项目建筑面积约为12352m</w:t>
            </w:r>
            <w:r>
              <w:rPr>
                <w:rFonts w:hint="default" w:ascii="Times New Roman" w:hAnsi="Times New Roman" w:eastAsia="宋体" w:cs="Times New Roman"/>
                <w:color w:val="auto"/>
                <w:position w:val="3"/>
                <w:sz w:val="24"/>
                <w:szCs w:val="24"/>
                <w:vertAlign w:val="superscript"/>
              </w:rPr>
              <w:t>2</w:t>
            </w:r>
            <w:r>
              <w:rPr>
                <w:rFonts w:hint="default" w:ascii="Times New Roman" w:hAnsi="Times New Roman" w:eastAsia="宋体" w:cs="Times New Roman"/>
                <w:color w:val="auto"/>
                <w:position w:val="3"/>
                <w:sz w:val="24"/>
                <w:szCs w:val="24"/>
              </w:rPr>
              <w:t>，整个土建施工期产生量约9.264t，需按建筑垃圾有关管理要求及时清运出场进行处理处置。</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④生活垃圾</w:t>
            </w:r>
          </w:p>
          <w:p>
            <w:pPr>
              <w:snapToGrid w:val="0"/>
              <w:spacing w:line="500" w:lineRule="exact"/>
              <w:ind w:firstLine="480" w:firstLineChars="200"/>
              <w:rPr>
                <w:rFonts w:hint="default" w:ascii="Times New Roman" w:hAnsi="Times New Roman" w:eastAsia="宋体" w:cs="Times New Roman"/>
                <w:color w:val="auto"/>
                <w:position w:val="3"/>
                <w:sz w:val="24"/>
                <w:szCs w:val="24"/>
              </w:rPr>
            </w:pPr>
            <w:r>
              <w:rPr>
                <w:rFonts w:hint="default" w:ascii="Times New Roman" w:hAnsi="Times New Roman" w:eastAsia="宋体" w:cs="Times New Roman"/>
                <w:color w:val="auto"/>
                <w:position w:val="3"/>
                <w:sz w:val="24"/>
                <w:szCs w:val="24"/>
              </w:rPr>
              <w:t>施工期生活垃圾，施工人员约30人，生活垃圾按0.5kg/（人·日）计，产生量约为15kg/d。按年</w:t>
            </w:r>
            <w:r>
              <w:rPr>
                <w:rFonts w:hint="default" w:ascii="Times New Roman" w:hAnsi="Times New Roman" w:eastAsia="宋体" w:cs="Times New Roman"/>
                <w:color w:val="auto"/>
                <w:position w:val="3"/>
                <w:sz w:val="24"/>
                <w:szCs w:val="24"/>
                <w:lang w:val="en-US" w:eastAsia="zh-CN"/>
              </w:rPr>
              <w:t>120</w:t>
            </w:r>
            <w:r>
              <w:rPr>
                <w:rFonts w:hint="default" w:ascii="Times New Roman" w:hAnsi="Times New Roman" w:eastAsia="宋体" w:cs="Times New Roman"/>
                <w:color w:val="auto"/>
                <w:position w:val="3"/>
                <w:sz w:val="24"/>
                <w:szCs w:val="24"/>
              </w:rPr>
              <w:t>个施工日计算，施工期年产生生活垃圾量约为1.</w:t>
            </w:r>
            <w:r>
              <w:rPr>
                <w:rFonts w:hint="default" w:ascii="Times New Roman" w:hAnsi="Times New Roman" w:eastAsia="宋体" w:cs="Times New Roman"/>
                <w:color w:val="auto"/>
                <w:position w:val="3"/>
                <w:sz w:val="24"/>
                <w:szCs w:val="24"/>
                <w:lang w:val="en-US" w:eastAsia="zh-CN"/>
              </w:rPr>
              <w:t>35</w:t>
            </w:r>
            <w:r>
              <w:rPr>
                <w:rFonts w:hint="default" w:ascii="Times New Roman" w:hAnsi="Times New Roman" w:eastAsia="宋体" w:cs="Times New Roman"/>
                <w:color w:val="auto"/>
                <w:position w:val="3"/>
                <w:sz w:val="24"/>
                <w:szCs w:val="24"/>
              </w:rPr>
              <w:t>t，生活垃圾经建设单位集中收集，由环卫部门统一清运处理。</w:t>
            </w:r>
          </w:p>
          <w:p>
            <w:pPr>
              <w:tabs>
                <w:tab w:val="left" w:pos="1280"/>
              </w:tabs>
              <w:ind w:firstLine="482" w:firstLineChars="200"/>
              <w:textAlignment w:val="baseline"/>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rPr>
              <w:t>二、营运期污染工序</w:t>
            </w:r>
          </w:p>
          <w:p>
            <w:pPr>
              <w:tabs>
                <w:tab w:val="left" w:pos="1280"/>
              </w:tabs>
              <w:ind w:firstLine="482" w:firstLineChars="200"/>
              <w:textAlignment w:val="baseline"/>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1、运营期大气污染源分析</w:t>
            </w:r>
          </w:p>
          <w:p>
            <w:pPr>
              <w:tabs>
                <w:tab w:val="left" w:pos="1280"/>
              </w:tabs>
              <w:ind w:firstLine="482" w:firstLineChars="200"/>
              <w:textAlignment w:val="baseline"/>
              <w:rPr>
                <w:rFonts w:hint="default" w:ascii="Times New Roman" w:hAnsi="Times New Roman" w:eastAsia="宋体" w:cs="Times New Roman"/>
                <w:b/>
                <w:bCs/>
                <w:color w:val="auto"/>
                <w:sz w:val="24"/>
                <w:lang w:eastAsia="zh-CN"/>
              </w:rPr>
            </w:pPr>
            <w:r>
              <w:rPr>
                <w:rFonts w:hint="default" w:ascii="Times New Roman" w:hAnsi="Times New Roman" w:eastAsia="宋体" w:cs="Times New Roman"/>
                <w:b/>
                <w:bCs/>
                <w:color w:val="auto"/>
                <w:sz w:val="24"/>
                <w:lang w:eastAsia="zh-CN"/>
              </w:rPr>
              <w:t>（一）混凝土拌合站</w:t>
            </w:r>
          </w:p>
          <w:p>
            <w:pPr>
              <w:pStyle w:val="26"/>
              <w:bidi w:val="0"/>
              <w:jc w:val="left"/>
              <w:rPr>
                <w:rFonts w:hint="default" w:ascii="Times New Roman" w:hAnsi="Times New Roman" w:eastAsia="宋体" w:cs="Times New Roman"/>
                <w:color w:val="auto"/>
                <w:lang w:val="en-US" w:eastAsia="zh-CN"/>
              </w:rPr>
            </w:pPr>
            <w:bookmarkStart w:id="12" w:name="_Toc6516"/>
            <w:r>
              <w:rPr>
                <w:rFonts w:hint="default" w:ascii="Times New Roman" w:hAnsi="Times New Roman" w:eastAsia="宋体" w:cs="Times New Roman"/>
                <w:color w:val="auto"/>
                <w:lang w:val="en-US" w:eastAsia="zh-CN"/>
              </w:rPr>
              <w:t>（1）大气污染程序：筒仓粉尘、输送粉尘、投料粉尘、搅拌粉尘、运输粉尘。</w:t>
            </w:r>
            <w:bookmarkEnd w:id="12"/>
          </w:p>
          <w:p>
            <w:pPr>
              <w:pStyle w:val="26"/>
              <w:bidi w:val="0"/>
              <w:jc w:val="left"/>
              <w:rPr>
                <w:rFonts w:hint="default" w:ascii="Times New Roman" w:hAnsi="Times New Roman" w:eastAsia="宋体" w:cs="Times New Roman"/>
                <w:color w:val="auto"/>
                <w:lang w:val="en-US" w:eastAsia="zh-CN"/>
              </w:rPr>
            </w:pPr>
            <w:bookmarkStart w:id="13" w:name="_Toc11632"/>
            <w:r>
              <w:rPr>
                <w:rFonts w:hint="default" w:ascii="Times New Roman" w:hAnsi="Times New Roman" w:eastAsia="宋体" w:cs="Times New Roman"/>
                <w:color w:val="auto"/>
                <w:lang w:val="en-US" w:eastAsia="zh-CN"/>
              </w:rPr>
              <w:t>（2）水污染工序：生活污水、清洗废水；</w:t>
            </w:r>
            <w:bookmarkEnd w:id="13"/>
          </w:p>
          <w:p>
            <w:pPr>
              <w:pStyle w:val="26"/>
              <w:bidi w:val="0"/>
              <w:jc w:val="left"/>
              <w:rPr>
                <w:rFonts w:hint="default" w:ascii="Times New Roman" w:hAnsi="Times New Roman" w:eastAsia="宋体" w:cs="Times New Roman"/>
                <w:color w:val="auto"/>
                <w:lang w:val="en-US" w:eastAsia="zh-CN"/>
              </w:rPr>
            </w:pPr>
            <w:bookmarkStart w:id="14" w:name="_Toc8038"/>
            <w:r>
              <w:rPr>
                <w:rFonts w:hint="default" w:ascii="Times New Roman" w:hAnsi="Times New Roman" w:eastAsia="宋体" w:cs="Times New Roman"/>
                <w:color w:val="auto"/>
                <w:lang w:val="en-US" w:eastAsia="zh-CN"/>
              </w:rPr>
              <w:t>（3）噪声污染工序：各类设备运转产生的噪声；</w:t>
            </w:r>
            <w:bookmarkEnd w:id="14"/>
          </w:p>
          <w:p>
            <w:pPr>
              <w:pStyle w:val="26"/>
              <w:bidi w:val="0"/>
              <w:jc w:val="left"/>
              <w:rPr>
                <w:rFonts w:hint="default" w:ascii="Times New Roman" w:hAnsi="Times New Roman" w:eastAsia="宋体" w:cs="Times New Roman"/>
                <w:color w:val="auto"/>
                <w:lang w:val="en-US" w:eastAsia="zh-CN"/>
              </w:rPr>
            </w:pPr>
            <w:bookmarkStart w:id="15" w:name="_Toc4530"/>
            <w:r>
              <w:rPr>
                <w:rFonts w:hint="default" w:ascii="Times New Roman" w:hAnsi="Times New Roman" w:eastAsia="宋体" w:cs="Times New Roman"/>
                <w:color w:val="auto"/>
                <w:lang w:val="en-US" w:eastAsia="zh-CN"/>
              </w:rPr>
              <w:t>（4）固体废物产生工序：废气收集粉尘、混凝土沉淀物、生活垃圾。</w:t>
            </w:r>
            <w:bookmarkEnd w:id="15"/>
            <w:r>
              <w:rPr>
                <w:rFonts w:hint="default" w:ascii="Times New Roman" w:hAnsi="Times New Roman" w:eastAsia="宋体" w:cs="Times New Roman"/>
                <w:color w:val="auto"/>
                <w:lang w:val="en-US" w:eastAsia="zh-CN"/>
              </w:rPr>
              <w:t xml:space="preserve"> </w:t>
            </w:r>
          </w:p>
          <w:p>
            <w:pPr>
              <w:pStyle w:val="26"/>
              <w:bidi w:val="0"/>
              <w:jc w:val="center"/>
              <w:rPr>
                <w:rFonts w:hint="default" w:ascii="Times New Roman" w:hAnsi="Times New Roman" w:eastAsia="宋体" w:cs="Times New Roman"/>
                <w:color w:val="auto"/>
              </w:rPr>
            </w:pPr>
            <w:bookmarkStart w:id="16" w:name="_Toc11384"/>
            <w:r>
              <w:rPr>
                <w:rFonts w:hint="default" w:ascii="Times New Roman" w:hAnsi="Times New Roman" w:eastAsia="宋体" w:cs="Times New Roman"/>
                <w:color w:val="auto"/>
              </w:rPr>
              <w:t>表5</w:t>
            </w:r>
            <w:r>
              <w:rPr>
                <w:rFonts w:hint="default" w:ascii="Times New Roman" w:hAnsi="Times New Roman" w:eastAsia="宋体" w:cs="Times New Roman"/>
                <w:color w:val="auto"/>
                <w:lang w:val="en-US" w:eastAsia="zh-CN"/>
              </w:rPr>
              <w:t>.2</w:t>
            </w:r>
            <w:r>
              <w:rPr>
                <w:rFonts w:hint="eastAsia" w:ascii="Times New Roman" w:hAnsi="Times New Roman" w:cs="Times New Roman"/>
                <w:color w:val="auto"/>
                <w:lang w:val="en-US" w:eastAsia="zh-CN"/>
              </w:rPr>
              <w:t>.1</w:t>
            </w:r>
            <w:r>
              <w:rPr>
                <w:rFonts w:hint="default" w:ascii="Times New Roman" w:hAnsi="Times New Roman" w:eastAsia="宋体" w:cs="Times New Roman"/>
                <w:color w:val="auto"/>
              </w:rPr>
              <w:t xml:space="preserve">-1 </w:t>
            </w:r>
            <w:r>
              <w:rPr>
                <w:rFonts w:hint="default" w:ascii="Times New Roman" w:hAnsi="Times New Roman" w:eastAsia="宋体" w:cs="Times New Roman"/>
                <w:color w:val="auto"/>
                <w:lang w:eastAsia="zh-CN"/>
              </w:rPr>
              <w:t>混凝土</w:t>
            </w:r>
            <w:r>
              <w:rPr>
                <w:rFonts w:hint="default" w:ascii="Times New Roman" w:hAnsi="Times New Roman" w:eastAsia="宋体" w:cs="Times New Roman"/>
                <w:color w:val="auto"/>
              </w:rPr>
              <w:t>项目主要污染因子</w:t>
            </w:r>
            <w:bookmarkEnd w:id="16"/>
          </w:p>
          <w:tbl>
            <w:tblPr>
              <w:tblStyle w:val="43"/>
              <w:tblW w:w="8960"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33"/>
              <w:gridCol w:w="1787"/>
              <w:gridCol w:w="1749"/>
              <w:gridCol w:w="1927"/>
              <w:gridCol w:w="236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133"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污染因素</w:t>
                  </w:r>
                </w:p>
              </w:tc>
              <w:tc>
                <w:tcPr>
                  <w:tcW w:w="1787"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名称</w:t>
                  </w:r>
                </w:p>
              </w:tc>
              <w:tc>
                <w:tcPr>
                  <w:tcW w:w="1749"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产污环节</w:t>
                  </w:r>
                </w:p>
              </w:tc>
              <w:tc>
                <w:tcPr>
                  <w:tcW w:w="1927"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排放特性/性质</w:t>
                  </w:r>
                </w:p>
              </w:tc>
              <w:tc>
                <w:tcPr>
                  <w:tcW w:w="2364"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污染因子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133" w:type="dxa"/>
                  <w:vMerge w:val="restart"/>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废气</w:t>
                  </w:r>
                </w:p>
              </w:tc>
              <w:tc>
                <w:tcPr>
                  <w:tcW w:w="1787"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lang w:eastAsia="zh-CN"/>
                    </w:rPr>
                    <w:t>筒仓</w:t>
                  </w:r>
                  <w:r>
                    <w:rPr>
                      <w:rFonts w:hint="default" w:ascii="Times New Roman" w:hAnsi="Times New Roman" w:eastAsia="宋体" w:cs="Times New Roman"/>
                      <w:b w:val="0"/>
                      <w:bCs/>
                      <w:color w:val="000000"/>
                      <w:sz w:val="21"/>
                      <w:szCs w:val="21"/>
                    </w:rPr>
                    <w:t>粉尘</w:t>
                  </w:r>
                </w:p>
              </w:tc>
              <w:tc>
                <w:tcPr>
                  <w:tcW w:w="1749"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储存</w:t>
                  </w:r>
                </w:p>
              </w:tc>
              <w:tc>
                <w:tcPr>
                  <w:tcW w:w="1927"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无组织</w:t>
                  </w:r>
                </w:p>
              </w:tc>
              <w:tc>
                <w:tcPr>
                  <w:tcW w:w="2364"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颗粒物</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133" w:type="dxa"/>
                  <w:vMerge w:val="continue"/>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p>
              </w:tc>
              <w:tc>
                <w:tcPr>
                  <w:tcW w:w="1787"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输送粉尘</w:t>
                  </w:r>
                </w:p>
              </w:tc>
              <w:tc>
                <w:tcPr>
                  <w:tcW w:w="1749"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输送</w:t>
                  </w:r>
                </w:p>
              </w:tc>
              <w:tc>
                <w:tcPr>
                  <w:tcW w:w="1927"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无组织</w:t>
                  </w:r>
                </w:p>
              </w:tc>
              <w:tc>
                <w:tcPr>
                  <w:tcW w:w="2364"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颗粒物</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133" w:type="dxa"/>
                  <w:vMerge w:val="continue"/>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p>
              </w:tc>
              <w:tc>
                <w:tcPr>
                  <w:tcW w:w="1787"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投料粉尘</w:t>
                  </w:r>
                </w:p>
              </w:tc>
              <w:tc>
                <w:tcPr>
                  <w:tcW w:w="1749"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投料</w:t>
                  </w:r>
                </w:p>
              </w:tc>
              <w:tc>
                <w:tcPr>
                  <w:tcW w:w="1927"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无组织</w:t>
                  </w:r>
                </w:p>
              </w:tc>
              <w:tc>
                <w:tcPr>
                  <w:tcW w:w="2364"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颗粒物</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133" w:type="dxa"/>
                  <w:vMerge w:val="continue"/>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p>
              </w:tc>
              <w:tc>
                <w:tcPr>
                  <w:tcW w:w="1787"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搅拌粉尘</w:t>
                  </w:r>
                </w:p>
              </w:tc>
              <w:tc>
                <w:tcPr>
                  <w:tcW w:w="1749"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搅拌</w:t>
                  </w:r>
                </w:p>
              </w:tc>
              <w:tc>
                <w:tcPr>
                  <w:tcW w:w="1927"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无组织</w:t>
                  </w:r>
                </w:p>
              </w:tc>
              <w:tc>
                <w:tcPr>
                  <w:tcW w:w="2364"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颗粒物</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133" w:type="dxa"/>
                  <w:vMerge w:val="continue"/>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p>
              </w:tc>
              <w:tc>
                <w:tcPr>
                  <w:tcW w:w="1787"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运输粉尘</w:t>
                  </w:r>
                </w:p>
              </w:tc>
              <w:tc>
                <w:tcPr>
                  <w:tcW w:w="1749"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运输</w:t>
                  </w:r>
                </w:p>
              </w:tc>
              <w:tc>
                <w:tcPr>
                  <w:tcW w:w="1927"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无组织</w:t>
                  </w:r>
                </w:p>
              </w:tc>
              <w:tc>
                <w:tcPr>
                  <w:tcW w:w="2364"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颗粒物</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6" w:hRule="atLeast"/>
                <w:jc w:val="center"/>
              </w:trPr>
              <w:tc>
                <w:tcPr>
                  <w:tcW w:w="1133" w:type="dxa"/>
                  <w:vMerge w:val="restart"/>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废水</w:t>
                  </w:r>
                </w:p>
              </w:tc>
              <w:tc>
                <w:tcPr>
                  <w:tcW w:w="1787"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生活污水</w:t>
                  </w:r>
                </w:p>
              </w:tc>
              <w:tc>
                <w:tcPr>
                  <w:tcW w:w="1749"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职工生活</w:t>
                  </w:r>
                </w:p>
              </w:tc>
              <w:tc>
                <w:tcPr>
                  <w:tcW w:w="1927"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lang w:val="en-US" w:eastAsia="zh-CN"/>
                    </w:rPr>
                    <w:t>不</w:t>
                  </w:r>
                  <w:r>
                    <w:rPr>
                      <w:rFonts w:hint="default" w:ascii="Times New Roman" w:hAnsi="Times New Roman" w:eastAsia="宋体" w:cs="Times New Roman"/>
                      <w:b w:val="0"/>
                      <w:bCs/>
                      <w:color w:val="000000"/>
                      <w:sz w:val="21"/>
                      <w:szCs w:val="21"/>
                    </w:rPr>
                    <w:t>排放</w:t>
                  </w:r>
                </w:p>
              </w:tc>
              <w:tc>
                <w:tcPr>
                  <w:tcW w:w="2364"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COD、SS、氨氮、总磷</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26" w:hRule="atLeast"/>
                <w:jc w:val="center"/>
              </w:trPr>
              <w:tc>
                <w:tcPr>
                  <w:tcW w:w="1133" w:type="dxa"/>
                  <w:vMerge w:val="continue"/>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p>
              </w:tc>
              <w:tc>
                <w:tcPr>
                  <w:tcW w:w="1787"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清洗废水</w:t>
                  </w:r>
                </w:p>
              </w:tc>
              <w:tc>
                <w:tcPr>
                  <w:tcW w:w="1749"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清洗</w:t>
                  </w:r>
                </w:p>
              </w:tc>
              <w:tc>
                <w:tcPr>
                  <w:tcW w:w="1927"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不排放</w:t>
                  </w:r>
                </w:p>
              </w:tc>
              <w:tc>
                <w:tcPr>
                  <w:tcW w:w="2364"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SS</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133" w:type="dxa"/>
                  <w:vMerge w:val="restart"/>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固废</w:t>
                  </w:r>
                </w:p>
              </w:tc>
              <w:tc>
                <w:tcPr>
                  <w:tcW w:w="1787"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废气收集粉尘</w:t>
                  </w:r>
                </w:p>
              </w:tc>
              <w:tc>
                <w:tcPr>
                  <w:tcW w:w="1749"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废气处理</w:t>
                  </w:r>
                </w:p>
              </w:tc>
              <w:tc>
                <w:tcPr>
                  <w:tcW w:w="1927"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一般固废</w:t>
                  </w:r>
                </w:p>
              </w:tc>
              <w:tc>
                <w:tcPr>
                  <w:tcW w:w="2364"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除尘灰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133" w:type="dxa"/>
                  <w:vMerge w:val="continue"/>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p>
              </w:tc>
              <w:tc>
                <w:tcPr>
                  <w:tcW w:w="1787"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混凝土沉淀物</w:t>
                  </w:r>
                </w:p>
              </w:tc>
              <w:tc>
                <w:tcPr>
                  <w:tcW w:w="1749"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废水处理</w:t>
                  </w:r>
                </w:p>
              </w:tc>
              <w:tc>
                <w:tcPr>
                  <w:tcW w:w="1927"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一般固废</w:t>
                  </w:r>
                </w:p>
              </w:tc>
              <w:tc>
                <w:tcPr>
                  <w:tcW w:w="2364"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砂石</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133" w:type="dxa"/>
                  <w:vMerge w:val="continue"/>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p>
              </w:tc>
              <w:tc>
                <w:tcPr>
                  <w:tcW w:w="1787"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生活垃圾</w:t>
                  </w:r>
                </w:p>
              </w:tc>
              <w:tc>
                <w:tcPr>
                  <w:tcW w:w="1749"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职工生活</w:t>
                  </w:r>
                </w:p>
              </w:tc>
              <w:tc>
                <w:tcPr>
                  <w:tcW w:w="1927"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生活垃圾</w:t>
                  </w:r>
                </w:p>
              </w:tc>
              <w:tc>
                <w:tcPr>
                  <w:tcW w:w="2364"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生活垃圾</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133" w:type="dxa"/>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噪声</w:t>
                  </w:r>
                </w:p>
              </w:tc>
              <w:tc>
                <w:tcPr>
                  <w:tcW w:w="7827" w:type="dxa"/>
                  <w:gridSpan w:val="4"/>
                  <w:noWrap w:val="0"/>
                  <w:tcMar>
                    <w:left w:w="28" w:type="dxa"/>
                    <w:right w:w="28" w:type="dxa"/>
                  </w:tcMar>
                  <w:vAlign w:val="center"/>
                </w:tcPr>
                <w:p>
                  <w:pPr>
                    <w:spacing w:line="320" w:lineRule="exact"/>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主要噪声源为生产设备（搅拌机、输送机等）</w:t>
                  </w:r>
                </w:p>
              </w:tc>
            </w:tr>
          </w:tbl>
          <w:p>
            <w:pPr>
              <w:spacing w:line="500" w:lineRule="exact"/>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rPr>
              <w:t>1.</w:t>
            </w:r>
            <w:r>
              <w:rPr>
                <w:rFonts w:hint="default" w:ascii="Times New Roman" w:hAnsi="Times New Roman" w:eastAsia="宋体" w:cs="Times New Roman"/>
                <w:sz w:val="24"/>
                <w:szCs w:val="24"/>
              </w:rPr>
              <w:t>废气</w:t>
            </w:r>
          </w:p>
          <w:p>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项目营运期大气污染源主要包括原料堆存、装卸时产生的粉尘，水泥筒仓送料过程中产生的粉尘，</w:t>
            </w:r>
            <w:r>
              <w:rPr>
                <w:rFonts w:hint="default" w:ascii="Times New Roman" w:hAnsi="Times New Roman" w:eastAsia="宋体" w:cs="Times New Roman"/>
                <w:bCs/>
                <w:sz w:val="24"/>
                <w:szCs w:val="24"/>
              </w:rPr>
              <w:t>原料投料、搅拌过程中产生的粉尘</w:t>
            </w:r>
            <w:r>
              <w:rPr>
                <w:rFonts w:hint="default" w:ascii="Times New Roman" w:hAnsi="Times New Roman" w:eastAsia="宋体" w:cs="Times New Roman"/>
                <w:sz w:val="24"/>
                <w:szCs w:val="24"/>
              </w:rPr>
              <w:t>和运输车辆道路扬尘。</w:t>
            </w:r>
          </w:p>
          <w:p>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（1）原料堆存、装卸时产生的粉尘</w:t>
            </w:r>
          </w:p>
          <w:p>
            <w:pPr>
              <w:spacing w:line="500" w:lineRule="exact"/>
              <w:ind w:firstLine="480" w:firstLineChars="200"/>
              <w:rPr>
                <w:rFonts w:hint="default" w:ascii="Times New Roman" w:hAnsi="Times New Roman" w:eastAsia="宋体" w:cs="Times New Roman"/>
                <w:bCs/>
                <w:sz w:val="24"/>
              </w:rPr>
            </w:pPr>
            <w:r>
              <w:rPr>
                <w:rFonts w:hint="default" w:ascii="Times New Roman" w:hAnsi="Times New Roman" w:eastAsia="宋体" w:cs="Times New Roman"/>
                <w:bCs/>
                <w:sz w:val="24"/>
              </w:rPr>
              <w:t>原料在装卸过程中的起尘量很小，主要起尘源为原料中占比较小的的细粒或粉状的物质，根据《逸散性工业颗粒物控制技术》中相关说明，原料装卸的颗粒物量为0.01kg/t，项目商品混凝土生产原料（除水泥）为176400t/a，则项目厂区原料装卸颗粒物产生量为</w:t>
            </w:r>
            <w:r>
              <w:rPr>
                <w:rFonts w:hint="default" w:ascii="Times New Roman" w:hAnsi="Times New Roman" w:eastAsia="宋体" w:cs="Times New Roman"/>
                <w:bCs/>
                <w:sz w:val="24"/>
                <w:lang w:val="en-US" w:eastAsia="zh-CN"/>
              </w:rPr>
              <w:t>1.764</w:t>
            </w:r>
            <w:r>
              <w:rPr>
                <w:rFonts w:hint="default" w:ascii="Times New Roman" w:hAnsi="Times New Roman" w:eastAsia="宋体" w:cs="Times New Roman"/>
                <w:bCs/>
                <w:sz w:val="24"/>
              </w:rPr>
              <w:t>t/a。</w:t>
            </w:r>
          </w:p>
          <w:p>
            <w:pPr>
              <w:spacing w:line="500" w:lineRule="exact"/>
              <w:ind w:firstLine="480" w:firstLineChars="200"/>
              <w:rPr>
                <w:rFonts w:hint="default" w:ascii="Times New Roman" w:hAnsi="Times New Roman" w:eastAsia="宋体" w:cs="Times New Roman"/>
                <w:bCs/>
                <w:sz w:val="24"/>
              </w:rPr>
            </w:pPr>
            <w:r>
              <w:rPr>
                <w:rFonts w:hint="default" w:ascii="Times New Roman" w:hAnsi="Times New Roman" w:eastAsia="宋体" w:cs="Times New Roman"/>
                <w:bCs/>
                <w:sz w:val="24"/>
              </w:rPr>
              <w:t>根据《</w:t>
            </w:r>
            <w:r>
              <w:rPr>
                <w:rFonts w:hint="default" w:ascii="Times New Roman" w:hAnsi="Times New Roman" w:eastAsia="宋体" w:cs="Times New Roman"/>
                <w:bCs/>
                <w:sz w:val="24"/>
                <w:lang w:eastAsia="zh-CN"/>
              </w:rPr>
              <w:t>湖南省大气污染防治条例</w:t>
            </w:r>
            <w:r>
              <w:rPr>
                <w:rFonts w:hint="default" w:ascii="Times New Roman" w:hAnsi="Times New Roman" w:eastAsia="宋体" w:cs="Times New Roman"/>
                <w:bCs/>
                <w:sz w:val="24"/>
              </w:rPr>
              <w:t>》的要求，本次环评建议对生产车间进行密闭，所有物料（包括原辅料、半成品、成品）进库存放，厂界内无露天堆放物料，通道口安装卷帘门、推拉门等封闭性良好且便于开关的硬质门，并在车间上方设置旋转喷淋洒水装置，定期对原料和成品进行洒水、抑尘。本项目原料装卸粉尘产生量为</w:t>
            </w:r>
            <w:r>
              <w:rPr>
                <w:rFonts w:hint="default" w:ascii="Times New Roman" w:hAnsi="Times New Roman" w:eastAsia="宋体" w:cs="Times New Roman"/>
                <w:bCs/>
                <w:sz w:val="24"/>
                <w:lang w:val="en-US" w:eastAsia="zh-CN"/>
              </w:rPr>
              <w:t>1.76</w:t>
            </w:r>
            <w:r>
              <w:rPr>
                <w:rFonts w:hint="default" w:ascii="Times New Roman" w:hAnsi="Times New Roman" w:eastAsia="宋体" w:cs="Times New Roman"/>
                <w:bCs/>
                <w:sz w:val="24"/>
              </w:rPr>
              <w:t>4t/a，经采取以上措施后粉尘量可减少90%以上，故项目原料装卸粉尘排放量约为0.</w:t>
            </w:r>
            <w:r>
              <w:rPr>
                <w:rFonts w:hint="default" w:ascii="Times New Roman" w:hAnsi="Times New Roman" w:eastAsia="宋体" w:cs="Times New Roman"/>
                <w:bCs/>
                <w:sz w:val="24"/>
                <w:lang w:val="en-US" w:eastAsia="zh-CN"/>
              </w:rPr>
              <w:t>176</w:t>
            </w:r>
            <w:r>
              <w:rPr>
                <w:rFonts w:hint="default" w:ascii="Times New Roman" w:hAnsi="Times New Roman" w:eastAsia="宋体" w:cs="Times New Roman"/>
                <w:bCs/>
                <w:sz w:val="24"/>
              </w:rPr>
              <w:t>4t/a，排放速率为</w:t>
            </w:r>
            <w:r>
              <w:rPr>
                <w:rFonts w:hint="default" w:ascii="Times New Roman" w:hAnsi="Times New Roman" w:eastAsia="宋体" w:cs="Times New Roman"/>
                <w:bCs/>
                <w:sz w:val="24"/>
                <w:lang w:val="en-US" w:eastAsia="zh-CN"/>
              </w:rPr>
              <w:t>0.4233</w:t>
            </w:r>
            <w:r>
              <w:rPr>
                <w:rFonts w:hint="default" w:ascii="Times New Roman" w:hAnsi="Times New Roman" w:eastAsia="宋体" w:cs="Times New Roman"/>
                <w:bCs/>
                <w:sz w:val="24"/>
              </w:rPr>
              <w:t>kg/h。</w:t>
            </w:r>
          </w:p>
          <w:p>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（2）水泥筒仓送料过程中产生的粉尘</w:t>
            </w:r>
          </w:p>
          <w:p>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项目使用的水泥均采用粉料筒仓储存，项目商品混凝土生产设置</w:t>
            </w:r>
            <w:r>
              <w:rPr>
                <w:rFonts w:hint="default" w:ascii="Times New Roman" w:hAnsi="Times New Roman" w:eastAsia="宋体" w:cs="Times New Roman"/>
                <w:bCs/>
                <w:sz w:val="24"/>
                <w:szCs w:val="24"/>
                <w:lang w:val="en-US" w:eastAsia="zh-CN"/>
              </w:rPr>
              <w:t>8</w:t>
            </w:r>
            <w:r>
              <w:rPr>
                <w:rFonts w:hint="default" w:ascii="Times New Roman" w:hAnsi="Times New Roman" w:eastAsia="宋体" w:cs="Times New Roman"/>
                <w:bCs/>
                <w:sz w:val="24"/>
                <w:szCs w:val="24"/>
              </w:rPr>
              <w:t>个水泥筒仓，每个筒仓都配备有1台仓顶袋式除尘器。粉料在入仓时进料口在筒仓下方，罐装车通过压力将水泥压入筒仓，此粉尘会随着筒仓内的空气从筒仓顶部的排气孔中排出。</w:t>
            </w:r>
          </w:p>
          <w:p>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项目商品混凝土生产</w:t>
            </w:r>
            <w:r>
              <w:rPr>
                <w:rFonts w:hint="default" w:ascii="Times New Roman" w:hAnsi="Times New Roman" w:eastAsia="宋体" w:cs="Times New Roman"/>
                <w:sz w:val="24"/>
                <w:szCs w:val="24"/>
              </w:rPr>
              <w:t>水泥用量为</w:t>
            </w:r>
            <w:r>
              <w:rPr>
                <w:rFonts w:hint="default" w:ascii="Times New Roman" w:hAnsi="Times New Roman" w:eastAsia="宋体" w:cs="Times New Roman"/>
                <w:sz w:val="24"/>
                <w:szCs w:val="24"/>
                <w:lang w:val="en-US" w:eastAsia="zh-CN"/>
              </w:rPr>
              <w:t>500</w:t>
            </w:r>
            <w:r>
              <w:rPr>
                <w:rFonts w:hint="default" w:ascii="Times New Roman" w:hAnsi="Times New Roman" w:eastAsia="宋体" w:cs="Times New Roman"/>
                <w:sz w:val="24"/>
                <w:szCs w:val="24"/>
              </w:rPr>
              <w:t>00t/a，贮存在生产线配套的筒库中。根据第一次全国污染源普查水泥制品制造业工业污染源污染物产生量和排放量的核算办法，输送1吨粉状物料约需输送气量460m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，粉尘产生量2.09kg/t粉料。据此计算，项目水泥入库过程中产生的废气量为2.</w:t>
            </w:r>
            <w:r>
              <w:rPr>
                <w:rFonts w:hint="default" w:ascii="Times New Roman" w:hAnsi="Times New Roman" w:eastAsia="宋体" w:cs="Times New Roman"/>
                <w:sz w:val="24"/>
                <w:szCs w:val="24"/>
                <w:lang w:val="en-US" w:eastAsia="zh-CN"/>
              </w:rPr>
              <w:t>29</w:t>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vertAlign w:val="superscript"/>
              </w:rPr>
              <w:t>7</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/a，粉尘产生量为</w:t>
            </w:r>
            <w:r>
              <w:rPr>
                <w:rFonts w:hint="default" w:ascii="Times New Roman" w:hAnsi="Times New Roman" w:eastAsia="宋体" w:cs="Times New Roman"/>
                <w:sz w:val="24"/>
                <w:szCs w:val="24"/>
                <w:lang w:val="en-US" w:eastAsia="zh-CN"/>
              </w:rPr>
              <w:t>104.5</w:t>
            </w:r>
            <w:r>
              <w:rPr>
                <w:rFonts w:hint="default" w:ascii="Times New Roman" w:hAnsi="Times New Roman" w:eastAsia="宋体" w:cs="Times New Roman"/>
                <w:sz w:val="24"/>
                <w:szCs w:val="24"/>
              </w:rPr>
              <w:t>t，袋式除尘器设计除尘效率为99.9%，除尘后粉尘排放浓度为4.54mg/m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，排放时间按8h/d计，排放速率0.0393kg/h，经核算，该工段粉尘年排放量为0.</w:t>
            </w:r>
            <w:r>
              <w:rPr>
                <w:rFonts w:hint="default" w:ascii="Times New Roman" w:hAnsi="Times New Roman" w:eastAsia="宋体" w:cs="Times New Roman"/>
                <w:sz w:val="24"/>
                <w:szCs w:val="24"/>
                <w:lang w:val="en-US" w:eastAsia="zh-CN"/>
              </w:rPr>
              <w:t>1045</w:t>
            </w:r>
            <w:r>
              <w:rPr>
                <w:rFonts w:hint="default" w:ascii="Times New Roman" w:hAnsi="Times New Roman" w:eastAsia="宋体" w:cs="Times New Roman"/>
                <w:sz w:val="24"/>
                <w:szCs w:val="24"/>
              </w:rPr>
              <w:t>t/a。该工段粉尘产排情况见</w:t>
            </w:r>
            <w:r>
              <w:rPr>
                <w:rFonts w:hint="default" w:ascii="Times New Roman" w:hAnsi="Times New Roman" w:eastAsia="宋体" w:cs="Times New Roman"/>
                <w:sz w:val="24"/>
                <w:szCs w:val="24"/>
                <w:lang w:eastAsia="zh-CN"/>
              </w:rPr>
              <w:t>下表</w:t>
            </w:r>
            <w:r>
              <w:rPr>
                <w:rFonts w:hint="default" w:ascii="Times New Roman" w:hAnsi="Times New Roman" w:eastAsia="宋体" w:cs="Times New Roman"/>
                <w:sz w:val="24"/>
                <w:szCs w:val="24"/>
              </w:rPr>
              <w:t>。</w:t>
            </w:r>
          </w:p>
          <w:p>
            <w:pPr>
              <w:pStyle w:val="2"/>
              <w:spacing w:beforeLines="50" w:after="0"/>
              <w:ind w:firstLine="480" w:firstLineChars="20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表</w:t>
            </w:r>
            <w:r>
              <w:rPr>
                <w:rFonts w:hint="default" w:ascii="Times New Roman" w:hAnsi="Times New Roman" w:eastAsia="宋体" w:cs="Times New Roman"/>
                <w:bCs/>
                <w:sz w:val="24"/>
                <w:szCs w:val="24"/>
                <w:lang w:val="en-US" w:eastAsia="zh-CN"/>
              </w:rPr>
              <w:t>5</w:t>
            </w:r>
            <w:r>
              <w:rPr>
                <w:rFonts w:hint="eastAsia" w:cs="Times New Roman"/>
                <w:bCs/>
                <w:sz w:val="24"/>
                <w:szCs w:val="24"/>
                <w:lang w:val="en-US" w:eastAsia="zh-CN"/>
              </w:rPr>
              <w:t>.2</w:t>
            </w:r>
            <w:r>
              <w:rPr>
                <w:rFonts w:hint="default" w:ascii="Times New Roman" w:hAnsi="Times New Roman" w:eastAsia="宋体" w:cs="Times New Roman"/>
                <w:bCs/>
                <w:sz w:val="24"/>
                <w:szCs w:val="24"/>
                <w:lang w:val="en-US" w:eastAsia="zh-CN"/>
              </w:rPr>
              <w:t>.</w:t>
            </w:r>
            <w:r>
              <w:rPr>
                <w:rFonts w:hint="eastAsia" w:cs="Times New Roman"/>
                <w:bCs/>
                <w:sz w:val="24"/>
                <w:szCs w:val="24"/>
                <w:lang w:val="en-US" w:eastAsia="zh-CN"/>
              </w:rPr>
              <w:t>1</w:t>
            </w:r>
            <w:r>
              <w:rPr>
                <w:rFonts w:hint="default" w:ascii="Times New Roman" w:hAnsi="Times New Roman" w:eastAsia="宋体" w:cs="Times New Roman"/>
                <w:bCs/>
                <w:sz w:val="24"/>
                <w:szCs w:val="24"/>
                <w:lang w:val="en-US" w:eastAsia="zh-CN"/>
              </w:rPr>
              <w:t>-2</w:t>
            </w:r>
            <w:r>
              <w:rPr>
                <w:rFonts w:hint="default" w:ascii="Times New Roman" w:hAnsi="Times New Roman" w:eastAsia="宋体" w:cs="Times New Roman"/>
                <w:bCs/>
                <w:sz w:val="24"/>
                <w:szCs w:val="24"/>
              </w:rPr>
              <w:t xml:space="preserve"> 项目筒仓粉尘产排情况</w:t>
            </w:r>
          </w:p>
          <w:tbl>
            <w:tblPr>
              <w:tblStyle w:val="43"/>
              <w:tblW w:w="893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11"/>
              <w:gridCol w:w="1333"/>
              <w:gridCol w:w="783"/>
              <w:gridCol w:w="1203"/>
              <w:gridCol w:w="1735"/>
              <w:gridCol w:w="1324"/>
              <w:gridCol w:w="13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4" w:hRule="atLeast"/>
                <w:jc w:val="center"/>
              </w:trPr>
              <w:tc>
                <w:tcPr>
                  <w:tcW w:w="1211" w:type="dxa"/>
                  <w:vAlign w:val="center"/>
                </w:tcPr>
                <w:p>
                  <w:pPr>
                    <w:jc w:val="center"/>
                    <w:textAlignment w:val="baseline"/>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筒仓名称</w:t>
                  </w:r>
                </w:p>
              </w:tc>
              <w:tc>
                <w:tcPr>
                  <w:tcW w:w="1333" w:type="dxa"/>
                  <w:vAlign w:val="center"/>
                </w:tcPr>
                <w:p>
                  <w:pPr>
                    <w:jc w:val="center"/>
                    <w:textAlignment w:val="baseline"/>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规格</w:t>
                  </w:r>
                </w:p>
              </w:tc>
              <w:tc>
                <w:tcPr>
                  <w:tcW w:w="783" w:type="dxa"/>
                  <w:vAlign w:val="center"/>
                </w:tcPr>
                <w:p>
                  <w:pPr>
                    <w:jc w:val="center"/>
                    <w:textAlignment w:val="baseline"/>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数量</w:t>
                  </w:r>
                </w:p>
              </w:tc>
              <w:tc>
                <w:tcPr>
                  <w:tcW w:w="1203" w:type="dxa"/>
                  <w:vAlign w:val="center"/>
                </w:tcPr>
                <w:p>
                  <w:pPr>
                    <w:jc w:val="center"/>
                    <w:textAlignment w:val="baseline"/>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除尘效率（%）</w:t>
                  </w:r>
                </w:p>
              </w:tc>
              <w:tc>
                <w:tcPr>
                  <w:tcW w:w="1735" w:type="dxa"/>
                  <w:vAlign w:val="center"/>
                </w:tcPr>
                <w:p>
                  <w:pPr>
                    <w:jc w:val="center"/>
                    <w:textAlignment w:val="baseline"/>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粉尘排放量（t/a）</w:t>
                  </w:r>
                </w:p>
              </w:tc>
              <w:tc>
                <w:tcPr>
                  <w:tcW w:w="1324" w:type="dxa"/>
                  <w:vAlign w:val="center"/>
                </w:tcPr>
                <w:p>
                  <w:pPr>
                    <w:jc w:val="center"/>
                    <w:textAlignment w:val="baseline"/>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粉尘排放速率（kg/h）</w:t>
                  </w:r>
                </w:p>
              </w:tc>
              <w:tc>
                <w:tcPr>
                  <w:tcW w:w="1346" w:type="dxa"/>
                  <w:vAlign w:val="center"/>
                </w:tcPr>
                <w:p>
                  <w:pPr>
                    <w:jc w:val="center"/>
                    <w:textAlignment w:val="baseline"/>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排放浓度</w:t>
                  </w:r>
                </w:p>
                <w:p>
                  <w:pPr>
                    <w:jc w:val="center"/>
                    <w:textAlignment w:val="baseline"/>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（mg/m</w:t>
                  </w:r>
                  <w:r>
                    <w:rPr>
                      <w:rFonts w:hint="default" w:ascii="Times New Roman" w:hAnsi="Times New Roman" w:eastAsia="宋体" w:cs="Times New Roman"/>
                      <w:b/>
                      <w:bCs/>
                      <w:sz w:val="21"/>
                      <w:szCs w:val="21"/>
                      <w:vertAlign w:val="superscript"/>
                    </w:rPr>
                    <w:t>3</w:t>
                  </w:r>
                  <w:r>
                    <w:rPr>
                      <w:rFonts w:hint="default" w:ascii="Times New Roman" w:hAnsi="Times New Roman" w:eastAsia="宋体" w:cs="Times New Roman"/>
                      <w:b/>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4" w:hRule="atLeast"/>
                <w:jc w:val="center"/>
              </w:trPr>
              <w:tc>
                <w:tcPr>
                  <w:tcW w:w="1211" w:type="dxa"/>
                  <w:vAlign w:val="center"/>
                </w:tcPr>
                <w:p>
                  <w:pPr>
                    <w:jc w:val="center"/>
                    <w:textAlignment w:val="baseline"/>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筒仓</w:t>
                  </w:r>
                </w:p>
              </w:tc>
              <w:tc>
                <w:tcPr>
                  <w:tcW w:w="1333" w:type="dxa"/>
                  <w:vAlign w:val="center"/>
                </w:tcPr>
                <w:p>
                  <w:pPr>
                    <w:jc w:val="center"/>
                    <w:textAlignment w:val="baseline"/>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20</w:t>
                  </w:r>
                  <w:r>
                    <w:rPr>
                      <w:rFonts w:hint="default" w:ascii="Times New Roman" w:hAnsi="Times New Roman" w:eastAsia="宋体" w:cs="Times New Roman"/>
                      <w:bCs/>
                      <w:sz w:val="21"/>
                      <w:szCs w:val="21"/>
                    </w:rPr>
                    <w:t>0t/个</w:t>
                  </w:r>
                </w:p>
              </w:tc>
              <w:tc>
                <w:tcPr>
                  <w:tcW w:w="783" w:type="dxa"/>
                  <w:vAlign w:val="center"/>
                </w:tcPr>
                <w:p>
                  <w:pPr>
                    <w:jc w:val="center"/>
                    <w:textAlignment w:val="baseline"/>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8</w:t>
                  </w:r>
                  <w:r>
                    <w:rPr>
                      <w:rFonts w:hint="default" w:ascii="Times New Roman" w:hAnsi="Times New Roman" w:eastAsia="宋体" w:cs="Times New Roman"/>
                      <w:bCs/>
                      <w:sz w:val="21"/>
                      <w:szCs w:val="21"/>
                    </w:rPr>
                    <w:t>个</w:t>
                  </w:r>
                </w:p>
              </w:tc>
              <w:tc>
                <w:tcPr>
                  <w:tcW w:w="1203" w:type="dxa"/>
                  <w:vAlign w:val="center"/>
                </w:tcPr>
                <w:p>
                  <w:pPr>
                    <w:jc w:val="center"/>
                    <w:textAlignment w:val="baseline"/>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99.9</w:t>
                  </w:r>
                </w:p>
              </w:tc>
              <w:tc>
                <w:tcPr>
                  <w:tcW w:w="1735" w:type="dxa"/>
                  <w:vAlign w:val="center"/>
                </w:tcPr>
                <w:p>
                  <w:pPr>
                    <w:jc w:val="center"/>
                    <w:textAlignment w:val="baseline"/>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rPr>
                    <w:t>0.</w:t>
                  </w:r>
                  <w:r>
                    <w:rPr>
                      <w:rFonts w:hint="default" w:ascii="Times New Roman" w:hAnsi="Times New Roman" w:eastAsia="宋体" w:cs="Times New Roman"/>
                      <w:bCs/>
                      <w:sz w:val="21"/>
                      <w:szCs w:val="21"/>
                      <w:lang w:val="en-US" w:eastAsia="zh-CN"/>
                    </w:rPr>
                    <w:t>1045</w:t>
                  </w:r>
                </w:p>
              </w:tc>
              <w:tc>
                <w:tcPr>
                  <w:tcW w:w="1324" w:type="dxa"/>
                  <w:vAlign w:val="center"/>
                </w:tcPr>
                <w:p>
                  <w:pPr>
                    <w:jc w:val="center"/>
                    <w:textAlignment w:val="baseline"/>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0.0393</w:t>
                  </w:r>
                </w:p>
              </w:tc>
              <w:tc>
                <w:tcPr>
                  <w:tcW w:w="1346" w:type="dxa"/>
                  <w:vAlign w:val="center"/>
                </w:tcPr>
                <w:p>
                  <w:pPr>
                    <w:jc w:val="center"/>
                    <w:textAlignment w:val="baseline"/>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4.54</w:t>
                  </w:r>
                </w:p>
              </w:tc>
            </w:tr>
          </w:tbl>
          <w:p>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default" w:ascii="Times New Roman" w:hAnsi="Times New Roman" w:eastAsia="宋体" w:cs="Times New Roman"/>
                <w:bCs/>
                <w:sz w:val="24"/>
                <w:szCs w:val="24"/>
              </w:rPr>
              <w:t>原料投料、搅拌过程中产生的粉尘</w:t>
            </w:r>
          </w:p>
          <w:p>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w:t>
            </w:r>
            <w:r>
              <w:rPr>
                <w:rFonts w:hint="default" w:ascii="Times New Roman" w:hAnsi="Times New Roman" w:eastAsia="宋体" w:cs="Times New Roman"/>
                <w:bCs/>
                <w:sz w:val="24"/>
                <w:szCs w:val="24"/>
              </w:rPr>
              <w:t>生产</w:t>
            </w:r>
            <w:r>
              <w:rPr>
                <w:rFonts w:hint="default" w:ascii="Times New Roman" w:hAnsi="Times New Roman" w:eastAsia="宋体" w:cs="Times New Roman"/>
                <w:sz w:val="24"/>
                <w:szCs w:val="24"/>
              </w:rPr>
              <w:t>过程中，原料由铲车分别下料至配料斗中，通过配料斗下方的传送带输送至拌合机。因此项目产尘点主要来自各配料仓仓口、输送过程及拌合机。根据企业提供，项目各骨料仓出料减少下料口高度落差。项目配料、搅拌过程全部在封闭的生产车间内完成，搅拌过程中需要加入一定量的水，以增加粉料的粘合度，因此项目粉尘的产生量较少。</w:t>
            </w:r>
          </w:p>
          <w:p>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w:t>
            </w:r>
            <w:r>
              <w:rPr>
                <w:rFonts w:hint="default" w:ascii="Times New Roman" w:hAnsi="Times New Roman" w:eastAsia="宋体" w:cs="Times New Roman"/>
                <w:bCs/>
                <w:sz w:val="24"/>
              </w:rPr>
              <w:t>商品混凝土生产</w:t>
            </w:r>
            <w:r>
              <w:rPr>
                <w:rFonts w:hint="default" w:ascii="Times New Roman" w:hAnsi="Times New Roman" w:eastAsia="宋体" w:cs="Times New Roman"/>
                <w:sz w:val="24"/>
                <w:szCs w:val="24"/>
              </w:rPr>
              <w:t>原料用量（除水泥外）为</w:t>
            </w:r>
            <w:r>
              <w:rPr>
                <w:rFonts w:hint="default" w:ascii="Times New Roman" w:hAnsi="Times New Roman" w:eastAsia="宋体" w:cs="Times New Roman"/>
                <w:bCs/>
                <w:sz w:val="24"/>
              </w:rPr>
              <w:t>176400t/a</w:t>
            </w:r>
            <w:r>
              <w:rPr>
                <w:rFonts w:hint="default" w:ascii="Times New Roman" w:hAnsi="Times New Roman" w:eastAsia="宋体" w:cs="Times New Roman"/>
                <w:bCs/>
                <w:sz w:val="24"/>
                <w:szCs w:val="24"/>
              </w:rPr>
              <w:t>，总用量为216500t/a</w:t>
            </w:r>
            <w:r>
              <w:rPr>
                <w:rFonts w:hint="default" w:ascii="Times New Roman" w:hAnsi="Times New Roman" w:eastAsia="宋体" w:cs="Times New Roman"/>
                <w:sz w:val="24"/>
                <w:szCs w:val="24"/>
              </w:rPr>
              <w:t>，每天生产</w:t>
            </w:r>
            <w:r>
              <w:rPr>
                <w:rFonts w:hint="default" w:ascii="Times New Roman" w:hAnsi="Times New Roman" w:eastAsia="宋体" w:cs="Times New Roman"/>
                <w:bCs/>
                <w:sz w:val="24"/>
                <w:szCs w:val="24"/>
              </w:rPr>
              <w:t>8h</w:t>
            </w:r>
            <w:r>
              <w:rPr>
                <w:rFonts w:hint="default" w:ascii="Times New Roman" w:hAnsi="Times New Roman" w:eastAsia="宋体" w:cs="Times New Roman"/>
                <w:sz w:val="24"/>
                <w:szCs w:val="24"/>
              </w:rPr>
              <w:t>。结合《第一次全国污染源普查工业污染源产排污系数手册》中排污系数，配料机进料口粉尘产生系数为</w:t>
            </w:r>
            <w:r>
              <w:rPr>
                <w:rFonts w:hint="default" w:ascii="Times New Roman" w:hAnsi="Times New Roman" w:eastAsia="宋体" w:cs="Times New Roman"/>
                <w:bCs/>
                <w:sz w:val="24"/>
                <w:szCs w:val="24"/>
              </w:rPr>
              <w:t>0.005kg/t</w:t>
            </w:r>
            <w:r>
              <w:rPr>
                <w:rFonts w:hint="default" w:ascii="Times New Roman" w:hAnsi="Times New Roman" w:eastAsia="宋体" w:cs="Times New Roman"/>
                <w:bCs/>
                <w:sz w:val="24"/>
                <w:szCs w:val="24"/>
                <w:vertAlign w:val="subscript"/>
              </w:rPr>
              <w:t>原料</w:t>
            </w:r>
            <w:r>
              <w:rPr>
                <w:rFonts w:hint="default" w:ascii="Times New Roman" w:hAnsi="Times New Roman" w:eastAsia="宋体" w:cs="Times New Roman"/>
                <w:sz w:val="24"/>
                <w:szCs w:val="24"/>
              </w:rPr>
              <w:t>，搅拌物料损失为</w:t>
            </w:r>
            <w:r>
              <w:rPr>
                <w:rFonts w:hint="default" w:ascii="Times New Roman" w:hAnsi="Times New Roman" w:eastAsia="宋体" w:cs="Times New Roman"/>
                <w:bCs/>
                <w:sz w:val="24"/>
                <w:szCs w:val="24"/>
              </w:rPr>
              <w:t>0.1kg/t</w:t>
            </w:r>
            <w:r>
              <w:rPr>
                <w:rFonts w:hint="default" w:ascii="Times New Roman" w:hAnsi="Times New Roman" w:eastAsia="宋体" w:cs="Times New Roman"/>
                <w:sz w:val="24"/>
                <w:szCs w:val="24"/>
                <w:vertAlign w:val="subscript"/>
              </w:rPr>
              <w:t>原料</w:t>
            </w:r>
            <w:r>
              <w:rPr>
                <w:rFonts w:hint="default" w:ascii="Times New Roman" w:hAnsi="Times New Roman" w:eastAsia="宋体" w:cs="Times New Roman"/>
                <w:sz w:val="24"/>
                <w:szCs w:val="24"/>
              </w:rPr>
              <w:t>，则本项目配料口的粉尘产生量为</w:t>
            </w:r>
            <w:r>
              <w:rPr>
                <w:rFonts w:hint="default" w:ascii="Times New Roman" w:hAnsi="Times New Roman" w:eastAsia="宋体" w:cs="Times New Roman"/>
                <w:bCs/>
                <w:sz w:val="24"/>
                <w:szCs w:val="24"/>
              </w:rPr>
              <w:t>0.882t/a</w:t>
            </w:r>
            <w:r>
              <w:rPr>
                <w:rFonts w:hint="default" w:ascii="Times New Roman" w:hAnsi="Times New Roman" w:eastAsia="宋体" w:cs="Times New Roman"/>
                <w:sz w:val="24"/>
                <w:szCs w:val="24"/>
              </w:rPr>
              <w:t>（</w:t>
            </w:r>
            <w:r>
              <w:rPr>
                <w:rFonts w:hint="default" w:ascii="Times New Roman" w:hAnsi="Times New Roman" w:eastAsia="宋体" w:cs="Times New Roman"/>
                <w:bCs/>
                <w:sz w:val="24"/>
                <w:szCs w:val="24"/>
              </w:rPr>
              <w:t>0.3675kg/h</w:t>
            </w:r>
            <w:r>
              <w:rPr>
                <w:rFonts w:hint="default" w:ascii="Times New Roman" w:hAnsi="Times New Roman" w:eastAsia="宋体" w:cs="Times New Roman"/>
                <w:sz w:val="24"/>
                <w:szCs w:val="24"/>
              </w:rPr>
              <w:t>），项目搅拌机的粉尘产生量为</w:t>
            </w:r>
            <w:r>
              <w:rPr>
                <w:rFonts w:hint="default" w:ascii="Times New Roman" w:hAnsi="Times New Roman" w:eastAsia="宋体" w:cs="Times New Roman"/>
                <w:bCs/>
                <w:sz w:val="24"/>
                <w:szCs w:val="24"/>
              </w:rPr>
              <w:t>21.65t/a</w:t>
            </w:r>
            <w:r>
              <w:rPr>
                <w:rFonts w:hint="default" w:ascii="Times New Roman" w:hAnsi="Times New Roman" w:eastAsia="宋体" w:cs="Times New Roman"/>
                <w:sz w:val="24"/>
                <w:szCs w:val="24"/>
              </w:rPr>
              <w:t>（</w:t>
            </w:r>
            <w:r>
              <w:rPr>
                <w:rFonts w:hint="default" w:ascii="Times New Roman" w:hAnsi="Times New Roman" w:eastAsia="宋体" w:cs="Times New Roman"/>
                <w:bCs/>
                <w:sz w:val="24"/>
                <w:szCs w:val="24"/>
              </w:rPr>
              <w:t>9.0208kg/h</w:t>
            </w:r>
            <w:r>
              <w:rPr>
                <w:rFonts w:hint="default" w:ascii="Times New Roman" w:hAnsi="Times New Roman" w:eastAsia="宋体" w:cs="Times New Roman"/>
                <w:sz w:val="24"/>
                <w:szCs w:val="24"/>
              </w:rPr>
              <w:t>）。</w:t>
            </w:r>
          </w:p>
          <w:p>
            <w:pPr>
              <w:spacing w:line="500" w:lineRule="exact"/>
              <w:ind w:firstLine="480" w:firstLineChars="200"/>
              <w:rPr>
                <w:rFonts w:hint="default" w:ascii="Times New Roman" w:hAnsi="Times New Roman" w:eastAsia="宋体" w:cs="Times New Roman"/>
                <w:bCs/>
                <w:sz w:val="24"/>
              </w:rPr>
            </w:pPr>
            <w:r>
              <w:rPr>
                <w:rFonts w:hint="default" w:ascii="Times New Roman" w:hAnsi="Times New Roman" w:eastAsia="宋体" w:cs="Times New Roman"/>
                <w:bCs/>
                <w:sz w:val="24"/>
                <w:lang w:eastAsia="zh-CN"/>
              </w:rPr>
              <w:t>本次环评</w:t>
            </w:r>
            <w:r>
              <w:rPr>
                <w:rFonts w:hint="default" w:ascii="Times New Roman" w:hAnsi="Times New Roman" w:eastAsia="宋体" w:cs="Times New Roman"/>
                <w:bCs/>
                <w:sz w:val="24"/>
              </w:rPr>
              <w:t>要求，下料口设置独立集气罩，配套有独立除尘设施不与其他工序混用。主要生产工艺产尘节点安装封闭集尘装置并配备处理系统，厂房内设置喷雾抑尘措施；生产环节必须在密闭良好的车间内运行，并配备完备的废气收集和处理系统。</w:t>
            </w:r>
          </w:p>
          <w:p>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本项目</w:t>
            </w:r>
            <w:r>
              <w:rPr>
                <w:rFonts w:hint="default" w:ascii="Times New Roman" w:hAnsi="Times New Roman" w:eastAsia="宋体" w:cs="Times New Roman"/>
                <w:bCs/>
                <w:sz w:val="24"/>
              </w:rPr>
              <w:t>商品混凝土生产</w:t>
            </w:r>
            <w:r>
              <w:rPr>
                <w:rFonts w:hint="default" w:ascii="Times New Roman" w:hAnsi="Times New Roman" w:eastAsia="宋体" w:cs="Times New Roman"/>
                <w:bCs/>
                <w:sz w:val="24"/>
                <w:szCs w:val="24"/>
              </w:rPr>
              <w:t>采取原料进料口上方配备半封闭集尘罩收集粉尘，然后引至一套单独的袋式除尘器对产生的粉尘进行处理</w:t>
            </w:r>
            <w:r>
              <w:rPr>
                <w:rFonts w:hint="default" w:ascii="Times New Roman" w:hAnsi="Times New Roman" w:eastAsia="宋体" w:cs="Times New Roman"/>
                <w:sz w:val="24"/>
                <w:szCs w:val="24"/>
              </w:rPr>
              <w:t>（风量10000m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/h，除尘效率为99.9%）</w:t>
            </w:r>
            <w:r>
              <w:rPr>
                <w:rFonts w:hint="default" w:ascii="Times New Roman" w:hAnsi="Times New Roman" w:eastAsia="宋体" w:cs="Times New Roman"/>
                <w:bCs/>
                <w:sz w:val="24"/>
                <w:szCs w:val="24"/>
              </w:rPr>
              <w:t>。本项目搅拌机位于封闭生产车间1内，并进行密闭处理，上方设置引风管道，收集粉尘引至一套袋式除尘器对产生的粉尘进行处理</w:t>
            </w:r>
            <w:r>
              <w:rPr>
                <w:rFonts w:hint="default" w:ascii="Times New Roman" w:hAnsi="Times New Roman" w:eastAsia="宋体" w:cs="Times New Roman"/>
                <w:sz w:val="24"/>
                <w:szCs w:val="24"/>
              </w:rPr>
              <w:t>（风量20000m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/h，除尘效率为99.9%）</w:t>
            </w:r>
            <w:r>
              <w:rPr>
                <w:rFonts w:hint="default" w:ascii="Times New Roman" w:hAnsi="Times New Roman" w:eastAsia="宋体" w:cs="Times New Roman"/>
                <w:color w:val="FF0000"/>
                <w:sz w:val="24"/>
                <w:szCs w:val="24"/>
              </w:rPr>
              <w:t>，</w:t>
            </w:r>
            <w:r>
              <w:rPr>
                <w:rFonts w:hint="default" w:ascii="Times New Roman" w:hAnsi="Times New Roman" w:eastAsia="宋体" w:cs="Times New Roman"/>
                <w:sz w:val="24"/>
                <w:szCs w:val="24"/>
              </w:rPr>
              <w:t>处理后共同通过一根15m高排气筒（</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#）排放。</w:t>
            </w:r>
          </w:p>
          <w:p>
            <w:pPr>
              <w:pStyle w:val="2"/>
              <w:spacing w:beforeLines="50" w:after="0"/>
              <w:ind w:firstLine="480" w:firstLineChars="20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表</w:t>
            </w:r>
            <w:r>
              <w:rPr>
                <w:rFonts w:hint="default" w:ascii="Times New Roman" w:hAnsi="Times New Roman" w:eastAsia="宋体" w:cs="Times New Roman"/>
                <w:bCs/>
                <w:sz w:val="24"/>
                <w:szCs w:val="24"/>
                <w:lang w:val="en-US" w:eastAsia="zh-CN"/>
              </w:rPr>
              <w:t>5.2</w:t>
            </w:r>
            <w:r>
              <w:rPr>
                <w:rFonts w:hint="eastAsia" w:cs="Times New Roman"/>
                <w:bCs/>
                <w:sz w:val="24"/>
                <w:szCs w:val="24"/>
                <w:lang w:val="en-US" w:eastAsia="zh-CN"/>
              </w:rPr>
              <w:t>.1</w:t>
            </w:r>
            <w:r>
              <w:rPr>
                <w:rFonts w:hint="default" w:ascii="Times New Roman" w:hAnsi="Times New Roman" w:eastAsia="宋体" w:cs="Times New Roman"/>
                <w:bCs/>
                <w:sz w:val="24"/>
                <w:szCs w:val="24"/>
                <w:lang w:val="en-US" w:eastAsia="zh-CN"/>
              </w:rPr>
              <w:t>-3</w:t>
            </w:r>
            <w:r>
              <w:rPr>
                <w:rFonts w:hint="default" w:ascii="Times New Roman" w:hAnsi="Times New Roman" w:eastAsia="宋体" w:cs="Times New Roman"/>
                <w:bCs/>
                <w:sz w:val="24"/>
                <w:szCs w:val="24"/>
              </w:rPr>
              <w:t xml:space="preserve"> </w:t>
            </w:r>
            <w:r>
              <w:rPr>
                <w:rFonts w:hint="default" w:ascii="Times New Roman" w:hAnsi="Times New Roman" w:eastAsia="宋体" w:cs="Times New Roman"/>
                <w:bCs/>
                <w:sz w:val="24"/>
                <w:szCs w:val="24"/>
                <w:lang w:eastAsia="zh-CN"/>
              </w:rPr>
              <w:t>混凝土</w:t>
            </w:r>
            <w:r>
              <w:rPr>
                <w:rFonts w:hint="default" w:ascii="Times New Roman" w:hAnsi="Times New Roman" w:eastAsia="宋体" w:cs="Times New Roman"/>
                <w:bCs/>
                <w:sz w:val="24"/>
                <w:szCs w:val="24"/>
              </w:rPr>
              <w:t>粉尘治理措施及排放情况一览表</w:t>
            </w:r>
          </w:p>
          <w:tbl>
            <w:tblPr>
              <w:tblStyle w:val="43"/>
              <w:tblW w:w="893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45"/>
              <w:gridCol w:w="1039"/>
              <w:gridCol w:w="728"/>
              <w:gridCol w:w="817"/>
              <w:gridCol w:w="817"/>
              <w:gridCol w:w="1846"/>
              <w:gridCol w:w="971"/>
              <w:gridCol w:w="662"/>
              <w:gridCol w:w="792"/>
              <w:gridCol w:w="8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397" w:hRule="atLeast"/>
                <w:jc w:val="center"/>
              </w:trPr>
              <w:tc>
                <w:tcPr>
                  <w:tcW w:w="445"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w:t>
                  </w:r>
                </w:p>
              </w:tc>
              <w:tc>
                <w:tcPr>
                  <w:tcW w:w="1039"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产污设</w:t>
                  </w:r>
                </w:p>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施/工段</w:t>
                  </w:r>
                </w:p>
              </w:tc>
              <w:tc>
                <w:tcPr>
                  <w:tcW w:w="728"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产生量（t/a）</w:t>
                  </w:r>
                </w:p>
              </w:tc>
              <w:tc>
                <w:tcPr>
                  <w:tcW w:w="817"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产生速率（kg/h）</w:t>
                  </w:r>
                </w:p>
              </w:tc>
              <w:tc>
                <w:tcPr>
                  <w:tcW w:w="817" w:type="dxa"/>
                  <w:tcBorders>
                    <w:bottom w:val="single" w:color="auto" w:sz="4" w:space="0"/>
                  </w:tcBorders>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粉尘浓度mg/m</w:t>
                  </w:r>
                  <w:r>
                    <w:rPr>
                      <w:rFonts w:hint="default" w:ascii="Times New Roman" w:hAnsi="Times New Roman" w:eastAsia="宋体" w:cs="Times New Roman"/>
                      <w:bCs/>
                      <w:sz w:val="21"/>
                      <w:szCs w:val="21"/>
                      <w:vertAlign w:val="superscript"/>
                    </w:rPr>
                    <w:t>3</w:t>
                  </w:r>
                </w:p>
              </w:tc>
              <w:tc>
                <w:tcPr>
                  <w:tcW w:w="2817" w:type="dxa"/>
                  <w:gridSpan w:val="2"/>
                  <w:tcBorders>
                    <w:bottom w:val="single" w:color="auto" w:sz="4" w:space="0"/>
                  </w:tcBorders>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治理措施</w:t>
                  </w:r>
                </w:p>
              </w:tc>
              <w:tc>
                <w:tcPr>
                  <w:tcW w:w="662"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排放量（t/a）</w:t>
                  </w:r>
                </w:p>
              </w:tc>
              <w:tc>
                <w:tcPr>
                  <w:tcW w:w="792" w:type="dxa"/>
                  <w:vAlign w:val="center"/>
                </w:tcPr>
                <w:p>
                  <w:pPr>
                    <w:adjustRightInd w:val="0"/>
                    <w:snapToGrid w:val="0"/>
                    <w:spacing w:line="30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排放浓度mg/m</w:t>
                  </w:r>
                  <w:r>
                    <w:rPr>
                      <w:rFonts w:hint="default" w:ascii="Times New Roman" w:hAnsi="Times New Roman" w:eastAsia="宋体" w:cs="Times New Roman"/>
                      <w:bCs/>
                      <w:sz w:val="21"/>
                      <w:szCs w:val="21"/>
                      <w:vertAlign w:val="superscript"/>
                    </w:rPr>
                    <w:t>3</w:t>
                  </w:r>
                </w:p>
              </w:tc>
              <w:tc>
                <w:tcPr>
                  <w:tcW w:w="818" w:type="dxa"/>
                  <w:vAlign w:val="center"/>
                </w:tcPr>
                <w:p>
                  <w:pPr>
                    <w:adjustRightInd w:val="0"/>
                    <w:snapToGrid w:val="0"/>
                    <w:spacing w:line="30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排放速率（kg/h）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397" w:hRule="atLeast"/>
                <w:jc w:val="center"/>
              </w:trPr>
              <w:tc>
                <w:tcPr>
                  <w:tcW w:w="445" w:type="dxa"/>
                  <w:vMerge w:val="restart"/>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商品混凝土生产线</w:t>
                  </w:r>
                </w:p>
              </w:tc>
              <w:tc>
                <w:tcPr>
                  <w:tcW w:w="1039" w:type="dxa"/>
                  <w:vAlign w:val="center"/>
                </w:tcPr>
                <w:p>
                  <w:pPr>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投料口</w:t>
                  </w:r>
                </w:p>
              </w:tc>
              <w:tc>
                <w:tcPr>
                  <w:tcW w:w="728"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0.882</w:t>
                  </w:r>
                </w:p>
              </w:tc>
              <w:tc>
                <w:tcPr>
                  <w:tcW w:w="817"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0.3675</w:t>
                  </w:r>
                </w:p>
              </w:tc>
              <w:tc>
                <w:tcPr>
                  <w:tcW w:w="817"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36.75</w:t>
                  </w:r>
                </w:p>
              </w:tc>
              <w:tc>
                <w:tcPr>
                  <w:tcW w:w="1846" w:type="dxa"/>
                  <w:tcBorders>
                    <w:top w:val="single" w:color="auto" w:sz="4" w:space="0"/>
                    <w:bottom w:val="single" w:color="auto" w:sz="4" w:space="0"/>
                  </w:tcBorders>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进料口上方配备半封闭集尘罩，引至一套单独的袋式除尘器处理（风量10000m</w:t>
                  </w:r>
                  <w:r>
                    <w:rPr>
                      <w:rFonts w:hint="default" w:ascii="Times New Roman" w:hAnsi="Times New Roman" w:eastAsia="宋体" w:cs="Times New Roman"/>
                      <w:bCs/>
                      <w:sz w:val="21"/>
                      <w:szCs w:val="21"/>
                      <w:vertAlign w:val="superscript"/>
                    </w:rPr>
                    <w:t>3</w:t>
                  </w:r>
                  <w:r>
                    <w:rPr>
                      <w:rFonts w:hint="default" w:ascii="Times New Roman" w:hAnsi="Times New Roman" w:eastAsia="宋体" w:cs="Times New Roman"/>
                      <w:bCs/>
                      <w:sz w:val="21"/>
                      <w:szCs w:val="21"/>
                    </w:rPr>
                    <w:t>/h，除尘效率为99.9%）</w:t>
                  </w:r>
                </w:p>
              </w:tc>
              <w:tc>
                <w:tcPr>
                  <w:tcW w:w="971" w:type="dxa"/>
                  <w:vMerge w:val="restart"/>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共同通过1根15m高排气筒（2#）排放</w:t>
                  </w:r>
                </w:p>
              </w:tc>
              <w:tc>
                <w:tcPr>
                  <w:tcW w:w="662" w:type="dxa"/>
                  <w:vMerge w:val="restart"/>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0.0225</w:t>
                  </w:r>
                </w:p>
              </w:tc>
              <w:tc>
                <w:tcPr>
                  <w:tcW w:w="792" w:type="dxa"/>
                  <w:vMerge w:val="restart"/>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0.5</w:t>
                  </w:r>
                </w:p>
              </w:tc>
              <w:tc>
                <w:tcPr>
                  <w:tcW w:w="818" w:type="dxa"/>
                  <w:vMerge w:val="restart"/>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rPr>
                    <w:t>0.0</w:t>
                  </w:r>
                  <w:r>
                    <w:rPr>
                      <w:rFonts w:hint="default" w:ascii="Times New Roman" w:hAnsi="Times New Roman" w:eastAsia="宋体" w:cs="Times New Roman"/>
                      <w:bCs/>
                      <w:sz w:val="21"/>
                      <w:szCs w:val="21"/>
                      <w:lang w:val="en-US" w:eastAsia="zh-CN"/>
                    </w:rPr>
                    <w:t>104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397" w:hRule="atLeast"/>
                <w:jc w:val="center"/>
              </w:trPr>
              <w:tc>
                <w:tcPr>
                  <w:tcW w:w="445" w:type="dxa"/>
                  <w:vMerge w:val="continue"/>
                  <w:vAlign w:val="center"/>
                </w:tcPr>
                <w:p>
                  <w:pPr>
                    <w:adjustRightInd w:val="0"/>
                    <w:snapToGrid w:val="0"/>
                    <w:jc w:val="center"/>
                    <w:rPr>
                      <w:rFonts w:hint="default" w:ascii="Times New Roman" w:hAnsi="Times New Roman" w:eastAsia="宋体" w:cs="Times New Roman"/>
                      <w:bCs/>
                      <w:sz w:val="21"/>
                      <w:szCs w:val="21"/>
                    </w:rPr>
                  </w:pPr>
                </w:p>
              </w:tc>
              <w:tc>
                <w:tcPr>
                  <w:tcW w:w="1039" w:type="dxa"/>
                  <w:vAlign w:val="center"/>
                </w:tcPr>
                <w:p>
                  <w:pPr>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搅拌机</w:t>
                  </w:r>
                </w:p>
              </w:tc>
              <w:tc>
                <w:tcPr>
                  <w:tcW w:w="728"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21.6</w:t>
                  </w:r>
                </w:p>
              </w:tc>
              <w:tc>
                <w:tcPr>
                  <w:tcW w:w="817"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9.0208</w:t>
                  </w:r>
                </w:p>
              </w:tc>
              <w:tc>
                <w:tcPr>
                  <w:tcW w:w="817"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450</w:t>
                  </w:r>
                </w:p>
              </w:tc>
              <w:tc>
                <w:tcPr>
                  <w:tcW w:w="1846" w:type="dxa"/>
                  <w:tcBorders>
                    <w:top w:val="single" w:color="auto" w:sz="4" w:space="0"/>
                  </w:tcBorders>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封闭车间内，并进行密闭处理，上方设置引风管道，收集粉尘引至一套袋式除尘器对产生的粉尘进行处理（风量20000m</w:t>
                  </w:r>
                  <w:r>
                    <w:rPr>
                      <w:rFonts w:hint="default" w:ascii="Times New Roman" w:hAnsi="Times New Roman" w:eastAsia="宋体" w:cs="Times New Roman"/>
                      <w:bCs/>
                      <w:sz w:val="21"/>
                      <w:szCs w:val="21"/>
                      <w:vertAlign w:val="superscript"/>
                    </w:rPr>
                    <w:t>3</w:t>
                  </w:r>
                  <w:r>
                    <w:rPr>
                      <w:rFonts w:hint="default" w:ascii="Times New Roman" w:hAnsi="Times New Roman" w:eastAsia="宋体" w:cs="Times New Roman"/>
                      <w:bCs/>
                      <w:sz w:val="21"/>
                      <w:szCs w:val="21"/>
                    </w:rPr>
                    <w:t>/h，除尘效率为99.9%）</w:t>
                  </w:r>
                </w:p>
              </w:tc>
              <w:tc>
                <w:tcPr>
                  <w:tcW w:w="971" w:type="dxa"/>
                  <w:vMerge w:val="continue"/>
                  <w:vAlign w:val="center"/>
                </w:tcPr>
                <w:p>
                  <w:pPr>
                    <w:adjustRightInd w:val="0"/>
                    <w:snapToGrid w:val="0"/>
                    <w:jc w:val="center"/>
                    <w:rPr>
                      <w:rFonts w:hint="default" w:ascii="Times New Roman" w:hAnsi="Times New Roman" w:eastAsia="宋体" w:cs="Times New Roman"/>
                      <w:bCs/>
                      <w:sz w:val="21"/>
                      <w:szCs w:val="21"/>
                    </w:rPr>
                  </w:pPr>
                </w:p>
              </w:tc>
              <w:tc>
                <w:tcPr>
                  <w:tcW w:w="662" w:type="dxa"/>
                  <w:vMerge w:val="continue"/>
                  <w:vAlign w:val="center"/>
                </w:tcPr>
                <w:p>
                  <w:pPr>
                    <w:adjustRightInd w:val="0"/>
                    <w:snapToGrid w:val="0"/>
                    <w:jc w:val="center"/>
                    <w:rPr>
                      <w:rFonts w:hint="default" w:ascii="Times New Roman" w:hAnsi="Times New Roman" w:eastAsia="宋体" w:cs="Times New Roman"/>
                      <w:bCs/>
                      <w:sz w:val="21"/>
                      <w:szCs w:val="21"/>
                    </w:rPr>
                  </w:pPr>
                </w:p>
              </w:tc>
              <w:tc>
                <w:tcPr>
                  <w:tcW w:w="792" w:type="dxa"/>
                  <w:vMerge w:val="continue"/>
                  <w:vAlign w:val="center"/>
                </w:tcPr>
                <w:p>
                  <w:pPr>
                    <w:adjustRightInd w:val="0"/>
                    <w:snapToGrid w:val="0"/>
                    <w:jc w:val="center"/>
                    <w:rPr>
                      <w:rFonts w:hint="default" w:ascii="Times New Roman" w:hAnsi="Times New Roman" w:eastAsia="宋体" w:cs="Times New Roman"/>
                      <w:bCs/>
                      <w:sz w:val="21"/>
                      <w:szCs w:val="21"/>
                    </w:rPr>
                  </w:pPr>
                </w:p>
              </w:tc>
              <w:tc>
                <w:tcPr>
                  <w:tcW w:w="818" w:type="dxa"/>
                  <w:vMerge w:val="continue"/>
                  <w:vAlign w:val="center"/>
                </w:tcPr>
                <w:p>
                  <w:pPr>
                    <w:adjustRightInd w:val="0"/>
                    <w:snapToGrid w:val="0"/>
                    <w:jc w:val="center"/>
                    <w:rPr>
                      <w:rFonts w:hint="default" w:ascii="Times New Roman" w:hAnsi="Times New Roman" w:eastAsia="宋体" w:cs="Times New Roman"/>
                      <w:bCs/>
                      <w:sz w:val="21"/>
                      <w:szCs w:val="21"/>
                    </w:rPr>
                  </w:pPr>
                </w:p>
              </w:tc>
            </w:tr>
          </w:tbl>
          <w:p>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r>
              <w:rPr>
                <w:rFonts w:hint="default" w:ascii="Times New Roman" w:hAnsi="Times New Roman" w:eastAsia="宋体" w:cs="Times New Roman"/>
                <w:bCs/>
                <w:sz w:val="24"/>
                <w:szCs w:val="24"/>
              </w:rPr>
              <w:t>运输车辆道路扬尘</w:t>
            </w:r>
          </w:p>
          <w:p>
            <w:pPr>
              <w:snapToGrid w:val="0"/>
              <w:spacing w:line="500" w:lineRule="exact"/>
              <w:ind w:firstLine="480" w:firstLineChars="200"/>
              <w:rPr>
                <w:rFonts w:hint="default" w:ascii="Times New Roman" w:hAnsi="Times New Roman" w:eastAsia="宋体" w:cs="Times New Roman"/>
                <w:color w:val="auto"/>
                <w:position w:val="3"/>
                <w:sz w:val="24"/>
                <w:szCs w:val="24"/>
                <w:lang w:val="en-US" w:eastAsia="zh-CN"/>
              </w:rPr>
            </w:pPr>
            <w:r>
              <w:rPr>
                <w:rFonts w:hint="default" w:ascii="Times New Roman" w:hAnsi="Times New Roman" w:eastAsia="宋体" w:cs="Times New Roman"/>
                <w:color w:val="auto"/>
                <w:position w:val="3"/>
                <w:sz w:val="24"/>
                <w:szCs w:val="24"/>
                <w:lang w:val="en-US" w:eastAsia="zh-CN"/>
              </w:rPr>
              <w:t>项目原料主要为碎石和混砂，均外购，由供应商采用运输车辆运至原料库（位于生产车间内，封闭），汽车进出厂区过程中会产生一定量的扬尘。车辆行驶产生的扬尘在完全干燥的情况下，按如下经验公式进行计算：</w:t>
            </w:r>
          </w:p>
          <w:p>
            <w:pPr>
              <w:pStyle w:val="22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center"/>
              <w:textAlignment w:val="auto"/>
              <w:outlineLvl w:val="9"/>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drawing>
                <wp:inline distT="0" distB="0" distL="114300" distR="114300">
                  <wp:extent cx="2723515" cy="1076325"/>
                  <wp:effectExtent l="0" t="0" r="635" b="9525"/>
                  <wp:docPr id="10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2"/>
                          <pic:cNvPicPr>
                            <a:picLocks noChangeAspect="1"/>
                          </pic:cNvPicPr>
                        </pic:nvPicPr>
                        <pic:blipFill>
                          <a:blip r:embed="rId11"/>
                          <a:stretch>
                            <a:fillRect/>
                          </a:stretch>
                        </pic:blipFill>
                        <pic:spPr>
                          <a:xfrm>
                            <a:off x="0" y="0"/>
                            <a:ext cx="2723515" cy="1076325"/>
                          </a:xfrm>
                          <a:prstGeom prst="rect">
                            <a:avLst/>
                          </a:prstGeom>
                          <a:noFill/>
                          <a:ln>
                            <a:noFill/>
                          </a:ln>
                        </pic:spPr>
                      </pic:pic>
                    </a:graphicData>
                  </a:graphic>
                </wp:inline>
              </w:drawing>
            </w:r>
          </w:p>
          <w:p>
            <w:pPr>
              <w:pStyle w:val="22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其中:Qy</w:t>
            </w:r>
            <w:r>
              <w:rPr>
                <w:rFonts w:hint="default" w:ascii="Times New Roman" w:hAnsi="Times New Roman" w:eastAsia="宋体" w:cs="Times New Roman"/>
                <w:color w:val="auto"/>
                <w:vertAlign w:val="baseline"/>
                <w:lang w:val="en-US" w:eastAsia="zh-CN"/>
              </w:rPr>
              <w:t>—</w:t>
            </w:r>
            <w:r>
              <w:rPr>
                <w:rFonts w:hint="default" w:ascii="Times New Roman" w:hAnsi="Times New Roman" w:eastAsia="宋体" w:cs="Times New Roman"/>
                <w:color w:val="auto"/>
                <w:lang w:val="en-US" w:eastAsia="zh-CN"/>
              </w:rPr>
              <w:t>交通运输起尘量, kg/km-辆；</w:t>
            </w:r>
          </w:p>
          <w:p>
            <w:pPr>
              <w:pStyle w:val="22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1200" w:firstLineChars="500"/>
              <w:jc w:val="both"/>
              <w:textAlignment w:val="auto"/>
              <w:outlineLvl w:val="9"/>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Q</w:t>
            </w:r>
            <w:r>
              <w:rPr>
                <w:rFonts w:hint="default" w:ascii="Times New Roman" w:hAnsi="Times New Roman" w:eastAsia="宋体" w:cs="Times New Roman"/>
                <w:color w:val="auto"/>
                <w:vertAlign w:val="subscript"/>
                <w:lang w:val="en-US" w:eastAsia="zh-CN"/>
              </w:rPr>
              <w:t>T</w:t>
            </w:r>
            <w:r>
              <w:rPr>
                <w:rFonts w:hint="default" w:ascii="Times New Roman" w:hAnsi="Times New Roman" w:eastAsia="宋体" w:cs="Times New Roman"/>
                <w:color w:val="auto"/>
                <w:vertAlign w:val="baseline"/>
                <w:lang w:val="en-US" w:eastAsia="zh-CN"/>
              </w:rPr>
              <w:t>—</w:t>
            </w:r>
            <w:r>
              <w:rPr>
                <w:rFonts w:hint="default" w:ascii="Times New Roman" w:hAnsi="Times New Roman" w:eastAsia="宋体" w:cs="Times New Roman"/>
                <w:color w:val="auto"/>
                <w:lang w:val="en-US" w:eastAsia="zh-CN"/>
              </w:rPr>
              <w:t>运输途中起尘量,kg/a；</w:t>
            </w:r>
          </w:p>
          <w:p>
            <w:pPr>
              <w:pStyle w:val="22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1200" w:firstLineChars="500"/>
              <w:jc w:val="both"/>
              <w:textAlignment w:val="auto"/>
              <w:outlineLvl w:val="9"/>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V</w:t>
            </w:r>
            <w:r>
              <w:rPr>
                <w:rFonts w:hint="default" w:ascii="Times New Roman" w:hAnsi="Times New Roman" w:eastAsia="宋体" w:cs="Times New Roman"/>
                <w:color w:val="auto"/>
                <w:vertAlign w:val="baseline"/>
                <w:lang w:val="en-US" w:eastAsia="zh-CN"/>
              </w:rPr>
              <w:t>—</w:t>
            </w:r>
            <w:r>
              <w:rPr>
                <w:rFonts w:hint="default" w:ascii="Times New Roman" w:hAnsi="Times New Roman" w:eastAsia="宋体" w:cs="Times New Roman"/>
                <w:color w:val="auto"/>
                <w:lang w:val="en-US" w:eastAsia="zh-CN"/>
              </w:rPr>
              <w:t>车辆行驶速度,km/h；</w:t>
            </w:r>
          </w:p>
          <w:p>
            <w:pPr>
              <w:pStyle w:val="22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1200" w:firstLineChars="500"/>
              <w:jc w:val="both"/>
              <w:textAlignment w:val="auto"/>
              <w:outlineLvl w:val="9"/>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P</w:t>
            </w:r>
            <w:r>
              <w:rPr>
                <w:rFonts w:hint="default" w:ascii="Times New Roman" w:hAnsi="Times New Roman" w:eastAsia="宋体" w:cs="Times New Roman"/>
                <w:color w:val="auto"/>
                <w:vertAlign w:val="baseline"/>
                <w:lang w:val="en-US" w:eastAsia="zh-CN"/>
              </w:rPr>
              <w:t>—</w:t>
            </w:r>
            <w:r>
              <w:rPr>
                <w:rFonts w:hint="default" w:ascii="Times New Roman" w:hAnsi="Times New Roman" w:eastAsia="宋体" w:cs="Times New Roman"/>
                <w:color w:val="auto"/>
                <w:lang w:val="en-US" w:eastAsia="zh-CN"/>
              </w:rPr>
              <w:t>路面状，以每平方米路面灰尘覆盖率表示，kg/m</w:t>
            </w:r>
            <w:r>
              <w:rPr>
                <w:rFonts w:hint="default" w:ascii="Times New Roman" w:hAnsi="Times New Roman" w:eastAsia="宋体" w:cs="Times New Roman"/>
                <w:color w:val="auto"/>
                <w:vertAlign w:val="superscript"/>
                <w:lang w:val="en-US" w:eastAsia="zh-CN"/>
              </w:rPr>
              <w:t>2</w:t>
            </w:r>
            <w:r>
              <w:rPr>
                <w:rFonts w:hint="default" w:ascii="Times New Roman" w:hAnsi="Times New Roman" w:eastAsia="宋体" w:cs="Times New Roman"/>
                <w:color w:val="auto"/>
                <w:lang w:val="en-US" w:eastAsia="zh-CN"/>
              </w:rPr>
              <w:t>；</w:t>
            </w:r>
          </w:p>
          <w:p>
            <w:pPr>
              <w:pStyle w:val="22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1200" w:firstLineChars="500"/>
              <w:jc w:val="both"/>
              <w:textAlignment w:val="auto"/>
              <w:outlineLvl w:val="9"/>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M</w:t>
            </w:r>
            <w:r>
              <w:rPr>
                <w:rFonts w:hint="default" w:ascii="Times New Roman" w:hAnsi="Times New Roman" w:eastAsia="宋体" w:cs="Times New Roman"/>
                <w:color w:val="auto"/>
                <w:vertAlign w:val="baseline"/>
                <w:lang w:val="en-US" w:eastAsia="zh-CN"/>
              </w:rPr>
              <w:t>—</w:t>
            </w:r>
            <w:r>
              <w:rPr>
                <w:rFonts w:hint="default" w:ascii="Times New Roman" w:hAnsi="Times New Roman" w:eastAsia="宋体" w:cs="Times New Roman"/>
                <w:color w:val="auto"/>
                <w:lang w:val="en-US" w:eastAsia="zh-CN"/>
              </w:rPr>
              <w:t>车辆载重,t/辆；</w:t>
            </w:r>
          </w:p>
          <w:p>
            <w:pPr>
              <w:pStyle w:val="22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1200" w:firstLineChars="500"/>
              <w:jc w:val="both"/>
              <w:textAlignment w:val="auto"/>
              <w:outlineLvl w:val="9"/>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L</w:t>
            </w:r>
            <w:r>
              <w:rPr>
                <w:rFonts w:hint="default" w:ascii="Times New Roman" w:hAnsi="Times New Roman" w:eastAsia="宋体" w:cs="Times New Roman"/>
                <w:color w:val="auto"/>
                <w:vertAlign w:val="baseline"/>
                <w:lang w:val="en-US" w:eastAsia="zh-CN"/>
              </w:rPr>
              <w:t>—</w:t>
            </w:r>
            <w:r>
              <w:rPr>
                <w:rFonts w:hint="default" w:ascii="Times New Roman" w:hAnsi="Times New Roman" w:eastAsia="宋体" w:cs="Times New Roman"/>
                <w:color w:val="auto"/>
                <w:lang w:val="en-US" w:eastAsia="zh-CN"/>
              </w:rPr>
              <w:t>运输距离,km；</w:t>
            </w:r>
          </w:p>
          <w:p>
            <w:pPr>
              <w:pStyle w:val="22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1200" w:firstLineChars="500"/>
              <w:jc w:val="both"/>
              <w:textAlignment w:val="auto"/>
              <w:outlineLvl w:val="9"/>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Q</w:t>
            </w:r>
            <w:r>
              <w:rPr>
                <w:rFonts w:hint="default" w:ascii="Times New Roman" w:hAnsi="Times New Roman" w:eastAsia="宋体" w:cs="Times New Roman"/>
                <w:color w:val="auto"/>
                <w:vertAlign w:val="baseline"/>
                <w:lang w:val="en-US" w:eastAsia="zh-CN"/>
              </w:rPr>
              <w:t>—</w:t>
            </w:r>
            <w:r>
              <w:rPr>
                <w:rFonts w:hint="default" w:ascii="Times New Roman" w:hAnsi="Times New Roman" w:eastAsia="宋体" w:cs="Times New Roman"/>
                <w:color w:val="auto"/>
                <w:lang w:val="en-US" w:eastAsia="zh-CN"/>
              </w:rPr>
              <w:t>运输量,t/a。</w:t>
            </w:r>
          </w:p>
          <w:p>
            <w:pPr>
              <w:snapToGrid w:val="0"/>
              <w:spacing w:line="500" w:lineRule="exact"/>
              <w:ind w:firstLine="480" w:firstLineChars="200"/>
              <w:rPr>
                <w:rFonts w:hint="default" w:ascii="Times New Roman" w:hAnsi="Times New Roman" w:eastAsia="宋体" w:cs="Times New Roman"/>
                <w:color w:val="auto"/>
                <w:position w:val="3"/>
                <w:sz w:val="24"/>
                <w:szCs w:val="24"/>
                <w:lang w:val="en-US" w:eastAsia="zh-CN"/>
              </w:rPr>
            </w:pPr>
            <w:r>
              <w:rPr>
                <w:rFonts w:hint="default" w:ascii="Times New Roman" w:hAnsi="Times New Roman" w:eastAsia="宋体" w:cs="Times New Roman"/>
                <w:color w:val="auto"/>
                <w:position w:val="3"/>
                <w:sz w:val="24"/>
                <w:szCs w:val="24"/>
                <w:lang w:val="en-US" w:eastAsia="zh-CN"/>
              </w:rPr>
              <w:t>本项目年运输量Q总计约为23万t，车辆载重M=40t辆，行驶速度V=10km/h，运输距离L=200m,路面状况P取0.2kg/m</w:t>
            </w:r>
            <w:r>
              <w:rPr>
                <w:rFonts w:hint="default" w:ascii="Times New Roman" w:hAnsi="Times New Roman" w:eastAsia="宋体" w:cs="Times New Roman"/>
                <w:color w:val="auto"/>
                <w:position w:val="3"/>
                <w:sz w:val="24"/>
                <w:szCs w:val="24"/>
                <w:vertAlign w:val="superscript"/>
                <w:lang w:val="en-US" w:eastAsia="zh-CN"/>
              </w:rPr>
              <w:t>2</w:t>
            </w:r>
            <w:r>
              <w:rPr>
                <w:rFonts w:hint="default" w:ascii="Times New Roman" w:hAnsi="Times New Roman" w:eastAsia="宋体" w:cs="Times New Roman"/>
                <w:color w:val="auto"/>
                <w:position w:val="3"/>
                <w:sz w:val="24"/>
                <w:szCs w:val="24"/>
                <w:lang w:val="en-US" w:eastAsia="zh-CN"/>
              </w:rPr>
              <w:t>,计算出起尘量0.73t/a。通过厂区道路地面硬化、运输车辆加盖苫布、道路洒水抑尘可有效降低道路扬尘排放，约可控制扬尘量60%以上，则扬尘排放量较小，为0.292t/a，这部分扬尘进行无组织排放。</w:t>
            </w:r>
          </w:p>
          <w:p>
            <w:pPr>
              <w:snapToGrid w:val="0"/>
              <w:spacing w:line="50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position w:val="3"/>
                <w:sz w:val="24"/>
                <w:szCs w:val="24"/>
                <w:lang w:val="en-US" w:eastAsia="zh-CN"/>
              </w:rPr>
              <w:t>此外在厂区内汽车运输过程中也会产生少量的汽车尾气，主要污染因子为CO、THC、NOx等，根据辽阳市耗油统计数据，每辆车油耗量按0.2L/km，油密度取0.73kg/L，按柴油考虑，进出厂区为12321车次/年，车辆在厂区内平均通行车程按0.2km计算，运输车辆在厂区运行耗油量为0.360t/a。根据《环境统计手册》中机动车辆污染排放系数，燃油废气排放污染量见下表。</w:t>
            </w:r>
          </w:p>
          <w:p>
            <w:pPr>
              <w:pStyle w:val="28"/>
              <w:adjustRightIn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default" w:ascii="Times New Roman" w:hAnsi="Times New Roman" w:eastAsia="宋体" w:cs="Times New Roman"/>
                <w:b/>
                <w:bCs/>
                <w:color w:val="auto"/>
                <w:sz w:val="21"/>
                <w:szCs w:val="21"/>
                <w:lang w:val="en-US" w:eastAsia="zh-CN"/>
              </w:rPr>
              <w:t>5.2</w:t>
            </w:r>
            <w:r>
              <w:rPr>
                <w:rFonts w:hint="eastAsia" w:cs="Times New Roman"/>
                <w:b/>
                <w:bCs/>
                <w:color w:val="auto"/>
                <w:sz w:val="21"/>
                <w:szCs w:val="21"/>
                <w:lang w:val="en-US" w:eastAsia="zh-CN"/>
              </w:rPr>
              <w:t>.1</w:t>
            </w:r>
            <w:r>
              <w:rPr>
                <w:rFonts w:hint="default" w:ascii="Times New Roman" w:hAnsi="Times New Roman" w:eastAsia="宋体" w:cs="Times New Roman"/>
                <w:b/>
                <w:bCs/>
                <w:color w:val="auto"/>
                <w:sz w:val="21"/>
                <w:szCs w:val="21"/>
                <w:lang w:val="en-US" w:eastAsia="zh-CN"/>
              </w:rPr>
              <w:t>-4</w:t>
            </w:r>
            <w:r>
              <w:rPr>
                <w:rFonts w:hint="default" w:ascii="Times New Roman" w:hAnsi="Times New Roman" w:eastAsia="宋体" w:cs="Times New Roman"/>
                <w:b/>
                <w:bCs/>
                <w:color w:val="auto"/>
                <w:sz w:val="21"/>
                <w:szCs w:val="21"/>
              </w:rPr>
              <w:t xml:space="preserve"> 机动车污染物排放因子浓度  单位：g/km·辆</w:t>
            </w:r>
          </w:p>
          <w:tbl>
            <w:tblPr>
              <w:tblStyle w:val="43"/>
              <w:tblW w:w="8963" w:type="dxa"/>
              <w:jc w:val="center"/>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3548"/>
              <w:gridCol w:w="3308"/>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2107" w:type="dxa"/>
                  <w:vMerge w:val="restart"/>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污染物名称</w:t>
                  </w:r>
                </w:p>
              </w:tc>
              <w:tc>
                <w:tcPr>
                  <w:tcW w:w="6856" w:type="dxa"/>
                  <w:gridSpan w:val="2"/>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柴油发电机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107" w:type="dxa"/>
                  <w:vMerge w:val="continue"/>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p>
              </w:tc>
              <w:tc>
                <w:tcPr>
                  <w:tcW w:w="354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排放系数（kg/t燃料）</w:t>
                  </w:r>
                </w:p>
              </w:tc>
              <w:tc>
                <w:tcPr>
                  <w:tcW w:w="330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污染物产生量（t/a）</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107"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CO</w:t>
                  </w:r>
                </w:p>
              </w:tc>
              <w:tc>
                <w:tcPr>
                  <w:tcW w:w="354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36.99</w:t>
                  </w:r>
                </w:p>
              </w:tc>
              <w:tc>
                <w:tcPr>
                  <w:tcW w:w="330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0.013</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107"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THC</w:t>
                  </w:r>
                </w:p>
              </w:tc>
              <w:tc>
                <w:tcPr>
                  <w:tcW w:w="354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6.08</w:t>
                  </w:r>
                </w:p>
              </w:tc>
              <w:tc>
                <w:tcPr>
                  <w:tcW w:w="330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0.0022</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107"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NOx</w:t>
                  </w:r>
                </w:p>
              </w:tc>
              <w:tc>
                <w:tcPr>
                  <w:tcW w:w="354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60.82</w:t>
                  </w:r>
                </w:p>
              </w:tc>
              <w:tc>
                <w:tcPr>
                  <w:tcW w:w="330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0.022</w:t>
                  </w:r>
                </w:p>
              </w:tc>
            </w:tr>
          </w:tbl>
          <w:p>
            <w:pPr>
              <w:snapToGrid w:val="0"/>
              <w:spacing w:line="500" w:lineRule="exact"/>
              <w:ind w:firstLine="480" w:firstLineChars="200"/>
              <w:rPr>
                <w:rFonts w:hint="default" w:ascii="Times New Roman" w:hAnsi="Times New Roman" w:eastAsia="宋体" w:cs="Times New Roman"/>
                <w:color w:val="auto"/>
                <w:position w:val="3"/>
                <w:sz w:val="24"/>
                <w:szCs w:val="24"/>
                <w:lang w:val="en-US" w:eastAsia="zh-CN"/>
              </w:rPr>
            </w:pPr>
            <w:r>
              <w:rPr>
                <w:rFonts w:hint="default" w:ascii="Times New Roman" w:hAnsi="Times New Roman" w:eastAsia="宋体" w:cs="Times New Roman"/>
                <w:color w:val="auto"/>
                <w:position w:val="3"/>
                <w:sz w:val="24"/>
                <w:szCs w:val="24"/>
                <w:lang w:val="en-US" w:eastAsia="zh-CN"/>
              </w:rPr>
              <w:t>综上考虑其排放量不大，影响范围有限，对环境影响也较小。本环评要求加强进出车辆管理，限值车速，使用清洁燃料，通过对厂区运输路面硬化，适时洒水抑尘等措施降低空气中扬尘浓度，从而减少扬尘对周围环境的影响。</w:t>
            </w:r>
          </w:p>
          <w:p>
            <w:pPr>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项目物料运输过程中过程中产生的粉尘主要为汽车运输、铲车转运产生的道路扬尘。为减少物料运输产生的粉尘，建设单位主要采取如下措施：</w:t>
            </w:r>
          </w:p>
          <w:p>
            <w:pPr>
              <w:spacing w:line="500" w:lineRule="exact"/>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①对厂区道路进行硬化，减少输送车辆扬尘对外环境的影响；</w:t>
            </w:r>
          </w:p>
          <w:p>
            <w:pPr>
              <w:spacing w:line="500" w:lineRule="exact"/>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②运输车辆装载高度最高点不得超过车辆槽帮上沿40厘米，两侧边缘应当低于槽帮上缘10厘米，车斗应采用苫布覆盖，苫布边缘至少要遮住槽帮上沿以下15厘米，禁止厂内露天转运散状物料；</w:t>
            </w:r>
          </w:p>
          <w:p>
            <w:pPr>
              <w:spacing w:line="500" w:lineRule="exact"/>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③配备专人对厂区及入厂道路定期清扫，防止积尘，加强场地进行洒水降尘，以降低扬尘污染；</w:t>
            </w:r>
          </w:p>
          <w:p>
            <w:pPr>
              <w:spacing w:line="500" w:lineRule="exact"/>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④铲车作业主要原料库内进行，要求对库内地面及时清洁，设专人清扫，防止铲车作业过程中粉尘外逸；</w:t>
            </w:r>
          </w:p>
          <w:p>
            <w:pPr>
              <w:spacing w:line="500" w:lineRule="exact"/>
              <w:ind w:firstLine="480" w:firstLineChars="200"/>
              <w:rPr>
                <w:rFonts w:hint="default" w:ascii="Times New Roman" w:hAnsi="Times New Roman" w:eastAsia="宋体" w:cs="Times New Roman"/>
                <w:bCs/>
                <w:sz w:val="24"/>
              </w:rPr>
            </w:pPr>
            <w:r>
              <w:rPr>
                <w:rFonts w:hint="default" w:ascii="Times New Roman" w:hAnsi="Times New Roman" w:eastAsia="宋体" w:cs="Times New Roman"/>
                <w:bCs/>
                <w:sz w:val="24"/>
              </w:rPr>
              <w:t>为进一步减少工程无组织废气的影响，结合《湖南省大气污染防治条例》等文件相关要求，评价要求采取以下措施:</w:t>
            </w:r>
          </w:p>
          <w:p>
            <w:pPr>
              <w:spacing w:line="50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①建设全封闭生产车间，各原料禁止露天堆存，物料转运应在全封闭车回内进行，生产车间等日常应保持全封闭状态；对项目原料间和生产车间成品区进行分区和标识，设置各分区的标志，严格执行，方便项目规范管理。</w:t>
            </w:r>
          </w:p>
          <w:p>
            <w:pPr>
              <w:spacing w:line="50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②袋式除尘器下料口按照“三侧围挡、一侧进出料”建设，同时降低下料口高度，在下料口设置全封闭软连接与接料容器对接，减少下料过程中颗粒物的产生；</w:t>
            </w:r>
          </w:p>
          <w:p>
            <w:pPr>
              <w:spacing w:line="50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③搅拌设备四周进行全封闭设置，加对各生产设备、连接管道、除尘装置的密封性，减少无组织废气排放；</w:t>
            </w:r>
          </w:p>
          <w:p>
            <w:pPr>
              <w:spacing w:line="500" w:lineRule="exact"/>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sz w:val="24"/>
              </w:rPr>
              <w:t>④厂区内设置酒水装置，定期对生产及厂区地面进行酒水降尘。企业出厂口和料场出口处配备高压清洗装置对所有车辆车轮、底盘进行冲洗，严禁带泥上路。洗车平台四周应设置洗车废水收集防治设施。</w:t>
            </w:r>
          </w:p>
          <w:p>
            <w:pPr>
              <w:spacing w:line="50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szCs w:val="24"/>
              </w:rPr>
              <w:t>为了减轻扬尘对运输沿线的污染，评价要求项目运输车辆需封闭遮盖，砂石料、成品运输车辆出厂前必须进行车辆清洗，保持车身和轮胎清洁；通过村庄时需减速慢行，减少运输扬尘，最大限度的减轻对运输车辆道路沿线居民的影响。</w:t>
            </w:r>
          </w:p>
          <w:p>
            <w:pPr>
              <w:pStyle w:val="26"/>
              <w:bidi w:val="0"/>
              <w:jc w:val="left"/>
              <w:rPr>
                <w:rFonts w:hint="default" w:ascii="Times New Roman" w:hAnsi="Times New Roman" w:eastAsia="宋体" w:cs="Times New Roman"/>
                <w:color w:val="auto"/>
                <w:lang w:val="en-US" w:eastAsia="zh-CN"/>
              </w:rPr>
            </w:pPr>
            <w:bookmarkStart w:id="17" w:name="_Toc26776"/>
            <w:r>
              <w:rPr>
                <w:rFonts w:hint="default" w:ascii="Times New Roman" w:hAnsi="Times New Roman" w:eastAsia="宋体" w:cs="Times New Roman"/>
                <w:color w:val="auto"/>
                <w:lang w:val="en-US" w:eastAsia="zh-CN"/>
              </w:rPr>
              <w:t>建设项目无组织废气产生及排放情况见表5.2-5</w:t>
            </w:r>
            <w:bookmarkEnd w:id="17"/>
          </w:p>
          <w:p>
            <w:pPr>
              <w:pStyle w:val="26"/>
              <w:bidi w:val="0"/>
              <w:jc w:val="center"/>
              <w:rPr>
                <w:rFonts w:hint="default" w:ascii="Times New Roman" w:hAnsi="Times New Roman" w:eastAsia="宋体" w:cs="Times New Roman"/>
                <w:color w:val="FF0000"/>
              </w:rPr>
            </w:pPr>
            <w:bookmarkStart w:id="18" w:name="_Toc10894"/>
            <w:r>
              <w:rPr>
                <w:rFonts w:hint="default" w:ascii="Times New Roman" w:hAnsi="Times New Roman" w:eastAsia="宋体" w:cs="Times New Roman"/>
                <w:color w:val="FF0000"/>
              </w:rPr>
              <w:t>表5</w:t>
            </w:r>
            <w:r>
              <w:rPr>
                <w:rFonts w:hint="default" w:ascii="Times New Roman" w:hAnsi="Times New Roman" w:eastAsia="宋体" w:cs="Times New Roman"/>
                <w:color w:val="FF0000"/>
                <w:lang w:val="en-US" w:eastAsia="zh-CN"/>
              </w:rPr>
              <w:t>.2</w:t>
            </w:r>
            <w:r>
              <w:rPr>
                <w:rFonts w:hint="eastAsia" w:ascii="Times New Roman" w:hAnsi="Times New Roman" w:cs="Times New Roman"/>
                <w:color w:val="FF0000"/>
                <w:lang w:val="en-US" w:eastAsia="zh-CN"/>
              </w:rPr>
              <w:t>.1</w:t>
            </w:r>
            <w:r>
              <w:rPr>
                <w:rFonts w:hint="default" w:ascii="Times New Roman" w:hAnsi="Times New Roman" w:eastAsia="宋体" w:cs="Times New Roman"/>
                <w:color w:val="FF0000"/>
              </w:rPr>
              <w:t>-</w:t>
            </w:r>
            <w:r>
              <w:rPr>
                <w:rFonts w:hint="default" w:ascii="Times New Roman" w:hAnsi="Times New Roman" w:eastAsia="宋体" w:cs="Times New Roman"/>
                <w:color w:val="FF0000"/>
                <w:lang w:val="en-US" w:eastAsia="zh-CN"/>
              </w:rPr>
              <w:t>5</w:t>
            </w:r>
            <w:r>
              <w:rPr>
                <w:rFonts w:hint="default" w:ascii="Times New Roman" w:hAnsi="Times New Roman" w:eastAsia="宋体" w:cs="Times New Roman"/>
                <w:color w:val="FF0000"/>
              </w:rPr>
              <w:t xml:space="preserve"> 建设项目无组织废气产生及排放情况</w:t>
            </w:r>
            <w:bookmarkEnd w:id="18"/>
          </w:p>
          <w:tbl>
            <w:tblPr>
              <w:tblStyle w:val="43"/>
              <w:tblW w:w="8739"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
            <w:tblGrid>
              <w:gridCol w:w="1336"/>
              <w:gridCol w:w="1226"/>
              <w:gridCol w:w="1091"/>
              <w:gridCol w:w="1229"/>
              <w:gridCol w:w="955"/>
              <w:gridCol w:w="1089"/>
              <w:gridCol w:w="955"/>
              <w:gridCol w:w="85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340" w:hRule="atLeast"/>
                <w:jc w:val="center"/>
              </w:trPr>
              <w:tc>
                <w:tcPr>
                  <w:tcW w:w="1336" w:type="dxa"/>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污染源名称</w:t>
                  </w:r>
                </w:p>
              </w:tc>
              <w:tc>
                <w:tcPr>
                  <w:tcW w:w="1226" w:type="dxa"/>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污染物名称</w:t>
                  </w:r>
                </w:p>
              </w:tc>
              <w:tc>
                <w:tcPr>
                  <w:tcW w:w="1091" w:type="dxa"/>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污染物产生量（t/a）</w:t>
                  </w:r>
                </w:p>
              </w:tc>
              <w:tc>
                <w:tcPr>
                  <w:tcW w:w="1229" w:type="dxa"/>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污染物排放量（t/a）</w:t>
                  </w:r>
                </w:p>
              </w:tc>
              <w:tc>
                <w:tcPr>
                  <w:tcW w:w="955" w:type="dxa"/>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排放速率(kg/h)</w:t>
                  </w:r>
                </w:p>
              </w:tc>
              <w:tc>
                <w:tcPr>
                  <w:tcW w:w="1089" w:type="dxa"/>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面源长度（m）</w:t>
                  </w:r>
                </w:p>
              </w:tc>
              <w:tc>
                <w:tcPr>
                  <w:tcW w:w="955" w:type="dxa"/>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面源宽度（m）</w:t>
                  </w:r>
                </w:p>
              </w:tc>
              <w:tc>
                <w:tcPr>
                  <w:tcW w:w="858" w:type="dxa"/>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面源高度（m）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340" w:hRule="atLeast"/>
                <w:jc w:val="center"/>
              </w:trPr>
              <w:tc>
                <w:tcPr>
                  <w:tcW w:w="1336" w:type="dxa"/>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生产车间</w:t>
                  </w:r>
                </w:p>
              </w:tc>
              <w:tc>
                <w:tcPr>
                  <w:tcW w:w="1226" w:type="dxa"/>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颗粒物</w:t>
                  </w:r>
                </w:p>
              </w:tc>
              <w:tc>
                <w:tcPr>
                  <w:tcW w:w="1091" w:type="dxa"/>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111.34</w:t>
                  </w:r>
                </w:p>
              </w:tc>
              <w:tc>
                <w:tcPr>
                  <w:tcW w:w="1229" w:type="dxa"/>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0.147</w:t>
                  </w:r>
                </w:p>
              </w:tc>
              <w:tc>
                <w:tcPr>
                  <w:tcW w:w="955" w:type="dxa"/>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0.07</w:t>
                  </w:r>
                </w:p>
              </w:tc>
              <w:tc>
                <w:tcPr>
                  <w:tcW w:w="1089" w:type="dxa"/>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70</w:t>
                  </w:r>
                </w:p>
              </w:tc>
              <w:tc>
                <w:tcPr>
                  <w:tcW w:w="955" w:type="dxa"/>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42</w:t>
                  </w:r>
                </w:p>
              </w:tc>
              <w:tc>
                <w:tcPr>
                  <w:tcW w:w="858" w:type="dxa"/>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15</w:t>
                  </w:r>
                </w:p>
              </w:tc>
            </w:tr>
          </w:tbl>
          <w:p>
            <w:pPr>
              <w:snapToGrid w:val="0"/>
              <w:spacing w:line="500" w:lineRule="exact"/>
              <w:ind w:firstLine="480" w:firstLineChars="200"/>
              <w:rPr>
                <w:rFonts w:hint="default" w:ascii="Times New Roman" w:hAnsi="Times New Roman" w:eastAsia="宋体" w:cs="Times New Roman"/>
                <w:color w:val="auto"/>
                <w:position w:val="3"/>
                <w:sz w:val="24"/>
                <w:szCs w:val="24"/>
                <w:lang w:val="en-US" w:eastAsia="zh-CN"/>
              </w:rPr>
            </w:pPr>
            <w:r>
              <w:rPr>
                <w:rFonts w:hint="default" w:ascii="Times New Roman" w:hAnsi="Times New Roman" w:eastAsia="宋体" w:cs="Times New Roman"/>
                <w:color w:val="auto"/>
                <w:position w:val="3"/>
                <w:sz w:val="24"/>
                <w:szCs w:val="24"/>
                <w:lang w:val="en-US" w:eastAsia="zh-CN"/>
              </w:rPr>
              <w:t>②物料装卸堆存过程产生的粉尘</w:t>
            </w:r>
          </w:p>
          <w:p>
            <w:pPr>
              <w:snapToGrid w:val="0"/>
              <w:spacing w:line="500" w:lineRule="exact"/>
              <w:ind w:firstLine="480" w:firstLineChars="200"/>
              <w:rPr>
                <w:rFonts w:hint="default" w:ascii="Times New Roman" w:hAnsi="Times New Roman" w:eastAsia="宋体" w:cs="Times New Roman"/>
                <w:color w:val="auto"/>
                <w:position w:val="3"/>
                <w:sz w:val="24"/>
                <w:szCs w:val="24"/>
                <w:lang w:val="en-US" w:eastAsia="zh-CN"/>
              </w:rPr>
            </w:pPr>
            <w:r>
              <w:rPr>
                <w:rFonts w:hint="default" w:ascii="Times New Roman" w:hAnsi="Times New Roman" w:eastAsia="宋体" w:cs="Times New Roman"/>
                <w:color w:val="auto"/>
                <w:position w:val="3"/>
                <w:sz w:val="24"/>
                <w:szCs w:val="24"/>
                <w:lang w:val="en-US" w:eastAsia="zh-CN"/>
              </w:rPr>
              <w:t>本项目购进的河卵石、混砂具有一定的含水率约10%，且河卵石粒径较大，在破碎筛分过程中各产尘点均设有集气罩收集经布袋除尘装置处理，而且所得到的碎石比重较大，中砂已水洗，因此不易产生扬尘。同时物料装卸堆存均在封闭厂房内进行，因此，此过程中产生粉尘量较小。参照辽阳东晔混凝土有限公司《年产30万立方米商品混凝土建设项目》及《河卵石来料加工碎石成品料》环境影响评价报告表，物料卸料及堆存过程产生的粉尘为2.22t/a，原料卸料及堆存运行时间约为250d/a（24h/d），则扬尘的产生速率为0.37kg/h；本项目原料库设于封闭生产车间内，地面进行硬化，定期洒水抑尘，约60%自然沉降于地面，沉降量为1.33t/a，散落的粉尘经收集后外运，其余以无组织形式在库房内排放，排放量为0.89t/a，排放速率为0.15kg/h。</w:t>
            </w:r>
          </w:p>
          <w:p>
            <w:pPr>
              <w:snapToGrid w:val="0"/>
              <w:spacing w:line="500" w:lineRule="exact"/>
              <w:ind w:firstLine="480" w:firstLineChars="200"/>
              <w:rPr>
                <w:rFonts w:hint="default" w:ascii="Times New Roman" w:hAnsi="Times New Roman" w:eastAsia="宋体" w:cs="Times New Roman"/>
                <w:color w:val="auto"/>
                <w:position w:val="3"/>
                <w:sz w:val="24"/>
                <w:szCs w:val="24"/>
                <w:lang w:val="en-US" w:eastAsia="zh-CN"/>
              </w:rPr>
            </w:pPr>
            <w:r>
              <w:rPr>
                <w:rFonts w:hint="default" w:ascii="Times New Roman" w:hAnsi="Times New Roman" w:eastAsia="宋体" w:cs="Times New Roman"/>
                <w:color w:val="auto"/>
                <w:position w:val="3"/>
                <w:sz w:val="24"/>
                <w:szCs w:val="24"/>
                <w:lang w:val="en-US" w:eastAsia="zh-CN"/>
              </w:rPr>
              <w:t>④投料配料粉尘</w:t>
            </w:r>
          </w:p>
          <w:p>
            <w:pPr>
              <w:snapToGrid w:val="0"/>
              <w:spacing w:line="500" w:lineRule="exact"/>
              <w:ind w:firstLine="480" w:firstLineChars="200"/>
              <w:rPr>
                <w:rFonts w:hint="default" w:ascii="Times New Roman" w:hAnsi="Times New Roman" w:eastAsia="宋体" w:cs="Times New Roman"/>
                <w:color w:val="auto"/>
                <w:position w:val="3"/>
                <w:sz w:val="24"/>
                <w:szCs w:val="24"/>
                <w:lang w:val="en-US" w:eastAsia="zh-CN"/>
              </w:rPr>
            </w:pPr>
            <w:r>
              <w:rPr>
                <w:rFonts w:hint="default" w:ascii="Times New Roman" w:hAnsi="Times New Roman" w:eastAsia="宋体" w:cs="Times New Roman"/>
                <w:color w:val="auto"/>
                <w:position w:val="3"/>
                <w:sz w:val="24"/>
                <w:szCs w:val="24"/>
                <w:lang w:val="en-US" w:eastAsia="zh-CN"/>
              </w:rPr>
              <w:t>本项目投料过程中由于高度落差会在落料过程中产生一定量的粉尘，产生量与物料的粒径、高差等有关。本项目原料大多采用料仓筒仓减少粉尘产生，仅有破碎筛分工序使用原料河卵石由铲车送至储料斗内，本项目选用河卵石粒径在40~200mm之间，粒径相对较大，具有10%左右含水率且在封闭厂房内进行，输送过程采取全封闭处理，可有效降低粉尘的产生，主要产尘为投料口粉尘。参考中国环境科学出版社《逸散性工业粉尘控制技术》可知，投料粉尘的产生量按0.1kg/t-物料计。本项目河卵石用量约为4.0万t/a，则原料投料过程产生的粉尘约为4.0t/a，产生速率为1.6kg/h，因该工艺过程配套设置集气罩+布袋除尘装置（与破碎筛分共用1台布袋除尘装置）处理后经1根15m高排气筒P1排放，可有效除尘，则投料粉尘有组织排放量为0.04t/a，排放速率为0.02kg/h，未收集部分以无组织形式排放，其无组织排放量为0.4t/a，排放速率为0.16kg/h。</w:t>
            </w:r>
          </w:p>
          <w:p>
            <w:pPr>
              <w:snapToGrid w:val="0"/>
              <w:spacing w:line="500" w:lineRule="exact"/>
              <w:ind w:firstLine="480" w:firstLineChars="200"/>
              <w:rPr>
                <w:rFonts w:hint="default" w:ascii="Times New Roman" w:hAnsi="Times New Roman" w:eastAsia="宋体" w:cs="Times New Roman"/>
                <w:color w:val="auto"/>
                <w:position w:val="3"/>
                <w:sz w:val="24"/>
                <w:szCs w:val="24"/>
                <w:lang w:val="en-US" w:eastAsia="zh-CN"/>
              </w:rPr>
            </w:pPr>
            <w:r>
              <w:rPr>
                <w:rFonts w:hint="default" w:ascii="Times New Roman" w:hAnsi="Times New Roman" w:eastAsia="宋体" w:cs="Times New Roman"/>
                <w:color w:val="auto"/>
                <w:position w:val="3"/>
                <w:sz w:val="24"/>
                <w:szCs w:val="24"/>
                <w:lang w:val="en-US" w:eastAsia="zh-CN"/>
              </w:rPr>
              <w:t>本项目在配料过程中，已破碎筛分砂石原料运输是通过铲车将砂石原料铲至配料仓，再通过电控装置称量并按比例将中砂、碎石配料，随后由配料仓底部卸入皮带输送带输送至搅拌机入料口将按照比例配合的砂石原料卸入搅拌机内。在上料、落料过程会产生一定量的粉尘，粉尘产生量与落料高差、原料粒径、风力等多种因素有关。由于配料过程中皮带输送带输送速度较慢（输送速度小于0.1m/s），且原料置于配料仓内，基本不受外界风力影响。因此，可不考虑碎石在输送过程中所产生的粉尘。根据建设单位提供资料，砂石在上料及落料过程中落差≤1.0m，查阅资料表明，其粉尘产生量约为砂石用料的0.001%，则本项目粉尘产生量约为5.57t/a，产生速率为2.23kg/h。本项目在配料、送料过程采取密封设计，地面进行硬化，定期洒水抑尘，约60%自然沉降于地面，沉降量为3.34t/a，其余以无组织形式排放，排放量为2.23t/a，排放速率为0.89kg/h。</w:t>
            </w:r>
          </w:p>
          <w:p>
            <w:pPr>
              <w:snapToGrid w:val="0"/>
              <w:spacing w:line="500" w:lineRule="exact"/>
              <w:ind w:firstLine="480" w:firstLineChars="200"/>
              <w:rPr>
                <w:rFonts w:hint="default" w:ascii="Times New Roman" w:hAnsi="Times New Roman" w:eastAsia="宋体" w:cs="Times New Roman"/>
                <w:color w:val="auto"/>
                <w:position w:val="3"/>
                <w:sz w:val="24"/>
                <w:szCs w:val="24"/>
                <w:lang w:val="en-US" w:eastAsia="zh-CN"/>
              </w:rPr>
            </w:pPr>
            <w:r>
              <w:rPr>
                <w:rFonts w:hint="default" w:ascii="Times New Roman" w:hAnsi="Times New Roman" w:eastAsia="宋体" w:cs="Times New Roman"/>
                <w:color w:val="auto"/>
                <w:position w:val="3"/>
                <w:sz w:val="24"/>
                <w:szCs w:val="24"/>
                <w:lang w:val="en-US" w:eastAsia="zh-CN"/>
              </w:rPr>
              <w:t>⑤搅拌粉尘</w:t>
            </w:r>
          </w:p>
          <w:p>
            <w:pPr>
              <w:snapToGrid w:val="0"/>
              <w:spacing w:line="500" w:lineRule="exact"/>
              <w:ind w:firstLine="480" w:firstLineChars="200"/>
              <w:rPr>
                <w:rFonts w:hint="default" w:ascii="Times New Roman" w:hAnsi="Times New Roman" w:eastAsia="宋体" w:cs="Times New Roman"/>
                <w:color w:val="auto"/>
                <w:position w:val="3"/>
                <w:sz w:val="24"/>
                <w:szCs w:val="24"/>
                <w:lang w:val="en-US" w:eastAsia="zh-CN"/>
              </w:rPr>
            </w:pPr>
            <w:r>
              <w:rPr>
                <w:rFonts w:hint="default" w:ascii="Times New Roman" w:hAnsi="Times New Roman" w:eastAsia="宋体" w:cs="Times New Roman"/>
                <w:color w:val="auto"/>
                <w:position w:val="3"/>
                <w:sz w:val="24"/>
                <w:szCs w:val="24"/>
                <w:lang w:val="en-US" w:eastAsia="zh-CN"/>
              </w:rPr>
              <w:t>本项目设有2个搅拌站（水稳料、商品混凝土各1个），原料（砂石、水泥）加入时，搅拌机缓慢旋转并按配比注入新鲜水和外加剂，新鲜水的加入可有效的抑制原料粉尘的产生，但在原料（砂石、水泥）落料的过程中，小粒径颗粒物会飘散形成粉尘。本项目每个搅拌主机各安装1套布袋除尘器，当搅拌主机加料时，含粉尘的空气在负压作用下通过布袋除尘器过滤后排放；当搅拌主机卸料时，粘在布袋上的粉灰在压缩空气反吹下，经胶管落回搅拌主机。根据建设单位提供资料，查阅相关资料表明，其搅拌机粉尘产生量约为混凝土生产总量和水稳料生产总量的0.002%，则本项目搅拌机搅拌过程粉尘产生量为8.84t/a（水稳料）、4.36t/a（商品混凝土）。本项目设有2个搅拌站，搅拌工序均进行密闭处理，所产生的粉尘经各自布袋除尘设备处理后，2个搅拌主机楼2台风机，风机风量均为8000m</w:t>
            </w:r>
            <w:r>
              <w:rPr>
                <w:rFonts w:hint="default" w:ascii="Times New Roman" w:hAnsi="Times New Roman" w:eastAsia="宋体" w:cs="Times New Roman"/>
                <w:color w:val="auto"/>
                <w:position w:val="3"/>
                <w:sz w:val="24"/>
                <w:szCs w:val="24"/>
                <w:vertAlign w:val="superscript"/>
                <w:lang w:val="en-US" w:eastAsia="zh-CN"/>
              </w:rPr>
              <w:t>3</w:t>
            </w:r>
            <w:r>
              <w:rPr>
                <w:rFonts w:hint="default" w:ascii="Times New Roman" w:hAnsi="Times New Roman" w:eastAsia="宋体" w:cs="Times New Roman"/>
                <w:color w:val="auto"/>
                <w:position w:val="3"/>
                <w:sz w:val="24"/>
                <w:szCs w:val="24"/>
                <w:lang w:val="en-US" w:eastAsia="zh-CN"/>
              </w:rPr>
              <w:t>/h，其除尘效率按99%计，处理后经各自搅拌楼顶端排放，排放高度均为15m（</w:t>
            </w:r>
            <w:r>
              <w:rPr>
                <w:rFonts w:hint="eastAsia" w:cs="Times New Roman"/>
                <w:color w:val="auto"/>
                <w:position w:val="3"/>
                <w:sz w:val="24"/>
                <w:szCs w:val="24"/>
                <w:lang w:val="en-US" w:eastAsia="zh-CN"/>
              </w:rPr>
              <w:t>#</w:t>
            </w:r>
            <w:r>
              <w:rPr>
                <w:rFonts w:hint="default" w:ascii="Times New Roman" w:hAnsi="Times New Roman" w:eastAsia="宋体" w:cs="Times New Roman"/>
                <w:color w:val="auto"/>
                <w:position w:val="3"/>
                <w:sz w:val="24"/>
                <w:szCs w:val="24"/>
                <w:lang w:val="en-US" w:eastAsia="zh-CN"/>
              </w:rPr>
              <w:t>2，</w:t>
            </w:r>
            <w:r>
              <w:rPr>
                <w:rFonts w:hint="eastAsia" w:cs="Times New Roman"/>
                <w:color w:val="auto"/>
                <w:position w:val="3"/>
                <w:sz w:val="24"/>
                <w:szCs w:val="24"/>
                <w:lang w:val="en-US" w:eastAsia="zh-CN"/>
              </w:rPr>
              <w:t>#</w:t>
            </w:r>
            <w:r>
              <w:rPr>
                <w:rFonts w:hint="default" w:ascii="Times New Roman" w:hAnsi="Times New Roman" w:eastAsia="宋体" w:cs="Times New Roman"/>
                <w:color w:val="auto"/>
                <w:position w:val="3"/>
                <w:sz w:val="24"/>
                <w:szCs w:val="24"/>
                <w:lang w:val="en-US" w:eastAsia="zh-CN"/>
              </w:rPr>
              <w:t>3）。经估算，本项目搅拌工序粉尘排放量分别为0.09t/a（水稳料）、0.04t/a（商品混凝土）。本项目搅拌主机为封闭式，未收集到粉尘沉降在搅拌机内，不会排入空气中。</w:t>
            </w:r>
          </w:p>
          <w:p>
            <w:pPr>
              <w:snapToGrid w:val="0"/>
              <w:spacing w:line="500" w:lineRule="exact"/>
              <w:ind w:firstLine="480" w:firstLineChars="200"/>
              <w:rPr>
                <w:rFonts w:hint="default" w:ascii="Times New Roman" w:hAnsi="Times New Roman" w:eastAsia="宋体" w:cs="Times New Roman"/>
                <w:color w:val="auto"/>
                <w:position w:val="3"/>
                <w:sz w:val="24"/>
                <w:szCs w:val="24"/>
                <w:lang w:val="en-US" w:eastAsia="zh-CN"/>
              </w:rPr>
            </w:pPr>
            <w:r>
              <w:rPr>
                <w:rFonts w:hint="default" w:ascii="Times New Roman" w:hAnsi="Times New Roman" w:eastAsia="宋体" w:cs="Times New Roman"/>
                <w:color w:val="auto"/>
                <w:position w:val="3"/>
                <w:sz w:val="24"/>
                <w:szCs w:val="24"/>
                <w:lang w:val="en-US" w:eastAsia="zh-CN"/>
              </w:rPr>
              <w:t>⑥筒仓进出物料粉尘</w:t>
            </w:r>
          </w:p>
          <w:p>
            <w:pPr>
              <w:snapToGrid w:val="0"/>
              <w:spacing w:line="500" w:lineRule="exact"/>
              <w:ind w:firstLine="480" w:firstLineChars="200"/>
              <w:rPr>
                <w:rFonts w:hint="default" w:ascii="Times New Roman" w:hAnsi="Times New Roman" w:eastAsia="宋体" w:cs="Times New Roman"/>
                <w:color w:val="auto"/>
                <w:position w:val="3"/>
                <w:sz w:val="24"/>
                <w:szCs w:val="24"/>
                <w:lang w:val="en-US" w:eastAsia="zh-CN"/>
              </w:rPr>
            </w:pPr>
            <w:r>
              <w:rPr>
                <w:rFonts w:hint="default" w:ascii="Times New Roman" w:hAnsi="Times New Roman" w:eastAsia="宋体" w:cs="Times New Roman"/>
                <w:color w:val="auto"/>
                <w:position w:val="3"/>
                <w:sz w:val="24"/>
                <w:szCs w:val="24"/>
                <w:lang w:val="en-US" w:eastAsia="zh-CN"/>
              </w:rPr>
              <w:t>本项目共设置5座水泥筒仓（2座用于水稳料搅拌站，3座用于商品混凝土搅拌站，规格均为100t/座），每座筒仓顶部排气孔处均安装有仓顶除尘滤芯，共配置5套。</w:t>
            </w:r>
          </w:p>
          <w:p>
            <w:pPr>
              <w:snapToGrid w:val="0"/>
              <w:spacing w:line="500" w:lineRule="exact"/>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color w:val="auto"/>
                <w:position w:val="3"/>
                <w:sz w:val="24"/>
                <w:szCs w:val="24"/>
                <w:lang w:val="en-US" w:eastAsia="zh-CN"/>
              </w:rPr>
              <w:t>其除尘原理：当含尘空气通过时，利用玻纤滤芯（多孔性滤尘材料）使固相、气相分离，其固相（粉尘）吸附在滤芯上，气相（净化后的空气）高空排放；再通过振动作用使吸附在滤芯的粉尘沉降至水泥筒仓内。除尘滤芯主要采用滤芯过滤器吸附水泥粉尘，过滤器内部设置振动装置，底部设置粉尘收集板，当粉尘重量达到一定重量时，振动器自动启动将粉尘抖落至水泥仓内，滤芯定期每3个月更换一次。参考《逸散性工业粉尘控制技术》中“第二十二章、混凝土分批搅拌厂”，逸散尘排放因子取0.12kg/t。本项目水泥使用量为64605t/a，则粉尘产生量为7.75t/a。查阅资料表明，采用除尘滤芯后，其水泥筒仓排放孔除尘效率按99%计。本项目各筒仓均相同，其风机风量为1000m</w:t>
            </w:r>
            <w:r>
              <w:rPr>
                <w:rFonts w:hint="default" w:ascii="Times New Roman" w:hAnsi="Times New Roman" w:eastAsia="宋体" w:cs="Times New Roman"/>
                <w:color w:val="auto"/>
                <w:position w:val="3"/>
                <w:sz w:val="24"/>
                <w:szCs w:val="24"/>
                <w:vertAlign w:val="superscript"/>
                <w:lang w:val="en-US" w:eastAsia="zh-CN"/>
              </w:rPr>
              <w:t>3</w:t>
            </w:r>
            <w:r>
              <w:rPr>
                <w:rFonts w:hint="default" w:ascii="Times New Roman" w:hAnsi="Times New Roman" w:eastAsia="宋体" w:cs="Times New Roman"/>
                <w:color w:val="auto"/>
                <w:position w:val="3"/>
                <w:sz w:val="24"/>
                <w:szCs w:val="24"/>
                <w:lang w:val="en-US" w:eastAsia="zh-CN"/>
              </w:rPr>
              <w:t>/h×5，除尘效率按99%计，粉尘经处理后在除尘滤芯顶部排放（高度为15m），则粉尘排放量为0.08t/a，排放速率为0.03kg/h。本项目筒仓、输送（绞龙方式）过程均封闭，未收集到的粉尘由除尘风管引入搅拌机配套布袋除尘器进出处理，不排入空气中。</w:t>
            </w:r>
          </w:p>
          <w:p>
            <w:pPr>
              <w:spacing w:line="240" w:lineRule="auto"/>
              <w:ind w:firstLine="422"/>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eastAsia" w:cs="Times New Roman"/>
                <w:b/>
                <w:bCs/>
                <w:color w:val="auto"/>
                <w:sz w:val="21"/>
                <w:szCs w:val="21"/>
                <w:lang w:val="en-US" w:eastAsia="zh-CN"/>
              </w:rPr>
              <w:t>5.2.1-6</w:t>
            </w:r>
            <w:r>
              <w:rPr>
                <w:rFonts w:hint="default" w:ascii="Times New Roman" w:hAnsi="Times New Roman" w:eastAsia="宋体" w:cs="Times New Roman"/>
                <w:b/>
                <w:bCs/>
                <w:color w:val="auto"/>
                <w:sz w:val="21"/>
                <w:szCs w:val="21"/>
              </w:rPr>
              <w:t xml:space="preserve"> </w:t>
            </w:r>
            <w:r>
              <w:rPr>
                <w:rFonts w:hint="default" w:ascii="Times New Roman" w:hAnsi="Times New Roman" w:eastAsia="宋体" w:cs="Times New Roman"/>
                <w:b/>
                <w:bCs/>
                <w:color w:val="auto"/>
                <w:sz w:val="21"/>
                <w:szCs w:val="21"/>
                <w:lang w:eastAsia="zh-CN"/>
              </w:rPr>
              <w:t>项目运营期</w:t>
            </w:r>
            <w:r>
              <w:rPr>
                <w:rFonts w:hint="default" w:ascii="Times New Roman" w:hAnsi="Times New Roman" w:eastAsia="宋体" w:cs="Times New Roman"/>
                <w:b/>
                <w:bCs/>
                <w:color w:val="auto"/>
                <w:sz w:val="21"/>
                <w:szCs w:val="21"/>
              </w:rPr>
              <w:t>大气污染物产排情况一览表</w:t>
            </w:r>
          </w:p>
          <w:tbl>
            <w:tblPr>
              <w:tblStyle w:val="44"/>
              <w:tblW w:w="8960" w:type="dxa"/>
              <w:jc w:val="center"/>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9"/>
              <w:gridCol w:w="916"/>
              <w:gridCol w:w="846"/>
              <w:gridCol w:w="1293"/>
              <w:gridCol w:w="1029"/>
              <w:gridCol w:w="864"/>
              <w:gridCol w:w="998"/>
              <w:gridCol w:w="1085"/>
              <w:gridCol w:w="1070"/>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0" w:hRule="exact"/>
                <w:jc w:val="center"/>
              </w:trPr>
              <w:tc>
                <w:tcPr>
                  <w:tcW w:w="859"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污染源</w:t>
                  </w:r>
                </w:p>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名称</w:t>
                  </w:r>
                </w:p>
              </w:tc>
              <w:tc>
                <w:tcPr>
                  <w:tcW w:w="91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污染物种类</w:t>
                  </w:r>
                </w:p>
              </w:tc>
              <w:tc>
                <w:tcPr>
                  <w:tcW w:w="84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产生量（t/a）</w:t>
                  </w:r>
                </w:p>
              </w:tc>
              <w:tc>
                <w:tcPr>
                  <w:tcW w:w="1293"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进口浓度</w:t>
                  </w:r>
                </w:p>
              </w:tc>
              <w:tc>
                <w:tcPr>
                  <w:tcW w:w="1029"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处理</w:t>
                  </w:r>
                </w:p>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效率</w:t>
                  </w:r>
                </w:p>
              </w:tc>
              <w:tc>
                <w:tcPr>
                  <w:tcW w:w="864"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排放</w:t>
                  </w:r>
                </w:p>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形式</w:t>
                  </w:r>
                </w:p>
              </w:tc>
              <w:tc>
                <w:tcPr>
                  <w:tcW w:w="99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排放量（t/a）</w:t>
                  </w:r>
                </w:p>
              </w:tc>
              <w:tc>
                <w:tcPr>
                  <w:tcW w:w="1085"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出口</w:t>
                  </w:r>
                </w:p>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浓度</w:t>
                  </w:r>
                </w:p>
              </w:tc>
              <w:tc>
                <w:tcPr>
                  <w:tcW w:w="1070"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排放</w:t>
                  </w:r>
                </w:p>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速率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55" w:hRule="exact"/>
                <w:jc w:val="center"/>
              </w:trPr>
              <w:tc>
                <w:tcPr>
                  <w:tcW w:w="859"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破碎</w:t>
                  </w:r>
                </w:p>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筛分</w:t>
                  </w:r>
                </w:p>
              </w:tc>
              <w:tc>
                <w:tcPr>
                  <w:tcW w:w="91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粉尘</w:t>
                  </w:r>
                </w:p>
              </w:tc>
              <w:tc>
                <w:tcPr>
                  <w:tcW w:w="84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15.12</w:t>
                  </w:r>
                </w:p>
              </w:tc>
              <w:tc>
                <w:tcPr>
                  <w:tcW w:w="1293"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302.4mg/m3</w:t>
                  </w:r>
                </w:p>
              </w:tc>
              <w:tc>
                <w:tcPr>
                  <w:tcW w:w="1029" w:type="dxa"/>
                  <w:vMerge w:val="restart"/>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99%</w:t>
                  </w:r>
                </w:p>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（1#除尘）</w:t>
                  </w:r>
                </w:p>
              </w:tc>
              <w:tc>
                <w:tcPr>
                  <w:tcW w:w="864" w:type="dxa"/>
                  <w:vMerge w:val="restart"/>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有组织P1</w:t>
                  </w:r>
                </w:p>
              </w:tc>
              <w:tc>
                <w:tcPr>
                  <w:tcW w:w="99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0.15</w:t>
                  </w:r>
                </w:p>
              </w:tc>
              <w:tc>
                <w:tcPr>
                  <w:tcW w:w="1085"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3.0mg/m3</w:t>
                  </w:r>
                </w:p>
              </w:tc>
              <w:tc>
                <w:tcPr>
                  <w:tcW w:w="1070"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0.06</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5" w:hRule="exact"/>
                <w:jc w:val="center"/>
              </w:trPr>
              <w:tc>
                <w:tcPr>
                  <w:tcW w:w="859"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投料</w:t>
                  </w:r>
                </w:p>
              </w:tc>
              <w:tc>
                <w:tcPr>
                  <w:tcW w:w="91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粉尘</w:t>
                  </w:r>
                </w:p>
              </w:tc>
              <w:tc>
                <w:tcPr>
                  <w:tcW w:w="84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3.6</w:t>
                  </w:r>
                </w:p>
              </w:tc>
              <w:tc>
                <w:tcPr>
                  <w:tcW w:w="1293"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72mg/m3</w:t>
                  </w:r>
                </w:p>
              </w:tc>
              <w:tc>
                <w:tcPr>
                  <w:tcW w:w="1029" w:type="dxa"/>
                  <w:vMerge w:val="continue"/>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p>
              </w:tc>
              <w:tc>
                <w:tcPr>
                  <w:tcW w:w="864" w:type="dxa"/>
                  <w:vMerge w:val="continue"/>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p>
              </w:tc>
              <w:tc>
                <w:tcPr>
                  <w:tcW w:w="99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0.04</w:t>
                  </w:r>
                </w:p>
              </w:tc>
              <w:tc>
                <w:tcPr>
                  <w:tcW w:w="1085"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0.8mg/m3</w:t>
                  </w:r>
                </w:p>
              </w:tc>
              <w:tc>
                <w:tcPr>
                  <w:tcW w:w="1070"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0.02</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90" w:hRule="exact"/>
                <w:jc w:val="center"/>
              </w:trPr>
              <w:tc>
                <w:tcPr>
                  <w:tcW w:w="859"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搅拌</w:t>
                  </w:r>
                </w:p>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（混凝土）</w:t>
                  </w:r>
                </w:p>
              </w:tc>
              <w:tc>
                <w:tcPr>
                  <w:tcW w:w="91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粉尘</w:t>
                  </w:r>
                </w:p>
              </w:tc>
              <w:tc>
                <w:tcPr>
                  <w:tcW w:w="84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4.36</w:t>
                  </w:r>
                </w:p>
              </w:tc>
              <w:tc>
                <w:tcPr>
                  <w:tcW w:w="1293"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218mg/m</w:t>
                  </w:r>
                  <w:r>
                    <w:rPr>
                      <w:rFonts w:hint="default" w:ascii="Times New Roman" w:hAnsi="Times New Roman" w:eastAsia="宋体" w:cs="Times New Roman"/>
                      <w:b w:val="0"/>
                      <w:color w:val="auto"/>
                      <w:kern w:val="0"/>
                      <w:sz w:val="21"/>
                      <w:szCs w:val="21"/>
                      <w:vertAlign w:val="superscript"/>
                      <w:lang w:val="en-US" w:eastAsia="zh-CN"/>
                    </w:rPr>
                    <w:t>3</w:t>
                  </w:r>
                </w:p>
              </w:tc>
              <w:tc>
                <w:tcPr>
                  <w:tcW w:w="1029"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99%</w:t>
                  </w:r>
                </w:p>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（3#除尘）</w:t>
                  </w:r>
                </w:p>
              </w:tc>
              <w:tc>
                <w:tcPr>
                  <w:tcW w:w="864"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有组织</w:t>
                  </w:r>
                  <w:r>
                    <w:rPr>
                      <w:rFonts w:hint="eastAsia" w:eastAsia="宋体" w:cs="Times New Roman"/>
                      <w:b w:val="0"/>
                      <w:color w:val="auto"/>
                      <w:kern w:val="0"/>
                      <w:sz w:val="21"/>
                      <w:szCs w:val="21"/>
                      <w:lang w:val="en-US" w:eastAsia="zh-CN"/>
                    </w:rPr>
                    <w:t>#</w:t>
                  </w:r>
                  <w:r>
                    <w:rPr>
                      <w:rFonts w:hint="default" w:ascii="Times New Roman" w:hAnsi="Times New Roman" w:eastAsia="宋体" w:cs="Times New Roman"/>
                      <w:b w:val="0"/>
                      <w:color w:val="auto"/>
                      <w:kern w:val="0"/>
                      <w:sz w:val="21"/>
                      <w:szCs w:val="21"/>
                      <w:lang w:val="en-US" w:eastAsia="zh-CN"/>
                    </w:rPr>
                    <w:t>3</w:t>
                  </w:r>
                </w:p>
              </w:tc>
              <w:tc>
                <w:tcPr>
                  <w:tcW w:w="99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0.04</w:t>
                  </w:r>
                </w:p>
              </w:tc>
              <w:tc>
                <w:tcPr>
                  <w:tcW w:w="1085"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2.0mg/m</w:t>
                  </w:r>
                  <w:r>
                    <w:rPr>
                      <w:rFonts w:hint="default" w:ascii="Times New Roman" w:hAnsi="Times New Roman" w:eastAsia="宋体" w:cs="Times New Roman"/>
                      <w:b w:val="0"/>
                      <w:color w:val="auto"/>
                      <w:kern w:val="0"/>
                      <w:sz w:val="21"/>
                      <w:szCs w:val="21"/>
                      <w:vertAlign w:val="superscript"/>
                      <w:lang w:val="en-US" w:eastAsia="zh-CN"/>
                    </w:rPr>
                    <w:t>3</w:t>
                  </w:r>
                </w:p>
              </w:tc>
              <w:tc>
                <w:tcPr>
                  <w:tcW w:w="1070"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0.016kg/h</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70" w:hRule="exact"/>
                <w:jc w:val="center"/>
              </w:trPr>
              <w:tc>
                <w:tcPr>
                  <w:tcW w:w="859"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搅拌</w:t>
                  </w:r>
                </w:p>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（水稳料）</w:t>
                  </w:r>
                </w:p>
              </w:tc>
              <w:tc>
                <w:tcPr>
                  <w:tcW w:w="91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粉尘</w:t>
                  </w:r>
                </w:p>
              </w:tc>
              <w:tc>
                <w:tcPr>
                  <w:tcW w:w="84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8.84</w:t>
                  </w:r>
                </w:p>
              </w:tc>
              <w:tc>
                <w:tcPr>
                  <w:tcW w:w="1293"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442mg/m</w:t>
                  </w:r>
                  <w:r>
                    <w:rPr>
                      <w:rFonts w:hint="default" w:ascii="Times New Roman" w:hAnsi="Times New Roman" w:eastAsia="宋体" w:cs="Times New Roman"/>
                      <w:b w:val="0"/>
                      <w:color w:val="auto"/>
                      <w:kern w:val="0"/>
                      <w:sz w:val="21"/>
                      <w:szCs w:val="21"/>
                      <w:vertAlign w:val="superscript"/>
                      <w:lang w:val="en-US" w:eastAsia="zh-CN"/>
                    </w:rPr>
                    <w:t>3</w:t>
                  </w:r>
                </w:p>
              </w:tc>
              <w:tc>
                <w:tcPr>
                  <w:tcW w:w="1029"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99%</w:t>
                  </w:r>
                </w:p>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（2#除尘）</w:t>
                  </w:r>
                </w:p>
              </w:tc>
              <w:tc>
                <w:tcPr>
                  <w:tcW w:w="864"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有组织</w:t>
                  </w:r>
                  <w:r>
                    <w:rPr>
                      <w:rFonts w:hint="eastAsia" w:eastAsia="宋体" w:cs="Times New Roman"/>
                      <w:b w:val="0"/>
                      <w:color w:val="auto"/>
                      <w:kern w:val="0"/>
                      <w:sz w:val="21"/>
                      <w:szCs w:val="21"/>
                      <w:lang w:val="en-US" w:eastAsia="zh-CN"/>
                    </w:rPr>
                    <w:t>#</w:t>
                  </w:r>
                  <w:r>
                    <w:rPr>
                      <w:rFonts w:hint="default" w:ascii="Times New Roman" w:hAnsi="Times New Roman" w:eastAsia="宋体" w:cs="Times New Roman"/>
                      <w:b w:val="0"/>
                      <w:color w:val="auto"/>
                      <w:kern w:val="0"/>
                      <w:sz w:val="21"/>
                      <w:szCs w:val="21"/>
                      <w:lang w:val="en-US" w:eastAsia="zh-CN"/>
                    </w:rPr>
                    <w:t>2</w:t>
                  </w:r>
                </w:p>
              </w:tc>
              <w:tc>
                <w:tcPr>
                  <w:tcW w:w="99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0.09</w:t>
                  </w:r>
                </w:p>
              </w:tc>
              <w:tc>
                <w:tcPr>
                  <w:tcW w:w="1085"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4.5mg/m</w:t>
                  </w:r>
                  <w:r>
                    <w:rPr>
                      <w:rFonts w:hint="default" w:ascii="Times New Roman" w:hAnsi="Times New Roman" w:eastAsia="宋体" w:cs="Times New Roman"/>
                      <w:b w:val="0"/>
                      <w:color w:val="auto"/>
                      <w:kern w:val="0"/>
                      <w:sz w:val="21"/>
                      <w:szCs w:val="21"/>
                      <w:vertAlign w:val="superscript"/>
                      <w:lang w:val="en-US" w:eastAsia="zh-CN"/>
                    </w:rPr>
                    <w:t>3</w:t>
                  </w:r>
                </w:p>
              </w:tc>
              <w:tc>
                <w:tcPr>
                  <w:tcW w:w="1070"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0.036kg/h</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exact"/>
                <w:jc w:val="center"/>
              </w:trPr>
              <w:tc>
                <w:tcPr>
                  <w:tcW w:w="859"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筒仓</w:t>
                  </w:r>
                </w:p>
              </w:tc>
              <w:tc>
                <w:tcPr>
                  <w:tcW w:w="91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粉尘</w:t>
                  </w:r>
                </w:p>
              </w:tc>
              <w:tc>
                <w:tcPr>
                  <w:tcW w:w="84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7.75</w:t>
                  </w:r>
                </w:p>
              </w:tc>
              <w:tc>
                <w:tcPr>
                  <w:tcW w:w="1293"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620mg/m</w:t>
                  </w:r>
                  <w:r>
                    <w:rPr>
                      <w:rFonts w:hint="default" w:ascii="Times New Roman" w:hAnsi="Times New Roman" w:eastAsia="宋体" w:cs="Times New Roman"/>
                      <w:b w:val="0"/>
                      <w:color w:val="auto"/>
                      <w:kern w:val="0"/>
                      <w:sz w:val="21"/>
                      <w:szCs w:val="21"/>
                      <w:vertAlign w:val="superscript"/>
                      <w:lang w:val="en-US" w:eastAsia="zh-CN"/>
                    </w:rPr>
                    <w:t>3</w:t>
                  </w:r>
                </w:p>
              </w:tc>
              <w:tc>
                <w:tcPr>
                  <w:tcW w:w="1029"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99%</w:t>
                  </w:r>
                </w:p>
              </w:tc>
              <w:tc>
                <w:tcPr>
                  <w:tcW w:w="864"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有组织</w:t>
                  </w:r>
                </w:p>
              </w:tc>
              <w:tc>
                <w:tcPr>
                  <w:tcW w:w="99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0.08</w:t>
                  </w:r>
                </w:p>
              </w:tc>
              <w:tc>
                <w:tcPr>
                  <w:tcW w:w="1085"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6.2mg/m3</w:t>
                  </w:r>
                </w:p>
              </w:tc>
              <w:tc>
                <w:tcPr>
                  <w:tcW w:w="1070"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0.032kg/h</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34" w:hRule="exact"/>
                <w:jc w:val="center"/>
              </w:trPr>
              <w:tc>
                <w:tcPr>
                  <w:tcW w:w="859"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污染源</w:t>
                  </w:r>
                </w:p>
              </w:tc>
              <w:tc>
                <w:tcPr>
                  <w:tcW w:w="91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污染物</w:t>
                  </w:r>
                </w:p>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种类</w:t>
                  </w:r>
                </w:p>
              </w:tc>
              <w:tc>
                <w:tcPr>
                  <w:tcW w:w="84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产生量（t/a）</w:t>
                  </w:r>
                </w:p>
              </w:tc>
              <w:tc>
                <w:tcPr>
                  <w:tcW w:w="1293"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产生速率</w:t>
                  </w:r>
                </w:p>
              </w:tc>
              <w:tc>
                <w:tcPr>
                  <w:tcW w:w="1029"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处理</w:t>
                  </w:r>
                </w:p>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效率</w:t>
                  </w:r>
                </w:p>
              </w:tc>
              <w:tc>
                <w:tcPr>
                  <w:tcW w:w="864"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排放量（t/a）</w:t>
                  </w:r>
                </w:p>
              </w:tc>
              <w:tc>
                <w:tcPr>
                  <w:tcW w:w="99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排放</w:t>
                  </w:r>
                </w:p>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速率</w:t>
                  </w:r>
                </w:p>
              </w:tc>
              <w:tc>
                <w:tcPr>
                  <w:tcW w:w="2155" w:type="dxa"/>
                  <w:gridSpan w:val="2"/>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面积/距离</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31" w:hRule="exact"/>
                <w:jc w:val="center"/>
              </w:trPr>
              <w:tc>
                <w:tcPr>
                  <w:tcW w:w="859"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装卸</w:t>
                  </w:r>
                </w:p>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堆存</w:t>
                  </w:r>
                </w:p>
              </w:tc>
              <w:tc>
                <w:tcPr>
                  <w:tcW w:w="91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粉尘</w:t>
                  </w:r>
                </w:p>
              </w:tc>
              <w:tc>
                <w:tcPr>
                  <w:tcW w:w="84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2.22</w:t>
                  </w:r>
                </w:p>
              </w:tc>
              <w:tc>
                <w:tcPr>
                  <w:tcW w:w="1293"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0.37kg/h</w:t>
                  </w:r>
                </w:p>
              </w:tc>
              <w:tc>
                <w:tcPr>
                  <w:tcW w:w="1029"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地面硬化+洒水+库房封闭：60%</w:t>
                  </w:r>
                </w:p>
              </w:tc>
              <w:tc>
                <w:tcPr>
                  <w:tcW w:w="864"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0.89</w:t>
                  </w:r>
                </w:p>
              </w:tc>
              <w:tc>
                <w:tcPr>
                  <w:tcW w:w="99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0.15kg/h</w:t>
                  </w:r>
                </w:p>
              </w:tc>
              <w:tc>
                <w:tcPr>
                  <w:tcW w:w="2155" w:type="dxa"/>
                  <w:gridSpan w:val="2"/>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1500m</w:t>
                  </w:r>
                  <w:r>
                    <w:rPr>
                      <w:rFonts w:hint="default" w:ascii="Times New Roman" w:hAnsi="Times New Roman" w:eastAsia="宋体" w:cs="Times New Roman"/>
                      <w:b w:val="0"/>
                      <w:color w:val="auto"/>
                      <w:kern w:val="0"/>
                      <w:sz w:val="21"/>
                      <w:szCs w:val="21"/>
                      <w:vertAlign w:val="superscript"/>
                      <w:lang w:val="en-US" w:eastAsia="zh-CN"/>
                    </w:rPr>
                    <w:t>2</w:t>
                  </w:r>
                  <w:r>
                    <w:rPr>
                      <w:rFonts w:hint="default" w:ascii="Times New Roman" w:hAnsi="Times New Roman" w:eastAsia="宋体" w:cs="Times New Roman"/>
                      <w:b w:val="0"/>
                      <w:color w:val="auto"/>
                      <w:kern w:val="0"/>
                      <w:sz w:val="21"/>
                      <w:szCs w:val="21"/>
                      <w:lang w:val="en-US" w:eastAsia="zh-CN"/>
                    </w:rPr>
                    <w:t>、200m</w:t>
                  </w:r>
                  <w:r>
                    <w:rPr>
                      <w:rFonts w:hint="default" w:ascii="Times New Roman" w:hAnsi="Times New Roman" w:eastAsia="宋体" w:cs="Times New Roman"/>
                      <w:b w:val="0"/>
                      <w:color w:val="auto"/>
                      <w:kern w:val="0"/>
                      <w:sz w:val="21"/>
                      <w:szCs w:val="21"/>
                      <w:vertAlign w:val="superscript"/>
                      <w:lang w:val="en-US" w:eastAsia="zh-CN"/>
                    </w:rPr>
                    <w:t>2</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859" w:type="dxa"/>
                  <w:vMerge w:val="restart"/>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车辆</w:t>
                  </w:r>
                </w:p>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运输</w:t>
                  </w:r>
                </w:p>
              </w:tc>
              <w:tc>
                <w:tcPr>
                  <w:tcW w:w="91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扬尘</w:t>
                  </w:r>
                </w:p>
              </w:tc>
              <w:tc>
                <w:tcPr>
                  <w:tcW w:w="84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1.78</w:t>
                  </w:r>
                </w:p>
              </w:tc>
              <w:tc>
                <w:tcPr>
                  <w:tcW w:w="1293"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0.712kg/h</w:t>
                  </w:r>
                </w:p>
              </w:tc>
              <w:tc>
                <w:tcPr>
                  <w:tcW w:w="1029"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地面硬化+运输车辆加盖苫布+洒水+限速：60%</w:t>
                  </w:r>
                </w:p>
              </w:tc>
              <w:tc>
                <w:tcPr>
                  <w:tcW w:w="864"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0.712</w:t>
                  </w:r>
                </w:p>
              </w:tc>
              <w:tc>
                <w:tcPr>
                  <w:tcW w:w="99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0.28kg/h</w:t>
                  </w:r>
                </w:p>
              </w:tc>
              <w:tc>
                <w:tcPr>
                  <w:tcW w:w="2155" w:type="dxa"/>
                  <w:gridSpan w:val="2"/>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200m</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859" w:type="dxa"/>
                  <w:vMerge w:val="continue"/>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p>
              </w:tc>
              <w:tc>
                <w:tcPr>
                  <w:tcW w:w="91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尾气</w:t>
                  </w:r>
                </w:p>
              </w:tc>
              <w:tc>
                <w:tcPr>
                  <w:tcW w:w="84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少量</w:t>
                  </w:r>
                </w:p>
              </w:tc>
              <w:tc>
                <w:tcPr>
                  <w:tcW w:w="1293"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w:t>
                  </w:r>
                </w:p>
              </w:tc>
              <w:tc>
                <w:tcPr>
                  <w:tcW w:w="1029"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w:t>
                  </w:r>
                </w:p>
              </w:tc>
              <w:tc>
                <w:tcPr>
                  <w:tcW w:w="864"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w:t>
                  </w:r>
                </w:p>
              </w:tc>
              <w:tc>
                <w:tcPr>
                  <w:tcW w:w="99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w:t>
                  </w:r>
                </w:p>
              </w:tc>
              <w:tc>
                <w:tcPr>
                  <w:tcW w:w="2155" w:type="dxa"/>
                  <w:gridSpan w:val="2"/>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99" w:hRule="atLeast"/>
                <w:jc w:val="center"/>
              </w:trPr>
              <w:tc>
                <w:tcPr>
                  <w:tcW w:w="859"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破碎</w:t>
                  </w:r>
                </w:p>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筛分</w:t>
                  </w:r>
                </w:p>
              </w:tc>
              <w:tc>
                <w:tcPr>
                  <w:tcW w:w="91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粉尘</w:t>
                  </w:r>
                </w:p>
              </w:tc>
              <w:tc>
                <w:tcPr>
                  <w:tcW w:w="84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1.68</w:t>
                  </w:r>
                </w:p>
              </w:tc>
              <w:tc>
                <w:tcPr>
                  <w:tcW w:w="1293"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0.67kg/h</w:t>
                  </w:r>
                </w:p>
              </w:tc>
              <w:tc>
                <w:tcPr>
                  <w:tcW w:w="1029" w:type="dxa"/>
                  <w:vMerge w:val="restart"/>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厂房封闭，地面硬化，集气罩未收集部分无组织排放</w:t>
                  </w:r>
                </w:p>
              </w:tc>
              <w:tc>
                <w:tcPr>
                  <w:tcW w:w="864"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1.68</w:t>
                  </w:r>
                </w:p>
              </w:tc>
              <w:tc>
                <w:tcPr>
                  <w:tcW w:w="99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0.67kg/h</w:t>
                  </w:r>
                </w:p>
              </w:tc>
              <w:tc>
                <w:tcPr>
                  <w:tcW w:w="2155" w:type="dxa"/>
                  <w:gridSpan w:val="2"/>
                  <w:vMerge w:val="restart"/>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3000m2</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859"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投料</w:t>
                  </w:r>
                </w:p>
              </w:tc>
              <w:tc>
                <w:tcPr>
                  <w:tcW w:w="91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粉尘</w:t>
                  </w:r>
                </w:p>
              </w:tc>
              <w:tc>
                <w:tcPr>
                  <w:tcW w:w="84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0.4</w:t>
                  </w:r>
                </w:p>
              </w:tc>
              <w:tc>
                <w:tcPr>
                  <w:tcW w:w="1293"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0.16kg/h</w:t>
                  </w:r>
                </w:p>
              </w:tc>
              <w:tc>
                <w:tcPr>
                  <w:tcW w:w="1029" w:type="dxa"/>
                  <w:vMerge w:val="continue"/>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p>
              </w:tc>
              <w:tc>
                <w:tcPr>
                  <w:tcW w:w="864"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0.4</w:t>
                  </w:r>
                </w:p>
              </w:tc>
              <w:tc>
                <w:tcPr>
                  <w:tcW w:w="99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0.16kg/h</w:t>
                  </w:r>
                </w:p>
              </w:tc>
              <w:tc>
                <w:tcPr>
                  <w:tcW w:w="2155" w:type="dxa"/>
                  <w:gridSpan w:val="2"/>
                  <w:vMerge w:val="continue"/>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859"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配料</w:t>
                  </w:r>
                </w:p>
              </w:tc>
              <w:tc>
                <w:tcPr>
                  <w:tcW w:w="91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粉尘</w:t>
                  </w:r>
                </w:p>
              </w:tc>
              <w:tc>
                <w:tcPr>
                  <w:tcW w:w="846"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5.57</w:t>
                  </w:r>
                </w:p>
              </w:tc>
              <w:tc>
                <w:tcPr>
                  <w:tcW w:w="1293"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2.23kg/h</w:t>
                  </w:r>
                </w:p>
              </w:tc>
              <w:tc>
                <w:tcPr>
                  <w:tcW w:w="1029"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地面硬化+洒水+料仓封闭：60%</w:t>
                  </w:r>
                </w:p>
              </w:tc>
              <w:tc>
                <w:tcPr>
                  <w:tcW w:w="864"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2.23</w:t>
                  </w:r>
                </w:p>
              </w:tc>
              <w:tc>
                <w:tcPr>
                  <w:tcW w:w="998" w:type="dxa"/>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0.89kg/h</w:t>
                  </w:r>
                </w:p>
              </w:tc>
              <w:tc>
                <w:tcPr>
                  <w:tcW w:w="2155" w:type="dxa"/>
                  <w:gridSpan w:val="2"/>
                  <w:noWrap w:val="0"/>
                  <w:vAlign w:val="center"/>
                </w:tcPr>
                <w:p>
                  <w:pPr>
                    <w:pStyle w:val="16"/>
                    <w:jc w:val="center"/>
                    <w:rPr>
                      <w:rFonts w:hint="default" w:ascii="Times New Roman" w:hAnsi="Times New Roman" w:eastAsia="宋体" w:cs="Times New Roman"/>
                      <w:b w:val="0"/>
                      <w:color w:val="auto"/>
                      <w:kern w:val="0"/>
                      <w:sz w:val="21"/>
                      <w:szCs w:val="21"/>
                      <w:lang w:val="en-US" w:eastAsia="zh-CN"/>
                    </w:rPr>
                  </w:pPr>
                  <w:r>
                    <w:rPr>
                      <w:rFonts w:hint="default" w:ascii="Times New Roman" w:hAnsi="Times New Roman" w:eastAsia="宋体" w:cs="Times New Roman"/>
                      <w:b w:val="0"/>
                      <w:color w:val="auto"/>
                      <w:kern w:val="0"/>
                      <w:sz w:val="21"/>
                      <w:szCs w:val="21"/>
                      <w:lang w:val="en-US" w:eastAsia="zh-CN"/>
                    </w:rPr>
                    <w:t>550m2</w:t>
                  </w:r>
                </w:p>
              </w:tc>
            </w:tr>
          </w:tbl>
          <w:p>
            <w:pPr>
              <w:spacing w:line="500" w:lineRule="exact"/>
              <w:ind w:firstLine="480" w:firstLineChars="200"/>
              <w:rPr>
                <w:rFonts w:hint="default" w:ascii="Times New Roman" w:hAnsi="Times New Roman" w:eastAsia="宋体" w:cs="Times New Roman"/>
                <w:b w:val="0"/>
                <w:bCs/>
                <w:sz w:val="24"/>
                <w:szCs w:val="24"/>
                <w:lang w:eastAsia="zh-CN"/>
              </w:rPr>
            </w:pPr>
            <w:r>
              <w:rPr>
                <w:rFonts w:hint="eastAsia" w:cs="Times New Roman"/>
                <w:b w:val="0"/>
                <w:bCs/>
                <w:color w:val="000000"/>
                <w:sz w:val="24"/>
                <w:szCs w:val="24"/>
                <w:lang w:val="en-US" w:eastAsia="zh-CN"/>
              </w:rPr>
              <w:t>2.</w:t>
            </w:r>
            <w:r>
              <w:rPr>
                <w:rFonts w:hint="default" w:ascii="Times New Roman" w:hAnsi="Times New Roman" w:eastAsia="宋体" w:cs="Times New Roman"/>
                <w:b w:val="0"/>
                <w:bCs/>
                <w:sz w:val="24"/>
                <w:szCs w:val="24"/>
              </w:rPr>
              <w:t>废水</w:t>
            </w:r>
          </w:p>
          <w:p>
            <w:pPr>
              <w:spacing w:line="500" w:lineRule="exact"/>
              <w:ind w:firstLine="480" w:firstLineChars="200"/>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本项目用水主要为喷淋用水，厂区内地面洒水、抑尘用水，车辆清洗用水，</w:t>
            </w:r>
            <w:r>
              <w:rPr>
                <w:rFonts w:hint="default" w:ascii="Times New Roman" w:hAnsi="Times New Roman" w:eastAsia="宋体" w:cs="Times New Roman"/>
                <w:sz w:val="24"/>
                <w:szCs w:val="24"/>
              </w:rPr>
              <w:t>设备清洗用水，配料用水</w:t>
            </w:r>
            <w:r>
              <w:rPr>
                <w:rFonts w:hint="default" w:ascii="Times New Roman" w:hAnsi="Times New Roman" w:eastAsia="宋体" w:cs="Times New Roman"/>
                <w:bCs/>
                <w:iCs/>
                <w:sz w:val="24"/>
                <w:szCs w:val="24"/>
              </w:rPr>
              <w:t>和员工生活用水。</w:t>
            </w:r>
          </w:p>
          <w:p>
            <w:pPr>
              <w:spacing w:line="500" w:lineRule="exact"/>
              <w:ind w:firstLine="480" w:firstLineChars="200"/>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（1）喷淋用水</w:t>
            </w:r>
          </w:p>
          <w:p>
            <w:pPr>
              <w:spacing w:line="500" w:lineRule="exact"/>
              <w:ind w:firstLine="480" w:firstLineChars="200"/>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本项目生产车间内原料库配备雾化洒水设施，抑尘喷淋用水全部进入到产品中，无废水产生。根据项目原料库和成品库面积及物料堆存情况，拟设置洒水喷头20个，精细雾化喷嘴喷头流量一般在0.0125~0.24L/分，本次取0.24m</w:t>
            </w:r>
            <w:r>
              <w:rPr>
                <w:rFonts w:hint="default" w:ascii="Times New Roman" w:hAnsi="Times New Roman" w:eastAsia="宋体" w:cs="Times New Roman"/>
                <w:bCs/>
                <w:iCs/>
                <w:sz w:val="24"/>
                <w:szCs w:val="24"/>
                <w:vertAlign w:val="superscript"/>
              </w:rPr>
              <w:t>3</w:t>
            </w:r>
            <w:r>
              <w:rPr>
                <w:rFonts w:hint="default" w:ascii="Times New Roman" w:hAnsi="Times New Roman" w:eastAsia="宋体" w:cs="Times New Roman"/>
                <w:bCs/>
                <w:iCs/>
                <w:sz w:val="24"/>
                <w:szCs w:val="24"/>
              </w:rPr>
              <w:t>/h进行计算，每天开启8h，根据计算，用水量约为2.304m</w:t>
            </w:r>
            <w:r>
              <w:rPr>
                <w:rFonts w:hint="default" w:ascii="Times New Roman" w:hAnsi="Times New Roman" w:eastAsia="宋体" w:cs="Times New Roman"/>
                <w:bCs/>
                <w:iCs/>
                <w:sz w:val="24"/>
                <w:szCs w:val="24"/>
                <w:vertAlign w:val="superscript"/>
              </w:rPr>
              <w:t>3</w:t>
            </w:r>
            <w:r>
              <w:rPr>
                <w:rFonts w:hint="default" w:ascii="Times New Roman" w:hAnsi="Times New Roman" w:eastAsia="宋体" w:cs="Times New Roman"/>
                <w:bCs/>
                <w:iCs/>
                <w:sz w:val="24"/>
                <w:szCs w:val="24"/>
              </w:rPr>
              <w:t>/d（691.2m</w:t>
            </w:r>
            <w:r>
              <w:rPr>
                <w:rFonts w:hint="default" w:ascii="Times New Roman" w:hAnsi="Times New Roman" w:eastAsia="宋体" w:cs="Times New Roman"/>
                <w:bCs/>
                <w:iCs/>
                <w:sz w:val="24"/>
                <w:szCs w:val="24"/>
                <w:vertAlign w:val="superscript"/>
              </w:rPr>
              <w:t>3</w:t>
            </w:r>
            <w:r>
              <w:rPr>
                <w:rFonts w:hint="default" w:ascii="Times New Roman" w:hAnsi="Times New Roman" w:eastAsia="宋体" w:cs="Times New Roman"/>
                <w:bCs/>
                <w:iCs/>
                <w:sz w:val="24"/>
                <w:szCs w:val="24"/>
              </w:rPr>
              <w:t xml:space="preserve">/a）。此部分用水全部随物料进入生产系统，有抑尘增湿作用，对环境起改善作用，无废水外排。 </w:t>
            </w:r>
          </w:p>
          <w:p>
            <w:pPr>
              <w:spacing w:line="500" w:lineRule="exact"/>
              <w:ind w:firstLine="480" w:firstLineChars="200"/>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（2）厂区内地面洒水、抑尘用水</w:t>
            </w:r>
          </w:p>
          <w:p>
            <w:pPr>
              <w:spacing w:line="500" w:lineRule="exact"/>
              <w:ind w:firstLine="480" w:firstLineChars="200"/>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根据建设单位提供的资料，洒水车每天两次对厂区内地面进行洒水、抑尘，经类比，每次用水量约为2.5m</w:t>
            </w:r>
            <w:r>
              <w:rPr>
                <w:rFonts w:hint="default" w:ascii="Times New Roman" w:hAnsi="Times New Roman" w:eastAsia="宋体" w:cs="Times New Roman"/>
                <w:bCs/>
                <w:iCs/>
                <w:sz w:val="24"/>
                <w:szCs w:val="24"/>
                <w:vertAlign w:val="superscript"/>
              </w:rPr>
              <w:t>3</w:t>
            </w:r>
            <w:r>
              <w:rPr>
                <w:rFonts w:hint="default" w:ascii="Times New Roman" w:hAnsi="Times New Roman" w:eastAsia="宋体" w:cs="Times New Roman"/>
                <w:bCs/>
                <w:iCs/>
                <w:sz w:val="24"/>
                <w:szCs w:val="24"/>
              </w:rPr>
              <w:t>，则厂区内地面洒水、抑尘用水量为5m</w:t>
            </w:r>
            <w:r>
              <w:rPr>
                <w:rFonts w:hint="default" w:ascii="Times New Roman" w:hAnsi="Times New Roman" w:eastAsia="宋体" w:cs="Times New Roman"/>
                <w:bCs/>
                <w:iCs/>
                <w:sz w:val="24"/>
                <w:szCs w:val="24"/>
                <w:vertAlign w:val="superscript"/>
              </w:rPr>
              <w:t>3</w:t>
            </w:r>
            <w:r>
              <w:rPr>
                <w:rFonts w:hint="default" w:ascii="Times New Roman" w:hAnsi="Times New Roman" w:eastAsia="宋体" w:cs="Times New Roman"/>
                <w:bCs/>
                <w:iCs/>
                <w:sz w:val="24"/>
                <w:szCs w:val="24"/>
              </w:rPr>
              <w:t>/d（1500m</w:t>
            </w:r>
            <w:r>
              <w:rPr>
                <w:rFonts w:hint="default" w:ascii="Times New Roman" w:hAnsi="Times New Roman" w:eastAsia="宋体" w:cs="Times New Roman"/>
                <w:bCs/>
                <w:iCs/>
                <w:sz w:val="24"/>
                <w:szCs w:val="24"/>
                <w:vertAlign w:val="superscript"/>
              </w:rPr>
              <w:t>3</w:t>
            </w:r>
            <w:r>
              <w:rPr>
                <w:rFonts w:hint="default" w:ascii="Times New Roman" w:hAnsi="Times New Roman" w:eastAsia="宋体" w:cs="Times New Roman"/>
                <w:bCs/>
                <w:iCs/>
                <w:sz w:val="24"/>
                <w:szCs w:val="24"/>
              </w:rPr>
              <w:t>/a），该部分用水全部挥发，不外排。</w:t>
            </w:r>
          </w:p>
          <w:p>
            <w:pPr>
              <w:spacing w:line="500" w:lineRule="exact"/>
              <w:ind w:firstLine="480" w:firstLineChars="200"/>
              <w:rPr>
                <w:rFonts w:hint="default" w:ascii="Times New Roman" w:hAnsi="Times New Roman" w:eastAsia="宋体" w:cs="Times New Roman"/>
                <w:b/>
                <w:bCs/>
                <w:iCs/>
                <w:sz w:val="24"/>
                <w:szCs w:val="24"/>
              </w:rPr>
            </w:pPr>
            <w:r>
              <w:rPr>
                <w:rFonts w:hint="default" w:ascii="Times New Roman" w:hAnsi="Times New Roman" w:eastAsia="宋体" w:cs="Times New Roman"/>
                <w:bCs/>
                <w:iCs/>
                <w:sz w:val="24"/>
                <w:szCs w:val="24"/>
              </w:rPr>
              <w:t>（3）车辆清洗用水</w:t>
            </w:r>
          </w:p>
          <w:p>
            <w:pPr>
              <w:spacing w:line="500" w:lineRule="exact"/>
              <w:ind w:firstLine="480" w:firstLineChars="200"/>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运输车辆出厂区前需要进行冲洗，避免带土上路。根据建设单位提供的资料，单辆运输车冲洗用水量为0.1m</w:t>
            </w:r>
            <w:r>
              <w:rPr>
                <w:rFonts w:hint="default" w:ascii="Times New Roman" w:hAnsi="Times New Roman" w:eastAsia="宋体" w:cs="Times New Roman"/>
                <w:bCs/>
                <w:iCs/>
                <w:sz w:val="24"/>
                <w:szCs w:val="24"/>
                <w:vertAlign w:val="superscript"/>
              </w:rPr>
              <w:t>3</w:t>
            </w:r>
            <w:r>
              <w:rPr>
                <w:rFonts w:hint="default" w:ascii="Times New Roman" w:hAnsi="Times New Roman" w:eastAsia="宋体" w:cs="Times New Roman"/>
                <w:bCs/>
                <w:iCs/>
                <w:sz w:val="24"/>
                <w:szCs w:val="24"/>
              </w:rPr>
              <w:t>/辆次，每天需运输35辆次（全年装卸各5175次），则冲洗水用量为3.5m</w:t>
            </w:r>
            <w:r>
              <w:rPr>
                <w:rFonts w:hint="default" w:ascii="Times New Roman" w:hAnsi="Times New Roman" w:eastAsia="宋体" w:cs="Times New Roman"/>
                <w:bCs/>
                <w:iCs/>
                <w:sz w:val="24"/>
                <w:szCs w:val="24"/>
                <w:vertAlign w:val="superscript"/>
              </w:rPr>
              <w:t>3</w:t>
            </w:r>
            <w:r>
              <w:rPr>
                <w:rFonts w:hint="default" w:ascii="Times New Roman" w:hAnsi="Times New Roman" w:eastAsia="宋体" w:cs="Times New Roman"/>
                <w:bCs/>
                <w:iCs/>
                <w:sz w:val="24"/>
                <w:szCs w:val="24"/>
              </w:rPr>
              <w:t>/d（1050m</w:t>
            </w:r>
            <w:r>
              <w:rPr>
                <w:rFonts w:hint="default" w:ascii="Times New Roman" w:hAnsi="Times New Roman" w:eastAsia="宋体" w:cs="Times New Roman"/>
                <w:bCs/>
                <w:iCs/>
                <w:sz w:val="24"/>
                <w:szCs w:val="24"/>
                <w:vertAlign w:val="superscript"/>
              </w:rPr>
              <w:t>3</w:t>
            </w:r>
            <w:r>
              <w:rPr>
                <w:rFonts w:hint="default" w:ascii="Times New Roman" w:hAnsi="Times New Roman" w:eastAsia="宋体" w:cs="Times New Roman"/>
                <w:bCs/>
                <w:iCs/>
                <w:sz w:val="24"/>
                <w:szCs w:val="24"/>
              </w:rPr>
              <w:t>/a），由于蒸发、车辆带走造成废水损失率按20%计，则废水损失量为0.7m</w:t>
            </w:r>
            <w:r>
              <w:rPr>
                <w:rFonts w:hint="default" w:ascii="Times New Roman" w:hAnsi="Times New Roman" w:eastAsia="宋体" w:cs="Times New Roman"/>
                <w:bCs/>
                <w:iCs/>
                <w:sz w:val="24"/>
                <w:szCs w:val="24"/>
                <w:vertAlign w:val="superscript"/>
              </w:rPr>
              <w:t>3</w:t>
            </w:r>
            <w:r>
              <w:rPr>
                <w:rFonts w:hint="default" w:ascii="Times New Roman" w:hAnsi="Times New Roman" w:eastAsia="宋体" w:cs="Times New Roman"/>
                <w:bCs/>
                <w:iCs/>
                <w:sz w:val="24"/>
                <w:szCs w:val="24"/>
              </w:rPr>
              <w:t>/d（210m</w:t>
            </w:r>
            <w:r>
              <w:rPr>
                <w:rFonts w:hint="default" w:ascii="Times New Roman" w:hAnsi="Times New Roman" w:eastAsia="宋体" w:cs="Times New Roman"/>
                <w:bCs/>
                <w:iCs/>
                <w:sz w:val="24"/>
                <w:szCs w:val="24"/>
                <w:vertAlign w:val="superscript"/>
              </w:rPr>
              <w:t>3</w:t>
            </w:r>
            <w:r>
              <w:rPr>
                <w:rFonts w:hint="default" w:ascii="Times New Roman" w:hAnsi="Times New Roman" w:eastAsia="宋体" w:cs="Times New Roman"/>
                <w:bCs/>
                <w:iCs/>
                <w:sz w:val="24"/>
                <w:szCs w:val="24"/>
              </w:rPr>
              <w:t>/a），运输车辆冲洗废水产生量为2.8m</w:t>
            </w:r>
            <w:r>
              <w:rPr>
                <w:rFonts w:hint="default" w:ascii="Times New Roman" w:hAnsi="Times New Roman" w:eastAsia="宋体" w:cs="Times New Roman"/>
                <w:bCs/>
                <w:iCs/>
                <w:sz w:val="24"/>
                <w:szCs w:val="24"/>
                <w:vertAlign w:val="superscript"/>
              </w:rPr>
              <w:t>3</w:t>
            </w:r>
            <w:r>
              <w:rPr>
                <w:rFonts w:hint="default" w:ascii="Times New Roman" w:hAnsi="Times New Roman" w:eastAsia="宋体" w:cs="Times New Roman"/>
                <w:bCs/>
                <w:iCs/>
                <w:sz w:val="24"/>
                <w:szCs w:val="24"/>
              </w:rPr>
              <w:t>/d（840m</w:t>
            </w:r>
            <w:r>
              <w:rPr>
                <w:rFonts w:hint="default" w:ascii="Times New Roman" w:hAnsi="Times New Roman" w:eastAsia="宋体" w:cs="Times New Roman"/>
                <w:bCs/>
                <w:iCs/>
                <w:sz w:val="24"/>
                <w:szCs w:val="24"/>
                <w:vertAlign w:val="superscript"/>
              </w:rPr>
              <w:t>3</w:t>
            </w:r>
            <w:r>
              <w:rPr>
                <w:rFonts w:hint="default" w:ascii="Times New Roman" w:hAnsi="Times New Roman" w:eastAsia="宋体" w:cs="Times New Roman"/>
                <w:bCs/>
                <w:iCs/>
                <w:sz w:val="24"/>
                <w:szCs w:val="24"/>
              </w:rPr>
              <w:t>/a）。</w:t>
            </w:r>
          </w:p>
          <w:p>
            <w:pPr>
              <w:spacing w:line="500" w:lineRule="exact"/>
              <w:ind w:firstLine="480" w:firstLineChars="200"/>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本环评建议在厂区出口处建设感应式高压廊道冲洗设备，并在该设备处配套建设1座10m</w:t>
            </w:r>
            <w:r>
              <w:rPr>
                <w:rFonts w:hint="default" w:ascii="Times New Roman" w:hAnsi="Times New Roman" w:eastAsia="宋体" w:cs="Times New Roman"/>
                <w:bCs/>
                <w:iCs/>
                <w:sz w:val="24"/>
                <w:szCs w:val="24"/>
                <w:vertAlign w:val="superscript"/>
              </w:rPr>
              <w:t>3</w:t>
            </w:r>
            <w:r>
              <w:rPr>
                <w:rFonts w:hint="default" w:ascii="Times New Roman" w:hAnsi="Times New Roman" w:eastAsia="宋体" w:cs="Times New Roman"/>
                <w:bCs/>
                <w:iCs/>
                <w:sz w:val="24"/>
                <w:szCs w:val="24"/>
              </w:rPr>
              <w:t>沉淀池，车辆经过廊道时，感应器控制喷头放水，对运输车辆进行冲洗，该部分废水主要污染因子为SS，经类比，其浓度约为3000mg/L，该部分废水经沉淀池沉淀后循环使用，不外排，仅定期补充，经核算定期补充量为0.7m</w:t>
            </w:r>
            <w:r>
              <w:rPr>
                <w:rFonts w:hint="default" w:ascii="Times New Roman" w:hAnsi="Times New Roman" w:eastAsia="宋体" w:cs="Times New Roman"/>
                <w:bCs/>
                <w:iCs/>
                <w:sz w:val="24"/>
                <w:szCs w:val="24"/>
                <w:vertAlign w:val="superscript"/>
              </w:rPr>
              <w:t>3</w:t>
            </w:r>
            <w:r>
              <w:rPr>
                <w:rFonts w:hint="default" w:ascii="Times New Roman" w:hAnsi="Times New Roman" w:eastAsia="宋体" w:cs="Times New Roman"/>
                <w:bCs/>
                <w:iCs/>
                <w:sz w:val="24"/>
                <w:szCs w:val="24"/>
              </w:rPr>
              <w:t>/d（210m</w:t>
            </w:r>
            <w:r>
              <w:rPr>
                <w:rFonts w:hint="default" w:ascii="Times New Roman" w:hAnsi="Times New Roman" w:eastAsia="宋体" w:cs="Times New Roman"/>
                <w:bCs/>
                <w:iCs/>
                <w:sz w:val="24"/>
                <w:szCs w:val="24"/>
                <w:vertAlign w:val="superscript"/>
              </w:rPr>
              <w:t>3</w:t>
            </w:r>
            <w:r>
              <w:rPr>
                <w:rFonts w:hint="default" w:ascii="Times New Roman" w:hAnsi="Times New Roman" w:eastAsia="宋体" w:cs="Times New Roman"/>
                <w:bCs/>
                <w:iCs/>
                <w:sz w:val="24"/>
                <w:szCs w:val="24"/>
              </w:rPr>
              <w:t>/a）。</w:t>
            </w:r>
          </w:p>
          <w:p>
            <w:pPr>
              <w:spacing w:line="500" w:lineRule="exact"/>
              <w:ind w:firstLine="480" w:firstLineChars="200"/>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（4）</w:t>
            </w:r>
            <w:r>
              <w:rPr>
                <w:rFonts w:hint="default" w:ascii="Times New Roman" w:hAnsi="Times New Roman" w:eastAsia="宋体" w:cs="Times New Roman"/>
                <w:sz w:val="24"/>
                <w:szCs w:val="24"/>
              </w:rPr>
              <w:t>设备清洗用水</w:t>
            </w:r>
          </w:p>
          <w:p>
            <w:pPr>
              <w:spacing w:line="500" w:lineRule="exact"/>
              <w:ind w:firstLine="480" w:firstLineChars="200"/>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搅拌机和拌合机为本项目的主要生产设备，其在暂时停止生产时必须冲洗干净。冲洗水主要用来冲洗搅拌机机械密封，防止固体物质进入密封，造成密封损坏及冲洗稀释搅拌器叶轮附近的区域，防止搅拌器叶轮被沉积物包裹而不能启动。搅拌器停止生产原因有生产节奏的问题及设备检修问题。本项目按搅拌机和拌合机平均每1天冲洗1次，每次冲洗水各按2t计算，搅拌机和拌合机冲洗水使用量为1200t/a。则废水产生量为4t/d，1200t/a。搅拌机冲洗水由混凝土运输车辆接收运输至砂石分离机进行砂石分离处理。</w:t>
            </w:r>
            <w:r>
              <w:rPr>
                <w:rFonts w:hint="default" w:ascii="Times New Roman" w:hAnsi="Times New Roman" w:eastAsia="宋体" w:cs="Times New Roman"/>
                <w:sz w:val="24"/>
                <w:szCs w:val="24"/>
              </w:rPr>
              <w:t>经咨询建设单位，这部分废水经1座300m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的三级沉淀池沉淀后可作为配料用水回用于生产。该部分废水可以全部回用，不外排。</w:t>
            </w:r>
          </w:p>
          <w:p>
            <w:pPr>
              <w:spacing w:line="500" w:lineRule="exact"/>
              <w:ind w:firstLine="480" w:firstLineChars="200"/>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（5）配料用水</w:t>
            </w:r>
          </w:p>
          <w:p>
            <w:pPr>
              <w:spacing w:line="500" w:lineRule="exact"/>
              <w:ind w:firstLine="480" w:firstLineChars="200"/>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根据项目原辅材料配比计算，项目水稳碎石生产原料用水量共计6000m</w:t>
            </w:r>
            <w:r>
              <w:rPr>
                <w:rFonts w:hint="default" w:ascii="Times New Roman" w:hAnsi="Times New Roman" w:eastAsia="宋体" w:cs="Times New Roman"/>
                <w:bCs/>
                <w:iCs/>
                <w:sz w:val="24"/>
                <w:szCs w:val="24"/>
                <w:vertAlign w:val="superscript"/>
              </w:rPr>
              <w:t>3</w:t>
            </w:r>
            <w:r>
              <w:rPr>
                <w:rFonts w:hint="default" w:ascii="Times New Roman" w:hAnsi="Times New Roman" w:eastAsia="宋体" w:cs="Times New Roman"/>
                <w:bCs/>
                <w:iCs/>
                <w:sz w:val="24"/>
                <w:szCs w:val="24"/>
              </w:rPr>
              <w:t>/a（20m</w:t>
            </w:r>
            <w:r>
              <w:rPr>
                <w:rFonts w:hint="default" w:ascii="Times New Roman" w:hAnsi="Times New Roman" w:eastAsia="宋体" w:cs="Times New Roman"/>
                <w:bCs/>
                <w:iCs/>
                <w:sz w:val="24"/>
                <w:szCs w:val="24"/>
                <w:vertAlign w:val="superscript"/>
              </w:rPr>
              <w:t>3</w:t>
            </w:r>
            <w:r>
              <w:rPr>
                <w:rFonts w:hint="default" w:ascii="Times New Roman" w:hAnsi="Times New Roman" w:eastAsia="宋体" w:cs="Times New Roman"/>
                <w:bCs/>
                <w:iCs/>
                <w:sz w:val="24"/>
                <w:szCs w:val="24"/>
              </w:rPr>
              <w:t>/d）。项目商品混凝土生产原料用水量共计17500m</w:t>
            </w:r>
            <w:r>
              <w:rPr>
                <w:rFonts w:hint="default" w:ascii="Times New Roman" w:hAnsi="Times New Roman" w:eastAsia="宋体" w:cs="Times New Roman"/>
                <w:bCs/>
                <w:iCs/>
                <w:sz w:val="24"/>
                <w:szCs w:val="24"/>
                <w:vertAlign w:val="superscript"/>
              </w:rPr>
              <w:t>3</w:t>
            </w:r>
            <w:r>
              <w:rPr>
                <w:rFonts w:hint="default" w:ascii="Times New Roman" w:hAnsi="Times New Roman" w:eastAsia="宋体" w:cs="Times New Roman"/>
                <w:bCs/>
                <w:iCs/>
                <w:sz w:val="24"/>
                <w:szCs w:val="24"/>
              </w:rPr>
              <w:t>/a（58.3m</w:t>
            </w:r>
            <w:r>
              <w:rPr>
                <w:rFonts w:hint="default" w:ascii="Times New Roman" w:hAnsi="Times New Roman" w:eastAsia="宋体" w:cs="Times New Roman"/>
                <w:bCs/>
                <w:iCs/>
                <w:sz w:val="24"/>
                <w:szCs w:val="24"/>
                <w:vertAlign w:val="superscript"/>
              </w:rPr>
              <w:t>3</w:t>
            </w:r>
            <w:r>
              <w:rPr>
                <w:rFonts w:hint="default" w:ascii="Times New Roman" w:hAnsi="Times New Roman" w:eastAsia="宋体" w:cs="Times New Roman"/>
                <w:bCs/>
                <w:iCs/>
                <w:sz w:val="24"/>
                <w:szCs w:val="24"/>
              </w:rPr>
              <w:t>/d）。原料搅拌时加入，此部分水，留着产品中，不向外排放。</w:t>
            </w:r>
          </w:p>
          <w:p>
            <w:pPr>
              <w:spacing w:line="500" w:lineRule="exact"/>
              <w:ind w:firstLine="480" w:firstLineChars="200"/>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（6）员工生活用水</w:t>
            </w:r>
          </w:p>
          <w:p>
            <w:pPr>
              <w:spacing w:line="500" w:lineRule="exact"/>
              <w:ind w:firstLine="480" w:firstLineChars="200"/>
              <w:rPr>
                <w:rFonts w:hint="default" w:ascii="Times New Roman" w:hAnsi="Times New Roman" w:eastAsia="宋体" w:cs="Times New Roman"/>
                <w:bCs/>
                <w:iCs/>
                <w:color w:val="FF0000"/>
                <w:sz w:val="24"/>
                <w:szCs w:val="24"/>
              </w:rPr>
            </w:pPr>
            <w:r>
              <w:rPr>
                <w:rFonts w:hint="default" w:ascii="Times New Roman" w:hAnsi="Times New Roman" w:eastAsia="宋体" w:cs="Times New Roman"/>
                <w:bCs/>
                <w:iCs/>
                <w:sz w:val="24"/>
                <w:szCs w:val="24"/>
              </w:rPr>
              <w:t>项目劳动定员20人，均不在厂区食宿，厂内采用水冲厕，年工作300天，按照《河南省地方标准 工业与城镇生活用水定额》（DB41/T 385-2014），城镇居民生活用水定额，用水80L/（人•d），调整系数为0.9~1.1；本项目取80L/（人•d），则生活用水量为1.6m</w:t>
            </w:r>
            <w:r>
              <w:rPr>
                <w:rFonts w:hint="default" w:ascii="Times New Roman" w:hAnsi="Times New Roman" w:eastAsia="宋体" w:cs="Times New Roman"/>
                <w:bCs/>
                <w:iCs/>
                <w:sz w:val="24"/>
                <w:szCs w:val="24"/>
                <w:vertAlign w:val="superscript"/>
              </w:rPr>
              <w:t>3</w:t>
            </w:r>
            <w:r>
              <w:rPr>
                <w:rFonts w:hint="default" w:ascii="Times New Roman" w:hAnsi="Times New Roman" w:eastAsia="宋体" w:cs="Times New Roman"/>
                <w:bCs/>
                <w:iCs/>
                <w:sz w:val="24"/>
                <w:szCs w:val="24"/>
              </w:rPr>
              <w:t>/d（480m</w:t>
            </w:r>
            <w:r>
              <w:rPr>
                <w:rFonts w:hint="default" w:ascii="Times New Roman" w:hAnsi="Times New Roman" w:eastAsia="宋体" w:cs="Times New Roman"/>
                <w:bCs/>
                <w:iCs/>
                <w:sz w:val="24"/>
                <w:szCs w:val="24"/>
                <w:vertAlign w:val="superscript"/>
              </w:rPr>
              <w:t>3</w:t>
            </w:r>
            <w:r>
              <w:rPr>
                <w:rFonts w:hint="default" w:ascii="Times New Roman" w:hAnsi="Times New Roman" w:eastAsia="宋体" w:cs="Times New Roman"/>
                <w:bCs/>
                <w:iCs/>
                <w:sz w:val="24"/>
                <w:szCs w:val="24"/>
              </w:rPr>
              <w:t>/a），排放系数取0.8，则生活废水产生量1.28m</w:t>
            </w:r>
            <w:r>
              <w:rPr>
                <w:rFonts w:hint="default" w:ascii="Times New Roman" w:hAnsi="Times New Roman" w:eastAsia="宋体" w:cs="Times New Roman"/>
                <w:bCs/>
                <w:iCs/>
                <w:sz w:val="24"/>
                <w:szCs w:val="24"/>
                <w:vertAlign w:val="superscript"/>
              </w:rPr>
              <w:t>3</w:t>
            </w:r>
            <w:r>
              <w:rPr>
                <w:rFonts w:hint="default" w:ascii="Times New Roman" w:hAnsi="Times New Roman" w:eastAsia="宋体" w:cs="Times New Roman"/>
                <w:bCs/>
                <w:iCs/>
                <w:sz w:val="24"/>
                <w:szCs w:val="24"/>
              </w:rPr>
              <w:t>/d(384m</w:t>
            </w:r>
            <w:r>
              <w:rPr>
                <w:rFonts w:hint="default" w:ascii="Times New Roman" w:hAnsi="Times New Roman" w:eastAsia="宋体" w:cs="Times New Roman"/>
                <w:bCs/>
                <w:iCs/>
                <w:sz w:val="24"/>
                <w:szCs w:val="24"/>
                <w:vertAlign w:val="superscript"/>
              </w:rPr>
              <w:t>3</w:t>
            </w:r>
            <w:r>
              <w:rPr>
                <w:rFonts w:hint="default" w:ascii="Times New Roman" w:hAnsi="Times New Roman" w:eastAsia="宋体" w:cs="Times New Roman"/>
                <w:bCs/>
                <w:iCs/>
                <w:sz w:val="24"/>
                <w:szCs w:val="24"/>
              </w:rPr>
              <w:t>/a），该部分废水经企业自建的化粪池（10m</w:t>
            </w:r>
            <w:r>
              <w:rPr>
                <w:rFonts w:hint="default" w:ascii="Times New Roman" w:hAnsi="Times New Roman" w:eastAsia="宋体" w:cs="Times New Roman"/>
                <w:bCs/>
                <w:iCs/>
                <w:sz w:val="24"/>
                <w:szCs w:val="24"/>
                <w:vertAlign w:val="superscript"/>
              </w:rPr>
              <w:t>3</w:t>
            </w:r>
            <w:r>
              <w:rPr>
                <w:rFonts w:hint="default" w:ascii="Times New Roman" w:hAnsi="Times New Roman" w:eastAsia="宋体" w:cs="Times New Roman"/>
                <w:bCs/>
                <w:iCs/>
                <w:sz w:val="24"/>
                <w:szCs w:val="24"/>
              </w:rPr>
              <w:t>）处理和暂存池（30m</w:t>
            </w:r>
            <w:r>
              <w:rPr>
                <w:rFonts w:hint="default" w:ascii="Times New Roman" w:hAnsi="Times New Roman" w:eastAsia="宋体" w:cs="Times New Roman"/>
                <w:bCs/>
                <w:iCs/>
                <w:sz w:val="24"/>
                <w:szCs w:val="24"/>
                <w:vertAlign w:val="superscript"/>
              </w:rPr>
              <w:t>3</w:t>
            </w:r>
            <w:r>
              <w:rPr>
                <w:rFonts w:hint="default" w:ascii="Times New Roman" w:hAnsi="Times New Roman" w:eastAsia="宋体" w:cs="Times New Roman"/>
                <w:bCs/>
                <w:iCs/>
                <w:sz w:val="24"/>
                <w:szCs w:val="24"/>
              </w:rPr>
              <w:t>）暂存后，定期清运</w:t>
            </w:r>
            <w:bookmarkStart w:id="19" w:name="OLE_LINK3"/>
            <w:bookmarkStart w:id="20" w:name="OLE_LINK1"/>
            <w:r>
              <w:rPr>
                <w:rFonts w:hint="default" w:ascii="Times New Roman" w:hAnsi="Times New Roman" w:eastAsia="宋体" w:cs="Times New Roman"/>
                <w:bCs/>
                <w:iCs/>
                <w:sz w:val="24"/>
                <w:szCs w:val="24"/>
              </w:rPr>
              <w:t>用于肥田</w:t>
            </w:r>
            <w:bookmarkEnd w:id="19"/>
            <w:bookmarkEnd w:id="20"/>
            <w:r>
              <w:rPr>
                <w:rFonts w:hint="default" w:ascii="Times New Roman" w:hAnsi="Times New Roman" w:eastAsia="宋体" w:cs="Times New Roman"/>
                <w:bCs/>
                <w:iCs/>
                <w:sz w:val="24"/>
                <w:szCs w:val="24"/>
              </w:rPr>
              <w:t>。</w:t>
            </w:r>
          </w:p>
          <w:p>
            <w:pPr>
              <w:spacing w:line="500" w:lineRule="exact"/>
              <w:ind w:firstLine="480" w:firstLineChars="200"/>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（7）项目水平衡图</w:t>
            </w:r>
          </w:p>
          <w:p>
            <w:pPr>
              <w:spacing w:line="500" w:lineRule="exact"/>
              <w:ind w:firstLine="480" w:firstLineChars="200"/>
              <w:rPr>
                <w:rFonts w:hint="default" w:ascii="Times New Roman" w:hAnsi="Times New Roman" w:eastAsia="宋体" w:cs="Times New Roman"/>
                <w:bCs/>
                <w:iCs/>
                <w:sz w:val="24"/>
                <w:szCs w:val="24"/>
              </w:rPr>
            </w:pPr>
            <w:bookmarkStart w:id="21" w:name="OLE_LINK4"/>
            <w:r>
              <w:rPr>
                <w:rFonts w:hint="default" w:ascii="Times New Roman" w:hAnsi="Times New Roman" w:eastAsia="宋体" w:cs="Times New Roman"/>
                <w:bCs/>
                <w:iCs/>
                <w:sz w:val="24"/>
                <w:szCs w:val="24"/>
              </w:rPr>
              <w:t>项目水平衡图</w:t>
            </w:r>
            <w:bookmarkEnd w:id="21"/>
            <w:r>
              <w:rPr>
                <w:rFonts w:hint="default" w:ascii="Times New Roman" w:hAnsi="Times New Roman" w:eastAsia="宋体" w:cs="Times New Roman"/>
                <w:bCs/>
                <w:iCs/>
                <w:sz w:val="24"/>
                <w:szCs w:val="24"/>
              </w:rPr>
              <w:t>见图4。</w:t>
            </w:r>
          </w:p>
          <w:p>
            <w:pPr>
              <w:pStyle w:val="133"/>
              <w:ind w:firstLine="0"/>
              <w:jc w:val="center"/>
              <w:rPr>
                <w:rFonts w:hint="default" w:ascii="Times New Roman" w:hAnsi="Times New Roman" w:eastAsia="宋体" w:cs="Times New Roman"/>
                <w:sz w:val="24"/>
                <w:szCs w:val="22"/>
              </w:rPr>
            </w:pPr>
            <w:r>
              <w:rPr>
                <w:rFonts w:hint="default" w:ascii="Times New Roman" w:hAnsi="Times New Roman" w:eastAsia="宋体" w:cs="Times New Roman"/>
                <w:bCs/>
                <w:sz w:val="24"/>
                <w:szCs w:val="24"/>
              </w:rPr>
              <mc:AlternateContent>
                <mc:Choice Requires="wpc">
                  <w:drawing>
                    <wp:inline distT="0" distB="0" distL="114300" distR="114300">
                      <wp:extent cx="5733415" cy="4817110"/>
                      <wp:effectExtent l="0" t="0" r="0" b="0"/>
                      <wp:docPr id="260" name="画布 2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3" name="文本框 173"/>
                              <wps:cNvSpPr txBox="1"/>
                              <wps:spPr>
                                <a:xfrm>
                                  <a:off x="1929765" y="471170"/>
                                  <a:ext cx="784860" cy="3251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喷淋用水</w:t>
                                    </w:r>
                                  </w:p>
                                </w:txbxContent>
                              </wps:txbx>
                              <wps:bodyPr upright="1"/>
                            </wps:wsp>
                            <wps:wsp>
                              <wps:cNvPr id="176" name="直接箭头连接符 176"/>
                              <wps:cNvCnPr/>
                              <wps:spPr>
                                <a:xfrm flipV="1">
                                  <a:off x="1274862" y="612315"/>
                                  <a:ext cx="654753" cy="866"/>
                                </a:xfrm>
                                <a:prstGeom prst="straightConnector1">
                                  <a:avLst/>
                                </a:prstGeom>
                                <a:ln w="9525" cap="flat" cmpd="sng">
                                  <a:solidFill>
                                    <a:srgbClr val="000000"/>
                                  </a:solidFill>
                                  <a:prstDash val="solid"/>
                                  <a:headEnd type="none" w="med" len="med"/>
                                  <a:tailEnd type="triangle" w="med" len="med"/>
                                </a:ln>
                              </wps:spPr>
                              <wps:bodyPr/>
                            </wps:wsp>
                            <wps:wsp>
                              <wps:cNvPr id="179" name="文本框 179"/>
                              <wps:cNvSpPr txBox="1"/>
                              <wps:spPr>
                                <a:xfrm>
                                  <a:off x="1928495" y="1126490"/>
                                  <a:ext cx="1410970" cy="3244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地面洒水、抑尘用水</w:t>
                                    </w:r>
                                  </w:p>
                                </w:txbxContent>
                              </wps:txbx>
                              <wps:bodyPr upright="1"/>
                            </wps:wsp>
                            <wps:wsp>
                              <wps:cNvPr id="180" name="直接箭头连接符 180"/>
                              <wps:cNvCnPr/>
                              <wps:spPr>
                                <a:xfrm flipV="1">
                                  <a:off x="1274862" y="1267068"/>
                                  <a:ext cx="653886" cy="1732"/>
                                </a:xfrm>
                                <a:prstGeom prst="straightConnector1">
                                  <a:avLst/>
                                </a:prstGeom>
                                <a:ln w="9525" cap="flat" cmpd="sng">
                                  <a:solidFill>
                                    <a:srgbClr val="000000"/>
                                  </a:solidFill>
                                  <a:prstDash val="solid"/>
                                  <a:headEnd type="none" w="med" len="med"/>
                                  <a:tailEnd type="triangle" w="med" len="med"/>
                                </a:ln>
                              </wps:spPr>
                              <wps:bodyPr/>
                            </wps:wsp>
                            <wps:wsp>
                              <wps:cNvPr id="181" name="文本框 181"/>
                              <wps:cNvSpPr txBox="1"/>
                              <wps:spPr>
                                <a:xfrm>
                                  <a:off x="1929765" y="1778635"/>
                                  <a:ext cx="784860" cy="3067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车辆清洗</w:t>
                                    </w:r>
                                  </w:p>
                                </w:txbxContent>
                              </wps:txbx>
                              <wps:bodyPr upright="1"/>
                            </wps:wsp>
                            <wps:wsp>
                              <wps:cNvPr id="182" name="直接箭头连接符 182"/>
                              <wps:cNvCnPr/>
                              <wps:spPr>
                                <a:xfrm flipV="1">
                                  <a:off x="1274862" y="1945205"/>
                                  <a:ext cx="654753" cy="1732"/>
                                </a:xfrm>
                                <a:prstGeom prst="straightConnector1">
                                  <a:avLst/>
                                </a:prstGeom>
                                <a:ln w="9525" cap="flat" cmpd="sng">
                                  <a:solidFill>
                                    <a:srgbClr val="000000"/>
                                  </a:solidFill>
                                  <a:prstDash val="solid"/>
                                  <a:headEnd type="none" w="med" len="med"/>
                                  <a:tailEnd type="triangle" w="med" len="med"/>
                                </a:ln>
                              </wps:spPr>
                              <wps:bodyPr/>
                            </wps:wsp>
                            <wps:wsp>
                              <wps:cNvPr id="183" name="文本框 183"/>
                              <wps:cNvSpPr txBox="1"/>
                              <wps:spPr>
                                <a:xfrm>
                                  <a:off x="1929765" y="2471420"/>
                                  <a:ext cx="78486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生活废水</w:t>
                                    </w:r>
                                  </w:p>
                                </w:txbxContent>
                              </wps:txbx>
                              <wps:bodyPr upright="1"/>
                            </wps:wsp>
                            <wps:wsp>
                              <wps:cNvPr id="184" name="直接箭头连接符 184"/>
                              <wps:cNvCnPr/>
                              <wps:spPr>
                                <a:xfrm flipV="1">
                                  <a:off x="1274862" y="2638931"/>
                                  <a:ext cx="654753" cy="866"/>
                                </a:xfrm>
                                <a:prstGeom prst="straightConnector1">
                                  <a:avLst/>
                                </a:prstGeom>
                                <a:ln w="9525" cap="flat" cmpd="sng">
                                  <a:solidFill>
                                    <a:srgbClr val="000000"/>
                                  </a:solidFill>
                                  <a:prstDash val="solid"/>
                                  <a:headEnd type="none" w="med" len="med"/>
                                  <a:tailEnd type="triangle" w="med" len="med"/>
                                </a:ln>
                              </wps:spPr>
                              <wps:bodyPr/>
                            </wps:wsp>
                            <wps:wsp>
                              <wps:cNvPr id="185" name="文本框 185"/>
                              <wps:cNvSpPr txBox="1"/>
                              <wps:spPr>
                                <a:xfrm>
                                  <a:off x="1877060" y="3267710"/>
                                  <a:ext cx="785495"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设备清洗</w:t>
                                    </w:r>
                                  </w:p>
                                </w:txbxContent>
                              </wps:txbx>
                              <wps:bodyPr upright="1"/>
                            </wps:wsp>
                            <wps:wsp>
                              <wps:cNvPr id="186" name="直接箭头连接符 186"/>
                              <wps:cNvCnPr/>
                              <wps:spPr>
                                <a:xfrm>
                                  <a:off x="1274862" y="3408872"/>
                                  <a:ext cx="601922" cy="866"/>
                                </a:xfrm>
                                <a:prstGeom prst="straightConnector1">
                                  <a:avLst/>
                                </a:prstGeom>
                                <a:ln w="9525" cap="flat" cmpd="sng">
                                  <a:solidFill>
                                    <a:srgbClr val="000000"/>
                                  </a:solidFill>
                                  <a:prstDash val="solid"/>
                                  <a:headEnd type="none" w="med" len="med"/>
                                  <a:tailEnd type="triangle" w="med" len="med"/>
                                </a:ln>
                              </wps:spPr>
                              <wps:bodyPr/>
                            </wps:wsp>
                            <wps:wsp>
                              <wps:cNvPr id="187" name="直接箭头连接符 187"/>
                              <wps:cNvCnPr/>
                              <wps:spPr>
                                <a:xfrm>
                                  <a:off x="1274862" y="613181"/>
                                  <a:ext cx="866" cy="3610667"/>
                                </a:xfrm>
                                <a:prstGeom prst="straightConnector1">
                                  <a:avLst/>
                                </a:prstGeom>
                                <a:ln w="9525" cap="flat" cmpd="sng">
                                  <a:solidFill>
                                    <a:srgbClr val="000000"/>
                                  </a:solidFill>
                                  <a:prstDash val="solid"/>
                                  <a:headEnd type="none" w="med" len="med"/>
                                  <a:tailEnd type="none" w="med" len="med"/>
                                </a:ln>
                              </wps:spPr>
                              <wps:bodyPr/>
                            </wps:wsp>
                            <wps:wsp>
                              <wps:cNvPr id="188" name="直接箭头连接符 188"/>
                              <wps:cNvCnPr/>
                              <wps:spPr>
                                <a:xfrm flipV="1">
                                  <a:off x="621842" y="2083777"/>
                                  <a:ext cx="653020" cy="1732"/>
                                </a:xfrm>
                                <a:prstGeom prst="straightConnector1">
                                  <a:avLst/>
                                </a:prstGeom>
                                <a:ln w="9525" cap="flat" cmpd="sng">
                                  <a:solidFill>
                                    <a:srgbClr val="000000"/>
                                  </a:solidFill>
                                  <a:prstDash val="solid"/>
                                  <a:headEnd type="none" w="med" len="med"/>
                                  <a:tailEnd type="triangle" w="med" len="med"/>
                                </a:ln>
                              </wps:spPr>
                              <wps:bodyPr/>
                            </wps:wsp>
                            <wps:wsp>
                              <wps:cNvPr id="189" name="肘形连接符 189"/>
                              <wps:cNvCnPr/>
                              <wps:spPr>
                                <a:xfrm rot="16200000">
                                  <a:off x="2331473" y="187072"/>
                                  <a:ext cx="274546" cy="293599"/>
                                </a:xfrm>
                                <a:prstGeom prst="bentConnector2">
                                  <a:avLst/>
                                </a:prstGeom>
                                <a:ln w="9525" cap="flat" cmpd="sng">
                                  <a:solidFill>
                                    <a:srgbClr val="000000"/>
                                  </a:solidFill>
                                  <a:prstDash val="solid"/>
                                  <a:miter/>
                                  <a:headEnd type="none" w="med" len="med"/>
                                  <a:tailEnd type="triangle" w="med" len="med"/>
                                </a:ln>
                              </wps:spPr>
                              <wps:bodyPr/>
                            </wps:wsp>
                            <wps:wsp>
                              <wps:cNvPr id="190" name="文本框 190"/>
                              <wps:cNvSpPr txBox="1"/>
                              <wps:spPr>
                                <a:xfrm>
                                  <a:off x="1365800" y="402725"/>
                                  <a:ext cx="457287" cy="349894"/>
                                </a:xfrm>
                                <a:prstGeom prst="rect">
                                  <a:avLst/>
                                </a:prstGeom>
                                <a:noFill/>
                                <a:ln w="15875">
                                  <a:noFill/>
                                </a:ln>
                              </wps:spPr>
                              <wps:txbx>
                                <w:txbxContent>
                                  <w:p>
                                    <w:pPr>
                                      <w:rPr>
                                        <w:sz w:val="18"/>
                                        <w:szCs w:val="18"/>
                                      </w:rPr>
                                    </w:pPr>
                                    <w:r>
                                      <w:rPr>
                                        <w:rFonts w:hint="eastAsia"/>
                                        <w:sz w:val="18"/>
                                        <w:szCs w:val="18"/>
                                      </w:rPr>
                                      <w:t>2.304</w:t>
                                    </w:r>
                                  </w:p>
                                </w:txbxContent>
                              </wps:txbx>
                              <wps:bodyPr upright="1"/>
                            </wps:wsp>
                            <wps:wsp>
                              <wps:cNvPr id="191" name="文本框 191"/>
                              <wps:cNvSpPr txBox="1"/>
                              <wps:spPr>
                                <a:xfrm>
                                  <a:off x="2615546" y="52831"/>
                                  <a:ext cx="724039" cy="349894"/>
                                </a:xfrm>
                                <a:prstGeom prst="rect">
                                  <a:avLst/>
                                </a:prstGeom>
                                <a:noFill/>
                                <a:ln w="15875">
                                  <a:noFill/>
                                </a:ln>
                              </wps:spPr>
                              <wps:txbx>
                                <w:txbxContent>
                                  <w:p>
                                    <w:pPr>
                                      <w:rPr>
                                        <w:sz w:val="18"/>
                                        <w:szCs w:val="18"/>
                                      </w:rPr>
                                    </w:pPr>
                                    <w:r>
                                      <w:rPr>
                                        <w:rFonts w:hint="eastAsia"/>
                                        <w:sz w:val="18"/>
                                        <w:szCs w:val="18"/>
                                      </w:rPr>
                                      <w:t>损失2.304</w:t>
                                    </w:r>
                                  </w:p>
                                </w:txbxContent>
                              </wps:txbx>
                              <wps:bodyPr upright="1"/>
                            </wps:wsp>
                            <wps:wsp>
                              <wps:cNvPr id="192" name="文本框 192"/>
                              <wps:cNvSpPr txBox="1"/>
                              <wps:spPr>
                                <a:xfrm>
                                  <a:off x="1365800" y="1057478"/>
                                  <a:ext cx="457287" cy="349894"/>
                                </a:xfrm>
                                <a:prstGeom prst="rect">
                                  <a:avLst/>
                                </a:prstGeom>
                                <a:noFill/>
                                <a:ln w="15875">
                                  <a:noFill/>
                                </a:ln>
                              </wps:spPr>
                              <wps:txbx>
                                <w:txbxContent>
                                  <w:p>
                                    <w:pPr>
                                      <w:rPr>
                                        <w:sz w:val="18"/>
                                        <w:szCs w:val="18"/>
                                      </w:rPr>
                                    </w:pPr>
                                    <w:r>
                                      <w:rPr>
                                        <w:rFonts w:hint="eastAsia"/>
                                        <w:sz w:val="18"/>
                                        <w:szCs w:val="18"/>
                                      </w:rPr>
                                      <w:t>5</w:t>
                                    </w:r>
                                  </w:p>
                                </w:txbxContent>
                              </wps:txbx>
                              <wps:bodyPr upright="1"/>
                            </wps:wsp>
                            <wps:wsp>
                              <wps:cNvPr id="193" name="肘形连接符 193"/>
                              <wps:cNvCnPr/>
                              <wps:spPr>
                                <a:xfrm flipV="1">
                                  <a:off x="2420679" y="851352"/>
                                  <a:ext cx="293599" cy="274546"/>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194" name="文本框 194"/>
                              <wps:cNvSpPr txBox="1"/>
                              <wps:spPr>
                                <a:xfrm>
                                  <a:off x="2714278" y="707583"/>
                                  <a:ext cx="724039" cy="349894"/>
                                </a:xfrm>
                                <a:prstGeom prst="rect">
                                  <a:avLst/>
                                </a:prstGeom>
                                <a:noFill/>
                                <a:ln w="15875">
                                  <a:noFill/>
                                </a:ln>
                              </wps:spPr>
                              <wps:txbx>
                                <w:txbxContent>
                                  <w:p>
                                    <w:pPr>
                                      <w:rPr>
                                        <w:sz w:val="18"/>
                                        <w:szCs w:val="18"/>
                                      </w:rPr>
                                    </w:pPr>
                                    <w:r>
                                      <w:rPr>
                                        <w:rFonts w:hint="eastAsia"/>
                                        <w:sz w:val="18"/>
                                        <w:szCs w:val="18"/>
                                      </w:rPr>
                                      <w:t>损失5</w:t>
                                    </w:r>
                                  </w:p>
                                </w:txbxContent>
                              </wps:txbx>
                              <wps:bodyPr upright="1"/>
                            </wps:wsp>
                            <wps:wsp>
                              <wps:cNvPr id="195" name="文本框 195"/>
                              <wps:cNvSpPr txBox="1"/>
                              <wps:spPr>
                                <a:xfrm>
                                  <a:off x="3339584" y="1818758"/>
                                  <a:ext cx="784664" cy="28060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沉淀池</w:t>
                                    </w:r>
                                  </w:p>
                                </w:txbxContent>
                              </wps:txbx>
                              <wps:bodyPr upright="1"/>
                            </wps:wsp>
                            <wps:wsp>
                              <wps:cNvPr id="196" name="直接箭头连接符 196"/>
                              <wps:cNvCnPr/>
                              <wps:spPr>
                                <a:xfrm>
                                  <a:off x="2714278" y="1945205"/>
                                  <a:ext cx="625306" cy="16455"/>
                                </a:xfrm>
                                <a:prstGeom prst="straightConnector1">
                                  <a:avLst/>
                                </a:prstGeom>
                                <a:ln w="9525" cap="flat" cmpd="sng">
                                  <a:solidFill>
                                    <a:srgbClr val="000000"/>
                                  </a:solidFill>
                                  <a:prstDash val="solid"/>
                                  <a:headEnd type="none" w="med" len="med"/>
                                  <a:tailEnd type="triangle" w="med" len="med"/>
                                </a:ln>
                              </wps:spPr>
                              <wps:bodyPr/>
                            </wps:wsp>
                            <wps:wsp>
                              <wps:cNvPr id="197" name="肘形连接符 197"/>
                              <wps:cNvCnPr/>
                              <wps:spPr>
                                <a:xfrm rot="-5400000" flipV="1">
                                  <a:off x="3020003" y="1387452"/>
                                  <a:ext cx="13857" cy="1409970"/>
                                </a:xfrm>
                                <a:prstGeom prst="bentConnector3">
                                  <a:avLst>
                                    <a:gd name="adj1" fmla="val -1636366"/>
                                  </a:avLst>
                                </a:prstGeom>
                                <a:ln w="9525" cap="flat" cmpd="sng">
                                  <a:solidFill>
                                    <a:srgbClr val="000000"/>
                                  </a:solidFill>
                                  <a:prstDash val="solid"/>
                                  <a:miter/>
                                  <a:headEnd type="none" w="med" len="med"/>
                                  <a:tailEnd type="triangle" w="med" len="med"/>
                                </a:ln>
                              </wps:spPr>
                              <wps:bodyPr/>
                            </wps:wsp>
                            <wps:wsp>
                              <wps:cNvPr id="198" name="肘形连接符 198"/>
                              <wps:cNvCnPr/>
                              <wps:spPr>
                                <a:xfrm flipV="1">
                                  <a:off x="2181642" y="1531221"/>
                                  <a:ext cx="292733" cy="273680"/>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199" name="文本框 199"/>
                              <wps:cNvSpPr txBox="1"/>
                              <wps:spPr>
                                <a:xfrm>
                                  <a:off x="2474376" y="1386586"/>
                                  <a:ext cx="724039" cy="349894"/>
                                </a:xfrm>
                                <a:prstGeom prst="rect">
                                  <a:avLst/>
                                </a:prstGeom>
                                <a:noFill/>
                                <a:ln w="15875">
                                  <a:noFill/>
                                </a:ln>
                              </wps:spPr>
                              <wps:txbx>
                                <w:txbxContent>
                                  <w:p>
                                    <w:pPr>
                                      <w:rPr>
                                        <w:sz w:val="18"/>
                                        <w:szCs w:val="18"/>
                                      </w:rPr>
                                    </w:pPr>
                                    <w:r>
                                      <w:rPr>
                                        <w:rFonts w:hint="eastAsia"/>
                                        <w:sz w:val="18"/>
                                        <w:szCs w:val="18"/>
                                      </w:rPr>
                                      <w:t>损失0.7</w:t>
                                    </w:r>
                                  </w:p>
                                </w:txbxContent>
                              </wps:txbx>
                              <wps:bodyPr upright="1"/>
                            </wps:wsp>
                            <wps:wsp>
                              <wps:cNvPr id="200" name="文本框 200"/>
                              <wps:cNvSpPr txBox="1"/>
                              <wps:spPr>
                                <a:xfrm>
                                  <a:off x="1364934" y="1749472"/>
                                  <a:ext cx="458154" cy="349894"/>
                                </a:xfrm>
                                <a:prstGeom prst="rect">
                                  <a:avLst/>
                                </a:prstGeom>
                                <a:noFill/>
                                <a:ln w="15875">
                                  <a:noFill/>
                                </a:ln>
                              </wps:spPr>
                              <wps:txbx>
                                <w:txbxContent>
                                  <w:p>
                                    <w:pPr>
                                      <w:rPr>
                                        <w:sz w:val="18"/>
                                        <w:szCs w:val="18"/>
                                      </w:rPr>
                                    </w:pPr>
                                    <w:r>
                                      <w:rPr>
                                        <w:rFonts w:hint="eastAsia"/>
                                        <w:sz w:val="18"/>
                                        <w:szCs w:val="18"/>
                                      </w:rPr>
                                      <w:t>0.7</w:t>
                                    </w:r>
                                  </w:p>
                                </w:txbxContent>
                              </wps:txbx>
                              <wps:bodyPr upright="1"/>
                            </wps:wsp>
                            <wps:wsp>
                              <wps:cNvPr id="201" name="文本框 201"/>
                              <wps:cNvSpPr txBox="1"/>
                              <wps:spPr>
                                <a:xfrm>
                                  <a:off x="2741127" y="1733882"/>
                                  <a:ext cx="457287" cy="349894"/>
                                </a:xfrm>
                                <a:prstGeom prst="rect">
                                  <a:avLst/>
                                </a:prstGeom>
                                <a:noFill/>
                                <a:ln w="15875">
                                  <a:noFill/>
                                </a:ln>
                              </wps:spPr>
                              <wps:txbx>
                                <w:txbxContent>
                                  <w:p>
                                    <w:pPr>
                                      <w:rPr>
                                        <w:sz w:val="18"/>
                                        <w:szCs w:val="18"/>
                                      </w:rPr>
                                    </w:pPr>
                                    <w:r>
                                      <w:rPr>
                                        <w:rFonts w:hint="eastAsia"/>
                                        <w:sz w:val="18"/>
                                        <w:szCs w:val="18"/>
                                      </w:rPr>
                                      <w:t>2.8</w:t>
                                    </w:r>
                                  </w:p>
                                </w:txbxContent>
                              </wps:txbx>
                              <wps:bodyPr upright="1"/>
                            </wps:wsp>
                            <wps:wsp>
                              <wps:cNvPr id="202" name="文本框 202"/>
                              <wps:cNvSpPr txBox="1"/>
                              <wps:spPr>
                                <a:xfrm>
                                  <a:off x="2882297" y="2147866"/>
                                  <a:ext cx="457287" cy="349894"/>
                                </a:xfrm>
                                <a:prstGeom prst="rect">
                                  <a:avLst/>
                                </a:prstGeom>
                                <a:noFill/>
                                <a:ln w="15875">
                                  <a:noFill/>
                                </a:ln>
                              </wps:spPr>
                              <wps:txbx>
                                <w:txbxContent>
                                  <w:p>
                                    <w:pPr>
                                      <w:rPr>
                                        <w:sz w:val="18"/>
                                        <w:szCs w:val="18"/>
                                      </w:rPr>
                                    </w:pPr>
                                    <w:r>
                                      <w:rPr>
                                        <w:rFonts w:hint="eastAsia"/>
                                        <w:sz w:val="18"/>
                                        <w:szCs w:val="18"/>
                                      </w:rPr>
                                      <w:t>2.8</w:t>
                                    </w:r>
                                  </w:p>
                                </w:txbxContent>
                              </wps:txbx>
                              <wps:bodyPr upright="1"/>
                            </wps:wsp>
                            <wps:wsp>
                              <wps:cNvPr id="203" name="文本框 203"/>
                              <wps:cNvSpPr txBox="1"/>
                              <wps:spPr>
                                <a:xfrm>
                                  <a:off x="3369310" y="2510790"/>
                                  <a:ext cx="784860"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化粪池</w:t>
                                    </w:r>
                                  </w:p>
                                </w:txbxContent>
                              </wps:txbx>
                              <wps:bodyPr upright="1"/>
                            </wps:wsp>
                            <wps:wsp>
                              <wps:cNvPr id="204" name="直接箭头连接符 204"/>
                              <wps:cNvCnPr/>
                              <wps:spPr>
                                <a:xfrm flipV="1">
                                  <a:off x="2714278" y="2651922"/>
                                  <a:ext cx="654753" cy="866"/>
                                </a:xfrm>
                                <a:prstGeom prst="straightConnector1">
                                  <a:avLst/>
                                </a:prstGeom>
                                <a:ln w="9525" cap="flat" cmpd="sng">
                                  <a:solidFill>
                                    <a:srgbClr val="000000"/>
                                  </a:solidFill>
                                  <a:prstDash val="solid"/>
                                  <a:headEnd type="none" w="med" len="med"/>
                                  <a:tailEnd type="triangle" w="med" len="med"/>
                                </a:ln>
                              </wps:spPr>
                              <wps:bodyPr/>
                            </wps:wsp>
                            <wps:wsp>
                              <wps:cNvPr id="205" name="文本框 205"/>
                              <wps:cNvSpPr txBox="1"/>
                              <wps:spPr>
                                <a:xfrm>
                                  <a:off x="4505321" y="2510752"/>
                                  <a:ext cx="1087790" cy="281474"/>
                                </a:xfrm>
                                <a:prstGeom prst="rect">
                                  <a:avLst/>
                                </a:prstGeom>
                                <a:solidFill>
                                  <a:srgbClr val="FFFFFF"/>
                                </a:solidFill>
                                <a:ln>
                                  <a:noFill/>
                                </a:ln>
                              </wps:spPr>
                              <wps:txbx>
                                <w:txbxContent>
                                  <w:p>
                                    <w:pPr>
                                      <w:rPr>
                                        <w:sz w:val="21"/>
                                        <w:szCs w:val="21"/>
                                      </w:rPr>
                                    </w:pPr>
                                    <w:r>
                                      <w:rPr>
                                        <w:rFonts w:hint="eastAsia"/>
                                        <w:sz w:val="21"/>
                                        <w:szCs w:val="21"/>
                                      </w:rPr>
                                      <w:t>定期清运</w:t>
                                    </w:r>
                                  </w:p>
                                </w:txbxContent>
                              </wps:txbx>
                              <wps:bodyPr upright="1"/>
                            </wps:wsp>
                            <wps:wsp>
                              <wps:cNvPr id="206" name="直接箭头连接符 206"/>
                              <wps:cNvCnPr/>
                              <wps:spPr>
                                <a:xfrm>
                                  <a:off x="4153695" y="2652788"/>
                                  <a:ext cx="351626" cy="866"/>
                                </a:xfrm>
                                <a:prstGeom prst="straightConnector1">
                                  <a:avLst/>
                                </a:prstGeom>
                                <a:ln w="9525" cap="flat" cmpd="sng">
                                  <a:solidFill>
                                    <a:srgbClr val="000000"/>
                                  </a:solidFill>
                                  <a:prstDash val="solid"/>
                                  <a:headEnd type="none" w="med" len="med"/>
                                  <a:tailEnd type="triangle" w="med" len="med"/>
                                </a:ln>
                              </wps:spPr>
                              <wps:bodyPr/>
                            </wps:wsp>
                            <wps:wsp>
                              <wps:cNvPr id="207" name="文本框 207"/>
                              <wps:cNvSpPr txBox="1"/>
                              <wps:spPr>
                                <a:xfrm>
                                  <a:off x="1364934" y="2429341"/>
                                  <a:ext cx="458154" cy="349894"/>
                                </a:xfrm>
                                <a:prstGeom prst="rect">
                                  <a:avLst/>
                                </a:prstGeom>
                                <a:noFill/>
                                <a:ln w="15875">
                                  <a:noFill/>
                                </a:ln>
                              </wps:spPr>
                              <wps:txbx>
                                <w:txbxContent>
                                  <w:p>
                                    <w:pPr>
                                      <w:rPr>
                                        <w:sz w:val="18"/>
                                        <w:szCs w:val="18"/>
                                      </w:rPr>
                                    </w:pPr>
                                    <w:r>
                                      <w:rPr>
                                        <w:rFonts w:hint="eastAsia"/>
                                        <w:sz w:val="18"/>
                                        <w:szCs w:val="18"/>
                                      </w:rPr>
                                      <w:t>1.6</w:t>
                                    </w:r>
                                  </w:p>
                                </w:txbxContent>
                              </wps:txbx>
                              <wps:bodyPr upright="1"/>
                            </wps:wsp>
                            <wps:wsp>
                              <wps:cNvPr id="208" name="文本框 208"/>
                              <wps:cNvSpPr txBox="1"/>
                              <wps:spPr>
                                <a:xfrm>
                                  <a:off x="1556385" y="2028190"/>
                                  <a:ext cx="708660" cy="309245"/>
                                </a:xfrm>
                                <a:prstGeom prst="rect">
                                  <a:avLst/>
                                </a:prstGeom>
                                <a:noFill/>
                                <a:ln w="15875">
                                  <a:noFill/>
                                </a:ln>
                              </wps:spPr>
                              <wps:txbx>
                                <w:txbxContent>
                                  <w:p>
                                    <w:pPr>
                                      <w:rPr>
                                        <w:sz w:val="18"/>
                                        <w:szCs w:val="18"/>
                                      </w:rPr>
                                    </w:pPr>
                                    <w:r>
                                      <w:rPr>
                                        <w:rFonts w:hint="eastAsia"/>
                                        <w:sz w:val="18"/>
                                        <w:szCs w:val="18"/>
                                      </w:rPr>
                                      <w:t>损失0.32</w:t>
                                    </w:r>
                                  </w:p>
                                </w:txbxContent>
                              </wps:txbx>
                              <wps:bodyPr upright="1"/>
                            </wps:wsp>
                            <wps:wsp>
                              <wps:cNvPr id="209" name="曲线连接符 209"/>
                              <wps:cNvCnPr/>
                              <wps:spPr>
                                <a:xfrm rot="-16200000" flipH="1">
                                  <a:off x="2036142" y="2211956"/>
                                  <a:ext cx="160224" cy="411386"/>
                                </a:xfrm>
                                <a:prstGeom prst="curvedConnector3">
                                  <a:avLst>
                                    <a:gd name="adj1" fmla="val 50000"/>
                                  </a:avLst>
                                </a:prstGeom>
                                <a:ln w="9525" cap="flat" cmpd="sng">
                                  <a:solidFill>
                                    <a:srgbClr val="000000"/>
                                  </a:solidFill>
                                  <a:prstDash val="solid"/>
                                  <a:headEnd type="none" w="med" len="med"/>
                                  <a:tailEnd type="triangle" w="med" len="med"/>
                                </a:ln>
                              </wps:spPr>
                              <wps:bodyPr/>
                            </wps:wsp>
                            <wps:wsp>
                              <wps:cNvPr id="210" name="文本框 210"/>
                              <wps:cNvSpPr txBox="1"/>
                              <wps:spPr>
                                <a:xfrm>
                                  <a:off x="2812145" y="2429341"/>
                                  <a:ext cx="458154" cy="349894"/>
                                </a:xfrm>
                                <a:prstGeom prst="rect">
                                  <a:avLst/>
                                </a:prstGeom>
                                <a:noFill/>
                                <a:ln w="15875">
                                  <a:noFill/>
                                </a:ln>
                              </wps:spPr>
                              <wps:txbx>
                                <w:txbxContent>
                                  <w:p>
                                    <w:pPr>
                                      <w:rPr>
                                        <w:sz w:val="18"/>
                                        <w:szCs w:val="18"/>
                                      </w:rPr>
                                    </w:pPr>
                                    <w:r>
                                      <w:rPr>
                                        <w:rFonts w:hint="eastAsia"/>
                                        <w:sz w:val="18"/>
                                        <w:szCs w:val="18"/>
                                      </w:rPr>
                                      <w:t>1.28</w:t>
                                    </w:r>
                                  </w:p>
                                </w:txbxContent>
                              </wps:txbx>
                              <wps:bodyPr upright="1"/>
                            </wps:wsp>
                            <wps:wsp>
                              <wps:cNvPr id="211" name="文本框 211"/>
                              <wps:cNvSpPr txBox="1"/>
                              <wps:spPr>
                                <a:xfrm>
                                  <a:off x="4153695" y="2429341"/>
                                  <a:ext cx="457287" cy="349894"/>
                                </a:xfrm>
                                <a:prstGeom prst="rect">
                                  <a:avLst/>
                                </a:prstGeom>
                                <a:noFill/>
                                <a:ln w="15875">
                                  <a:noFill/>
                                </a:ln>
                              </wps:spPr>
                              <wps:txbx>
                                <w:txbxContent>
                                  <w:p>
                                    <w:pPr>
                                      <w:rPr>
                                        <w:sz w:val="18"/>
                                        <w:szCs w:val="18"/>
                                      </w:rPr>
                                    </w:pPr>
                                    <w:r>
                                      <w:rPr>
                                        <w:rFonts w:hint="eastAsia"/>
                                        <w:sz w:val="18"/>
                                        <w:szCs w:val="18"/>
                                      </w:rPr>
                                      <w:t>1.28</w:t>
                                    </w:r>
                                  </w:p>
                                </w:txbxContent>
                              </wps:txbx>
                              <wps:bodyPr upright="1"/>
                            </wps:wsp>
                            <wps:wsp>
                              <wps:cNvPr id="212" name="文本框 212"/>
                              <wps:cNvSpPr txBox="1"/>
                              <wps:spPr>
                                <a:xfrm>
                                  <a:off x="3317066" y="3268568"/>
                                  <a:ext cx="784664" cy="28060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沉淀池</w:t>
                                    </w:r>
                                  </w:p>
                                </w:txbxContent>
                              </wps:txbx>
                              <wps:bodyPr upright="1"/>
                            </wps:wsp>
                            <wps:wsp>
                              <wps:cNvPr id="213" name="直接箭头连接符 213"/>
                              <wps:cNvCnPr/>
                              <wps:spPr>
                                <a:xfrm flipV="1">
                                  <a:off x="2662314" y="3409738"/>
                                  <a:ext cx="654753" cy="866"/>
                                </a:xfrm>
                                <a:prstGeom prst="straightConnector1">
                                  <a:avLst/>
                                </a:prstGeom>
                                <a:ln w="9525" cap="flat" cmpd="sng">
                                  <a:solidFill>
                                    <a:srgbClr val="000000"/>
                                  </a:solidFill>
                                  <a:prstDash val="solid"/>
                                  <a:headEnd type="none" w="med" len="med"/>
                                  <a:tailEnd type="triangle" w="med" len="med"/>
                                </a:ln>
                              </wps:spPr>
                              <wps:bodyPr/>
                            </wps:wsp>
                            <wps:wsp>
                              <wps:cNvPr id="214" name="肘形连接符 214"/>
                              <wps:cNvCnPr/>
                              <wps:spPr>
                                <a:xfrm rot="16200000" flipH="1" flipV="1">
                                  <a:off x="2722939" y="2422412"/>
                                  <a:ext cx="140304" cy="1832615"/>
                                </a:xfrm>
                                <a:prstGeom prst="bentConnector4">
                                  <a:avLst>
                                    <a:gd name="adj1" fmla="val -163347"/>
                                    <a:gd name="adj2" fmla="val 112472"/>
                                  </a:avLst>
                                </a:prstGeom>
                                <a:ln w="9525" cap="flat" cmpd="sng">
                                  <a:solidFill>
                                    <a:srgbClr val="000000"/>
                                  </a:solidFill>
                                  <a:prstDash val="solid"/>
                                  <a:miter/>
                                  <a:headEnd type="none" w="med" len="med"/>
                                  <a:tailEnd type="triangle" w="med" len="med"/>
                                </a:ln>
                              </wps:spPr>
                              <wps:bodyPr/>
                            </wps:wsp>
                            <wps:wsp>
                              <wps:cNvPr id="251" name="文本框 251"/>
                              <wps:cNvSpPr txBox="1"/>
                              <wps:spPr>
                                <a:xfrm>
                                  <a:off x="1220299" y="3161174"/>
                                  <a:ext cx="458154" cy="349894"/>
                                </a:xfrm>
                                <a:prstGeom prst="rect">
                                  <a:avLst/>
                                </a:prstGeom>
                                <a:noFill/>
                                <a:ln w="15875">
                                  <a:noFill/>
                                </a:ln>
                              </wps:spPr>
                              <wps:txbx>
                                <w:txbxContent>
                                  <w:p>
                                    <w:pPr>
                                      <w:rPr>
                                        <w:sz w:val="18"/>
                                        <w:szCs w:val="18"/>
                                      </w:rPr>
                                    </w:pPr>
                                    <w:r>
                                      <w:rPr>
                                        <w:rFonts w:hint="eastAsia"/>
                                        <w:sz w:val="18"/>
                                        <w:szCs w:val="18"/>
                                      </w:rPr>
                                      <w:t>4</w:t>
                                    </w:r>
                                  </w:p>
                                </w:txbxContent>
                              </wps:txbx>
                              <wps:bodyPr upright="1"/>
                            </wps:wsp>
                            <wps:wsp>
                              <wps:cNvPr id="252" name="文本框 252"/>
                              <wps:cNvSpPr txBox="1"/>
                              <wps:spPr>
                                <a:xfrm>
                                  <a:off x="2741295" y="3173730"/>
                                  <a:ext cx="458470" cy="375285"/>
                                </a:xfrm>
                                <a:prstGeom prst="rect">
                                  <a:avLst/>
                                </a:prstGeom>
                                <a:noFill/>
                                <a:ln w="15875">
                                  <a:noFill/>
                                </a:ln>
                              </wps:spPr>
                              <wps:txbx>
                                <w:txbxContent>
                                  <w:p>
                                    <w:pPr>
                                      <w:rPr>
                                        <w:sz w:val="18"/>
                                        <w:szCs w:val="18"/>
                                      </w:rPr>
                                    </w:pPr>
                                    <w:r>
                                      <w:rPr>
                                        <w:rFonts w:hint="eastAsia"/>
                                        <w:sz w:val="18"/>
                                        <w:szCs w:val="18"/>
                                      </w:rPr>
                                      <w:t>4</w:t>
                                    </w:r>
                                  </w:p>
                                </w:txbxContent>
                              </wps:txbx>
                              <wps:bodyPr upright="1"/>
                            </wps:wsp>
                            <wps:wsp>
                              <wps:cNvPr id="253" name="文本框 253"/>
                              <wps:cNvSpPr txBox="1"/>
                              <wps:spPr>
                                <a:xfrm>
                                  <a:off x="2436268" y="2849387"/>
                                  <a:ext cx="457287" cy="349894"/>
                                </a:xfrm>
                                <a:prstGeom prst="rect">
                                  <a:avLst/>
                                </a:prstGeom>
                                <a:noFill/>
                                <a:ln w="15875">
                                  <a:noFill/>
                                </a:ln>
                              </wps:spPr>
                              <wps:txbx>
                                <w:txbxContent>
                                  <w:p>
                                    <w:pPr>
                                      <w:rPr>
                                        <w:sz w:val="18"/>
                                        <w:szCs w:val="18"/>
                                      </w:rPr>
                                    </w:pPr>
                                    <w:r>
                                      <w:rPr>
                                        <w:rFonts w:hint="eastAsia"/>
                                        <w:sz w:val="18"/>
                                        <w:szCs w:val="18"/>
                                      </w:rPr>
                                      <w:t>4</w:t>
                                    </w:r>
                                  </w:p>
                                </w:txbxContent>
                              </wps:txbx>
                              <wps:bodyPr upright="1"/>
                            </wps:wsp>
                            <wps:wsp>
                              <wps:cNvPr id="254" name="文本框 254"/>
                              <wps:cNvSpPr txBox="1"/>
                              <wps:spPr>
                                <a:xfrm>
                                  <a:off x="322180" y="1818758"/>
                                  <a:ext cx="1043620" cy="349894"/>
                                </a:xfrm>
                                <a:prstGeom prst="rect">
                                  <a:avLst/>
                                </a:prstGeom>
                                <a:noFill/>
                                <a:ln w="15875">
                                  <a:noFill/>
                                </a:ln>
                              </wps:spPr>
                              <wps:txbx>
                                <w:txbxContent>
                                  <w:p>
                                    <w:pPr>
                                      <w:rPr>
                                        <w:sz w:val="18"/>
                                        <w:szCs w:val="18"/>
                                      </w:rPr>
                                    </w:pPr>
                                    <w:r>
                                      <w:rPr>
                                        <w:rFonts w:hint="eastAsia"/>
                                        <w:sz w:val="18"/>
                                        <w:szCs w:val="18"/>
                                      </w:rPr>
                                      <w:t>新鲜水91.04</w:t>
                                    </w:r>
                                  </w:p>
                                </w:txbxContent>
                              </wps:txbx>
                              <wps:bodyPr upright="1"/>
                            </wps:wsp>
                            <wps:wsp>
                              <wps:cNvPr id="255" name="文本框 255"/>
                              <wps:cNvSpPr txBox="1"/>
                              <wps:spPr>
                                <a:xfrm>
                                  <a:off x="1956435" y="4040505"/>
                                  <a:ext cx="784860" cy="3155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配料用水</w:t>
                                    </w:r>
                                  </w:p>
                                </w:txbxContent>
                              </wps:txbx>
                              <wps:bodyPr upright="1"/>
                            </wps:wsp>
                            <wps:wsp>
                              <wps:cNvPr id="256" name="直接箭头连接符 256"/>
                              <wps:cNvCnPr/>
                              <wps:spPr>
                                <a:xfrm flipV="1">
                                  <a:off x="1301710" y="4181411"/>
                                  <a:ext cx="654753" cy="866"/>
                                </a:xfrm>
                                <a:prstGeom prst="straightConnector1">
                                  <a:avLst/>
                                </a:prstGeom>
                                <a:ln w="9525" cap="flat" cmpd="sng">
                                  <a:solidFill>
                                    <a:srgbClr val="000000"/>
                                  </a:solidFill>
                                  <a:prstDash val="solid"/>
                                  <a:headEnd type="none" w="med" len="med"/>
                                  <a:tailEnd type="triangle" w="med" len="med"/>
                                </a:ln>
                              </wps:spPr>
                              <wps:bodyPr/>
                            </wps:wsp>
                            <wps:wsp>
                              <wps:cNvPr id="257" name="肘形连接符 257"/>
                              <wps:cNvCnPr/>
                              <wps:spPr>
                                <a:xfrm flipV="1">
                                  <a:off x="2348795" y="3765695"/>
                                  <a:ext cx="294465" cy="274546"/>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258" name="文本框 258"/>
                              <wps:cNvSpPr txBox="1"/>
                              <wps:spPr>
                                <a:xfrm>
                                  <a:off x="1419497" y="3915526"/>
                                  <a:ext cx="457287" cy="349894"/>
                                </a:xfrm>
                                <a:prstGeom prst="rect">
                                  <a:avLst/>
                                </a:prstGeom>
                                <a:noFill/>
                                <a:ln w="15875">
                                  <a:noFill/>
                                </a:ln>
                              </wps:spPr>
                              <wps:txbx>
                                <w:txbxContent>
                                  <w:p>
                                    <w:pPr>
                                      <w:rPr>
                                        <w:sz w:val="18"/>
                                        <w:szCs w:val="18"/>
                                      </w:rPr>
                                    </w:pPr>
                                    <w:r>
                                      <w:rPr>
                                        <w:rFonts w:hint="eastAsia"/>
                                        <w:sz w:val="18"/>
                                        <w:szCs w:val="18"/>
                                      </w:rPr>
                                      <w:t>78.3</w:t>
                                    </w:r>
                                  </w:p>
                                </w:txbxContent>
                              </wps:txbx>
                              <wps:bodyPr upright="1"/>
                            </wps:wsp>
                            <wps:wsp>
                              <wps:cNvPr id="259" name="文本框 259"/>
                              <wps:cNvSpPr txBox="1"/>
                              <wps:spPr>
                                <a:xfrm>
                                  <a:off x="2662314" y="3621060"/>
                                  <a:ext cx="1069602" cy="349894"/>
                                </a:xfrm>
                                <a:prstGeom prst="rect">
                                  <a:avLst/>
                                </a:prstGeom>
                                <a:noFill/>
                                <a:ln w="15875">
                                  <a:noFill/>
                                </a:ln>
                              </wps:spPr>
                              <wps:txbx>
                                <w:txbxContent>
                                  <w:p>
                                    <w:pPr>
                                      <w:rPr>
                                        <w:sz w:val="18"/>
                                        <w:szCs w:val="18"/>
                                      </w:rPr>
                                    </w:pPr>
                                    <w:r>
                                      <w:rPr>
                                        <w:rFonts w:hint="eastAsia"/>
                                        <w:sz w:val="18"/>
                                        <w:szCs w:val="18"/>
                                      </w:rPr>
                                      <w:t>78.3进入产品</w:t>
                                    </w:r>
                                  </w:p>
                                </w:txbxContent>
                              </wps:txbx>
                              <wps:bodyPr upright="1"/>
                            </wps:wsp>
                          </wpc:wpc>
                        </a:graphicData>
                      </a:graphic>
                    </wp:inline>
                  </w:drawing>
                </mc:Choice>
                <mc:Fallback>
                  <w:pict>
                    <v:group id="_x0000_s1026" o:spid="_x0000_s1026" o:spt="203" style="height:379.3pt;width:451.45pt;" coordsize="5733415,4817110" editas="canvas" o:gfxdata="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">
                      <o:lock v:ext="edit" aspectratio="f"/>
                      <v:shape id="_x0000_s1026" o:spid="_x0000_s1026" style="position:absolute;left:0;top:0;height:4817110;width:5733415;" filled="f" stroked="f" coordsize="21600,21600" o:gfxdata="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&#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">
                        <v:fill on="f" focussize="0,0"/>
                        <v:stroke on="f"/>
                        <v:imagedata o:title=""/>
                        <o:lock v:ext="edit" aspectratio="t"/>
                      </v:shape>
                      <v:shape id="_x0000_s1026" o:spid="_x0000_s1026" o:spt="202" type="#_x0000_t202" style="position:absolute;left:1929765;top:471170;height:325120;width:784860;" fillcolor="#FFFFFF" filled="t" stroked="t" coordsize="21600,21600" o:gfxdata="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lvGPdYAAAAFAQAADwAAAAAAAAABACAAAAAiAAAAZHJzL2Rvd25yZXYu&#10;eG1sUEsBAhQAFAAAAAgAh07iQPuaUNb9AQAA9gMAAA4AAAAAAAAAAQAgAAAAJQEAAGRycy9lMm9E&#10;b2MueG1sUEsFBgAAAAAGAAYAWQEAAJQFAAAAAA==&#10;">
                        <v:fill on="t" focussize="0,0"/>
                        <v:stroke color="#000000" joinstyle="miter"/>
                        <v:imagedata o:title=""/>
                        <o:lock v:ext="edit" aspectratio="f"/>
                        <v:textbox>
                          <w:txbxContent>
                            <w:p>
                              <w:pPr>
                                <w:rPr>
                                  <w:sz w:val="21"/>
                                  <w:szCs w:val="21"/>
                                </w:rPr>
                              </w:pPr>
                              <w:r>
                                <w:rPr>
                                  <w:rFonts w:hint="eastAsia"/>
                                  <w:sz w:val="21"/>
                                  <w:szCs w:val="21"/>
                                </w:rPr>
                                <w:t>喷淋用水</w:t>
                              </w:r>
                            </w:p>
                          </w:txbxContent>
                        </v:textbox>
                      </v:shape>
                      <v:shape id="_x0000_s1026" o:spid="_x0000_s1026" o:spt="32" type="#_x0000_t32" style="position:absolute;left:1274862;top:612315;flip:y;height:866;width:654753;" filled="f" stroked="t" coordsize="21600,21600" o:gfxdata="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6NyxZ1gAAAAUBAAAPAAAAAAAAAAEAIAAAACIAAABkcnMvZG93&#10;bnJldi54bWxQSwECFAAUAAAACACHTuJAcwFdewICAAC8AwAADgAAAAAAAAABACAAAAAlAQAAZHJz&#10;L2Uyb0RvYy54bWxQSwUGAAAAAAYABgBZAQAAmQUAAAAA&#10;">
                        <v:fill on="f" focussize="0,0"/>
                        <v:stroke color="#000000" joinstyle="round" endarrow="block"/>
                        <v:imagedata o:title=""/>
                        <o:lock v:ext="edit" aspectratio="f"/>
                      </v:shape>
                      <v:shape id="_x0000_s1026" o:spid="_x0000_s1026" o:spt="202" type="#_x0000_t202" style="position:absolute;left:1928495;top:1126490;height:324485;width:1410970;" fillcolor="#FFFFFF" filled="t" stroked="t" coordsize="21600,21600" o:gfxdata="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Jbxj3WAAAABQEAAA8AAAAAAAAAAQAgAAAAIgAAAGRycy9kb3ducmV2Lnht&#10;bFBLAQIUABQAAAAIAIdO4kCirpNH+wEAAPgDAAAOAAAAAAAAAAEAIAAAACUBAABkcnMvZTJvRG9j&#10;LnhtbFBLBQYAAAAABgAGAFkBAACSBQAAAAA=&#10;">
                        <v:fill on="t" focussize="0,0"/>
                        <v:stroke color="#000000" joinstyle="miter"/>
                        <v:imagedata o:title=""/>
                        <o:lock v:ext="edit" aspectratio="f"/>
                        <v:textbox>
                          <w:txbxContent>
                            <w:p>
                              <w:pPr>
                                <w:rPr>
                                  <w:sz w:val="21"/>
                                  <w:szCs w:val="21"/>
                                </w:rPr>
                              </w:pPr>
                              <w:r>
                                <w:rPr>
                                  <w:rFonts w:hint="eastAsia"/>
                                  <w:sz w:val="21"/>
                                  <w:szCs w:val="21"/>
                                </w:rPr>
                                <w:t>地面洒水、抑尘用水</w:t>
                              </w:r>
                            </w:p>
                          </w:txbxContent>
                        </v:textbox>
                      </v:shape>
                      <v:shape id="_x0000_s1026" o:spid="_x0000_s1026" o:spt="32" type="#_x0000_t32" style="position:absolute;left:1274862;top:1267068;flip:y;height:1732;width:653886;" filled="f" stroked="t" coordsize="21600,21600" o:gfxdata="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6NyxZ1gAAAAUBAAAPAAAAAAAAAAEAIAAAACIAAABkcnMvZG93bnJl&#10;di54bWxQSwECFAAUAAAACACHTuJAdiG2Kf8BAAC+AwAADgAAAAAAAAABACAAAAAlAQAAZHJzL2Uy&#10;b0RvYy54bWxQSwUGAAAAAAYABgBZAQAAlgUAAAAA&#10;">
                        <v:fill on="f" focussize="0,0"/>
                        <v:stroke color="#000000" joinstyle="round" endarrow="block"/>
                        <v:imagedata o:title=""/>
                        <o:lock v:ext="edit" aspectratio="f"/>
                      </v:shape>
                      <v:shape id="_x0000_s1026" o:spid="_x0000_s1026" o:spt="202" type="#_x0000_t202" style="position:absolute;left:1929765;top:1778635;height:306705;width:784860;" fillcolor="#FFFFFF" filled="t" stroked="t" coordsize="21600,21600" o:gfxdata="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Jbxj3WAAAABQEAAA8AAAAAAAAAAQAgAAAAIgAAAGRycy9kb3ducmV2&#10;LnhtbFBLAQIUABQAAAAIAIdO4kB72iuO/gEAAPcDAAAOAAAAAAAAAAEAIAAAACUBAABkcnMvZTJv&#10;RG9jLnhtbFBLBQYAAAAABgAGAFkBAACVBQAAAAA=&#10;">
                        <v:fill on="t" focussize="0,0"/>
                        <v:stroke color="#000000" joinstyle="miter"/>
                        <v:imagedata o:title=""/>
                        <o:lock v:ext="edit" aspectratio="f"/>
                        <v:textbox>
                          <w:txbxContent>
                            <w:p>
                              <w:pPr>
                                <w:rPr>
                                  <w:sz w:val="21"/>
                                  <w:szCs w:val="21"/>
                                </w:rPr>
                              </w:pPr>
                              <w:r>
                                <w:rPr>
                                  <w:rFonts w:hint="eastAsia"/>
                                  <w:sz w:val="21"/>
                                  <w:szCs w:val="21"/>
                                </w:rPr>
                                <w:t>车辆清洗</w:t>
                              </w:r>
                            </w:p>
                          </w:txbxContent>
                        </v:textbox>
                      </v:shape>
                      <v:shape id="_x0000_s1026" o:spid="_x0000_s1026" o:spt="32" type="#_x0000_t32" style="position:absolute;left:1274862;top:1945205;flip:y;height:1732;width:654753;" filled="f" stroked="t" coordsize="21600,21600" o:gfxdata="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6NyxZ1gAAAAUBAAAPAAAAAAAAAAEAIAAAACIAAABkcnMvZG93&#10;bnJldi54bWxQSwECFAAUAAAACACHTuJAhJBtagICAAC+AwAADgAAAAAAAAABACAAAAAlAQAAZHJz&#10;L2Uyb0RvYy54bWxQSwUGAAAAAAYABgBZAQAAmQUAAAAA&#10;">
                        <v:fill on="f" focussize="0,0"/>
                        <v:stroke color="#000000" joinstyle="round" endarrow="block"/>
                        <v:imagedata o:title=""/>
                        <o:lock v:ext="edit" aspectratio="f"/>
                      </v:shape>
                      <v:shape id="_x0000_s1026" o:spid="_x0000_s1026" o:spt="202" type="#_x0000_t202" style="position:absolute;left:1929765;top:2471420;height:307340;width:784860;" fillcolor="#FFFFFF" filled="t" stroked="t" coordsize="21600,21600" o:gfxdata="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Jbxj3WAAAABQEAAA8AAAAAAAAAAQAgAAAAIgAAAGRycy9kb3ducmV2&#10;LnhtbFBLAQIUABQAAAAIAIdO4kDUMlQ8/gEAAPcDAAAOAAAAAAAAAAEAIAAAACUBAABkcnMvZTJv&#10;RG9jLnhtbFBLBQYAAAAABgAGAFkBAACVBQAAAAA=&#10;">
                        <v:fill on="t" focussize="0,0"/>
                        <v:stroke color="#000000" joinstyle="miter"/>
                        <v:imagedata o:title=""/>
                        <o:lock v:ext="edit" aspectratio="f"/>
                        <v:textbox>
                          <w:txbxContent>
                            <w:p>
                              <w:pPr>
                                <w:rPr>
                                  <w:sz w:val="21"/>
                                  <w:szCs w:val="21"/>
                                </w:rPr>
                              </w:pPr>
                              <w:r>
                                <w:rPr>
                                  <w:rFonts w:hint="eastAsia"/>
                                  <w:sz w:val="21"/>
                                  <w:szCs w:val="21"/>
                                </w:rPr>
                                <w:t>生活废水</w:t>
                              </w:r>
                            </w:p>
                          </w:txbxContent>
                        </v:textbox>
                      </v:shape>
                      <v:shape id="_x0000_s1026" o:spid="_x0000_s1026" o:spt="32" type="#_x0000_t32" style="position:absolute;left:1274862;top:2638931;flip:y;height:866;width:654753;" filled="f" stroked="t" coordsize="21600,21600" o:gfxdata="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6NyxZ1gAAAAUBAAAPAAAAAAAAAAEAIAAAACIAAABkcnMvZG93&#10;bnJldi54bWxQSwECFAAUAAAACACHTuJAL88yDwICAAC9AwAADgAAAAAAAAABACAAAAAlAQAAZHJz&#10;L2Uyb0RvYy54bWxQSwUGAAAAAAYABgBZAQAAmQUAAAAA&#10;">
                        <v:fill on="f" focussize="0,0"/>
                        <v:stroke color="#000000" joinstyle="round" endarrow="block"/>
                        <v:imagedata o:title=""/>
                        <o:lock v:ext="edit" aspectratio="f"/>
                      </v:shape>
                      <v:shape id="_x0000_s1026" o:spid="_x0000_s1026" o:spt="202" type="#_x0000_t202" style="position:absolute;left:1877060;top:3267710;height:299085;width:785495;" fillcolor="#FFFFFF" filled="t" stroked="t" coordsize="21600,21600" o:gfxdata="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Jbxj3WAAAABQEAAA8AAAAAAAAAAQAgAAAAIgAAAGRycy9kb3ducmV2Lnht&#10;bFBLAQIUABQAAAAIAIdO4kB5QXOi+wEAAPcDAAAOAAAAAAAAAAEAIAAAACUBAABkcnMvZTJvRG9j&#10;LnhtbFBLBQYAAAAABgAGAFkBAACSBQAAAAA=&#10;">
                        <v:fill on="t" focussize="0,0"/>
                        <v:stroke color="#000000" joinstyle="miter"/>
                        <v:imagedata o:title=""/>
                        <o:lock v:ext="edit" aspectratio="f"/>
                        <v:textbox>
                          <w:txbxContent>
                            <w:p>
                              <w:pPr>
                                <w:rPr>
                                  <w:sz w:val="21"/>
                                  <w:szCs w:val="21"/>
                                </w:rPr>
                              </w:pPr>
                              <w:r>
                                <w:rPr>
                                  <w:rFonts w:hint="eastAsia"/>
                                  <w:sz w:val="21"/>
                                  <w:szCs w:val="21"/>
                                </w:rPr>
                                <w:t>设备清洗</w:t>
                              </w:r>
                            </w:p>
                          </w:txbxContent>
                        </v:textbox>
                      </v:shape>
                      <v:shape id="_x0000_s1026" o:spid="_x0000_s1026" o:spt="32" type="#_x0000_t32" style="position:absolute;left:1274862;top:3408872;height:866;width:601922;" filled="f" stroked="t" coordsize="21600,21600" o:gfxdata="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KqwQn1wAAAAUBAAAPAAAAAAAAAAEAIAAAACIAAABkcnMvZG93bnJldi54&#10;bWxQSwECFAAUAAAACACHTuJAQ8lS8PsBAACzAwAADgAAAAAAAAABACAAAAAmAQAAZHJzL2Uyb0Rv&#10;Yy54bWxQSwUGAAAAAAYABgBZAQAAkwUAAAAA&#10;">
                        <v:fill on="f" focussize="0,0"/>
                        <v:stroke color="#000000" joinstyle="round" endarrow="block"/>
                        <v:imagedata o:title=""/>
                        <o:lock v:ext="edit" aspectratio="f"/>
                      </v:shape>
                      <v:shape id="_x0000_s1026" o:spid="_x0000_s1026" o:spt="32" type="#_x0000_t32" style="position:absolute;left:1274862;top:613181;height:3610667;width:866;" filled="f" stroked="t" coordsize="21600,21600" o:gfxdata="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5vbuvWAAAABQEAAA8AAAAAAAAAAQAgAAAAIgAAAGRycy9kb3ducmV2LnhtbFBLAQIU&#10;ABQAAAAIAIdO4kBAcpm/9QEAAK8DAAAOAAAAAAAAAAEAIAAAACUBAABkcnMvZTJvRG9jLnhtbFBL&#10;BQYAAAAABgAGAFkBAACMBQAAAAA=&#10;">
                        <v:fill on="f" focussize="0,0"/>
                        <v:stroke color="#000000" joinstyle="round"/>
                        <v:imagedata o:title=""/>
                        <o:lock v:ext="edit" aspectratio="f"/>
                      </v:shape>
                      <v:shape id="_x0000_s1026" o:spid="_x0000_s1026" o:spt="32" type="#_x0000_t32" style="position:absolute;left:621842;top:2083777;flip:y;height:1732;width:653020;" filled="f" stroked="t" coordsize="21600,21600" o:gfxdata="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csWdYAAAAFAQAADwAAAAAAAAABACAAAAAiAAAAZHJzL2Rvd25y&#10;ZXYueG1sUEsBAhQAFAAAAAgAh07iQNNI9z8AAgAAvQMAAA4AAAAAAAAAAQAgAAAAJQEAAGRycy9l&#10;Mm9Eb2MueG1sUEsFBgAAAAAGAAYAWQEAAJcFAAAAAA==&#10;">
                        <v:fill on="f" focussize="0,0"/>
                        <v:stroke color="#000000" joinstyle="round" endarrow="block"/>
                        <v:imagedata o:title=""/>
                        <o:lock v:ext="edit" aspectratio="f"/>
                      </v:shape>
                      <v:shape id="_x0000_s1026" o:spid="_x0000_s1026" o:spt="33" type="#_x0000_t33" style="position:absolute;left:2331473;top:187072;height:293599;width:274546;rotation:-5898240f;" filled="f" stroked="t" coordsize="21600,21600" o:gfxdata="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8MNeTWAAAABQEAAA8AAAAAAAAAAQAgAAAAIgAAAGRycy9k&#10;b3ducmV2LnhtbFBLAQIUABQAAAAIAIdO4kDJf+X5BAIAAMQDAAAOAAAAAAAAAAEAIAAAACUBAABk&#10;cnMvZTJvRG9jLnhtbFBLBQYAAAAABgAGAFkBAACbBQAAAAA=&#10;">
                        <v:fill on="f" focussize="0,0"/>
                        <v:stroke color="#000000" joinstyle="miter" endarrow="block"/>
                        <v:imagedata o:title=""/>
                        <o:lock v:ext="edit" aspectratio="f"/>
                      </v:shape>
                      <v:shape id="_x0000_s1026" o:spid="_x0000_s1026" o:spt="202" type="#_x0000_t202" style="position:absolute;left:1365800;top:402725;height:349894;width:457287;"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FlFGMNkAAAAFAQAA&#10;DwAAAAAAAAABACAAAAAiAAAAZHJzL2Rvd25yZXYueG1sUEsBAhQAFAAAAAgAh07iQBLNXOumAQAA&#10;GAMAAA4AAAAAAAAAAQAgAAAAKAEAAGRycy9lMm9Eb2MueG1sUEsFBgAAAAAGAAYAWQEAAEAFAAAA&#10;AA==&#10;">
                        <v:fill on="f" focussize="0,0"/>
                        <v:stroke on="f" weight="1.25pt"/>
                        <v:imagedata o:title=""/>
                        <o:lock v:ext="edit" aspectratio="f"/>
                        <v:textbox>
                          <w:txbxContent>
                            <w:p>
                              <w:pPr>
                                <w:rPr>
                                  <w:sz w:val="18"/>
                                  <w:szCs w:val="18"/>
                                </w:rPr>
                              </w:pPr>
                              <w:r>
                                <w:rPr>
                                  <w:rFonts w:hint="eastAsia"/>
                                  <w:sz w:val="18"/>
                                  <w:szCs w:val="18"/>
                                </w:rPr>
                                <w:t>2.304</w:t>
                              </w:r>
                            </w:p>
                          </w:txbxContent>
                        </v:textbox>
                      </v:shape>
                      <v:shape id="_x0000_s1026" o:spid="_x0000_s1026" o:spt="202" type="#_x0000_t202" style="position:absolute;left:2615546;top:52831;height:349894;width:724039;"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ZRRjDZAAAABQEA&#10;AA8AAAAAAAAAAQAgAAAAIgAAAGRycy9kb3ducmV2LnhtbFBLAQIUABQAAAAIAIdO4kDrkuIDpwEA&#10;ABcDAAAOAAAAAAAAAAEAIAAAACgBAABkcnMvZTJvRG9jLnhtbFBLBQYAAAAABgAGAFkBAABBBQAA&#10;AAA=&#10;">
                        <v:fill on="f" focussize="0,0"/>
                        <v:stroke on="f" weight="1.25pt"/>
                        <v:imagedata o:title=""/>
                        <o:lock v:ext="edit" aspectratio="f"/>
                        <v:textbox>
                          <w:txbxContent>
                            <w:p>
                              <w:pPr>
                                <w:rPr>
                                  <w:sz w:val="18"/>
                                  <w:szCs w:val="18"/>
                                </w:rPr>
                              </w:pPr>
                              <w:r>
                                <w:rPr>
                                  <w:rFonts w:hint="eastAsia"/>
                                  <w:sz w:val="18"/>
                                  <w:szCs w:val="18"/>
                                </w:rPr>
                                <w:t>损失2.304</w:t>
                              </w:r>
                            </w:p>
                          </w:txbxContent>
                        </v:textbox>
                      </v:shape>
                      <v:shape id="_x0000_s1026" o:spid="_x0000_s1026" o:spt="202" type="#_x0000_t202" style="position:absolute;left:1365800;top:1057478;height:349894;width:457287;"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FlFGMNkAAAAFAQAA&#10;DwAAAAAAAAABACAAAAAiAAAAZHJzL2Rvd25yZXYueG1sUEsBAhQAFAAAAAgAh07iQO6UqOWmAQAA&#10;GQMAAA4AAAAAAAAAAQAgAAAAKAEAAGRycy9lMm9Eb2MueG1sUEsFBgAAAAAGAAYAWQEAAEAFAAAA&#10;AA==&#10;">
                        <v:fill on="f" focussize="0,0"/>
                        <v:stroke on="f" weight="1.25pt"/>
                        <v:imagedata o:title=""/>
                        <o:lock v:ext="edit" aspectratio="f"/>
                        <v:textbox>
                          <w:txbxContent>
                            <w:p>
                              <w:pPr>
                                <w:rPr>
                                  <w:sz w:val="18"/>
                                  <w:szCs w:val="18"/>
                                </w:rPr>
                              </w:pPr>
                              <w:r>
                                <w:rPr>
                                  <w:rFonts w:hint="eastAsia"/>
                                  <w:sz w:val="18"/>
                                  <w:szCs w:val="18"/>
                                </w:rPr>
                                <w:t>5</w:t>
                              </w:r>
                            </w:p>
                          </w:txbxContent>
                        </v:textbox>
                      </v:shape>
                      <v:shape id="_x0000_s1026" o:spid="_x0000_s1026" o:spt="34" type="#_x0000_t34" style="position:absolute;left:2420679;top:851352;flip:y;height:274546;width:293599;" filled="f" stroked="t" coordsize="21600,21600" o:gfxdata="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oVTr9QAAAAFAQAADwAAAAAA&#10;AAABACAAAAAiAAAAZHJzL2Rvd25yZXYueG1sUEsBAhQAFAAAAAgAh07iQO3rangXAgAA7AMAAA4A&#10;AAAAAAAAAQAgAAAAIwEAAGRycy9lMm9Eb2MueG1sUEsFBgAAAAAGAAYAWQEAAKwFAAAAAA==&#10;" adj="10800">
                        <v:fill on="f" focussize="0,0"/>
                        <v:stroke color="#000000" joinstyle="miter" endarrow="block"/>
                        <v:imagedata o:title=""/>
                        <o:lock v:ext="edit" aspectratio="f"/>
                      </v:shape>
                      <v:shape id="_x0000_s1026" o:spid="_x0000_s1026" o:spt="202" type="#_x0000_t202" style="position:absolute;left:2714278;top:707583;height:349894;width:724039;"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WUUYw2QAAAAUB&#10;AAAPAAAAAAAAAAEAIAAAACIAAABkcnMvZG93bnJldi54bWxQSwECFAAUAAAACACHTuJARRLgMagB&#10;AAAYAwAADgAAAAAAAAABACAAAAAoAQAAZHJzL2Uyb0RvYy54bWxQSwUGAAAAAAYABgBZAQAAQgUA&#10;AAAA&#10;">
                        <v:fill on="f" focussize="0,0"/>
                        <v:stroke on="f" weight="1.25pt"/>
                        <v:imagedata o:title=""/>
                        <o:lock v:ext="edit" aspectratio="f"/>
                        <v:textbox>
                          <w:txbxContent>
                            <w:p>
                              <w:pPr>
                                <w:rPr>
                                  <w:sz w:val="18"/>
                                  <w:szCs w:val="18"/>
                                </w:rPr>
                              </w:pPr>
                              <w:r>
                                <w:rPr>
                                  <w:rFonts w:hint="eastAsia"/>
                                  <w:sz w:val="18"/>
                                  <w:szCs w:val="18"/>
                                </w:rPr>
                                <w:t>损失5</w:t>
                              </w:r>
                            </w:p>
                          </w:txbxContent>
                        </v:textbox>
                      </v:shape>
                      <v:shape id="_x0000_s1026" o:spid="_x0000_s1026" o:spt="202" type="#_x0000_t202" style="position:absolute;left:3339584;top:1818758;height:280608;width:784664;" fillcolor="#FFFFFF" filled="t" stroked="t" coordsize="21600,21600" o:gfxdata="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Jbxj3WAAAABQEAAA8AAAAAAAAAAQAgAAAAIgAAAGRycy9kb3ducmV2&#10;LnhtbFBLAQIUABQAAAAIAIdO4kDNnLvO/gEAAPcDAAAOAAAAAAAAAAEAIAAAACUBAABkcnMvZTJv&#10;RG9jLnhtbFBLBQYAAAAABgAGAFkBAACVBQAAAAA=&#10;">
                        <v:fill on="t" focussize="0,0"/>
                        <v:stroke color="#000000" joinstyle="miter"/>
                        <v:imagedata o:title=""/>
                        <o:lock v:ext="edit" aspectratio="f"/>
                        <v:textbox>
                          <w:txbxContent>
                            <w:p>
                              <w:pPr>
                                <w:rPr>
                                  <w:sz w:val="21"/>
                                  <w:szCs w:val="21"/>
                                </w:rPr>
                              </w:pPr>
                              <w:r>
                                <w:rPr>
                                  <w:rFonts w:hint="eastAsia"/>
                                  <w:sz w:val="21"/>
                                  <w:szCs w:val="21"/>
                                </w:rPr>
                                <w:t>沉淀池</w:t>
                              </w:r>
                            </w:p>
                          </w:txbxContent>
                        </v:textbox>
                      </v:shape>
                      <v:shape id="_x0000_s1026" o:spid="_x0000_s1026" o:spt="32" type="#_x0000_t32" style="position:absolute;left:2714278;top:1945205;height:16455;width:625306;" filled="f" stroked="t" coordsize="21600,21600" o:gfxdata="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KqwQn1wAAAAUBAAAPAAAAAAAAAAEAIAAAACIAAABkcnMvZG93bnJldi54&#10;bWxQSwECFAAUAAAACACHTuJAiWmH7vsBAAC1AwAADgAAAAAAAAABACAAAAAmAQAAZHJzL2Uyb0Rv&#10;Yy54bWxQSwUGAAAAAAYABgBZAQAAkwUAAAAA&#10;">
                        <v:fill on="f" focussize="0,0"/>
                        <v:stroke color="#000000" joinstyle="round" endarrow="block"/>
                        <v:imagedata o:title=""/>
                        <o:lock v:ext="edit" aspectratio="f"/>
                      </v:shape>
                      <v:shape id="_x0000_s1026" o:spid="_x0000_s1026" o:spt="34" type="#_x0000_t34" style="position:absolute;left:3020003;top:1387452;flip:y;height:1409970;width:13857;rotation:5898240f;" filled="f" stroked="t" coordsize="21600,21600" o:gfxdata="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CnPB/TAAAA&#10;BQEAAA8AAAAAAAAAAQAgAAAAIgAAAGRycy9kb3ducmV2LnhtbFBLAQIUABQAAAAIAIdO4kCH+GsO&#10;IgIAAP8DAAAOAAAAAAAAAAEAIAAAACIBAABkcnMvZTJvRG9jLnhtbFBLBQYAAAAABgAGAFkBAAC2&#10;BQAAAAA=&#10;" adj="-353455">
                        <v:fill on="f" focussize="0,0"/>
                        <v:stroke color="#000000" joinstyle="miter" endarrow="block"/>
                        <v:imagedata o:title=""/>
                        <o:lock v:ext="edit" aspectratio="f"/>
                      </v:shape>
                      <v:shape id="_x0000_s1026" o:spid="_x0000_s1026" o:spt="34" type="#_x0000_t34" style="position:absolute;left:2181642;top:1531221;flip:y;height:273680;width:292733;" filled="f" stroked="t" coordsize="21600,21600" o:gfxdata="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KhVOv1AAAAAUBAAAPAAAAAAAA&#10;AAEAIAAAACIAAABkcnMvZG93bnJldi54bWxQSwECFAAUAAAACACHTuJAA6UAJhYCAADtAwAADgAA&#10;AAAAAAABACAAAAAjAQAAZHJzL2Uyb0RvYy54bWxQSwUGAAAAAAYABgBZAQAAqwUAAAAA&#10;" adj="10800">
                        <v:fill on="f" focussize="0,0"/>
                        <v:stroke color="#000000" joinstyle="miter" endarrow="block"/>
                        <v:imagedata o:title=""/>
                        <o:lock v:ext="edit" aspectratio="f"/>
                      </v:shape>
                      <v:shape id="_x0000_s1026" o:spid="_x0000_s1026" o:spt="202" type="#_x0000_t202" style="position:absolute;left:2474376;top:1386586;height:349894;width:724039;"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ZRRjDZAAAABQEA&#10;AA8AAAAAAAAAAQAgAAAAIgAAAGRycy9kb3ducmV2LnhtbFBLAQIUABQAAAAIAIdO4kCxOdJ0pwEA&#10;ABkDAAAOAAAAAAAAAAEAIAAAACgBAABkcnMvZTJvRG9jLnhtbFBLBQYAAAAABgAGAFkBAABBBQAA&#10;AAA=&#10;">
                        <v:fill on="f" focussize="0,0"/>
                        <v:stroke on="f" weight="1.25pt"/>
                        <v:imagedata o:title=""/>
                        <o:lock v:ext="edit" aspectratio="f"/>
                        <v:textbox>
                          <w:txbxContent>
                            <w:p>
                              <w:pPr>
                                <w:rPr>
                                  <w:sz w:val="18"/>
                                  <w:szCs w:val="18"/>
                                </w:rPr>
                              </w:pPr>
                              <w:r>
                                <w:rPr>
                                  <w:rFonts w:hint="eastAsia"/>
                                  <w:sz w:val="18"/>
                                  <w:szCs w:val="18"/>
                                </w:rPr>
                                <w:t>损失0.7</w:t>
                              </w:r>
                            </w:p>
                          </w:txbxContent>
                        </v:textbox>
                      </v:shape>
                      <v:shape id="_x0000_s1026" o:spid="_x0000_s1026" o:spt="202" type="#_x0000_t202" style="position:absolute;left:1364934;top:1749472;height:349894;width:458154;"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FlFGMNkAAAAFAQAA&#10;DwAAAAAAAAABACAAAAAiAAAAZHJzL2Rvd25yZXYueG1sUEsBAhQAFAAAAAgAh07iQC0rD72mAQAA&#10;GQMAAA4AAAAAAAAAAQAgAAAAKAEAAGRycy9lMm9Eb2MueG1sUEsFBgAAAAAGAAYAWQEAAEAFAAAA&#10;AA==&#10;">
                        <v:fill on="f" focussize="0,0"/>
                        <v:stroke on="f" weight="1.25pt"/>
                        <v:imagedata o:title=""/>
                        <o:lock v:ext="edit" aspectratio="f"/>
                        <v:textbox>
                          <w:txbxContent>
                            <w:p>
                              <w:pPr>
                                <w:rPr>
                                  <w:sz w:val="18"/>
                                  <w:szCs w:val="18"/>
                                </w:rPr>
                              </w:pPr>
                              <w:r>
                                <w:rPr>
                                  <w:rFonts w:hint="eastAsia"/>
                                  <w:sz w:val="18"/>
                                  <w:szCs w:val="18"/>
                                </w:rPr>
                                <w:t>0.7</w:t>
                              </w:r>
                            </w:p>
                          </w:txbxContent>
                        </v:textbox>
                      </v:shape>
                      <v:shape id="_x0000_s1026" o:spid="_x0000_s1026" o:spt="202" type="#_x0000_t202" style="position:absolute;left:2741127;top:1733882;height:349894;width:457287;"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ZRRjDZAAAABQEA&#10;AA8AAAAAAAAAAQAgAAAAIgAAAGRycy9kb3ducmV2LnhtbFBLAQIUABQAAAAIAIdO4kDi1wUDpwEA&#10;ABkDAAAOAAAAAAAAAAEAIAAAACgBAABkcnMvZTJvRG9jLnhtbFBLBQYAAAAABgAGAFkBAABBBQAA&#10;AAA=&#10;">
                        <v:fill on="f" focussize="0,0"/>
                        <v:stroke on="f" weight="1.25pt"/>
                        <v:imagedata o:title=""/>
                        <o:lock v:ext="edit" aspectratio="f"/>
                        <v:textbox>
                          <w:txbxContent>
                            <w:p>
                              <w:pPr>
                                <w:rPr>
                                  <w:sz w:val="18"/>
                                  <w:szCs w:val="18"/>
                                </w:rPr>
                              </w:pPr>
                              <w:r>
                                <w:rPr>
                                  <w:rFonts w:hint="eastAsia"/>
                                  <w:sz w:val="18"/>
                                  <w:szCs w:val="18"/>
                                </w:rPr>
                                <w:t>2.8</w:t>
                              </w:r>
                            </w:p>
                          </w:txbxContent>
                        </v:textbox>
                      </v:shape>
                      <v:shape id="_x0000_s1026" o:spid="_x0000_s1026" o:spt="202" type="#_x0000_t202" style="position:absolute;left:2882297;top:2147866;height:349894;width:457287;"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WUUYw2QAAAAUB&#10;AAAPAAAAAAAAAAEAIAAAACIAAABkcnMvZG93bnJldi54bWxQSwECFAAUAAAACACHTuJA/PQUtagB&#10;AAAZAwAADgAAAAAAAAABACAAAAAoAQAAZHJzL2Uyb0RvYy54bWxQSwUGAAAAAAYABgBZAQAAQgUA&#10;AAAA&#10;">
                        <v:fill on="f" focussize="0,0"/>
                        <v:stroke on="f" weight="1.25pt"/>
                        <v:imagedata o:title=""/>
                        <o:lock v:ext="edit" aspectratio="f"/>
                        <v:textbox>
                          <w:txbxContent>
                            <w:p>
                              <w:pPr>
                                <w:rPr>
                                  <w:sz w:val="18"/>
                                  <w:szCs w:val="18"/>
                                </w:rPr>
                              </w:pPr>
                              <w:r>
                                <w:rPr>
                                  <w:rFonts w:hint="eastAsia"/>
                                  <w:sz w:val="18"/>
                                  <w:szCs w:val="18"/>
                                </w:rPr>
                                <w:t>2.8</w:t>
                              </w:r>
                            </w:p>
                          </w:txbxContent>
                        </v:textbox>
                      </v:shape>
                      <v:shape id="_x0000_s1026" o:spid="_x0000_s1026" o:spt="202" type="#_x0000_t202" style="position:absolute;left:3369310;top:2510790;height:289560;width:784860;" fillcolor="#FFFFFF" filled="t" stroked="t" coordsize="21600,21600" o:gfxdata="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iW8Y91gAAAAUBAAAPAAAAAAAAAAEAIAAAACIAAABkcnMvZG93bnJldi54&#10;bWxQSwECFAAUAAAACACHTuJALds7gPwBAAD3AwAADgAAAAAAAAABACAAAAAlAQAAZHJzL2Uyb0Rv&#10;Yy54bWxQSwUGAAAAAAYABgBZAQAAkwUAAAAA&#10;">
                        <v:fill on="t" focussize="0,0"/>
                        <v:stroke color="#000000" joinstyle="miter"/>
                        <v:imagedata o:title=""/>
                        <o:lock v:ext="edit" aspectratio="f"/>
                        <v:textbox>
                          <w:txbxContent>
                            <w:p>
                              <w:pPr>
                                <w:rPr>
                                  <w:sz w:val="21"/>
                                  <w:szCs w:val="21"/>
                                </w:rPr>
                              </w:pPr>
                              <w:r>
                                <w:rPr>
                                  <w:rFonts w:hint="eastAsia"/>
                                  <w:sz w:val="21"/>
                                  <w:szCs w:val="21"/>
                                </w:rPr>
                                <w:t>化粪池</w:t>
                              </w:r>
                            </w:p>
                          </w:txbxContent>
                        </v:textbox>
                      </v:shape>
                      <v:shape id="_x0000_s1026" o:spid="_x0000_s1026" o:spt="32" type="#_x0000_t32" style="position:absolute;left:2714278;top:2651922;flip:y;height:866;width:654753;" filled="f" stroked="t" coordsize="21600,21600" o:gfxdata="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csWdYAAAAFAQAADwAAAAAAAAABACAAAAAiAAAAZHJzL2Rvd25y&#10;ZXYueG1sUEsBAhQAFAAAAAgAh07iQFqEClEAAgAAvQMAAA4AAAAAAAAAAQAgAAAAJQEAAGRycy9l&#10;Mm9Eb2MueG1sUEsFBgAAAAAGAAYAWQEAAJcFAAAAAA==&#10;">
                        <v:fill on="f" focussize="0,0"/>
                        <v:stroke color="#000000" joinstyle="round" endarrow="block"/>
                        <v:imagedata o:title=""/>
                        <o:lock v:ext="edit" aspectratio="f"/>
                      </v:shape>
                      <v:shape id="_x0000_s1026" o:spid="_x0000_s1026" o:spt="202" type="#_x0000_t202" style="position:absolute;left:4505321;top:2510752;height:281474;width:1087790;" fillcolor="#FFFFFF" filled="t" stroked="f" coordsize="21600,21600" o:gfxdata="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sEIEK&#10;1QAAAAUBAAAPAAAAAAAAAAEAIAAAACIAAABkcnMvZG93bnJldi54bWxQSwECFAAUAAAACACHTuJA&#10;S9pFBLIBAAA5AwAADgAAAAAAAAABACAAAAAkAQAAZHJzL2Uyb0RvYy54bWxQSwUGAAAAAAYABgBZ&#10;AQAASAUAAAAA&#10;">
                        <v:fill on="t" focussize="0,0"/>
                        <v:stroke on="f"/>
                        <v:imagedata o:title=""/>
                        <o:lock v:ext="edit" aspectratio="f"/>
                        <v:textbox>
                          <w:txbxContent>
                            <w:p>
                              <w:pPr>
                                <w:rPr>
                                  <w:sz w:val="21"/>
                                  <w:szCs w:val="21"/>
                                </w:rPr>
                              </w:pPr>
                              <w:r>
                                <w:rPr>
                                  <w:rFonts w:hint="eastAsia"/>
                                  <w:sz w:val="21"/>
                                  <w:szCs w:val="21"/>
                                </w:rPr>
                                <w:t>定期清运</w:t>
                              </w:r>
                            </w:p>
                          </w:txbxContent>
                        </v:textbox>
                      </v:shape>
                      <v:shape id="_x0000_s1026" o:spid="_x0000_s1026" o:spt="32" type="#_x0000_t32" style="position:absolute;left:4153695;top:2652788;height:866;width:351626;" filled="f" stroked="t" coordsize="21600,21600" o:gfxdata="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KqwQn1wAAAAUBAAAPAAAAAAAAAAEAIAAAACIAAABkcnMvZG93bnJldi54&#10;bWxQSwECFAAUAAAACACHTuJAtss6RfsBAACzAwAADgAAAAAAAAABACAAAAAmAQAAZHJzL2Uyb0Rv&#10;Yy54bWxQSwUGAAAAAAYABgBZAQAAkwUAAAAA&#10;">
                        <v:fill on="f" focussize="0,0"/>
                        <v:stroke color="#000000" joinstyle="round" endarrow="block"/>
                        <v:imagedata o:title=""/>
                        <o:lock v:ext="edit" aspectratio="f"/>
                      </v:shape>
                      <v:shape id="_x0000_s1026" o:spid="_x0000_s1026" o:spt="202" type="#_x0000_t202" style="position:absolute;left:1364934;top:2429341;height:349894;width:458154;"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ZRRjDZAAAABQEA&#10;AA8AAAAAAAAAAQAgAAAAIgAAAGRycy9kb3ducmV2LnhtbFBLAQIUABQAAAAIAIdO4kB9kAjspwEA&#10;ABkDAAAOAAAAAAAAAAEAIAAAACgBAABkcnMvZTJvRG9jLnhtbFBLBQYAAAAABgAGAFkBAABBBQAA&#10;AAA=&#10;">
                        <v:fill on="f" focussize="0,0"/>
                        <v:stroke on="f" weight="1.25pt"/>
                        <v:imagedata o:title=""/>
                        <o:lock v:ext="edit" aspectratio="f"/>
                        <v:textbox>
                          <w:txbxContent>
                            <w:p>
                              <w:pPr>
                                <w:rPr>
                                  <w:sz w:val="18"/>
                                  <w:szCs w:val="18"/>
                                </w:rPr>
                              </w:pPr>
                              <w:r>
                                <w:rPr>
                                  <w:rFonts w:hint="eastAsia"/>
                                  <w:sz w:val="18"/>
                                  <w:szCs w:val="18"/>
                                </w:rPr>
                                <w:t>1.6</w:t>
                              </w:r>
                            </w:p>
                          </w:txbxContent>
                        </v:textbox>
                      </v:shape>
                      <v:shape id="_x0000_s1026" o:spid="_x0000_s1026" o:spt="202" type="#_x0000_t202" style="position:absolute;left:1556385;top:2028190;height:309245;width:708660;"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WUUYw2QAAAAUBAAAP&#10;AAAAAAAAAAEAIAAAACIAAABkcnMvZG93bnJldi54bWxQSwECFAAUAAAACACHTuJA3lxu4qUBAAAZ&#10;AwAADgAAAAAAAAABACAAAAAoAQAAZHJzL2Uyb0RvYy54bWxQSwUGAAAAAAYABgBZAQAAPwUAAAAA&#10;">
                        <v:fill on="f" focussize="0,0"/>
                        <v:stroke on="f" weight="1.25pt"/>
                        <v:imagedata o:title=""/>
                        <o:lock v:ext="edit" aspectratio="f"/>
                        <v:textbox>
                          <w:txbxContent>
                            <w:p>
                              <w:pPr>
                                <w:rPr>
                                  <w:sz w:val="18"/>
                                  <w:szCs w:val="18"/>
                                </w:rPr>
                              </w:pPr>
                              <w:r>
                                <w:rPr>
                                  <w:rFonts w:hint="eastAsia"/>
                                  <w:sz w:val="18"/>
                                  <w:szCs w:val="18"/>
                                </w:rPr>
                                <w:t>损失0.32</w:t>
                              </w:r>
                            </w:p>
                          </w:txbxContent>
                        </v:textbox>
                      </v:shape>
                      <v:shape id="_x0000_s1026" o:spid="_x0000_s1026" o:spt="38" type="#_x0000_t38" style="position:absolute;left:2036142;top:2211956;flip:x;height:411386;width:160224;rotation:-5898240f;" filled="f" stroked="t" coordsize="21600,21600" o:gfxdata="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lim3b1AAAAAUB&#10;AAAPAAAAAAAAAAEAIAAAACIAAABkcnMvZG93bnJldi54bWxQSwECFAAUAAAACACHTuJA+VZXcB8C&#10;AAD1AwAADgAAAAAAAAABACAAAAAjAQAAZHJzL2Uyb0RvYy54bWxQSwUGAAAAAAYABgBZAQAAtAUA&#10;AAAA&#10;" adj="10800">
                        <v:fill on="f" focussize="0,0"/>
                        <v:stroke color="#000000" joinstyle="round" endarrow="block"/>
                        <v:imagedata o:title=""/>
                        <o:lock v:ext="edit" aspectratio="f"/>
                      </v:shape>
                      <v:shape id="_x0000_s1026" o:spid="_x0000_s1026" o:spt="202" type="#_x0000_t202" style="position:absolute;left:2812145;top:2429341;height:349894;width:458154;"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WUUYw2QAAAAUB&#10;AAAPAAAAAAAAAAEAIAAAACIAAABkcnMvZG93bnJldi54bWxQSwECFAAUAAAACACHTuJAVSUU5KgB&#10;AAAZAwAADgAAAAAAAAABACAAAAAoAQAAZHJzL2Uyb0RvYy54bWxQSwUGAAAAAAYABgBZAQAAQgUA&#10;AAAA&#10;">
                        <v:fill on="f" focussize="0,0"/>
                        <v:stroke on="f" weight="1.25pt"/>
                        <v:imagedata o:title=""/>
                        <o:lock v:ext="edit" aspectratio="f"/>
                        <v:textbox>
                          <w:txbxContent>
                            <w:p>
                              <w:pPr>
                                <w:rPr>
                                  <w:sz w:val="18"/>
                                  <w:szCs w:val="18"/>
                                </w:rPr>
                              </w:pPr>
                              <w:r>
                                <w:rPr>
                                  <w:rFonts w:hint="eastAsia"/>
                                  <w:sz w:val="18"/>
                                  <w:szCs w:val="18"/>
                                </w:rPr>
                                <w:t>1.28</w:t>
                              </w:r>
                            </w:p>
                          </w:txbxContent>
                        </v:textbox>
                      </v:shape>
                      <v:shape id="_x0000_s1026" o:spid="_x0000_s1026" o:spt="202" type="#_x0000_t202" style="position:absolute;left:4153695;top:2429341;height:349894;width:457287;"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WUUYw2QAAAAUB&#10;AAAPAAAAAAAAAAEAIAAAACIAAABkcnMvZG93bnJldi54bWxQSwECFAAUAAAACACHTuJAXhXZnKgB&#10;AAAZAwAADgAAAAAAAAABACAAAAAoAQAAZHJzL2Uyb0RvYy54bWxQSwUGAAAAAAYABgBZAQAAQgUA&#10;AAAA&#10;">
                        <v:fill on="f" focussize="0,0"/>
                        <v:stroke on="f" weight="1.25pt"/>
                        <v:imagedata o:title=""/>
                        <o:lock v:ext="edit" aspectratio="f"/>
                        <v:textbox>
                          <w:txbxContent>
                            <w:p>
                              <w:pPr>
                                <w:rPr>
                                  <w:sz w:val="18"/>
                                  <w:szCs w:val="18"/>
                                </w:rPr>
                              </w:pPr>
                              <w:r>
                                <w:rPr>
                                  <w:rFonts w:hint="eastAsia"/>
                                  <w:sz w:val="18"/>
                                  <w:szCs w:val="18"/>
                                </w:rPr>
                                <w:t>1.28</w:t>
                              </w:r>
                            </w:p>
                          </w:txbxContent>
                        </v:textbox>
                      </v:shape>
                      <v:shape id="_x0000_s1026" o:spid="_x0000_s1026" o:spt="202" type="#_x0000_t202" style="position:absolute;left:3317066;top:3268568;height:280608;width:784664;" fillcolor="#FFFFFF" filled="t" stroked="t" coordsize="21600,21600" o:gfxdata="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iW8Y91gAAAAUBAAAPAAAAAAAAAAEAIAAAACIAAABkcnMvZG93bnJl&#10;di54bWxQSwECFAAUAAAACACHTuJA1fGzNP8BAAD3AwAADgAAAAAAAAABACAAAAAlAQAAZHJzL2Uy&#10;b0RvYy54bWxQSwUGAAAAAAYABgBZAQAAlgUAAAAA&#10;">
                        <v:fill on="t" focussize="0,0"/>
                        <v:stroke color="#000000" joinstyle="miter"/>
                        <v:imagedata o:title=""/>
                        <o:lock v:ext="edit" aspectratio="f"/>
                        <v:textbox>
                          <w:txbxContent>
                            <w:p>
                              <w:pPr>
                                <w:rPr>
                                  <w:sz w:val="21"/>
                                  <w:szCs w:val="21"/>
                                </w:rPr>
                              </w:pPr>
                              <w:r>
                                <w:rPr>
                                  <w:rFonts w:hint="eastAsia"/>
                                  <w:sz w:val="21"/>
                                  <w:szCs w:val="21"/>
                                </w:rPr>
                                <w:t>沉淀池</w:t>
                              </w:r>
                            </w:p>
                          </w:txbxContent>
                        </v:textbox>
                      </v:shape>
                      <v:shape id="_x0000_s1026" o:spid="_x0000_s1026" o:spt="32" type="#_x0000_t32" style="position:absolute;left:2662314;top:3409738;flip:y;height:866;width:654753;" filled="f" stroked="t" coordsize="21600,21600" o:gfxdata="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6NyxZ1gAAAAUBAAAPAAAAAAAAAAEAIAAAACIAAABkcnMvZG93&#10;bnJldi54bWxQSwECFAAUAAAACACHTuJAL9vnXQICAAC9AwAADgAAAAAAAAABACAAAAAlAQAAZHJz&#10;L2Uyb0RvYy54bWxQSwUGAAAAAAYABgBZAQAAmQUAAAAA&#10;">
                        <v:fill on="f" focussize="0,0"/>
                        <v:stroke color="#000000" joinstyle="round" endarrow="block"/>
                        <v:imagedata o:title=""/>
                        <o:lock v:ext="edit" aspectratio="f"/>
                      </v:shape>
                      <v:shape id="_x0000_s1026" o:spid="_x0000_s1026" o:spt="35" type="#_x0000_t35" style="position:absolute;left:2722939;top:2422412;flip:x y;height:1832615;width:140304;rotation:-5898240f;" filled="f" stroked="t" coordsize="21600,21600" o:gfxdata="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AUCCfUAAAABQEAAA8AAAAAAAAAAQAgAAAAIgAAAGRycy9kb3ducmV2Lnht&#10;bFBLAQIUABQAAAAIAIdO4kAavUZ4NgIAAC4EAAAOAAAAAAAAAAEAIAAAACMBAABkcnMvZTJvRG9j&#10;LnhtbFBLBQYAAAAABgAGAFkBAADLBQAAAAA=&#10;" adj="-35283,24294">
                        <v:fill on="f" focussize="0,0"/>
                        <v:stroke color="#000000" joinstyle="miter" endarrow="block"/>
                        <v:imagedata o:title=""/>
                        <o:lock v:ext="edit" aspectratio="f"/>
                      </v:shape>
                      <v:shape id="_x0000_s1026" o:spid="_x0000_s1026" o:spt="202" type="#_x0000_t202" style="position:absolute;left:1220299;top:3161174;height:349894;width:458154;"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WUUYw2QAAAAUB&#10;AAAPAAAAAAAAAAEAIAAAACIAAABkcnMvZG93bnJldi54bWxQSwECFAAUAAAACACHTuJAMsBcRagB&#10;AAAZAwAADgAAAAAAAAABACAAAAAoAQAAZHJzL2Uyb0RvYy54bWxQSwUGAAAAAAYABgBZAQAAQgUA&#10;AAAA&#10;">
                        <v:fill on="f" focussize="0,0"/>
                        <v:stroke on="f" weight="1.25pt"/>
                        <v:imagedata o:title=""/>
                        <o:lock v:ext="edit" aspectratio="f"/>
                        <v:textbox>
                          <w:txbxContent>
                            <w:p>
                              <w:pPr>
                                <w:rPr>
                                  <w:sz w:val="18"/>
                                  <w:szCs w:val="18"/>
                                </w:rPr>
                              </w:pPr>
                              <w:r>
                                <w:rPr>
                                  <w:rFonts w:hint="eastAsia"/>
                                  <w:sz w:val="18"/>
                                  <w:szCs w:val="18"/>
                                </w:rPr>
                                <w:t>4</w:t>
                              </w:r>
                            </w:p>
                          </w:txbxContent>
                        </v:textbox>
                      </v:shape>
                      <v:shape id="_x0000_s1026" o:spid="_x0000_s1026" o:spt="202" type="#_x0000_t202" style="position:absolute;left:2741295;top:3173730;height:375285;width:458470;"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ZRRjDZAAAABQEA&#10;AA8AAAAAAAAAAQAgAAAAIgAAAGRycy9kb3ducmV2LnhtbFBLAQIUABQAAAAIAIdO4kCSbIVUpwEA&#10;ABkDAAAOAAAAAAAAAAEAIAAAACgBAABkcnMvZTJvRG9jLnhtbFBLBQYAAAAABgAGAFkBAABBBQAA&#10;AAA=&#10;">
                        <v:fill on="f" focussize="0,0"/>
                        <v:stroke on="f" weight="1.25pt"/>
                        <v:imagedata o:title=""/>
                        <o:lock v:ext="edit" aspectratio="f"/>
                        <v:textbox>
                          <w:txbxContent>
                            <w:p>
                              <w:pPr>
                                <w:rPr>
                                  <w:sz w:val="18"/>
                                  <w:szCs w:val="18"/>
                                </w:rPr>
                              </w:pPr>
                              <w:r>
                                <w:rPr>
                                  <w:rFonts w:hint="eastAsia"/>
                                  <w:sz w:val="18"/>
                                  <w:szCs w:val="18"/>
                                </w:rPr>
                                <w:t>4</w:t>
                              </w:r>
                            </w:p>
                          </w:txbxContent>
                        </v:textbox>
                      </v:shape>
                      <v:shape id="_x0000_s1026" o:spid="_x0000_s1026" o:spt="202" type="#_x0000_t202" style="position:absolute;left:2436268;top:2849387;height:349894;width:457287;"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WUUYw2QAAAAUB&#10;AAAPAAAAAAAAAAEAIAAAACIAAABkcnMvZG93bnJldi54bWxQSwECFAAUAAAACACHTuJAaNI6GagB&#10;AAAZAwAADgAAAAAAAAABACAAAAAoAQAAZHJzL2Uyb0RvYy54bWxQSwUGAAAAAAYABgBZAQAAQgUA&#10;AAAA&#10;">
                        <v:fill on="f" focussize="0,0"/>
                        <v:stroke on="f" weight="1.25pt"/>
                        <v:imagedata o:title=""/>
                        <o:lock v:ext="edit" aspectratio="f"/>
                        <v:textbox>
                          <w:txbxContent>
                            <w:p>
                              <w:pPr>
                                <w:rPr>
                                  <w:sz w:val="18"/>
                                  <w:szCs w:val="18"/>
                                </w:rPr>
                              </w:pPr>
                              <w:r>
                                <w:rPr>
                                  <w:rFonts w:hint="eastAsia"/>
                                  <w:sz w:val="18"/>
                                  <w:szCs w:val="18"/>
                                </w:rPr>
                                <w:t>4</w:t>
                              </w:r>
                            </w:p>
                          </w:txbxContent>
                        </v:textbox>
                      </v:shape>
                      <v:shape id="_x0000_s1026" o:spid="_x0000_s1026" o:spt="202" type="#_x0000_t202" style="position:absolute;left:322180;top:1818758;height:349894;width:1043620;"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ZRRjDZAAAABQEA&#10;AA8AAAAAAAAAAQAgAAAAIgAAAGRycy9kb3ducmV2LnhtbFBLAQIUABQAAAAIAIdO4kDrNCkEpwEA&#10;ABkDAAAOAAAAAAAAAAEAIAAAACgBAABkcnMvZTJvRG9jLnhtbFBLBQYAAAAABgAGAFkBAABBBQAA&#10;AAA=&#10;">
                        <v:fill on="f" focussize="0,0"/>
                        <v:stroke on="f" weight="1.25pt"/>
                        <v:imagedata o:title=""/>
                        <o:lock v:ext="edit" aspectratio="f"/>
                        <v:textbox>
                          <w:txbxContent>
                            <w:p>
                              <w:pPr>
                                <w:rPr>
                                  <w:sz w:val="18"/>
                                  <w:szCs w:val="18"/>
                                </w:rPr>
                              </w:pPr>
                              <w:r>
                                <w:rPr>
                                  <w:rFonts w:hint="eastAsia"/>
                                  <w:sz w:val="18"/>
                                  <w:szCs w:val="18"/>
                                </w:rPr>
                                <w:t>新鲜水91.04</w:t>
                              </w:r>
                            </w:p>
                          </w:txbxContent>
                        </v:textbox>
                      </v:shape>
                      <v:shape id="_x0000_s1026" o:spid="_x0000_s1026" o:spt="202" type="#_x0000_t202" style="position:absolute;left:1956435;top:4040505;height:315595;width:784860;" fillcolor="#FFFFFF" filled="t" stroked="t" coordsize="21600,21600" o:gfxdata="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Jbxj3WAAAABQEAAA8AAAAAAAAAAQAgAAAAIgAAAGRycy9kb3ducmV2&#10;LnhtbFBLAQIUABQAAAAIAIdO4kDEKEMe/gEAAPcDAAAOAAAAAAAAAAEAIAAAACUBAABkcnMvZTJv&#10;RG9jLnhtbFBLBQYAAAAABgAGAFkBAACVBQAAAAA=&#10;">
                        <v:fill on="t" focussize="0,0"/>
                        <v:stroke color="#000000" joinstyle="miter"/>
                        <v:imagedata o:title=""/>
                        <o:lock v:ext="edit" aspectratio="f"/>
                        <v:textbox>
                          <w:txbxContent>
                            <w:p>
                              <w:pPr>
                                <w:rPr>
                                  <w:sz w:val="21"/>
                                  <w:szCs w:val="21"/>
                                </w:rPr>
                              </w:pPr>
                              <w:r>
                                <w:rPr>
                                  <w:rFonts w:hint="eastAsia"/>
                                  <w:sz w:val="21"/>
                                  <w:szCs w:val="21"/>
                                </w:rPr>
                                <w:t>配料用水</w:t>
                              </w:r>
                            </w:p>
                          </w:txbxContent>
                        </v:textbox>
                      </v:shape>
                      <v:shape id="_x0000_s1026" o:spid="_x0000_s1026" o:spt="32" type="#_x0000_t32" style="position:absolute;left:1301710;top:4181411;flip:y;height:866;width:654753;" filled="f" stroked="t" coordsize="21600,21600" o:gfxdata="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csWdYAAAAFAQAADwAAAAAAAAABACAAAAAiAAAAZHJzL2Rv&#10;d25yZXYueG1sUEsBAhQAFAAAAAgAh07iQFC5pSADAgAAvQMAAA4AAAAAAAAAAQAgAAAAJQEAAGRy&#10;cy9lMm9Eb2MueG1sUEsFBgAAAAAGAAYAWQEAAJoFAAAAAA==&#10;">
                        <v:fill on="f" focussize="0,0"/>
                        <v:stroke color="#000000" joinstyle="round" endarrow="block"/>
                        <v:imagedata o:title=""/>
                        <o:lock v:ext="edit" aspectratio="f"/>
                      </v:shape>
                      <v:shape id="_x0000_s1026" o:spid="_x0000_s1026" o:spt="34" type="#_x0000_t34" style="position:absolute;left:2348795;top:3765695;flip:y;height:274546;width:294465;" filled="f" stroked="t" coordsize="21600,21600" o:gfxdata="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KhVOv1AAAAAUBAAAPAAAAAAAA&#10;AAEAIAAAACIAAABkcnMvZG93bnJldi54bWxQSwECFAAUAAAACACHTuJA5m3C+BYCAADtAwAADgAA&#10;AAAAAAABACAAAAAjAQAAZHJzL2Uyb0RvYy54bWxQSwUGAAAAAAYABgBZAQAAqwUAAAAA&#10;" adj="10800">
                        <v:fill on="f" focussize="0,0"/>
                        <v:stroke color="#000000" joinstyle="miter" endarrow="block"/>
                        <v:imagedata o:title=""/>
                        <o:lock v:ext="edit" aspectratio="f"/>
                      </v:shape>
                      <v:shape id="_x0000_s1026" o:spid="_x0000_s1026" o:spt="202" type="#_x0000_t202" style="position:absolute;left:1419497;top:3915526;height:349894;width:457287;"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ZRRjDZAAAABQEA&#10;AA8AAAAAAAAAAQAgAAAAIgAAAGRycy9kb3ducmV2LnhtbFBLAQIUABQAAAAIAIdO4kCg8DcrpwEA&#10;ABkDAAAOAAAAAAAAAAEAIAAAACgBAABkcnMvZTJvRG9jLnhtbFBLBQYAAAAABgAGAFkBAABBBQAA&#10;AAA=&#10;">
                        <v:fill on="f" focussize="0,0"/>
                        <v:stroke on="f" weight="1.25pt"/>
                        <v:imagedata o:title=""/>
                        <o:lock v:ext="edit" aspectratio="f"/>
                        <v:textbox>
                          <w:txbxContent>
                            <w:p>
                              <w:pPr>
                                <w:rPr>
                                  <w:sz w:val="18"/>
                                  <w:szCs w:val="18"/>
                                </w:rPr>
                              </w:pPr>
                              <w:r>
                                <w:rPr>
                                  <w:rFonts w:hint="eastAsia"/>
                                  <w:sz w:val="18"/>
                                  <w:szCs w:val="18"/>
                                </w:rPr>
                                <w:t>78.3</w:t>
                              </w:r>
                            </w:p>
                          </w:txbxContent>
                        </v:textbox>
                      </v:shape>
                      <v:shape id="_x0000_s1026" o:spid="_x0000_s1026" o:spt="202" type="#_x0000_t202" style="position:absolute;left:2662314;top:3621060;height:349894;width:1069602;"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WUUYw2QAAAAUB&#10;AAAPAAAAAAAAAAEAIAAAACIAAABkcnMvZG93bnJldi54bWxQSwECFAAUAAAACACHTuJA1Y1zkagB&#10;AAAaAwAADgAAAAAAAAABACAAAAAoAQAAZHJzL2Uyb0RvYy54bWxQSwUGAAAAAAYABgBZAQAAQgUA&#10;AAAA&#10;">
                        <v:fill on="f" focussize="0,0"/>
                        <v:stroke on="f" weight="1.25pt"/>
                        <v:imagedata o:title=""/>
                        <o:lock v:ext="edit" aspectratio="f"/>
                        <v:textbox>
                          <w:txbxContent>
                            <w:p>
                              <w:pPr>
                                <w:rPr>
                                  <w:sz w:val="18"/>
                                  <w:szCs w:val="18"/>
                                </w:rPr>
                              </w:pPr>
                              <w:r>
                                <w:rPr>
                                  <w:rFonts w:hint="eastAsia"/>
                                  <w:sz w:val="18"/>
                                  <w:szCs w:val="18"/>
                                </w:rPr>
                                <w:t>78.3进入产品</w:t>
                              </w:r>
                            </w:p>
                          </w:txbxContent>
                        </v:textbox>
                      </v:shape>
                      <w10:wrap type="none"/>
                      <w10:anchorlock/>
                    </v:group>
                  </w:pict>
                </mc:Fallback>
              </mc:AlternateContent>
            </w:r>
          </w:p>
          <w:p>
            <w:pPr>
              <w:pStyle w:val="63"/>
              <w:snapToGrid w:val="0"/>
              <w:spacing w:line="360" w:lineRule="auto"/>
              <w:ind w:firstLine="480"/>
              <w:jc w:val="center"/>
              <w:rPr>
                <w:rFonts w:hint="default" w:ascii="Times New Roman" w:hAnsi="Times New Roman" w:eastAsia="宋体" w:cs="Times New Roman"/>
                <w:bCs/>
              </w:rPr>
            </w:pPr>
            <w:r>
              <w:rPr>
                <w:rFonts w:hint="default" w:ascii="Times New Roman" w:hAnsi="Times New Roman" w:eastAsia="宋体" w:cs="Times New Roman"/>
                <w:sz w:val="21"/>
                <w:szCs w:val="21"/>
              </w:rPr>
              <w:t>图</w:t>
            </w:r>
            <w:r>
              <w:rPr>
                <w:rFonts w:hint="eastAsia" w:ascii="Times New Roman" w:cs="Times New Roman"/>
                <w:sz w:val="21"/>
                <w:szCs w:val="21"/>
                <w:lang w:val="en-US" w:eastAsia="zh-CN"/>
              </w:rPr>
              <w:t>5.2.2-1</w:t>
            </w:r>
            <w:r>
              <w:rPr>
                <w:rFonts w:hint="default" w:ascii="Times New Roman" w:hAnsi="Times New Roman" w:eastAsia="宋体" w:cs="Times New Roman"/>
                <w:sz w:val="21"/>
                <w:szCs w:val="21"/>
              </w:rPr>
              <w:t xml:space="preserve"> 项目水平衡图 （m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/d）</w:t>
            </w:r>
          </w:p>
          <w:p>
            <w:pPr>
              <w:spacing w:line="500" w:lineRule="exact"/>
              <w:ind w:firstLine="480" w:firstLineChars="200"/>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（8）初期雨水</w:t>
            </w:r>
          </w:p>
          <w:p>
            <w:pPr>
              <w:spacing w:line="500" w:lineRule="exact"/>
              <w:ind w:firstLine="480" w:firstLineChars="200"/>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根据给排水计算软件，暴雨强度计算公式为：</w:t>
            </w:r>
          </w:p>
          <w:p>
            <w:pPr>
              <w:widowControl/>
              <w:jc w:val="center"/>
              <w:rPr>
                <w:rFonts w:hint="default" w:ascii="Times New Roman" w:hAnsi="Times New Roman" w:eastAsia="宋体" w:cs="Times New Roman"/>
                <w:kern w:val="0"/>
              </w:rPr>
            </w:pPr>
            <w:r>
              <w:rPr>
                <w:rFonts w:hint="default" w:ascii="Times New Roman" w:hAnsi="Times New Roman" w:eastAsia="宋体" w:cs="Times New Roman"/>
                <w:kern w:val="0"/>
              </w:rPr>
              <w:drawing>
                <wp:inline distT="0" distB="0" distL="0" distR="0">
                  <wp:extent cx="1855470" cy="544830"/>
                  <wp:effectExtent l="0" t="0" r="11430" b="7620"/>
                  <wp:docPr id="2" name="图片 15" descr="X}{_(LPV]$RL}YT~J`127[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X}{_(LPV]$RL}YT~J`127[Y"/>
                          <pic:cNvPicPr>
                            <a:picLocks noChangeAspect="1" noChangeArrowheads="1"/>
                          </pic:cNvPicPr>
                        </pic:nvPicPr>
                        <pic:blipFill>
                          <a:blip r:embed="rId12" cstate="print"/>
                          <a:srcRect/>
                          <a:stretch>
                            <a:fillRect/>
                          </a:stretch>
                        </pic:blipFill>
                        <pic:spPr>
                          <a:xfrm>
                            <a:off x="0" y="0"/>
                            <a:ext cx="1855470" cy="544830"/>
                          </a:xfrm>
                          <a:prstGeom prst="rect">
                            <a:avLst/>
                          </a:prstGeom>
                          <a:noFill/>
                          <a:ln w="9525">
                            <a:noFill/>
                            <a:miter lim="800000"/>
                            <a:headEnd/>
                            <a:tailEnd/>
                          </a:ln>
                        </pic:spPr>
                      </pic:pic>
                    </a:graphicData>
                  </a:graphic>
                </wp:inline>
              </w:drawing>
            </w:r>
          </w:p>
          <w:p>
            <w:pPr>
              <w:spacing w:line="500" w:lineRule="exact"/>
              <w:ind w:firstLine="480" w:firstLineChars="200"/>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式中：P——重现期，年</w:t>
            </w:r>
          </w:p>
          <w:p>
            <w:pPr>
              <w:spacing w:line="500" w:lineRule="exact"/>
              <w:ind w:firstLine="480" w:firstLineChars="200"/>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 xml:space="preserve">      t——降雨历时，分钟</w:t>
            </w:r>
          </w:p>
          <w:p>
            <w:pPr>
              <w:pStyle w:val="131"/>
              <w:spacing w:line="360" w:lineRule="auto"/>
              <w:ind w:firstLine="482"/>
              <w:rPr>
                <w:rFonts w:hint="default" w:ascii="Times New Roman" w:hAnsi="Times New Roman" w:eastAsia="宋体" w:cs="Times New Roman"/>
                <w:b/>
                <w:color w:val="000000"/>
              </w:rPr>
            </w:pPr>
            <w:r>
              <w:rPr>
                <w:rFonts w:hint="default" w:ascii="Times New Roman" w:hAnsi="Times New Roman" w:eastAsia="宋体" w:cs="Times New Roman"/>
                <w:bCs/>
                <w:iCs/>
                <w:sz w:val="24"/>
                <w:szCs w:val="24"/>
              </w:rPr>
              <w:t>项目区汇水面积约为17000平方米，径流系数取0.9，重现期取1年，根据当地暴雨强度及雨水量计算公式，厂区需设置1座100m</w:t>
            </w:r>
            <w:r>
              <w:rPr>
                <w:rFonts w:hint="default" w:ascii="Times New Roman" w:hAnsi="Times New Roman" w:eastAsia="宋体" w:cs="Times New Roman"/>
                <w:bCs/>
                <w:iCs/>
                <w:sz w:val="24"/>
                <w:szCs w:val="24"/>
                <w:vertAlign w:val="superscript"/>
              </w:rPr>
              <w:t>3</w:t>
            </w:r>
            <w:r>
              <w:rPr>
                <w:rFonts w:hint="default" w:ascii="Times New Roman" w:hAnsi="Times New Roman" w:eastAsia="宋体" w:cs="Times New Roman"/>
                <w:bCs/>
                <w:iCs/>
                <w:sz w:val="24"/>
                <w:szCs w:val="24"/>
              </w:rPr>
              <w:t>雨水收集池，本项目雨水收集池位于厂区地势最低处，项目厂区设置雨水导流渠，雨水收集后汇入雨水收集池，雨水经收集后用于整个厂区的洒水降尘，不外排。</w:t>
            </w:r>
          </w:p>
          <w:p>
            <w:pPr>
              <w:pStyle w:val="131"/>
              <w:spacing w:before="144" w:beforeLines="30" w:line="360" w:lineRule="auto"/>
              <w:ind w:firstLine="482"/>
              <w:rPr>
                <w:rFonts w:hint="default" w:ascii="Times New Roman" w:hAnsi="Times New Roman" w:eastAsia="宋体" w:cs="Times New Roman"/>
                <w:b/>
                <w:color w:val="000000"/>
                <w:sz w:val="24"/>
                <w:szCs w:val="18"/>
              </w:rPr>
            </w:pPr>
            <w:r>
              <w:rPr>
                <w:rFonts w:hint="default" w:ascii="Times New Roman" w:hAnsi="Times New Roman" w:eastAsia="宋体" w:cs="Times New Roman"/>
                <w:b/>
                <w:color w:val="000000"/>
                <w:sz w:val="24"/>
                <w:szCs w:val="18"/>
              </w:rPr>
              <w:t>3.噪声</w:t>
            </w:r>
          </w:p>
          <w:p>
            <w:pPr>
              <w:pStyle w:val="21"/>
              <w:bidi w:val="0"/>
              <w:rPr>
                <w:rFonts w:hint="default"/>
                <w:sz w:val="24"/>
                <w:szCs w:val="22"/>
              </w:rPr>
            </w:pPr>
            <w:r>
              <w:rPr>
                <w:rFonts w:hint="default"/>
                <w:sz w:val="24"/>
                <w:szCs w:val="22"/>
              </w:rPr>
              <w:t>建设项目营运期主要噪声源为搅拌机、运输车辆、水泵、输送机、装载机、压滤机等设备，源强在70~</w:t>
            </w:r>
            <w:r>
              <w:rPr>
                <w:rFonts w:hint="default"/>
                <w:sz w:val="24"/>
                <w:szCs w:val="22"/>
                <w:lang w:val="en-US" w:eastAsia="zh-CN"/>
              </w:rPr>
              <w:t>85</w:t>
            </w:r>
            <w:r>
              <w:rPr>
                <w:rFonts w:hint="default"/>
                <w:sz w:val="24"/>
                <w:szCs w:val="22"/>
              </w:rPr>
              <w:t>dB（A），建设项目营运期各噪声污染源强见</w:t>
            </w:r>
            <w:r>
              <w:rPr>
                <w:rFonts w:hint="eastAsia"/>
                <w:sz w:val="24"/>
                <w:szCs w:val="22"/>
                <w:lang w:eastAsia="zh-CN"/>
              </w:rPr>
              <w:t>下表</w:t>
            </w:r>
            <w:r>
              <w:rPr>
                <w:rFonts w:hint="default"/>
                <w:sz w:val="24"/>
                <w:szCs w:val="22"/>
              </w:rPr>
              <w:t>。</w:t>
            </w:r>
          </w:p>
          <w:p>
            <w:pPr>
              <w:pStyle w:val="131"/>
              <w:spacing w:line="240" w:lineRule="auto"/>
              <w:ind w:firstLine="0" w:firstLineChars="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表</w:t>
            </w:r>
            <w:r>
              <w:rPr>
                <w:rFonts w:hint="eastAsia" w:ascii="Times New Roman" w:eastAsia="宋体" w:cs="Times New Roman"/>
                <w:b/>
                <w:bCs/>
                <w:color w:val="000000"/>
                <w:sz w:val="21"/>
                <w:szCs w:val="21"/>
                <w:lang w:val="en-US" w:eastAsia="zh-CN"/>
              </w:rPr>
              <w:t>5.2.1-7</w:t>
            </w:r>
            <w:r>
              <w:rPr>
                <w:rFonts w:hint="default" w:ascii="Times New Roman" w:hAnsi="Times New Roman" w:eastAsia="宋体" w:cs="Times New Roman"/>
                <w:b/>
                <w:bCs/>
                <w:color w:val="000000"/>
                <w:sz w:val="21"/>
                <w:szCs w:val="21"/>
                <w:lang w:val="en-US" w:eastAsia="zh-CN"/>
              </w:rPr>
              <w:t xml:space="preserve">   </w:t>
            </w:r>
            <w:r>
              <w:rPr>
                <w:rFonts w:hint="default" w:ascii="Times New Roman" w:hAnsi="Times New Roman" w:eastAsia="宋体" w:cs="Times New Roman"/>
                <w:b/>
                <w:bCs/>
                <w:color w:val="000000"/>
                <w:sz w:val="21"/>
                <w:szCs w:val="21"/>
              </w:rPr>
              <w:t>主要生产设备名称及其源强一览表</w:t>
            </w:r>
          </w:p>
          <w:tbl>
            <w:tblPr>
              <w:tblStyle w:val="44"/>
              <w:tblW w:w="8965" w:type="dxa"/>
              <w:jc w:val="center"/>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91"/>
              <w:gridCol w:w="1985"/>
              <w:gridCol w:w="2261"/>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2228" w:type="dxa"/>
                  <w:tcBorders>
                    <w:tl2br w:val="nil"/>
                    <w:tr2bl w:val="nil"/>
                  </w:tcBorders>
                  <w:noWrap w:val="0"/>
                  <w:vAlign w:val="center"/>
                </w:tcPr>
                <w:p>
                  <w:pPr>
                    <w:pStyle w:val="13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序号</w:t>
                  </w:r>
                </w:p>
              </w:tc>
              <w:tc>
                <w:tcPr>
                  <w:tcW w:w="2491" w:type="dxa"/>
                  <w:tcBorders>
                    <w:tl2br w:val="nil"/>
                    <w:tr2bl w:val="nil"/>
                  </w:tcBorders>
                  <w:noWrap w:val="0"/>
                  <w:vAlign w:val="center"/>
                </w:tcPr>
                <w:p>
                  <w:pPr>
                    <w:pStyle w:val="13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名称</w:t>
                  </w:r>
                </w:p>
              </w:tc>
              <w:tc>
                <w:tcPr>
                  <w:tcW w:w="1985" w:type="dxa"/>
                  <w:tcBorders>
                    <w:tl2br w:val="nil"/>
                    <w:tr2bl w:val="nil"/>
                  </w:tcBorders>
                  <w:noWrap w:val="0"/>
                  <w:vAlign w:val="center"/>
                </w:tcPr>
                <w:p>
                  <w:pPr>
                    <w:pStyle w:val="13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数量（台）</w:t>
                  </w:r>
                </w:p>
              </w:tc>
              <w:tc>
                <w:tcPr>
                  <w:tcW w:w="2261" w:type="dxa"/>
                  <w:tcBorders>
                    <w:tl2br w:val="nil"/>
                    <w:tr2bl w:val="nil"/>
                  </w:tcBorders>
                  <w:noWrap w:val="0"/>
                  <w:vAlign w:val="center"/>
                </w:tcPr>
                <w:p>
                  <w:pPr>
                    <w:pStyle w:val="13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源强（dB(A)）</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22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1</w:t>
                  </w:r>
                </w:p>
              </w:tc>
              <w:tc>
                <w:tcPr>
                  <w:tcW w:w="249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1"/>
                      <w:szCs w:val="21"/>
                      <w:vertAlign w:val="baseline"/>
                      <w:lang w:val="en-US" w:eastAsia="zh-CN"/>
                    </w:rPr>
                    <w:t>给料机</w:t>
                  </w:r>
                </w:p>
              </w:tc>
              <w:tc>
                <w:tcPr>
                  <w:tcW w:w="198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vertAlign w:val="baseline"/>
                      <w:lang w:val="en-US" w:eastAsia="zh-CN"/>
                    </w:rPr>
                    <w:t>1台</w:t>
                  </w:r>
                </w:p>
              </w:tc>
              <w:tc>
                <w:tcPr>
                  <w:tcW w:w="2261" w:type="dxa"/>
                  <w:tcBorders>
                    <w:tl2br w:val="nil"/>
                    <w:tr2bl w:val="nil"/>
                  </w:tcBorders>
                  <w:noWrap w:val="0"/>
                  <w:vAlign w:val="center"/>
                </w:tcPr>
                <w:p>
                  <w:pPr>
                    <w:pStyle w:val="13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color w:val="000000"/>
                      <w:sz w:val="21"/>
                      <w:szCs w:val="21"/>
                      <w:lang w:val="en-US" w:eastAsia="zh-CN"/>
                    </w:rPr>
                    <w:t>80～85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22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2</w:t>
                  </w:r>
                </w:p>
              </w:tc>
              <w:tc>
                <w:tcPr>
                  <w:tcW w:w="249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1"/>
                      <w:szCs w:val="21"/>
                      <w:vertAlign w:val="baseline"/>
                      <w:lang w:val="en-US" w:eastAsia="zh-CN"/>
                    </w:rPr>
                    <w:t>振动筛</w:t>
                  </w:r>
                </w:p>
              </w:tc>
              <w:tc>
                <w:tcPr>
                  <w:tcW w:w="198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1"/>
                      <w:szCs w:val="21"/>
                      <w:vertAlign w:val="baseline"/>
                      <w:lang w:val="en-US" w:eastAsia="zh-CN"/>
                    </w:rPr>
                    <w:t>2台</w:t>
                  </w:r>
                </w:p>
              </w:tc>
              <w:tc>
                <w:tcPr>
                  <w:tcW w:w="2261" w:type="dxa"/>
                  <w:tcBorders>
                    <w:tl2br w:val="nil"/>
                    <w:tr2bl w:val="nil"/>
                  </w:tcBorders>
                  <w:noWrap w:val="0"/>
                  <w:vAlign w:val="center"/>
                </w:tcPr>
                <w:p>
                  <w:pPr>
                    <w:pStyle w:val="13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85～90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22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3</w:t>
                  </w:r>
                </w:p>
              </w:tc>
              <w:tc>
                <w:tcPr>
                  <w:tcW w:w="249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1"/>
                      <w:szCs w:val="21"/>
                      <w:vertAlign w:val="baseline"/>
                      <w:lang w:val="en-US" w:eastAsia="zh-CN"/>
                    </w:rPr>
                    <w:t>输送带</w:t>
                  </w:r>
                </w:p>
              </w:tc>
              <w:tc>
                <w:tcPr>
                  <w:tcW w:w="198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1"/>
                      <w:szCs w:val="21"/>
                      <w:vertAlign w:val="baseline"/>
                      <w:lang w:val="en-US" w:eastAsia="zh-CN"/>
                    </w:rPr>
                    <w:t>7条</w:t>
                  </w:r>
                </w:p>
              </w:tc>
              <w:tc>
                <w:tcPr>
                  <w:tcW w:w="2261" w:type="dxa"/>
                  <w:tcBorders>
                    <w:tl2br w:val="nil"/>
                    <w:tr2bl w:val="nil"/>
                  </w:tcBorders>
                  <w:noWrap w:val="0"/>
                  <w:vAlign w:val="center"/>
                </w:tcPr>
                <w:p>
                  <w:pPr>
                    <w:pStyle w:val="13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70～75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22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4</w:t>
                  </w:r>
                </w:p>
              </w:tc>
              <w:tc>
                <w:tcPr>
                  <w:tcW w:w="249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1"/>
                      <w:szCs w:val="21"/>
                      <w:vertAlign w:val="baseline"/>
                      <w:lang w:val="en-US" w:eastAsia="zh-CN"/>
                    </w:rPr>
                    <w:t>排沙槽</w:t>
                  </w:r>
                </w:p>
              </w:tc>
              <w:tc>
                <w:tcPr>
                  <w:tcW w:w="198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1"/>
                      <w:szCs w:val="21"/>
                      <w:vertAlign w:val="baseline"/>
                      <w:lang w:val="en-US" w:eastAsia="zh-CN"/>
                    </w:rPr>
                    <w:t>2条</w:t>
                  </w:r>
                </w:p>
              </w:tc>
              <w:tc>
                <w:tcPr>
                  <w:tcW w:w="2261" w:type="dxa"/>
                  <w:tcBorders>
                    <w:tl2br w:val="nil"/>
                    <w:tr2bl w:val="nil"/>
                  </w:tcBorders>
                  <w:noWrap w:val="0"/>
                  <w:vAlign w:val="center"/>
                </w:tcPr>
                <w:p>
                  <w:pPr>
                    <w:pStyle w:val="13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70～75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22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5</w:t>
                  </w:r>
                </w:p>
              </w:tc>
              <w:tc>
                <w:tcPr>
                  <w:tcW w:w="249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1"/>
                      <w:szCs w:val="21"/>
                      <w:vertAlign w:val="baseline"/>
                      <w:lang w:val="en-US" w:eastAsia="zh-CN"/>
                    </w:rPr>
                    <w:t>喷淋装置</w:t>
                  </w:r>
                </w:p>
              </w:tc>
              <w:tc>
                <w:tcPr>
                  <w:tcW w:w="198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1"/>
                      <w:szCs w:val="21"/>
                      <w:vertAlign w:val="baseline"/>
                      <w:lang w:val="en-US" w:eastAsia="zh-CN"/>
                    </w:rPr>
                    <w:t>4套</w:t>
                  </w:r>
                </w:p>
              </w:tc>
              <w:tc>
                <w:tcPr>
                  <w:tcW w:w="2261" w:type="dxa"/>
                  <w:tcBorders>
                    <w:tl2br w:val="nil"/>
                    <w:tr2bl w:val="nil"/>
                  </w:tcBorders>
                  <w:noWrap w:val="0"/>
                  <w:vAlign w:val="center"/>
                </w:tcPr>
                <w:p>
                  <w:pPr>
                    <w:pStyle w:val="13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75～80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22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6</w:t>
                  </w:r>
                </w:p>
              </w:tc>
              <w:tc>
                <w:tcPr>
                  <w:tcW w:w="249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1"/>
                      <w:szCs w:val="21"/>
                      <w:vertAlign w:val="baseline"/>
                      <w:lang w:val="en-US" w:eastAsia="zh-CN"/>
                    </w:rPr>
                    <w:t>水泵</w:t>
                  </w:r>
                </w:p>
              </w:tc>
              <w:tc>
                <w:tcPr>
                  <w:tcW w:w="198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1"/>
                      <w:szCs w:val="21"/>
                      <w:vertAlign w:val="baseline"/>
                      <w:lang w:val="en-US" w:eastAsia="zh-CN"/>
                    </w:rPr>
                    <w:t>2套</w:t>
                  </w:r>
                </w:p>
              </w:tc>
              <w:tc>
                <w:tcPr>
                  <w:tcW w:w="2261" w:type="dxa"/>
                  <w:tcBorders>
                    <w:tl2br w:val="nil"/>
                    <w:tr2bl w:val="nil"/>
                  </w:tcBorders>
                  <w:noWrap w:val="0"/>
                  <w:vAlign w:val="center"/>
                </w:tcPr>
                <w:p>
                  <w:pPr>
                    <w:pStyle w:val="13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80～85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22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7</w:t>
                  </w:r>
                </w:p>
              </w:tc>
              <w:tc>
                <w:tcPr>
                  <w:tcW w:w="249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1"/>
                      <w:szCs w:val="21"/>
                      <w:vertAlign w:val="baseline"/>
                      <w:lang w:val="en-US" w:eastAsia="zh-CN"/>
                    </w:rPr>
                    <w:t>上料皮带</w:t>
                  </w:r>
                </w:p>
              </w:tc>
              <w:tc>
                <w:tcPr>
                  <w:tcW w:w="198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2条</w:t>
                  </w:r>
                </w:p>
              </w:tc>
              <w:tc>
                <w:tcPr>
                  <w:tcW w:w="2261" w:type="dxa"/>
                  <w:tcBorders>
                    <w:tl2br w:val="nil"/>
                    <w:tr2bl w:val="nil"/>
                  </w:tcBorders>
                  <w:noWrap w:val="0"/>
                  <w:vAlign w:val="center"/>
                </w:tcPr>
                <w:p>
                  <w:pPr>
                    <w:pStyle w:val="13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70～75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22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8</w:t>
                  </w:r>
                </w:p>
              </w:tc>
              <w:tc>
                <w:tcPr>
                  <w:tcW w:w="249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搅拌主机</w:t>
                  </w:r>
                </w:p>
              </w:tc>
              <w:tc>
                <w:tcPr>
                  <w:tcW w:w="198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1"/>
                      <w:szCs w:val="21"/>
                      <w:vertAlign w:val="baseline"/>
                      <w:lang w:val="en-US" w:eastAsia="zh-CN"/>
                    </w:rPr>
                    <w:t>2套</w:t>
                  </w:r>
                </w:p>
              </w:tc>
              <w:tc>
                <w:tcPr>
                  <w:tcW w:w="2261" w:type="dxa"/>
                  <w:tcBorders>
                    <w:tl2br w:val="nil"/>
                    <w:tr2bl w:val="nil"/>
                  </w:tcBorders>
                  <w:noWrap w:val="0"/>
                  <w:vAlign w:val="center"/>
                </w:tcPr>
                <w:p>
                  <w:pPr>
                    <w:pStyle w:val="13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80～85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22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9</w:t>
                  </w:r>
                </w:p>
              </w:tc>
              <w:tc>
                <w:tcPr>
                  <w:tcW w:w="249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斜皮带</w:t>
                  </w:r>
                </w:p>
              </w:tc>
              <w:tc>
                <w:tcPr>
                  <w:tcW w:w="198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2条</w:t>
                  </w:r>
                </w:p>
              </w:tc>
              <w:tc>
                <w:tcPr>
                  <w:tcW w:w="2261" w:type="dxa"/>
                  <w:tcBorders>
                    <w:tl2br w:val="nil"/>
                    <w:tr2bl w:val="nil"/>
                  </w:tcBorders>
                  <w:noWrap w:val="0"/>
                  <w:vAlign w:val="center"/>
                </w:tcPr>
                <w:p>
                  <w:pPr>
                    <w:pStyle w:val="13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70～75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22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w:t>
                  </w:r>
                  <w:r>
                    <w:rPr>
                      <w:rFonts w:hint="eastAsia" w:cs="Times New Roman"/>
                      <w:color w:val="000000"/>
                      <w:sz w:val="21"/>
                      <w:szCs w:val="21"/>
                      <w:lang w:val="en-US" w:eastAsia="zh-CN"/>
                    </w:rPr>
                    <w:t>0</w:t>
                  </w:r>
                </w:p>
              </w:tc>
              <w:tc>
                <w:tcPr>
                  <w:tcW w:w="249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铲车</w:t>
                  </w:r>
                </w:p>
              </w:tc>
              <w:tc>
                <w:tcPr>
                  <w:tcW w:w="19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3台</w:t>
                  </w:r>
                </w:p>
              </w:tc>
              <w:tc>
                <w:tcPr>
                  <w:tcW w:w="2261" w:type="dxa"/>
                  <w:tcBorders>
                    <w:tl2br w:val="nil"/>
                    <w:tr2bl w:val="nil"/>
                  </w:tcBorders>
                  <w:noWrap w:val="0"/>
                  <w:vAlign w:val="center"/>
                </w:tcPr>
                <w:p>
                  <w:pPr>
                    <w:pStyle w:val="13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75～80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22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w:t>
                  </w:r>
                  <w:r>
                    <w:rPr>
                      <w:rFonts w:hint="eastAsia" w:cs="Times New Roman"/>
                      <w:color w:val="000000"/>
                      <w:sz w:val="21"/>
                      <w:szCs w:val="21"/>
                      <w:lang w:val="en-US" w:eastAsia="zh-CN"/>
                    </w:rPr>
                    <w:t>1</w:t>
                  </w:r>
                </w:p>
              </w:tc>
              <w:tc>
                <w:tcPr>
                  <w:tcW w:w="249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除尘器风机</w:t>
                  </w:r>
                </w:p>
              </w:tc>
              <w:tc>
                <w:tcPr>
                  <w:tcW w:w="19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2台</w:t>
                  </w:r>
                </w:p>
              </w:tc>
              <w:tc>
                <w:tcPr>
                  <w:tcW w:w="2261" w:type="dxa"/>
                  <w:tcBorders>
                    <w:tl2br w:val="nil"/>
                    <w:tr2bl w:val="nil"/>
                  </w:tcBorders>
                  <w:noWrap w:val="0"/>
                  <w:vAlign w:val="center"/>
                </w:tcPr>
                <w:p>
                  <w:pPr>
                    <w:pStyle w:val="13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90～95</w:t>
                  </w:r>
                </w:p>
              </w:tc>
            </w:tr>
          </w:tbl>
          <w:p>
            <w:pPr>
              <w:pStyle w:val="21"/>
              <w:bidi w:val="0"/>
              <w:rPr>
                <w:rFonts w:hint="default"/>
                <w:sz w:val="24"/>
                <w:szCs w:val="22"/>
              </w:rPr>
            </w:pPr>
            <w:r>
              <w:rPr>
                <w:rFonts w:hint="default"/>
                <w:sz w:val="24"/>
                <w:szCs w:val="22"/>
              </w:rPr>
              <w:t>为了减轻设备运行产生的噪声对周围环境的影响，建设方拟采取如下降噪措施：</w:t>
            </w:r>
          </w:p>
          <w:p>
            <w:pPr>
              <w:pStyle w:val="21"/>
              <w:bidi w:val="0"/>
              <w:rPr>
                <w:rFonts w:hint="default"/>
                <w:sz w:val="24"/>
                <w:szCs w:val="22"/>
              </w:rPr>
            </w:pPr>
            <w:r>
              <w:rPr>
                <w:rFonts w:hint="default"/>
                <w:sz w:val="24"/>
                <w:szCs w:val="22"/>
              </w:rPr>
              <w:t>（1）隔绝传播途径：对于噪声源强相对较高的设备底座安装减震基座、垫橡胶圈，在声源周围加装隔声屏障或设置隔振沟。</w:t>
            </w:r>
          </w:p>
          <w:p>
            <w:pPr>
              <w:pStyle w:val="21"/>
              <w:bidi w:val="0"/>
              <w:rPr>
                <w:rFonts w:hint="default" w:ascii="Times New Roman" w:hAnsi="Times New Roman" w:eastAsia="宋体" w:cs="Times New Roman"/>
                <w:b/>
                <w:bCs/>
                <w:color w:val="000000"/>
                <w:szCs w:val="18"/>
              </w:rPr>
            </w:pPr>
            <w:r>
              <w:rPr>
                <w:rFonts w:hint="default"/>
                <w:sz w:val="24"/>
                <w:szCs w:val="22"/>
              </w:rPr>
              <w:t>（2）加强管理：加强对企业操作人员的业务管理，加强设备的维护，确保设备处于良好的运转状态，杜绝设备不正常运转产生的高噪声现象。</w:t>
            </w:r>
          </w:p>
          <w:p>
            <w:pPr>
              <w:pStyle w:val="131"/>
              <w:numPr>
                <w:ilvl w:val="0"/>
                <w:numId w:val="5"/>
              </w:numPr>
              <w:spacing w:before="144" w:beforeLines="30" w:line="360" w:lineRule="auto"/>
              <w:ind w:firstLine="482"/>
              <w:rPr>
                <w:rFonts w:hint="default" w:ascii="Times New Roman" w:hAnsi="Times New Roman" w:eastAsia="宋体" w:cs="Times New Roman"/>
                <w:b/>
                <w:bCs/>
                <w:color w:val="000000"/>
                <w:sz w:val="24"/>
                <w:szCs w:val="18"/>
              </w:rPr>
            </w:pPr>
            <w:r>
              <w:rPr>
                <w:rFonts w:hint="default" w:ascii="Times New Roman" w:hAnsi="Times New Roman" w:eastAsia="宋体" w:cs="Times New Roman"/>
                <w:b/>
                <w:bCs/>
                <w:color w:val="000000"/>
                <w:sz w:val="24"/>
                <w:szCs w:val="18"/>
              </w:rPr>
              <w:t>固废</w:t>
            </w:r>
          </w:p>
          <w:p>
            <w:pPr>
              <w:pStyle w:val="131"/>
              <w:spacing w:line="360" w:lineRule="auto"/>
              <w:ind w:firstLine="48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本项目在运营过程中产生的固体废物有</w:t>
            </w:r>
            <w:r>
              <w:rPr>
                <w:rFonts w:hint="default" w:ascii="Times New Roman" w:hAnsi="Times New Roman" w:eastAsia="宋体" w:cs="Times New Roman"/>
                <w:color w:val="000000"/>
                <w:sz w:val="24"/>
                <w:szCs w:val="24"/>
                <w:lang w:val="en-US" w:eastAsia="zh-CN"/>
              </w:rPr>
              <w:t>沉淀池沉渣、除尘滤芯废滤芯、散落粉尘</w:t>
            </w:r>
            <w:r>
              <w:rPr>
                <w:rFonts w:hint="default" w:ascii="Times New Roman" w:hAnsi="Times New Roman" w:eastAsia="宋体" w:cs="Times New Roman"/>
                <w:color w:val="000000"/>
                <w:sz w:val="24"/>
                <w:szCs w:val="24"/>
              </w:rPr>
              <w:t>、生活垃圾</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废机油</w:t>
            </w:r>
            <w:r>
              <w:rPr>
                <w:rFonts w:hint="default" w:ascii="Times New Roman" w:hAnsi="Times New Roman" w:eastAsia="宋体" w:cs="Times New Roman"/>
                <w:color w:val="000000"/>
                <w:sz w:val="24"/>
                <w:szCs w:val="24"/>
              </w:rPr>
              <w:t>等。</w:t>
            </w:r>
          </w:p>
          <w:p>
            <w:pPr>
              <w:pStyle w:val="131"/>
              <w:spacing w:line="360" w:lineRule="auto"/>
              <w:ind w:firstLine="480" w:firstLineChars="0"/>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rPr>
              <w:t>①</w:t>
            </w:r>
            <w:r>
              <w:rPr>
                <w:rFonts w:hint="default" w:ascii="Times New Roman" w:hAnsi="Times New Roman" w:eastAsia="宋体" w:cs="Times New Roman"/>
                <w:color w:val="000000"/>
                <w:sz w:val="24"/>
                <w:szCs w:val="24"/>
                <w:lang w:val="en-US" w:eastAsia="zh-CN"/>
              </w:rPr>
              <w:t>沉淀池沉渣</w:t>
            </w:r>
          </w:p>
          <w:p>
            <w:pPr>
              <w:pStyle w:val="131"/>
              <w:spacing w:line="360" w:lineRule="auto"/>
              <w:ind w:firstLine="480" w:firstLineChars="0"/>
              <w:rPr>
                <w:rFonts w:hint="default" w:ascii="Times New Roman" w:hAnsi="Times New Roman" w:eastAsia="宋体" w:cs="Times New Roman"/>
                <w:color w:val="FF0000"/>
                <w:sz w:val="24"/>
                <w:szCs w:val="24"/>
              </w:rPr>
            </w:pPr>
            <w:r>
              <w:rPr>
                <w:rFonts w:hint="default" w:ascii="Times New Roman" w:hAnsi="Times New Roman" w:eastAsia="宋体" w:cs="Times New Roman"/>
                <w:color w:val="000000"/>
                <w:sz w:val="24"/>
                <w:szCs w:val="24"/>
                <w:lang w:val="en-US" w:eastAsia="zh-CN"/>
              </w:rPr>
              <w:t>根据企业提供资料，</w:t>
            </w:r>
            <w:r>
              <w:rPr>
                <w:rFonts w:hint="default" w:ascii="Times New Roman" w:hAnsi="Times New Roman" w:eastAsia="宋体" w:cs="Times New Roman"/>
                <w:color w:val="auto"/>
                <w:sz w:val="24"/>
                <w:szCs w:val="24"/>
                <w:lang w:val="en-US" w:eastAsia="zh-CN"/>
              </w:rPr>
              <w:t>原料含泥率为1%，原料用量为562940.68t/a，则本项目冲砂过程冲洗进入沉淀池中的泥沙量为5629.41t/a。此</w:t>
            </w:r>
            <w:r>
              <w:rPr>
                <w:rFonts w:hint="default" w:ascii="Times New Roman" w:hAnsi="Times New Roman" w:eastAsia="宋体" w:cs="Times New Roman"/>
                <w:color w:val="000000"/>
                <w:sz w:val="24"/>
                <w:szCs w:val="24"/>
                <w:lang w:val="en-US" w:eastAsia="zh-CN"/>
              </w:rPr>
              <w:t>外本项目设备、车辆冲洗过程也会产生少量砂石，</w:t>
            </w:r>
            <w:r>
              <w:rPr>
                <w:rFonts w:hint="default" w:ascii="Times New Roman" w:hAnsi="Times New Roman" w:eastAsia="宋体" w:cs="Times New Roman"/>
                <w:bCs/>
                <w:color w:val="000000"/>
                <w:sz w:val="24"/>
                <w:szCs w:val="24"/>
              </w:rPr>
              <w:t>根据建设单位提供资料，其沉淀池内砂石含量约为项目产品总量的0.001%，</w:t>
            </w:r>
            <w:r>
              <w:rPr>
                <w:rFonts w:hint="default" w:ascii="Times New Roman" w:hAnsi="Times New Roman" w:eastAsia="宋体" w:cs="Times New Roman"/>
                <w:bCs/>
                <w:color w:val="000000"/>
                <w:sz w:val="24"/>
                <w:szCs w:val="24"/>
                <w:lang w:val="en-US" w:eastAsia="zh-CN"/>
              </w:rPr>
              <w:t>则</w:t>
            </w:r>
            <w:r>
              <w:rPr>
                <w:rFonts w:hint="default" w:ascii="Times New Roman" w:hAnsi="Times New Roman" w:eastAsia="宋体" w:cs="Times New Roman"/>
                <w:bCs/>
                <w:color w:val="000000"/>
                <w:sz w:val="24"/>
                <w:szCs w:val="24"/>
              </w:rPr>
              <w:t>经估算，本项目砂石产生量为</w:t>
            </w:r>
            <w:r>
              <w:rPr>
                <w:rFonts w:hint="default" w:ascii="Times New Roman" w:hAnsi="Times New Roman" w:eastAsia="宋体" w:cs="Times New Roman"/>
                <w:bCs/>
                <w:color w:val="000000"/>
                <w:sz w:val="24"/>
                <w:szCs w:val="24"/>
                <w:lang w:val="en-US" w:eastAsia="zh-CN"/>
              </w:rPr>
              <w:t>6.6t/a。</w:t>
            </w:r>
            <w:r>
              <w:rPr>
                <w:rFonts w:hint="default" w:ascii="Times New Roman" w:hAnsi="Times New Roman" w:eastAsia="宋体" w:cs="Times New Roman"/>
                <w:bCs/>
                <w:color w:val="auto"/>
                <w:sz w:val="24"/>
                <w:szCs w:val="24"/>
                <w:lang w:val="en-US" w:eastAsia="zh-CN"/>
              </w:rPr>
              <w:t>综上，本项目沉淀池沉渣产生量为5636.01t/a，自然沉降后收集外运至建筑施工场地作为回填土处理。</w:t>
            </w:r>
          </w:p>
          <w:p>
            <w:pPr>
              <w:pStyle w:val="131"/>
              <w:spacing w:line="360" w:lineRule="auto"/>
              <w:ind w:firstLine="4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②</w:t>
            </w:r>
            <w:r>
              <w:rPr>
                <w:rFonts w:hint="default" w:ascii="Times New Roman" w:hAnsi="Times New Roman" w:eastAsia="宋体" w:cs="Times New Roman"/>
                <w:color w:val="auto"/>
                <w:sz w:val="24"/>
                <w:szCs w:val="24"/>
                <w:lang w:val="en-US" w:eastAsia="zh-CN"/>
              </w:rPr>
              <w:t>散落粉尘</w:t>
            </w:r>
          </w:p>
          <w:p>
            <w:pPr>
              <w:pStyle w:val="131"/>
              <w:spacing w:line="360" w:lineRule="auto"/>
              <w:ind w:firstLine="48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本项目在运输、装卸堆存、破碎筛分、投料配料等工序均有少量灰尘沉降，其散落粉尘量为5.738t/a。</w:t>
            </w:r>
            <w:r>
              <w:rPr>
                <w:rFonts w:hint="default" w:ascii="Times New Roman" w:hAnsi="Times New Roman" w:eastAsia="宋体" w:cs="Times New Roman"/>
                <w:bCs/>
                <w:color w:val="auto"/>
                <w:sz w:val="24"/>
                <w:szCs w:val="24"/>
                <w:lang w:val="en-US" w:eastAsia="zh-CN"/>
              </w:rPr>
              <w:t>收集后外售，综合利用。</w:t>
            </w:r>
          </w:p>
          <w:p>
            <w:pPr>
              <w:pStyle w:val="131"/>
              <w:spacing w:line="360" w:lineRule="auto"/>
              <w:ind w:firstLine="48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③仓顶除尘滤芯</w:t>
            </w:r>
          </w:p>
          <w:p>
            <w:pPr>
              <w:pStyle w:val="131"/>
              <w:spacing w:line="360" w:lineRule="auto"/>
              <w:ind w:firstLine="480" w:firstLine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auto"/>
                <w:sz w:val="24"/>
                <w:szCs w:val="24"/>
                <w:lang w:val="en-US" w:eastAsia="zh-CN"/>
              </w:rPr>
              <w:t>水泥筒仓自带的仓顶除尘滤芯长期使用后需定期进行更换，更换频率为3个月一次，废滤芯作为一般固废袋装后由当地环卫部门清运。布袋除尘器布袋需定期更换，废布袋作为一般固废袋装后由当地环卫部门清运。</w:t>
            </w:r>
          </w:p>
          <w:p>
            <w:pPr>
              <w:pStyle w:val="131"/>
              <w:spacing w:line="360" w:lineRule="auto"/>
              <w:ind w:firstLine="48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④生活垃圾</w:t>
            </w:r>
          </w:p>
          <w:p>
            <w:pPr>
              <w:pStyle w:val="131"/>
              <w:spacing w:line="360" w:lineRule="auto"/>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本项目额定定员</w:t>
            </w:r>
            <w:r>
              <w:rPr>
                <w:rFonts w:hint="default" w:ascii="Times New Roman" w:hAnsi="Times New Roman" w:eastAsia="宋体" w:cs="Times New Roman"/>
                <w:color w:val="auto"/>
                <w:sz w:val="24"/>
                <w:szCs w:val="24"/>
                <w:lang w:val="en-US" w:eastAsia="zh-CN"/>
              </w:rPr>
              <w:t>15</w:t>
            </w:r>
            <w:r>
              <w:rPr>
                <w:rFonts w:hint="default" w:ascii="Times New Roman" w:hAnsi="Times New Roman" w:eastAsia="宋体" w:cs="Times New Roman"/>
                <w:color w:val="auto"/>
                <w:sz w:val="24"/>
                <w:szCs w:val="24"/>
              </w:rPr>
              <w:t>人，工作时间为2</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0d/a</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每人每天的生活垃圾产生量按0.5kg计，则生活垃圾的产生量为</w:t>
            </w:r>
            <w:r>
              <w:rPr>
                <w:rFonts w:hint="default" w:ascii="Times New Roman" w:hAnsi="Times New Roman" w:eastAsia="宋体" w:cs="Times New Roman"/>
                <w:color w:val="auto"/>
                <w:sz w:val="24"/>
                <w:szCs w:val="24"/>
                <w:lang w:val="en-US" w:eastAsia="zh-CN"/>
              </w:rPr>
              <w:t>1.875</w:t>
            </w:r>
            <w:r>
              <w:rPr>
                <w:rFonts w:hint="default" w:ascii="Times New Roman" w:hAnsi="Times New Roman" w:eastAsia="宋体" w:cs="Times New Roman"/>
                <w:color w:val="auto"/>
                <w:sz w:val="24"/>
                <w:szCs w:val="24"/>
              </w:rPr>
              <w:t>t/a，产生的生活垃圾均定点存放于厂区内设置的垃圾箱中，交由环卫部门定期清运处理。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⑤废机油</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lang w:eastAsia="zh-CN"/>
              </w:rPr>
            </w:pPr>
            <w:bookmarkStart w:id="22" w:name="_Toc28314"/>
            <w:r>
              <w:rPr>
                <w:rFonts w:hint="default" w:ascii="Times New Roman" w:hAnsi="Times New Roman" w:eastAsia="宋体" w:cs="Times New Roman"/>
                <w:color w:val="auto"/>
                <w:sz w:val="24"/>
                <w:szCs w:val="24"/>
                <w:lang w:eastAsia="zh-CN"/>
              </w:rPr>
              <w:t>该项目</w:t>
            </w:r>
            <w:r>
              <w:rPr>
                <w:rFonts w:hint="default" w:ascii="Times New Roman" w:hAnsi="Times New Roman" w:eastAsia="宋体" w:cs="Times New Roman"/>
                <w:color w:val="auto"/>
                <w:sz w:val="24"/>
                <w:szCs w:val="24"/>
                <w:lang w:val="en-US" w:eastAsia="zh-CN"/>
              </w:rPr>
              <w:t>生产设备会产生少量废机油，根据企业提供，废机油产生量为0.05t/a</w:t>
            </w:r>
            <w:r>
              <w:rPr>
                <w:rFonts w:hint="default" w:ascii="Times New Roman" w:hAnsi="Times New Roman" w:eastAsia="宋体" w:cs="Times New Roman"/>
                <w:color w:val="auto"/>
                <w:sz w:val="24"/>
                <w:szCs w:val="24"/>
                <w:lang w:eastAsia="zh-CN"/>
              </w:rPr>
              <w:t>。</w:t>
            </w:r>
            <w:bookmarkEnd w:id="22"/>
          </w:p>
          <w:p>
            <w:pPr>
              <w:pStyle w:val="26"/>
              <w:spacing w:after="0" w:line="240" w:lineRule="auto"/>
              <w:ind w:left="0" w:leftChars="0" w:firstLine="422"/>
              <w:jc w:val="center"/>
              <w:rPr>
                <w:rFonts w:hint="default" w:ascii="Times New Roman" w:hAnsi="Times New Roman" w:eastAsia="宋体" w:cs="Times New Roman"/>
                <w:b/>
                <w:bCs/>
                <w:color w:val="000000"/>
                <w:sz w:val="21"/>
                <w:szCs w:val="21"/>
              </w:rPr>
            </w:pPr>
            <w:bookmarkStart w:id="23" w:name="_Toc32225"/>
            <w:r>
              <w:rPr>
                <w:rFonts w:hint="default" w:ascii="Times New Roman" w:hAnsi="Times New Roman" w:eastAsia="宋体" w:cs="Times New Roman"/>
                <w:b/>
                <w:bCs/>
                <w:color w:val="000000"/>
                <w:sz w:val="21"/>
                <w:szCs w:val="21"/>
              </w:rPr>
              <w:t>表</w:t>
            </w:r>
            <w:r>
              <w:rPr>
                <w:rFonts w:hint="eastAsia" w:ascii="Times New Roman" w:hAnsi="Times New Roman" w:cs="Times New Roman"/>
                <w:b/>
                <w:bCs/>
                <w:color w:val="000000"/>
                <w:sz w:val="21"/>
                <w:szCs w:val="21"/>
                <w:lang w:val="en-US" w:eastAsia="zh-CN"/>
              </w:rPr>
              <w:t>5.2.1-8</w:t>
            </w:r>
            <w:r>
              <w:rPr>
                <w:rFonts w:hint="default" w:ascii="Times New Roman" w:hAnsi="Times New Roman" w:eastAsia="宋体" w:cs="Times New Roman"/>
                <w:b/>
                <w:bCs/>
                <w:color w:val="000000"/>
                <w:sz w:val="21"/>
                <w:szCs w:val="21"/>
              </w:rPr>
              <w:t xml:space="preserve"> 固体废物和危险废物统计表</w:t>
            </w:r>
            <w:bookmarkEnd w:id="23"/>
          </w:p>
          <w:tbl>
            <w:tblPr>
              <w:tblStyle w:val="43"/>
              <w:tblW w:w="8965" w:type="dxa"/>
              <w:jc w:val="center"/>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1337"/>
              <w:gridCol w:w="2044"/>
              <w:gridCol w:w="3546"/>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jc w:val="center"/>
              </w:trPr>
              <w:tc>
                <w:tcPr>
                  <w:tcW w:w="203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baseline"/>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固体废物名称</w:t>
                  </w:r>
                </w:p>
              </w:tc>
              <w:tc>
                <w:tcPr>
                  <w:tcW w:w="1337"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baseline"/>
                    <w:rPr>
                      <w:rFonts w:hint="default" w:ascii="Times New Roman" w:hAnsi="Times New Roman" w:eastAsia="宋体" w:cs="Times New Roman"/>
                      <w:b w:val="0"/>
                      <w:bCs/>
                      <w:color w:val="000000"/>
                      <w:spacing w:val="-20"/>
                      <w:sz w:val="21"/>
                      <w:szCs w:val="21"/>
                    </w:rPr>
                  </w:pPr>
                  <w:r>
                    <w:rPr>
                      <w:rFonts w:hint="default" w:ascii="Times New Roman" w:hAnsi="Times New Roman" w:eastAsia="宋体" w:cs="Times New Roman"/>
                      <w:b w:val="0"/>
                      <w:bCs/>
                      <w:color w:val="000000"/>
                      <w:spacing w:val="-20"/>
                      <w:sz w:val="21"/>
                      <w:szCs w:val="21"/>
                    </w:rPr>
                    <w:t>排放量</w:t>
                  </w:r>
                </w:p>
              </w:tc>
              <w:tc>
                <w:tcPr>
                  <w:tcW w:w="204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baseline"/>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类别</w:t>
                  </w:r>
                </w:p>
              </w:tc>
              <w:tc>
                <w:tcPr>
                  <w:tcW w:w="354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baseline"/>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去向</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2038" w:type="dxa"/>
                  <w:noWrap w:val="0"/>
                  <w:vAlign w:val="center"/>
                </w:tcPr>
                <w:p>
                  <w:pPr>
                    <w:bidi w:val="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沉淀池沉渣</w:t>
                  </w:r>
                </w:p>
              </w:tc>
              <w:tc>
                <w:tcPr>
                  <w:tcW w:w="1337" w:type="dxa"/>
                  <w:noWrap w:val="0"/>
                  <w:vAlign w:val="center"/>
                </w:tcPr>
                <w:p>
                  <w:pPr>
                    <w:bidi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5636.01t</w:t>
                  </w:r>
                  <w:r>
                    <w:rPr>
                      <w:rFonts w:hint="default" w:ascii="Times New Roman" w:hAnsi="Times New Roman" w:eastAsia="宋体" w:cs="Times New Roman"/>
                      <w:color w:val="000000"/>
                      <w:sz w:val="21"/>
                      <w:szCs w:val="21"/>
                    </w:rPr>
                    <w:t>/a</w:t>
                  </w:r>
                </w:p>
              </w:tc>
              <w:tc>
                <w:tcPr>
                  <w:tcW w:w="2044" w:type="dxa"/>
                  <w:noWrap w:val="0"/>
                  <w:vAlign w:val="center"/>
                </w:tcPr>
                <w:p>
                  <w:pPr>
                    <w:bidi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一般固废</w:t>
                  </w:r>
                </w:p>
              </w:tc>
              <w:tc>
                <w:tcPr>
                  <w:tcW w:w="3546" w:type="dxa"/>
                  <w:noWrap w:val="0"/>
                  <w:vAlign w:val="center"/>
                </w:tcPr>
                <w:p>
                  <w:pPr>
                    <w:bidi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沉降后</w:t>
                  </w:r>
                  <w:r>
                    <w:rPr>
                      <w:rFonts w:hint="default" w:ascii="Times New Roman" w:hAnsi="Times New Roman" w:eastAsia="宋体" w:cs="Times New Roman"/>
                      <w:color w:val="000000"/>
                      <w:sz w:val="21"/>
                      <w:szCs w:val="21"/>
                    </w:rPr>
                    <w:t>收集，</w:t>
                  </w:r>
                  <w:r>
                    <w:rPr>
                      <w:rFonts w:hint="default" w:ascii="Times New Roman" w:hAnsi="Times New Roman" w:eastAsia="宋体" w:cs="Times New Roman"/>
                      <w:color w:val="000000"/>
                      <w:sz w:val="21"/>
                      <w:szCs w:val="21"/>
                      <w:lang w:val="en-US" w:eastAsia="zh-CN"/>
                    </w:rPr>
                    <w:t>外运至建筑施工场地作为回填土处理</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2038" w:type="dxa"/>
                  <w:noWrap w:val="0"/>
                  <w:vAlign w:val="center"/>
                </w:tcPr>
                <w:p>
                  <w:pPr>
                    <w:bidi w:val="0"/>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val="en-US" w:eastAsia="zh-CN"/>
                    </w:rPr>
                    <w:t>落地灰</w:t>
                  </w:r>
                </w:p>
              </w:tc>
              <w:tc>
                <w:tcPr>
                  <w:tcW w:w="1337" w:type="dxa"/>
                  <w:noWrap w:val="0"/>
                  <w:vAlign w:val="center"/>
                </w:tcPr>
                <w:p>
                  <w:pPr>
                    <w:bidi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5.738t</w:t>
                  </w:r>
                  <w:r>
                    <w:rPr>
                      <w:rFonts w:hint="default" w:ascii="Times New Roman" w:hAnsi="Times New Roman" w:eastAsia="宋体" w:cs="Times New Roman"/>
                      <w:color w:val="000000"/>
                      <w:sz w:val="21"/>
                      <w:szCs w:val="21"/>
                    </w:rPr>
                    <w:t>/a</w:t>
                  </w:r>
                </w:p>
              </w:tc>
              <w:tc>
                <w:tcPr>
                  <w:tcW w:w="2044" w:type="dxa"/>
                  <w:noWrap w:val="0"/>
                  <w:vAlign w:val="center"/>
                </w:tcPr>
                <w:p>
                  <w:pPr>
                    <w:bidi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一般固废</w:t>
                  </w:r>
                </w:p>
              </w:tc>
              <w:tc>
                <w:tcPr>
                  <w:tcW w:w="3546" w:type="dxa"/>
                  <w:noWrap w:val="0"/>
                  <w:vAlign w:val="center"/>
                </w:tcPr>
                <w:p>
                  <w:pPr>
                    <w:bidi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收集后</w:t>
                  </w:r>
                  <w:r>
                    <w:rPr>
                      <w:rFonts w:hint="default" w:ascii="Times New Roman" w:hAnsi="Times New Roman" w:eastAsia="宋体" w:cs="Times New Roman"/>
                      <w:color w:val="000000"/>
                      <w:sz w:val="21"/>
                      <w:szCs w:val="21"/>
                      <w:lang w:val="en-US" w:eastAsia="zh-CN"/>
                    </w:rPr>
                    <w:t>定点存放，定期外运至建筑施工场地作为回填土处理</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2038" w:type="dxa"/>
                  <w:noWrap w:val="0"/>
                  <w:vAlign w:val="center"/>
                </w:tcPr>
                <w:p>
                  <w:pPr>
                    <w:bidi w:val="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废滤芯、废布袋</w:t>
                  </w:r>
                </w:p>
              </w:tc>
              <w:tc>
                <w:tcPr>
                  <w:tcW w:w="1337" w:type="dxa"/>
                  <w:noWrap w:val="0"/>
                  <w:vAlign w:val="center"/>
                </w:tcPr>
                <w:p>
                  <w:pPr>
                    <w:bidi w:val="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少量</w:t>
                  </w:r>
                </w:p>
              </w:tc>
              <w:tc>
                <w:tcPr>
                  <w:tcW w:w="2044" w:type="dxa"/>
                  <w:noWrap w:val="0"/>
                  <w:vAlign w:val="center"/>
                </w:tcPr>
                <w:p>
                  <w:pPr>
                    <w:bidi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一般固废</w:t>
                  </w:r>
                </w:p>
              </w:tc>
              <w:tc>
                <w:tcPr>
                  <w:tcW w:w="3546" w:type="dxa"/>
                  <w:noWrap w:val="0"/>
                  <w:vAlign w:val="center"/>
                </w:tcPr>
                <w:p>
                  <w:pPr>
                    <w:bidi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定点存放，再交由环卫部门清运处理</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02" w:hRule="exact"/>
                <w:jc w:val="center"/>
              </w:trPr>
              <w:tc>
                <w:tcPr>
                  <w:tcW w:w="2038" w:type="dxa"/>
                  <w:noWrap w:val="0"/>
                  <w:vAlign w:val="center"/>
                </w:tcPr>
                <w:p>
                  <w:pPr>
                    <w:bidi w:val="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eastAsia="zh-CN"/>
                    </w:rPr>
                    <w:t>废</w:t>
                  </w:r>
                  <w:r>
                    <w:rPr>
                      <w:rFonts w:hint="default" w:ascii="Times New Roman" w:hAnsi="Times New Roman" w:eastAsia="宋体" w:cs="Times New Roman"/>
                      <w:color w:val="000000"/>
                      <w:sz w:val="21"/>
                      <w:szCs w:val="21"/>
                      <w:lang w:val="en-US" w:eastAsia="zh-CN"/>
                    </w:rPr>
                    <w:t>机油</w:t>
                  </w:r>
                </w:p>
              </w:tc>
              <w:tc>
                <w:tcPr>
                  <w:tcW w:w="1337" w:type="dxa"/>
                  <w:noWrap w:val="0"/>
                  <w:vAlign w:val="center"/>
                </w:tcPr>
                <w:p>
                  <w:pPr>
                    <w:bidi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0.05t/a</w:t>
                  </w:r>
                </w:p>
              </w:tc>
              <w:tc>
                <w:tcPr>
                  <w:tcW w:w="2044" w:type="dxa"/>
                  <w:noWrap w:val="0"/>
                  <w:vAlign w:val="center"/>
                </w:tcPr>
                <w:p>
                  <w:pPr>
                    <w:bidi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危险废物HW08（900-214-08）（900-405-06）</w:t>
                  </w:r>
                </w:p>
              </w:tc>
              <w:tc>
                <w:tcPr>
                  <w:tcW w:w="3546" w:type="dxa"/>
                  <w:noWrap w:val="0"/>
                  <w:vAlign w:val="center"/>
                </w:tcPr>
                <w:p>
                  <w:pPr>
                    <w:bidi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先暂存在危废暂存间，再交由有资质的单位清运处理。</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038" w:type="dxa"/>
                  <w:noWrap w:val="0"/>
                  <w:vAlign w:val="center"/>
                </w:tcPr>
                <w:p>
                  <w:pPr>
                    <w:bidi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生活垃圾</w:t>
                  </w:r>
                </w:p>
              </w:tc>
              <w:tc>
                <w:tcPr>
                  <w:tcW w:w="1337" w:type="dxa"/>
                  <w:noWrap w:val="0"/>
                  <w:vAlign w:val="center"/>
                </w:tcPr>
                <w:p>
                  <w:pPr>
                    <w:bidi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1.875</w:t>
                  </w:r>
                  <w:r>
                    <w:rPr>
                      <w:rFonts w:hint="default" w:ascii="Times New Roman" w:hAnsi="Times New Roman" w:eastAsia="宋体" w:cs="Times New Roman"/>
                      <w:color w:val="000000"/>
                      <w:sz w:val="21"/>
                      <w:szCs w:val="21"/>
                    </w:rPr>
                    <w:t>t/a</w:t>
                  </w:r>
                </w:p>
              </w:tc>
              <w:tc>
                <w:tcPr>
                  <w:tcW w:w="2044" w:type="dxa"/>
                  <w:noWrap w:val="0"/>
                  <w:vAlign w:val="center"/>
                </w:tcPr>
                <w:p>
                  <w:pPr>
                    <w:bidi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一般固废</w:t>
                  </w:r>
                </w:p>
              </w:tc>
              <w:tc>
                <w:tcPr>
                  <w:tcW w:w="3546" w:type="dxa"/>
                  <w:noWrap w:val="0"/>
                  <w:vAlign w:val="center"/>
                </w:tcPr>
                <w:p>
                  <w:pPr>
                    <w:bidi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分类收集、</w:t>
                  </w:r>
                  <w:r>
                    <w:rPr>
                      <w:rFonts w:hint="default" w:ascii="Times New Roman" w:hAnsi="Times New Roman" w:eastAsia="宋体" w:cs="Times New Roman"/>
                      <w:color w:val="000000"/>
                      <w:sz w:val="21"/>
                      <w:szCs w:val="21"/>
                    </w:rPr>
                    <w:t>定点存放，再交由环卫部门清运处理。</w:t>
                  </w:r>
                </w:p>
              </w:tc>
            </w:tr>
          </w:tbl>
          <w:p>
            <w:pPr>
              <w:pStyle w:val="26"/>
              <w:bidi w:val="0"/>
              <w:jc w:val="left"/>
              <w:rPr>
                <w:rFonts w:hint="default" w:ascii="Times New Roman" w:hAnsi="Times New Roman" w:eastAsia="宋体" w:cs="Times New Roman"/>
                <w:color w:val="auto"/>
                <w:lang w:val="en-US" w:eastAsia="zh-CN"/>
              </w:rPr>
            </w:pPr>
            <w:bookmarkStart w:id="24" w:name="_Toc75156799"/>
          </w:p>
          <w:p>
            <w:pPr>
              <w:pStyle w:val="26"/>
              <w:bidi w:val="0"/>
              <w:jc w:val="left"/>
              <w:rPr>
                <w:rFonts w:hint="default" w:ascii="Times New Roman" w:hAnsi="Times New Roman" w:eastAsia="宋体" w:cs="Times New Roman"/>
                <w:color w:val="auto"/>
                <w:lang w:val="en-US" w:eastAsia="zh-CN"/>
              </w:rPr>
            </w:pPr>
          </w:p>
          <w:p>
            <w:pPr>
              <w:pStyle w:val="26"/>
              <w:bidi w:val="0"/>
              <w:jc w:val="left"/>
              <w:rPr>
                <w:rFonts w:hint="default" w:ascii="Times New Roman" w:hAnsi="Times New Roman" w:eastAsia="宋体" w:cs="Times New Roman"/>
                <w:color w:val="auto"/>
                <w:lang w:val="en-US" w:eastAsia="zh-CN"/>
              </w:rPr>
            </w:pPr>
          </w:p>
          <w:bookmarkEnd w:id="24"/>
          <w:p>
            <w:pPr>
              <w:tabs>
                <w:tab w:val="left" w:pos="1280"/>
              </w:tabs>
              <w:ind w:firstLine="562" w:firstLineChars="200"/>
              <w:textAlignment w:val="baseline"/>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（二）水稳站</w:t>
            </w:r>
          </w:p>
          <w:p>
            <w:pPr>
              <w:pStyle w:val="26"/>
              <w:bidi w:val="0"/>
              <w:rPr>
                <w:rFonts w:hint="default" w:ascii="Times New Roman" w:hAnsi="Times New Roman" w:eastAsia="宋体" w:cs="Times New Roman"/>
                <w:color w:val="auto"/>
              </w:rPr>
            </w:pPr>
            <w:bookmarkStart w:id="25" w:name="_Toc4668"/>
            <w:r>
              <w:rPr>
                <w:rFonts w:hint="default" w:ascii="Times New Roman" w:hAnsi="Times New Roman" w:eastAsia="宋体" w:cs="Times New Roman"/>
                <w:color w:val="auto"/>
              </w:rPr>
              <w:t>1、废气</w:t>
            </w:r>
            <w:bookmarkEnd w:id="25"/>
          </w:p>
          <w:p>
            <w:pPr>
              <w:pStyle w:val="26"/>
              <w:bidi w:val="0"/>
              <w:rPr>
                <w:rFonts w:hint="default" w:ascii="Times New Roman" w:hAnsi="Times New Roman" w:eastAsia="宋体" w:cs="Times New Roman"/>
                <w:color w:val="auto"/>
              </w:rPr>
            </w:pPr>
            <w:bookmarkStart w:id="26" w:name="_Toc20807"/>
            <w:r>
              <w:rPr>
                <w:rFonts w:hint="eastAsia"/>
                <w:sz w:val="24"/>
                <w:szCs w:val="24"/>
              </w:rPr>
              <w:t>项目</w:t>
            </w:r>
            <w:r>
              <w:rPr>
                <w:sz w:val="24"/>
                <w:szCs w:val="24"/>
              </w:rPr>
              <w:t>营运期大气污染源主要</w:t>
            </w:r>
            <w:r>
              <w:rPr>
                <w:rFonts w:hint="default" w:ascii="Times New Roman" w:hAnsi="Times New Roman" w:eastAsia="宋体" w:cs="Times New Roman"/>
                <w:color w:val="auto"/>
              </w:rPr>
              <w:t>来源于碎石料投料粉尘 、水泥筒仓粉尘、石粉筒仓粉尘 、堆场粉尘、</w:t>
            </w:r>
            <w:r>
              <w:rPr>
                <w:rFonts w:hint="eastAsia"/>
                <w:sz w:val="24"/>
                <w:szCs w:val="24"/>
              </w:rPr>
              <w:t>运输车辆道路扬尘</w:t>
            </w:r>
            <w:r>
              <w:rPr>
                <w:rFonts w:hint="default" w:ascii="Times New Roman" w:hAnsi="Times New Roman" w:eastAsia="宋体" w:cs="Times New Roman"/>
                <w:color w:val="auto"/>
              </w:rPr>
              <w:t>。</w:t>
            </w:r>
            <w:bookmarkEnd w:id="26"/>
          </w:p>
          <w:p>
            <w:pPr>
              <w:pStyle w:val="26"/>
              <w:bidi w:val="0"/>
              <w:rPr>
                <w:rFonts w:hint="default" w:ascii="Times New Roman" w:hAnsi="Times New Roman" w:eastAsia="宋体" w:cs="Times New Roman"/>
                <w:color w:val="auto"/>
              </w:rPr>
            </w:pPr>
            <w:bookmarkStart w:id="27" w:name="_Toc6079"/>
            <w:r>
              <w:rPr>
                <w:sz w:val="24"/>
                <w:szCs w:val="24"/>
              </w:rPr>
              <w:t>主要</w:t>
            </w:r>
            <w:r>
              <w:rPr>
                <w:rFonts w:hint="eastAsia"/>
                <w:sz w:val="24"/>
                <w:szCs w:val="24"/>
              </w:rPr>
              <w:t>包括原料堆存、装卸时产生的粉尘，水泥筒仓送料过程中产生的粉尘，</w:t>
            </w:r>
            <w:r>
              <w:rPr>
                <w:bCs/>
                <w:sz w:val="24"/>
                <w:szCs w:val="24"/>
              </w:rPr>
              <w:t>原料投料、搅拌过程中产生的粉尘</w:t>
            </w:r>
            <w:r>
              <w:rPr>
                <w:rFonts w:hint="eastAsia"/>
                <w:sz w:val="24"/>
                <w:szCs w:val="24"/>
              </w:rPr>
              <w:t>和。</w:t>
            </w:r>
            <w:bookmarkEnd w:id="27"/>
          </w:p>
          <w:p>
            <w:pPr>
              <w:spacing w:line="500" w:lineRule="exact"/>
              <w:ind w:firstLine="480" w:firstLineChars="200"/>
              <w:rPr>
                <w:sz w:val="24"/>
                <w:szCs w:val="24"/>
              </w:rPr>
            </w:pPr>
            <w:r>
              <w:rPr>
                <w:rFonts w:hint="eastAsia"/>
                <w:sz w:val="24"/>
                <w:szCs w:val="24"/>
              </w:rPr>
              <w:t>（1）原料堆存、装卸时产生的粉尘</w:t>
            </w:r>
          </w:p>
          <w:p>
            <w:pPr>
              <w:pStyle w:val="26"/>
              <w:bidi w:val="0"/>
              <w:rPr>
                <w:rFonts w:hint="default" w:ascii="Times New Roman" w:hAnsi="Times New Roman" w:eastAsia="宋体" w:cs="Times New Roman"/>
                <w:color w:val="auto"/>
              </w:rPr>
            </w:pPr>
            <w:bookmarkStart w:id="28" w:name="_Toc4541"/>
            <w:r>
              <w:rPr>
                <w:rFonts w:hint="default" w:ascii="Times New Roman" w:hAnsi="Times New Roman" w:eastAsia="宋体" w:cs="Times New Roman"/>
                <w:color w:val="auto"/>
              </w:rPr>
              <w:t>①筒仓粉尘</w:t>
            </w:r>
            <w:bookmarkEnd w:id="28"/>
          </w:p>
          <w:p>
            <w:pPr>
              <w:pStyle w:val="26"/>
              <w:bidi w:val="0"/>
              <w:rPr>
                <w:rFonts w:hint="default" w:ascii="Times New Roman" w:hAnsi="Times New Roman" w:eastAsia="宋体" w:cs="Times New Roman"/>
                <w:color w:val="auto"/>
              </w:rPr>
            </w:pPr>
            <w:bookmarkStart w:id="29" w:name="_Toc29439"/>
            <w:r>
              <w:rPr>
                <w:rFonts w:hint="default" w:ascii="Times New Roman" w:hAnsi="Times New Roman" w:eastAsia="宋体" w:cs="Times New Roman"/>
                <w:color w:val="auto"/>
              </w:rPr>
              <w:t>项目水泥消耗量约为</w:t>
            </w:r>
            <w:r>
              <w:rPr>
                <w:rFonts w:hint="eastAsia" w:ascii="Times New Roman" w:hAnsi="Times New Roman" w:eastAsia="宋体" w:cs="Times New Roman"/>
                <w:color w:val="auto"/>
                <w:lang w:val="en-US" w:eastAsia="zh-CN"/>
              </w:rPr>
              <w:t>3000</w:t>
            </w:r>
            <w:r>
              <w:rPr>
                <w:rFonts w:hint="default" w:ascii="Times New Roman" w:hAnsi="Times New Roman" w:eastAsia="宋体" w:cs="Times New Roman"/>
                <w:color w:val="auto"/>
              </w:rPr>
              <w:t>t/a，石粉约为6万t/a，项目全年生产天数为300天； 根据《第一次全国污染源普查工业污染源产排污系数手册》（中册）（2010年修订） 中3121水泥制品制造业（含3122混凝土结构构件、3129其他水泥制品业）产排污 系数，结合项目设计情况进行核实。</w:t>
            </w:r>
            <w:bookmarkEnd w:id="29"/>
          </w:p>
          <w:p>
            <w:pPr>
              <w:pStyle w:val="26"/>
              <w:bidi w:val="0"/>
              <w:rPr>
                <w:rFonts w:hint="default" w:ascii="Times New Roman" w:hAnsi="Times New Roman" w:eastAsia="宋体" w:cs="Times New Roman"/>
                <w:color w:val="auto"/>
              </w:rPr>
            </w:pPr>
            <w:bookmarkStart w:id="30" w:name="_Toc31543"/>
            <w:r>
              <w:rPr>
                <w:rFonts w:hint="default" w:ascii="Times New Roman" w:hAnsi="Times New Roman" w:eastAsia="宋体" w:cs="Times New Roman"/>
                <w:color w:val="auto"/>
              </w:rPr>
              <w:t>该手册中与项目相关的水泥制品产排污系数摘录见下表。</w:t>
            </w:r>
            <w:bookmarkEnd w:id="30"/>
          </w:p>
          <w:p>
            <w:pPr>
              <w:pStyle w:val="26"/>
              <w:bidi w:val="0"/>
              <w:jc w:val="center"/>
              <w:rPr>
                <w:rFonts w:hint="default" w:ascii="Times New Roman" w:hAnsi="Times New Roman" w:eastAsia="宋体" w:cs="Times New Roman"/>
                <w:color w:val="auto"/>
              </w:rPr>
            </w:pPr>
            <w:bookmarkStart w:id="31" w:name="_Toc20863"/>
            <w:r>
              <w:rPr>
                <w:rFonts w:hint="default" w:ascii="Times New Roman" w:hAnsi="Times New Roman" w:eastAsia="宋体" w:cs="Times New Roman"/>
                <w:color w:val="auto"/>
              </w:rPr>
              <w:t>表</w:t>
            </w:r>
            <w:r>
              <w:rPr>
                <w:rFonts w:hint="eastAsia" w:ascii="Times New Roman" w:hAnsi="Times New Roman" w:cs="Times New Roman"/>
                <w:color w:val="auto"/>
                <w:lang w:val="en-US" w:eastAsia="zh-CN"/>
              </w:rPr>
              <w:t>5.2.2-1</w:t>
            </w:r>
            <w:r>
              <w:rPr>
                <w:rFonts w:hint="eastAsia" w:ascii="Times New Roman" w:hAnsi="Times New Roman" w:eastAsia="宋体" w:cs="Times New Roman"/>
                <w:color w:val="auto"/>
                <w:lang w:val="en-US" w:eastAsia="zh-CN"/>
              </w:rPr>
              <w:t xml:space="preserve">  </w:t>
            </w:r>
            <w:r>
              <w:rPr>
                <w:rFonts w:hint="default" w:ascii="Times New Roman" w:hAnsi="Times New Roman" w:eastAsia="宋体" w:cs="Times New Roman"/>
                <w:color w:val="auto"/>
              </w:rPr>
              <w:t>水泥制品制造业产排污系数表</w:t>
            </w:r>
            <w:bookmarkEnd w:id="31"/>
          </w:p>
          <w:tbl>
            <w:tblPr>
              <w:tblStyle w:val="43"/>
              <w:tblW w:w="8613" w:type="dxa"/>
              <w:tblInd w:w="3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8"/>
              <w:gridCol w:w="1203"/>
              <w:gridCol w:w="1198"/>
              <w:gridCol w:w="765"/>
              <w:gridCol w:w="1313"/>
              <w:gridCol w:w="1867"/>
              <w:gridCol w:w="1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exact"/>
              </w:trPr>
              <w:tc>
                <w:tcPr>
                  <w:tcW w:w="11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产品名称</w:t>
                  </w:r>
                </w:p>
              </w:tc>
              <w:tc>
                <w:tcPr>
                  <w:tcW w:w="12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原料名称</w:t>
                  </w:r>
                </w:p>
              </w:tc>
              <w:tc>
                <w:tcPr>
                  <w:tcW w:w="11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工序名称</w:t>
                  </w: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规模 等级</w:t>
                  </w:r>
                </w:p>
              </w:tc>
              <w:tc>
                <w:tcPr>
                  <w:tcW w:w="131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污染物指标</w:t>
                  </w:r>
                </w:p>
              </w:tc>
              <w:tc>
                <w:tcPr>
                  <w:tcW w:w="186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单位</w:t>
                  </w:r>
                </w:p>
              </w:tc>
              <w:tc>
                <w:tcPr>
                  <w:tcW w:w="10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产污系数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exact"/>
              </w:trPr>
              <w:tc>
                <w:tcPr>
                  <w:tcW w:w="119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各种水泥 制品</w:t>
                  </w:r>
                </w:p>
              </w:tc>
              <w:tc>
                <w:tcPr>
                  <w:tcW w:w="120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水泥、砂 子、石子等</w:t>
                  </w:r>
                </w:p>
              </w:tc>
              <w:tc>
                <w:tcPr>
                  <w:tcW w:w="119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物料输送 贮存工序</w:t>
                  </w:r>
                </w:p>
              </w:tc>
              <w:tc>
                <w:tcPr>
                  <w:tcW w:w="7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所有 规模</w:t>
                  </w:r>
                </w:p>
              </w:tc>
              <w:tc>
                <w:tcPr>
                  <w:tcW w:w="131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工业废气量</w:t>
                  </w:r>
                </w:p>
              </w:tc>
              <w:tc>
                <w:tcPr>
                  <w:tcW w:w="186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标立方米/吨-水泥</w:t>
                  </w:r>
                </w:p>
              </w:tc>
              <w:tc>
                <w:tcPr>
                  <w:tcW w:w="10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exact"/>
              </w:trPr>
              <w:tc>
                <w:tcPr>
                  <w:tcW w:w="119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p>
              </w:tc>
              <w:tc>
                <w:tcPr>
                  <w:tcW w:w="120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p>
              </w:tc>
              <w:tc>
                <w:tcPr>
                  <w:tcW w:w="119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p>
              </w:tc>
              <w:tc>
                <w:tcPr>
                  <w:tcW w:w="7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p>
              </w:tc>
              <w:tc>
                <w:tcPr>
                  <w:tcW w:w="131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工业粉尘量</w:t>
                  </w:r>
                </w:p>
              </w:tc>
              <w:tc>
                <w:tcPr>
                  <w:tcW w:w="186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千克/吨-水泥</w:t>
                  </w:r>
                </w:p>
              </w:tc>
              <w:tc>
                <w:tcPr>
                  <w:tcW w:w="10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2.09</w:t>
                  </w:r>
                </w:p>
              </w:tc>
            </w:tr>
          </w:tbl>
          <w:p>
            <w:pPr>
              <w:pStyle w:val="26"/>
              <w:bidi w:val="0"/>
              <w:rPr>
                <w:rFonts w:hint="default" w:ascii="Times New Roman" w:hAnsi="Times New Roman" w:eastAsia="宋体" w:cs="Times New Roman"/>
                <w:color w:val="auto"/>
                <w:sz w:val="21"/>
                <w:szCs w:val="21"/>
              </w:rPr>
            </w:pPr>
            <w:bookmarkStart w:id="32" w:name="_Toc26887"/>
            <w:r>
              <w:rPr>
                <w:rFonts w:hint="default" w:ascii="Times New Roman" w:hAnsi="Times New Roman" w:eastAsia="宋体" w:cs="Times New Roman"/>
                <w:color w:val="auto"/>
                <w:sz w:val="21"/>
                <w:szCs w:val="21"/>
              </w:rPr>
              <w:t>注：系数手册中的产排污系数是按照水泥制品的生产工序分开核算的，对同一种产品，核算污染物的产排量时，应按照生产工序分别计算，并对各工序污染物产排量进行叠加。</w:t>
            </w:r>
            <w:bookmarkEnd w:id="32"/>
          </w:p>
          <w:p>
            <w:pPr>
              <w:pStyle w:val="26"/>
              <w:bidi w:val="0"/>
              <w:jc w:val="center"/>
              <w:rPr>
                <w:rFonts w:hint="default" w:ascii="Times New Roman" w:hAnsi="Times New Roman" w:eastAsia="宋体" w:cs="Times New Roman"/>
                <w:b/>
                <w:sz w:val="24"/>
              </w:rPr>
            </w:pPr>
            <w:bookmarkStart w:id="33" w:name="_Toc24000"/>
            <w:r>
              <w:rPr>
                <w:rFonts w:hint="default" w:ascii="Times New Roman" w:hAnsi="Times New Roman" w:eastAsia="宋体" w:cs="Times New Roman"/>
                <w:color w:val="auto"/>
              </w:rPr>
              <w:t>根据产污系数和源强统计算得，项目有组织废气源强产生及排放情况见下</w:t>
            </w:r>
            <w:r>
              <w:rPr>
                <w:rFonts w:hint="default" w:ascii="Times New Roman" w:hAnsi="Times New Roman" w:eastAsia="宋体" w:cs="Times New Roman"/>
                <w:color w:val="auto"/>
                <w:sz w:val="24"/>
              </w:rPr>
              <w:t>表：</w:t>
            </w:r>
            <w:r>
              <w:rPr>
                <w:rFonts w:hint="default" w:ascii="Times New Roman" w:hAnsi="Times New Roman" w:eastAsia="宋体" w:cs="Times New Roman"/>
                <w:sz w:val="24"/>
              </w:rPr>
              <w:t xml:space="preserve"> </w:t>
            </w:r>
            <w:r>
              <w:rPr>
                <w:rFonts w:hint="default" w:ascii="Times New Roman" w:hAnsi="Times New Roman" w:eastAsia="宋体" w:cs="Times New Roman"/>
                <w:b/>
                <w:sz w:val="24"/>
              </w:rPr>
              <w:t>表</w:t>
            </w:r>
            <w:r>
              <w:rPr>
                <w:rFonts w:hint="eastAsia" w:ascii="Times New Roman" w:hAnsi="Times New Roman" w:cs="Times New Roman"/>
                <w:b/>
                <w:sz w:val="24"/>
                <w:lang w:val="en-US" w:eastAsia="zh-CN"/>
              </w:rPr>
              <w:t>5.2.2-2</w:t>
            </w:r>
            <w:r>
              <w:rPr>
                <w:rFonts w:hint="default" w:ascii="Times New Roman" w:hAnsi="Times New Roman" w:eastAsia="宋体" w:cs="Times New Roman"/>
                <w:b/>
                <w:sz w:val="24"/>
              </w:rPr>
              <w:tab/>
            </w:r>
            <w:r>
              <w:rPr>
                <w:rFonts w:hint="default" w:ascii="Times New Roman" w:hAnsi="Times New Roman" w:eastAsia="宋体" w:cs="Times New Roman"/>
                <w:b/>
                <w:sz w:val="24"/>
              </w:rPr>
              <w:t>有组织粉尘产生及排放情况表</w:t>
            </w:r>
            <w:bookmarkEnd w:id="33"/>
          </w:p>
          <w:tbl>
            <w:tblPr>
              <w:tblStyle w:val="43"/>
              <w:tblW w:w="885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0"/>
              <w:gridCol w:w="912"/>
              <w:gridCol w:w="816"/>
              <w:gridCol w:w="981"/>
              <w:gridCol w:w="936"/>
              <w:gridCol w:w="743"/>
              <w:gridCol w:w="959"/>
              <w:gridCol w:w="742"/>
              <w:gridCol w:w="766"/>
              <w:gridCol w:w="1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5" w:hRule="exact"/>
              </w:trPr>
              <w:tc>
                <w:tcPr>
                  <w:tcW w:w="89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p>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污染源</w:t>
                  </w:r>
                </w:p>
              </w:tc>
              <w:tc>
                <w:tcPr>
                  <w:tcW w:w="91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料仓年 输送粉 料t/a</w:t>
                  </w:r>
                </w:p>
              </w:tc>
              <w:tc>
                <w:tcPr>
                  <w:tcW w:w="8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废气 量万 m</w:t>
                  </w:r>
                  <w:r>
                    <w:rPr>
                      <w:rFonts w:hint="default" w:ascii="Times New Roman" w:hAnsi="Times New Roman" w:eastAsia="宋体" w:cs="Times New Roman"/>
                      <w:b w:val="0"/>
                      <w:bCs/>
                      <w:color w:val="000000"/>
                      <w:sz w:val="21"/>
                      <w:szCs w:val="21"/>
                      <w:vertAlign w:val="superscript"/>
                      <w:lang w:val="en-US" w:eastAsia="zh-CN"/>
                    </w:rPr>
                    <w:t>3</w:t>
                  </w:r>
                  <w:r>
                    <w:rPr>
                      <w:rFonts w:hint="default" w:ascii="Times New Roman" w:hAnsi="Times New Roman" w:eastAsia="宋体" w:cs="Times New Roman"/>
                      <w:b w:val="0"/>
                      <w:bCs/>
                      <w:color w:val="000000"/>
                      <w:sz w:val="21"/>
                      <w:szCs w:val="21"/>
                      <w:lang w:val="en-US" w:eastAsia="zh-CN"/>
                    </w:rPr>
                    <w:t>/a</w:t>
                  </w:r>
                </w:p>
              </w:tc>
              <w:tc>
                <w:tcPr>
                  <w:tcW w:w="26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粉尘产生情况</w:t>
                  </w:r>
                </w:p>
              </w:tc>
              <w:tc>
                <w:tcPr>
                  <w:tcW w:w="24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粉尘排放情况</w:t>
                  </w:r>
                </w:p>
              </w:tc>
              <w:tc>
                <w:tcPr>
                  <w:tcW w:w="110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p>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治理措施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1" w:hRule="exact"/>
              </w:trPr>
              <w:tc>
                <w:tcPr>
                  <w:tcW w:w="8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p>
              </w:tc>
              <w:tc>
                <w:tcPr>
                  <w:tcW w:w="91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p>
              </w:tc>
              <w:tc>
                <w:tcPr>
                  <w:tcW w:w="8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p>
              </w:tc>
              <w:tc>
                <w:tcPr>
                  <w:tcW w:w="9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浓度</w:t>
                  </w:r>
                </w:p>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mg/m</w:t>
                  </w:r>
                  <w:r>
                    <w:rPr>
                      <w:rFonts w:hint="default" w:ascii="Times New Roman" w:hAnsi="Times New Roman" w:eastAsia="宋体" w:cs="Times New Roman"/>
                      <w:b w:val="0"/>
                      <w:bCs/>
                      <w:color w:val="000000"/>
                      <w:sz w:val="21"/>
                      <w:szCs w:val="21"/>
                      <w:vertAlign w:val="superscript"/>
                      <w:lang w:val="en-US" w:eastAsia="zh-CN"/>
                    </w:rPr>
                    <w:t>3</w:t>
                  </w:r>
                </w:p>
              </w:tc>
              <w:tc>
                <w:tcPr>
                  <w:tcW w:w="9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速率</w:t>
                  </w:r>
                </w:p>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kg/h</w:t>
                  </w:r>
                </w:p>
              </w:tc>
              <w:tc>
                <w:tcPr>
                  <w:tcW w:w="7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产生</w:t>
                  </w:r>
                </w:p>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量t/a</w:t>
                  </w:r>
                </w:p>
              </w:tc>
              <w:tc>
                <w:tcPr>
                  <w:tcW w:w="9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浓度</w:t>
                  </w:r>
                </w:p>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mg/m</w:t>
                  </w:r>
                  <w:r>
                    <w:rPr>
                      <w:rFonts w:hint="default" w:ascii="Times New Roman" w:hAnsi="Times New Roman" w:eastAsia="宋体" w:cs="Times New Roman"/>
                      <w:b w:val="0"/>
                      <w:bCs/>
                      <w:color w:val="000000"/>
                      <w:sz w:val="21"/>
                      <w:szCs w:val="21"/>
                      <w:vertAlign w:val="superscript"/>
                      <w:lang w:val="en-US" w:eastAsia="zh-CN"/>
                    </w:rPr>
                    <w:t>3</w:t>
                  </w:r>
                </w:p>
              </w:tc>
              <w:tc>
                <w:tcPr>
                  <w:tcW w:w="74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速率</w:t>
                  </w:r>
                </w:p>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kg/h</w:t>
                  </w:r>
                </w:p>
              </w:tc>
              <w:tc>
                <w:tcPr>
                  <w:tcW w:w="7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排放</w:t>
                  </w:r>
                </w:p>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量t/a</w:t>
                  </w:r>
                </w:p>
              </w:tc>
              <w:tc>
                <w:tcPr>
                  <w:tcW w:w="110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exact"/>
              </w:trPr>
              <w:tc>
                <w:tcPr>
                  <w:tcW w:w="8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水 泥仓</w:t>
                  </w:r>
                </w:p>
              </w:tc>
              <w:tc>
                <w:tcPr>
                  <w:tcW w:w="9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eastAsia" w:ascii="Times New Roman" w:hAnsi="Times New Roman" w:eastAsia="宋体" w:cs="Times New Roman"/>
                      <w:b w:val="0"/>
                      <w:bCs/>
                      <w:color w:val="000000"/>
                      <w:sz w:val="21"/>
                      <w:szCs w:val="21"/>
                      <w:lang w:val="en-US" w:eastAsia="zh-CN"/>
                    </w:rPr>
                    <w:t>0.3</w:t>
                  </w:r>
                  <w:r>
                    <w:rPr>
                      <w:rFonts w:hint="default" w:ascii="Times New Roman" w:hAnsi="Times New Roman" w:eastAsia="宋体" w:cs="Times New Roman"/>
                      <w:b w:val="0"/>
                      <w:bCs/>
                      <w:color w:val="000000"/>
                      <w:sz w:val="21"/>
                      <w:szCs w:val="21"/>
                      <w:lang w:val="en-US" w:eastAsia="zh-CN"/>
                    </w:rPr>
                    <w:t>万</w:t>
                  </w:r>
                </w:p>
              </w:tc>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eastAsia" w:ascii="Times New Roman" w:hAnsi="Times New Roman" w:eastAsia="宋体" w:cs="Times New Roman"/>
                      <w:b w:val="0"/>
                      <w:bCs/>
                      <w:color w:val="000000"/>
                      <w:sz w:val="21"/>
                      <w:szCs w:val="21"/>
                      <w:lang w:val="en-US" w:eastAsia="zh-CN"/>
                    </w:rPr>
                    <w:t>138</w:t>
                  </w:r>
                </w:p>
              </w:tc>
              <w:tc>
                <w:tcPr>
                  <w:tcW w:w="9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4543</w:t>
                  </w:r>
                </w:p>
              </w:tc>
              <w:tc>
                <w:tcPr>
                  <w:tcW w:w="9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eastAsia" w:ascii="Times New Roman" w:hAnsi="Times New Roman" w:eastAsia="宋体" w:cs="Times New Roman"/>
                      <w:b w:val="0"/>
                      <w:bCs/>
                      <w:color w:val="000000"/>
                      <w:sz w:val="21"/>
                      <w:szCs w:val="21"/>
                      <w:lang w:val="en-US" w:eastAsia="zh-CN"/>
                    </w:rPr>
                    <w:t>2.61</w:t>
                  </w:r>
                </w:p>
              </w:tc>
              <w:tc>
                <w:tcPr>
                  <w:tcW w:w="7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eastAsia" w:ascii="Times New Roman" w:hAnsi="Times New Roman" w:eastAsia="宋体" w:cs="Times New Roman"/>
                      <w:b w:val="0"/>
                      <w:bCs/>
                      <w:color w:val="000000"/>
                      <w:sz w:val="21"/>
                      <w:szCs w:val="21"/>
                      <w:lang w:val="en-US" w:eastAsia="zh-CN"/>
                    </w:rPr>
                    <w:t>6.27</w:t>
                  </w:r>
                </w:p>
              </w:tc>
              <w:tc>
                <w:tcPr>
                  <w:tcW w:w="9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8.7</w:t>
                  </w:r>
                </w:p>
              </w:tc>
              <w:tc>
                <w:tcPr>
                  <w:tcW w:w="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0.017</w:t>
                  </w:r>
                </w:p>
              </w:tc>
              <w:tc>
                <w:tcPr>
                  <w:tcW w:w="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0.0</w:t>
                  </w:r>
                  <w:r>
                    <w:rPr>
                      <w:rFonts w:hint="eastAsia" w:ascii="Times New Roman" w:hAnsi="Times New Roman" w:eastAsia="宋体" w:cs="Times New Roman"/>
                      <w:b w:val="0"/>
                      <w:bCs/>
                      <w:color w:val="000000"/>
                      <w:sz w:val="21"/>
                      <w:szCs w:val="21"/>
                      <w:lang w:val="en-US" w:eastAsia="zh-CN"/>
                    </w:rPr>
                    <w:t>12</w:t>
                  </w:r>
                </w:p>
              </w:tc>
              <w:tc>
                <w:tcPr>
                  <w:tcW w:w="110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仓顶均配</w:t>
                  </w:r>
                </w:p>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滤芯除尘 器，除尘 效率 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9" w:hRule="exact"/>
              </w:trPr>
              <w:tc>
                <w:tcPr>
                  <w:tcW w:w="8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石 粉仓</w:t>
                  </w:r>
                </w:p>
              </w:tc>
              <w:tc>
                <w:tcPr>
                  <w:tcW w:w="9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6 万</w:t>
                  </w:r>
                </w:p>
              </w:tc>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2760</w:t>
                  </w:r>
                </w:p>
              </w:tc>
              <w:tc>
                <w:tcPr>
                  <w:tcW w:w="9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4543</w:t>
                  </w:r>
                </w:p>
              </w:tc>
              <w:tc>
                <w:tcPr>
                  <w:tcW w:w="9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52.25</w:t>
                  </w:r>
                </w:p>
              </w:tc>
              <w:tc>
                <w:tcPr>
                  <w:tcW w:w="7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125.4</w:t>
                  </w:r>
                </w:p>
              </w:tc>
              <w:tc>
                <w:tcPr>
                  <w:tcW w:w="9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9.1</w:t>
                  </w:r>
                </w:p>
              </w:tc>
              <w:tc>
                <w:tcPr>
                  <w:tcW w:w="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0.1</w:t>
                  </w:r>
                </w:p>
              </w:tc>
              <w:tc>
                <w:tcPr>
                  <w:tcW w:w="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0.25</w:t>
                  </w:r>
                </w:p>
              </w:tc>
              <w:tc>
                <w:tcPr>
                  <w:tcW w:w="110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20" w:lineRule="exact"/>
                    <w:ind w:firstLine="0" w:firstLineChars="0"/>
                    <w:jc w:val="center"/>
                    <w:rPr>
                      <w:rFonts w:hint="default" w:ascii="Times New Roman" w:hAnsi="Times New Roman" w:eastAsia="宋体" w:cs="Times New Roman"/>
                      <w:b w:val="0"/>
                      <w:bCs/>
                      <w:color w:val="000000"/>
                      <w:sz w:val="21"/>
                      <w:szCs w:val="21"/>
                      <w:lang w:val="en-US" w:eastAsia="zh-CN"/>
                    </w:rPr>
                  </w:pPr>
                </w:p>
              </w:tc>
            </w:tr>
          </w:tbl>
          <w:p>
            <w:pPr>
              <w:pStyle w:val="26"/>
              <w:bidi w:val="0"/>
              <w:rPr>
                <w:rFonts w:hint="default" w:ascii="Times New Roman" w:hAnsi="Times New Roman" w:eastAsia="宋体" w:cs="Times New Roman"/>
                <w:color w:val="auto"/>
                <w:sz w:val="21"/>
                <w:szCs w:val="21"/>
              </w:rPr>
            </w:pPr>
            <w:bookmarkStart w:id="34" w:name="_Toc28245"/>
            <w:r>
              <w:rPr>
                <w:rFonts w:hint="default" w:ascii="Times New Roman" w:hAnsi="Times New Roman" w:eastAsia="宋体" w:cs="Times New Roman"/>
                <w:color w:val="auto"/>
                <w:sz w:val="21"/>
                <w:szCs w:val="21"/>
              </w:rPr>
              <w:t>*注：水泥仓、石粉仓排气筒编号分别为</w:t>
            </w:r>
            <w:r>
              <w:rPr>
                <w:rFonts w:hint="default" w:ascii="Times New Roman" w:hAnsi="Times New Roman" w:eastAsia="宋体" w:cs="Times New Roman"/>
                <w:color w:val="FF0000"/>
                <w:sz w:val="21"/>
                <w:szCs w:val="21"/>
              </w:rPr>
              <w:t xml:space="preserve"> </w:t>
            </w:r>
            <w:r>
              <w:rPr>
                <w:rFonts w:hint="eastAsia" w:ascii="Times New Roman" w:hAnsi="Times New Roman" w:cs="Times New Roman"/>
                <w:color w:val="FF0000"/>
                <w:sz w:val="21"/>
                <w:szCs w:val="21"/>
                <w:lang w:val="en-US" w:eastAsia="zh-CN"/>
              </w:rPr>
              <w:t>4</w:t>
            </w:r>
            <w:r>
              <w:rPr>
                <w:rFonts w:hint="default" w:ascii="Times New Roman" w:hAnsi="Times New Roman" w:eastAsia="宋体" w:cs="Times New Roman"/>
                <w:color w:val="FF0000"/>
                <w:sz w:val="21"/>
                <w:szCs w:val="21"/>
              </w:rPr>
              <w:t>#、</w:t>
            </w:r>
            <w:r>
              <w:rPr>
                <w:rFonts w:hint="eastAsia" w:ascii="Times New Roman" w:hAnsi="Times New Roman" w:cs="Times New Roman"/>
                <w:color w:val="FF0000"/>
                <w:sz w:val="21"/>
                <w:szCs w:val="21"/>
                <w:lang w:val="en-US" w:eastAsia="zh-CN"/>
              </w:rPr>
              <w:t>5</w:t>
            </w:r>
            <w:r>
              <w:rPr>
                <w:rFonts w:hint="default" w:ascii="Times New Roman" w:hAnsi="Times New Roman" w:eastAsia="宋体" w:cs="Times New Roman"/>
                <w:color w:val="FF0000"/>
                <w:sz w:val="21"/>
                <w:szCs w:val="21"/>
              </w:rPr>
              <w:t>#</w:t>
            </w:r>
            <w:r>
              <w:rPr>
                <w:rFonts w:hint="default" w:ascii="Times New Roman" w:hAnsi="Times New Roman" w:eastAsia="宋体" w:cs="Times New Roman"/>
                <w:color w:val="auto"/>
                <w:sz w:val="21"/>
                <w:szCs w:val="21"/>
              </w:rPr>
              <w:t>。</w:t>
            </w:r>
            <w:bookmarkEnd w:id="34"/>
          </w:p>
          <w:p>
            <w:pPr>
              <w:pStyle w:val="2"/>
              <w:kinsoku w:val="0"/>
              <w:overflowPunct w:val="0"/>
              <w:spacing w:before="112"/>
              <w:ind w:left="718" w:right="98"/>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根据上表可以看出，粉尘排放浓度能够满足《水泥工业大气污染物排放标准》</w:t>
            </w:r>
          </w:p>
          <w:p>
            <w:pPr>
              <w:pStyle w:val="2"/>
              <w:kinsoku w:val="0"/>
              <w:overflowPunct w:val="0"/>
              <w:spacing w:before="144"/>
              <w:ind w:left="238" w:right="98"/>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（GB4915-2013）表 2 相应排放标准限值。</w:t>
            </w:r>
          </w:p>
          <w:p>
            <w:pPr>
              <w:pStyle w:val="21"/>
              <w:bidi w:val="0"/>
              <w:rPr>
                <w:rFonts w:hint="default"/>
                <w:sz w:val="24"/>
                <w:szCs w:val="22"/>
                <w:lang w:val="en-US" w:eastAsia="zh-CN"/>
              </w:rPr>
            </w:pPr>
            <w:r>
              <w:rPr>
                <w:rFonts w:hint="default" w:ascii="Wingdings" w:hAnsi="Wingdings" w:eastAsia="Wingdings"/>
                <w:sz w:val="24"/>
              </w:rPr>
              <w:t></w:t>
            </w:r>
            <w:r>
              <w:rPr>
                <w:rFonts w:hint="default"/>
                <w:sz w:val="24"/>
                <w:szCs w:val="22"/>
                <w:lang w:val="en-US" w:eastAsia="zh-CN"/>
              </w:rPr>
              <w:t>碎石料投料粉尘及堆场扬尘</w:t>
            </w:r>
          </w:p>
          <w:p>
            <w:pPr>
              <w:pStyle w:val="21"/>
              <w:bidi w:val="0"/>
              <w:rPr>
                <w:rFonts w:hint="default" w:ascii="Times New Roman" w:hAnsi="Times New Roman" w:eastAsia="宋体" w:cs="Times New Roman"/>
                <w:sz w:val="24"/>
                <w:szCs w:val="22"/>
              </w:rPr>
            </w:pPr>
            <w:r>
              <w:rPr>
                <w:rFonts w:hint="default" w:ascii="Times New Roman" w:hAnsi="Times New Roman" w:eastAsia="宋体" w:cs="Times New Roman"/>
                <w:sz w:val="24"/>
                <w:szCs w:val="22"/>
              </w:rPr>
              <w:t>投料粉尘及堆场扬尘主要包括卸料及投料过程产生的扬尘以及堆场风力起尘，装 卸过程起尘量与装卸高度、含水率、风速等有关，风力起尘与风速和尘粒含水率有关； 在气候干燥又有风的情况下，石料表面的小粒径颗粒会形成扬尘。项目原料堆场采用 钢构棚，三门封闭，仅留一面车间进出，并定期对堆场进行洒水抑尘；此外，项目堆场中碎石由于粒径较大，堆放过程起尘量较少；</w:t>
            </w:r>
          </w:p>
          <w:p>
            <w:pPr>
              <w:pStyle w:val="21"/>
              <w:bidi w:val="0"/>
              <w:rPr>
                <w:rFonts w:hint="default" w:ascii="Times New Roman" w:hAnsi="Times New Roman" w:eastAsia="宋体" w:cs="Times New Roman"/>
              </w:rPr>
            </w:pPr>
            <w:r>
              <w:rPr>
                <w:rFonts w:hint="default" w:ascii="Times New Roman" w:hAnsi="Times New Roman" w:eastAsia="宋体" w:cs="Times New Roman"/>
                <w:sz w:val="24"/>
                <w:szCs w:val="22"/>
              </w:rPr>
              <w:t>堆场作业由于有约1.2m左右的落差而将产生少量粉尘。汽车装卸料时起尘量采用山西环科研所、武汉水运工程学院提出的经验公式进行估算，公式如下</w:t>
            </w:r>
          </w:p>
          <w:p>
            <w:pPr>
              <w:pStyle w:val="2"/>
              <w:kinsoku w:val="0"/>
              <w:overflowPunct w:val="0"/>
              <w:spacing w:before="65"/>
              <w:ind w:left="718" w:right="98"/>
              <w:rPr>
                <w:rFonts w:hint="default" w:ascii="Times New Roman" w:hAnsi="Times New Roman" w:eastAsia="宋体" w:cs="Times New Roman"/>
                <w:position w:val="8"/>
                <w:sz w:val="15"/>
              </w:rPr>
            </w:pPr>
            <w:r>
              <w:rPr>
                <w:rFonts w:hint="default" w:ascii="Times New Roman" w:hAnsi="Times New Roman" w:eastAsia="宋体" w:cs="Times New Roman"/>
                <w:sz w:val="24"/>
              </w:rPr>
              <w:t>Q=0.6×M/13.5×e</w:t>
            </w:r>
            <w:r>
              <w:rPr>
                <w:rFonts w:hint="default" w:ascii="Times New Roman" w:hAnsi="Times New Roman" w:eastAsia="宋体" w:cs="Times New Roman"/>
                <w:position w:val="8"/>
                <w:sz w:val="15"/>
              </w:rPr>
              <w:t>0.6u</w:t>
            </w:r>
          </w:p>
          <w:p>
            <w:pPr>
              <w:pStyle w:val="2"/>
              <w:kinsoku w:val="0"/>
              <w:overflowPunct w:val="0"/>
              <w:spacing w:before="65"/>
              <w:ind w:left="718" w:right="98"/>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 xml:space="preserve">式中：Q—汽车装卸起尘量，g/次； </w:t>
            </w:r>
          </w:p>
          <w:p>
            <w:pPr>
              <w:pStyle w:val="2"/>
              <w:kinsoku w:val="0"/>
              <w:overflowPunct w:val="0"/>
              <w:spacing w:before="65"/>
              <w:ind w:left="718" w:right="98"/>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 xml:space="preserve">U—平均风速，取 2.2m/s； </w:t>
            </w:r>
          </w:p>
          <w:p>
            <w:pPr>
              <w:pStyle w:val="2"/>
              <w:kinsoku w:val="0"/>
              <w:overflowPunct w:val="0"/>
              <w:spacing w:before="65"/>
              <w:ind w:left="718" w:right="98"/>
              <w:rPr>
                <w:rFonts w:hint="default" w:ascii="Times New Roman" w:hAnsi="Times New Roman" w:eastAsia="宋体" w:cs="Times New Roman"/>
                <w:sz w:val="24"/>
              </w:rPr>
            </w:pPr>
            <w:r>
              <w:rPr>
                <w:rFonts w:hint="default" w:ascii="Times New Roman" w:hAnsi="Times New Roman" w:eastAsia="宋体" w:cs="Times New Roman"/>
                <w:kern w:val="2"/>
                <w:sz w:val="24"/>
                <w:szCs w:val="22"/>
                <w:lang w:val="en-US" w:eastAsia="zh-CN" w:bidi="ar-SA"/>
              </w:rPr>
              <w:t>M—汽车卸料量，取 40t/次</w:t>
            </w:r>
            <w:r>
              <w:rPr>
                <w:rFonts w:hint="default" w:ascii="Times New Roman" w:hAnsi="Times New Roman" w:eastAsia="宋体" w:cs="Times New Roman"/>
                <w:sz w:val="24"/>
              </w:rPr>
              <w:t>；</w:t>
            </w:r>
          </w:p>
          <w:p>
            <w:pPr>
              <w:pStyle w:val="2"/>
              <w:kinsoku w:val="0"/>
              <w:overflowPunct w:val="0"/>
              <w:spacing w:before="65"/>
              <w:ind w:left="718" w:right="98"/>
              <w:rPr>
                <w:rFonts w:hint="default" w:ascii="Times New Roman" w:hAnsi="Times New Roman" w:eastAsia="宋体" w:cs="Times New Roman"/>
                <w:sz w:val="24"/>
              </w:rPr>
            </w:pPr>
            <w:r>
              <w:rPr>
                <w:rFonts w:hint="default" w:ascii="Times New Roman" w:hAnsi="Times New Roman" w:eastAsia="宋体" w:cs="Times New Roman"/>
                <w:sz w:val="24"/>
              </w:rPr>
              <w:t>0.6—为修正系数（物料粒径＞2cm，密度比较煤大时取值）</w:t>
            </w:r>
          </w:p>
          <w:p>
            <w:pPr>
              <w:pStyle w:val="2"/>
              <w:kinsoku w:val="0"/>
              <w:overflowPunct w:val="0"/>
              <w:spacing w:before="65"/>
              <w:ind w:left="718" w:right="98"/>
              <w:rPr>
                <w:rFonts w:hint="default" w:ascii="Times New Roman" w:hAnsi="Times New Roman" w:eastAsia="宋体" w:cs="Times New Roman"/>
                <w:sz w:val="24"/>
              </w:rPr>
            </w:pPr>
            <w:r>
              <w:rPr>
                <w:rFonts w:hint="default" w:ascii="Times New Roman" w:hAnsi="Times New Roman" w:eastAsia="宋体" w:cs="Times New Roman"/>
                <w:sz w:val="24"/>
              </w:rPr>
              <w:t>经计算，项目堆场卸料粉尘污染物产生情况见下表。</w:t>
            </w:r>
          </w:p>
          <w:p>
            <w:pPr>
              <w:pStyle w:val="6"/>
              <w:tabs>
                <w:tab w:val="left" w:pos="3725"/>
              </w:tabs>
              <w:kinsoku w:val="0"/>
              <w:overflowPunct w:val="0"/>
              <w:spacing w:before="65"/>
              <w:ind w:right="98"/>
              <w:jc w:val="center"/>
              <w:rPr>
                <w:rFonts w:hint="default" w:ascii="Times New Roman" w:hAnsi="Times New Roman" w:eastAsia="宋体" w:cs="Times New Roman"/>
                <w:b w:val="0"/>
                <w:sz w:val="24"/>
              </w:rPr>
            </w:pPr>
            <w:bookmarkStart w:id="35" w:name="_Toc20043"/>
            <w:r>
              <w:rPr>
                <w:rFonts w:hint="default" w:ascii="Times New Roman" w:hAnsi="Times New Roman" w:eastAsia="宋体" w:cs="Times New Roman"/>
                <w:sz w:val="24"/>
              </w:rPr>
              <w:t>表</w:t>
            </w:r>
            <w:r>
              <w:rPr>
                <w:rFonts w:hint="default" w:ascii="Times New Roman" w:hAnsi="Times New Roman" w:eastAsia="宋体" w:cs="Times New Roman"/>
                <w:spacing w:val="-63"/>
                <w:sz w:val="24"/>
              </w:rPr>
              <w:t xml:space="preserve"> </w:t>
            </w:r>
            <w:r>
              <w:rPr>
                <w:rFonts w:hint="eastAsia" w:cs="Times New Roman"/>
                <w:sz w:val="24"/>
                <w:lang w:val="en-US" w:eastAsia="zh-CN"/>
              </w:rPr>
              <w:t>5.2.2-3</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rPr>
              <w:t>项目卸料粉尘污染物源强计算表</w:t>
            </w:r>
            <w:bookmarkEnd w:id="35"/>
          </w:p>
          <w:tbl>
            <w:tblPr>
              <w:tblStyle w:val="43"/>
              <w:tblW w:w="896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79"/>
              <w:gridCol w:w="1868"/>
              <w:gridCol w:w="2023"/>
              <w:gridCol w:w="1800"/>
              <w:gridCol w:w="1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jc w:val="center"/>
              </w:trPr>
              <w:tc>
                <w:tcPr>
                  <w:tcW w:w="14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项目</w:t>
                  </w:r>
                </w:p>
              </w:tc>
              <w:tc>
                <w:tcPr>
                  <w:tcW w:w="18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ind w:right="-2"/>
                    <w:jc w:val="center"/>
                    <w:rPr>
                      <w:rFonts w:hint="default" w:ascii="Times New Roman" w:hAnsi="Times New Roman" w:eastAsia="宋体" w:cs="Times New Roman"/>
                      <w:sz w:val="21"/>
                      <w:szCs w:val="21"/>
                    </w:rPr>
                  </w:pPr>
                  <w:r>
                    <w:rPr>
                      <w:rFonts w:hint="default" w:ascii="Times New Roman" w:hAnsi="Times New Roman" w:eastAsia="宋体" w:cs="Times New Roman"/>
                      <w:b/>
                      <w:spacing w:val="-16"/>
                      <w:sz w:val="21"/>
                      <w:szCs w:val="21"/>
                    </w:rPr>
                    <w:t>装卸料量（万</w:t>
                  </w:r>
                  <w:r>
                    <w:rPr>
                      <w:rFonts w:hint="default" w:ascii="Times New Roman" w:hAnsi="Times New Roman" w:eastAsia="宋体" w:cs="Times New Roman"/>
                      <w:b/>
                      <w:spacing w:val="-71"/>
                      <w:sz w:val="21"/>
                      <w:szCs w:val="21"/>
                    </w:rPr>
                    <w:t xml:space="preserve"> </w:t>
                  </w:r>
                  <w:r>
                    <w:rPr>
                      <w:rFonts w:hint="default" w:ascii="Times New Roman" w:hAnsi="Times New Roman" w:eastAsia="宋体" w:cs="Times New Roman"/>
                      <w:b/>
                      <w:sz w:val="21"/>
                      <w:szCs w:val="21"/>
                    </w:rPr>
                    <w:t>t/a）</w:t>
                  </w:r>
                </w:p>
              </w:tc>
              <w:tc>
                <w:tcPr>
                  <w:tcW w:w="20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装卸次数（次/a）</w:t>
                  </w:r>
                </w:p>
              </w:tc>
              <w:tc>
                <w:tcPr>
                  <w:tcW w:w="1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ind w:left="207"/>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起尘量（t/a）</w:t>
                  </w:r>
                </w:p>
              </w:tc>
              <w:tc>
                <w:tcPr>
                  <w:tcW w:w="17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速率</w:t>
                  </w:r>
                  <w:r>
                    <w:rPr>
                      <w:rFonts w:hint="default" w:ascii="Times New Roman" w:hAnsi="Times New Roman" w:eastAsia="宋体" w:cs="Times New Roman"/>
                      <w:b/>
                      <w:spacing w:val="-54"/>
                      <w:sz w:val="21"/>
                      <w:szCs w:val="21"/>
                    </w:rPr>
                    <w:t xml:space="preserve"> </w:t>
                  </w:r>
                  <w:r>
                    <w:rPr>
                      <w:rFonts w:hint="default" w:ascii="Times New Roman" w:hAnsi="Times New Roman" w:eastAsia="宋体" w:cs="Times New Roman"/>
                      <w:b/>
                      <w:sz w:val="21"/>
                      <w:szCs w:val="21"/>
                    </w:rPr>
                    <w:t>kg/h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jc w:val="center"/>
              </w:trPr>
              <w:tc>
                <w:tcPr>
                  <w:tcW w:w="14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before="1"/>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堆场装卸</w:t>
                  </w:r>
                </w:p>
              </w:tc>
              <w:tc>
                <w:tcPr>
                  <w:tcW w:w="18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before="41"/>
                    <w:ind w:right="1"/>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7.2</w:t>
                  </w:r>
                </w:p>
              </w:tc>
              <w:tc>
                <w:tcPr>
                  <w:tcW w:w="20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before="41"/>
                    <w:ind w:right="1"/>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18</w:t>
                  </w:r>
                  <w:r>
                    <w:rPr>
                      <w:rFonts w:hint="default" w:ascii="Times New Roman" w:hAnsi="Times New Roman" w:eastAsia="宋体" w:cs="Times New Roman"/>
                      <w:sz w:val="21"/>
                      <w:szCs w:val="21"/>
                    </w:rPr>
                    <w:t>00</w:t>
                  </w:r>
                </w:p>
              </w:tc>
              <w:tc>
                <w:tcPr>
                  <w:tcW w:w="1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before="41"/>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0.0</w:t>
                  </w:r>
                  <w:r>
                    <w:rPr>
                      <w:rFonts w:hint="eastAsia" w:ascii="Times New Roman" w:hAnsi="Times New Roman" w:eastAsia="宋体" w:cs="Times New Roman"/>
                      <w:sz w:val="21"/>
                      <w:szCs w:val="21"/>
                      <w:lang w:val="en-US" w:eastAsia="zh-CN"/>
                    </w:rPr>
                    <w:t>144</w:t>
                  </w:r>
                </w:p>
              </w:tc>
              <w:tc>
                <w:tcPr>
                  <w:tcW w:w="17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before="41"/>
                    <w:ind w:right="1"/>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0.02</w:t>
                  </w:r>
                </w:p>
              </w:tc>
            </w:tr>
          </w:tbl>
          <w:p>
            <w:pPr>
              <w:spacing w:line="500" w:lineRule="exact"/>
              <w:ind w:firstLine="480" w:firstLineChars="200"/>
              <w:rPr>
                <w:rFonts w:hint="default" w:ascii="Times New Roman" w:hAnsi="Times New Roman" w:cs="Times New Roman"/>
                <w:bCs/>
                <w:color w:val="auto"/>
                <w:sz w:val="24"/>
              </w:rPr>
            </w:pPr>
            <w:r>
              <w:rPr>
                <w:rFonts w:hint="eastAsia" w:ascii="Times New Roman" w:hAnsi="Times New Roman" w:cs="Times New Roman"/>
                <w:bCs/>
                <w:color w:val="auto"/>
                <w:sz w:val="24"/>
              </w:rPr>
              <w:t>根据《</w:t>
            </w:r>
            <w:r>
              <w:rPr>
                <w:rFonts w:hint="eastAsia" w:ascii="Times New Roman" w:hAnsi="Times New Roman" w:cs="Times New Roman"/>
                <w:bCs/>
                <w:color w:val="auto"/>
                <w:sz w:val="24"/>
                <w:lang w:eastAsia="zh-CN"/>
              </w:rPr>
              <w:t>湖南省大气污染防治条例</w:t>
            </w:r>
            <w:r>
              <w:rPr>
                <w:rFonts w:hint="eastAsia" w:ascii="Times New Roman" w:hAnsi="Times New Roman" w:cs="Times New Roman"/>
                <w:bCs/>
                <w:color w:val="auto"/>
                <w:sz w:val="24"/>
              </w:rPr>
              <w:t>》的要求，本次环评建议对生产车间进行密闭，所有物料（包括原辅料、半成品、成品）进库存放，厂界内无露天堆放物料，通道口安装卷帘门、推拉门等封闭性良好且便于开关的硬质门，并在车间上方设置旋转喷淋洒水装置，定期对原料和成品进行洒水、抑尘</w:t>
            </w:r>
            <w:r>
              <w:rPr>
                <w:rFonts w:hint="default" w:ascii="Times New Roman" w:hAnsi="Times New Roman" w:cs="Times New Roman"/>
                <w:bCs/>
                <w:color w:val="auto"/>
                <w:sz w:val="24"/>
              </w:rPr>
              <w:t>，尽量降低装卸物料的落差，以减少扬尘产生。</w:t>
            </w:r>
          </w:p>
          <w:p>
            <w:pPr>
              <w:spacing w:line="500" w:lineRule="exact"/>
              <w:ind w:firstLine="480" w:firstLineChars="200"/>
              <w:rPr>
                <w:sz w:val="24"/>
                <w:szCs w:val="24"/>
              </w:rPr>
            </w:pPr>
            <w:r>
              <w:rPr>
                <w:rFonts w:hint="default" w:ascii="Times New Roman" w:hAnsi="Times New Roman" w:eastAsia="宋体" w:cs="Times New Roman"/>
                <w:sz w:val="24"/>
              </w:rPr>
              <w:t>③</w:t>
            </w:r>
            <w:r>
              <w:rPr>
                <w:bCs/>
                <w:sz w:val="24"/>
                <w:szCs w:val="24"/>
              </w:rPr>
              <w:t>原料投料、搅拌过程中产生的粉尘</w:t>
            </w:r>
          </w:p>
          <w:p>
            <w:pPr>
              <w:spacing w:line="500" w:lineRule="exact"/>
              <w:ind w:firstLine="480" w:firstLineChars="200"/>
              <w:rPr>
                <w:sz w:val="24"/>
                <w:szCs w:val="24"/>
              </w:rPr>
            </w:pPr>
            <w:r>
              <w:rPr>
                <w:rFonts w:hint="eastAsia"/>
                <w:sz w:val="24"/>
                <w:szCs w:val="24"/>
              </w:rPr>
              <w:t>项目</w:t>
            </w:r>
            <w:r>
              <w:rPr>
                <w:rFonts w:hint="eastAsia"/>
                <w:bCs/>
                <w:sz w:val="24"/>
                <w:szCs w:val="24"/>
              </w:rPr>
              <w:t>生产</w:t>
            </w:r>
            <w:r>
              <w:rPr>
                <w:rFonts w:hint="eastAsia"/>
                <w:sz w:val="24"/>
                <w:szCs w:val="24"/>
              </w:rPr>
              <w:t>过程中，原料由铲车分别下料至配料斗中，通过配料斗下方的传送带输送至拌合机。因此项目产尘点主要来自各配料仓仓口、输送过程及拌合机。根据企业提供，项目各骨料仓出料减少下料口高度落差。项目配料、搅拌过程全部在封闭的生产车间内完成，搅拌过程中需要加入一定量的水，以增加粉料的粘合度，因此项目粉尘的产生量较少。</w:t>
            </w:r>
          </w:p>
          <w:p>
            <w:pPr>
              <w:spacing w:line="500" w:lineRule="exact"/>
              <w:ind w:firstLine="480" w:firstLineChars="200"/>
              <w:rPr>
                <w:sz w:val="24"/>
                <w:szCs w:val="24"/>
              </w:rPr>
            </w:pPr>
            <w:r>
              <w:rPr>
                <w:rFonts w:hint="eastAsia"/>
                <w:sz w:val="24"/>
                <w:szCs w:val="24"/>
              </w:rPr>
              <w:t>项目</w:t>
            </w:r>
            <w:r>
              <w:rPr>
                <w:rFonts w:hint="eastAsia"/>
                <w:bCs/>
                <w:sz w:val="24"/>
                <w:szCs w:val="24"/>
              </w:rPr>
              <w:t>水稳碎石生产</w:t>
            </w:r>
            <w:r>
              <w:rPr>
                <w:rFonts w:hint="eastAsia"/>
                <w:sz w:val="24"/>
                <w:szCs w:val="24"/>
              </w:rPr>
              <w:t>原料</w:t>
            </w:r>
            <w:r>
              <w:rPr>
                <w:sz w:val="24"/>
                <w:szCs w:val="24"/>
              </w:rPr>
              <w:t>用量</w:t>
            </w:r>
            <w:r>
              <w:rPr>
                <w:rFonts w:hint="eastAsia"/>
                <w:sz w:val="24"/>
                <w:szCs w:val="24"/>
              </w:rPr>
              <w:t>（除水泥外）</w:t>
            </w:r>
            <w:r>
              <w:rPr>
                <w:sz w:val="24"/>
                <w:szCs w:val="24"/>
              </w:rPr>
              <w:t>为</w:t>
            </w:r>
            <w:r>
              <w:rPr>
                <w:rFonts w:hint="eastAsia"/>
                <w:bCs/>
                <w:sz w:val="24"/>
                <w:szCs w:val="24"/>
                <w:lang w:val="en-US" w:eastAsia="zh-CN"/>
              </w:rPr>
              <w:t>72</w:t>
            </w:r>
            <w:r>
              <w:rPr>
                <w:rFonts w:hint="eastAsia"/>
                <w:bCs/>
                <w:sz w:val="24"/>
                <w:szCs w:val="24"/>
              </w:rPr>
              <w:t>000t/a，</w:t>
            </w:r>
            <w:r>
              <w:rPr>
                <w:sz w:val="24"/>
                <w:szCs w:val="24"/>
              </w:rPr>
              <w:t>每天生产</w:t>
            </w:r>
            <w:r>
              <w:rPr>
                <w:bCs/>
                <w:sz w:val="24"/>
                <w:szCs w:val="24"/>
              </w:rPr>
              <w:t>8h</w:t>
            </w:r>
            <w:r>
              <w:rPr>
                <w:sz w:val="24"/>
                <w:szCs w:val="24"/>
              </w:rPr>
              <w:t>。结合《第一次全国污染源普查工业污染源产排污系数手册》中排污系数，</w:t>
            </w:r>
            <w:r>
              <w:rPr>
                <w:rFonts w:hint="eastAsia"/>
                <w:sz w:val="24"/>
                <w:szCs w:val="24"/>
              </w:rPr>
              <w:t>配料机进料口粉尘产生系数为</w:t>
            </w:r>
            <w:r>
              <w:rPr>
                <w:rFonts w:hint="eastAsia"/>
                <w:bCs/>
                <w:sz w:val="24"/>
                <w:szCs w:val="24"/>
              </w:rPr>
              <w:t>0.005kg/t</w:t>
            </w:r>
            <w:r>
              <w:rPr>
                <w:rFonts w:hint="eastAsia"/>
                <w:bCs/>
                <w:sz w:val="24"/>
                <w:szCs w:val="24"/>
                <w:vertAlign w:val="subscript"/>
              </w:rPr>
              <w:t>原料</w:t>
            </w:r>
            <w:r>
              <w:rPr>
                <w:rFonts w:hint="eastAsia"/>
                <w:sz w:val="24"/>
                <w:szCs w:val="24"/>
              </w:rPr>
              <w:t>，</w:t>
            </w:r>
            <w:r>
              <w:rPr>
                <w:sz w:val="24"/>
                <w:szCs w:val="24"/>
              </w:rPr>
              <w:t>搅拌物料损失为</w:t>
            </w:r>
            <w:r>
              <w:rPr>
                <w:bCs/>
                <w:sz w:val="24"/>
                <w:szCs w:val="24"/>
              </w:rPr>
              <w:t>0.1kg/t</w:t>
            </w:r>
            <w:r>
              <w:rPr>
                <w:sz w:val="24"/>
                <w:szCs w:val="24"/>
                <w:vertAlign w:val="subscript"/>
              </w:rPr>
              <w:t>原料</w:t>
            </w:r>
            <w:r>
              <w:rPr>
                <w:sz w:val="24"/>
                <w:szCs w:val="24"/>
              </w:rPr>
              <w:t>，则本项目</w:t>
            </w:r>
            <w:r>
              <w:rPr>
                <w:rFonts w:hint="eastAsia"/>
                <w:sz w:val="24"/>
                <w:szCs w:val="24"/>
              </w:rPr>
              <w:t>配料口</w:t>
            </w:r>
            <w:r>
              <w:rPr>
                <w:sz w:val="24"/>
                <w:szCs w:val="24"/>
              </w:rPr>
              <w:t>的粉尘产生量为</w:t>
            </w:r>
            <w:r>
              <w:rPr>
                <w:rFonts w:hint="eastAsia"/>
                <w:bCs/>
                <w:sz w:val="24"/>
                <w:szCs w:val="24"/>
              </w:rPr>
              <w:t>0.</w:t>
            </w:r>
            <w:r>
              <w:rPr>
                <w:rFonts w:hint="eastAsia"/>
                <w:bCs/>
                <w:sz w:val="24"/>
                <w:szCs w:val="24"/>
                <w:lang w:val="en-US" w:eastAsia="zh-CN"/>
              </w:rPr>
              <w:t>360</w:t>
            </w:r>
            <w:r>
              <w:rPr>
                <w:bCs/>
                <w:sz w:val="24"/>
                <w:szCs w:val="24"/>
              </w:rPr>
              <w:t>t/a</w:t>
            </w:r>
            <w:r>
              <w:rPr>
                <w:sz w:val="24"/>
                <w:szCs w:val="24"/>
              </w:rPr>
              <w:t>（</w:t>
            </w:r>
            <w:r>
              <w:rPr>
                <w:rFonts w:hint="eastAsia"/>
                <w:bCs/>
                <w:sz w:val="24"/>
                <w:szCs w:val="24"/>
              </w:rPr>
              <w:t>0.1</w:t>
            </w:r>
            <w:r>
              <w:rPr>
                <w:rFonts w:hint="eastAsia"/>
                <w:bCs/>
                <w:sz w:val="24"/>
                <w:szCs w:val="24"/>
                <w:lang w:val="en-US" w:eastAsia="zh-CN"/>
              </w:rPr>
              <w:t>49</w:t>
            </w:r>
            <w:r>
              <w:rPr>
                <w:bCs/>
                <w:sz w:val="24"/>
                <w:szCs w:val="24"/>
              </w:rPr>
              <w:t>kg/h</w:t>
            </w:r>
            <w:r>
              <w:rPr>
                <w:sz w:val="24"/>
                <w:szCs w:val="24"/>
              </w:rPr>
              <w:t>）</w:t>
            </w:r>
            <w:r>
              <w:rPr>
                <w:rFonts w:hint="eastAsia"/>
                <w:sz w:val="24"/>
                <w:szCs w:val="24"/>
              </w:rPr>
              <w:t>，</w:t>
            </w:r>
            <w:r>
              <w:rPr>
                <w:sz w:val="24"/>
                <w:szCs w:val="24"/>
              </w:rPr>
              <w:t>项目</w:t>
            </w:r>
            <w:r>
              <w:rPr>
                <w:rFonts w:hint="eastAsia"/>
                <w:sz w:val="24"/>
                <w:szCs w:val="24"/>
              </w:rPr>
              <w:t>拌合机</w:t>
            </w:r>
            <w:r>
              <w:rPr>
                <w:sz w:val="24"/>
                <w:szCs w:val="24"/>
              </w:rPr>
              <w:t>的粉尘产生量为</w:t>
            </w:r>
            <w:r>
              <w:rPr>
                <w:rFonts w:hint="eastAsia"/>
                <w:bCs/>
                <w:sz w:val="24"/>
                <w:szCs w:val="24"/>
                <w:lang w:val="en-US" w:eastAsia="zh-CN"/>
              </w:rPr>
              <w:t>7.2</w:t>
            </w:r>
            <w:r>
              <w:rPr>
                <w:bCs/>
                <w:sz w:val="24"/>
                <w:szCs w:val="24"/>
              </w:rPr>
              <w:t>t/a</w:t>
            </w:r>
            <w:r>
              <w:rPr>
                <w:sz w:val="24"/>
                <w:szCs w:val="24"/>
              </w:rPr>
              <w:t>（</w:t>
            </w:r>
            <w:r>
              <w:rPr>
                <w:rFonts w:hint="eastAsia"/>
                <w:bCs/>
                <w:sz w:val="24"/>
                <w:szCs w:val="24"/>
                <w:lang w:val="en-US" w:eastAsia="zh-CN"/>
              </w:rPr>
              <w:t>4</w:t>
            </w:r>
            <w:r>
              <w:rPr>
                <w:rFonts w:hint="eastAsia"/>
                <w:bCs/>
                <w:sz w:val="24"/>
                <w:szCs w:val="24"/>
              </w:rPr>
              <w:t>.5</w:t>
            </w:r>
            <w:r>
              <w:rPr>
                <w:bCs/>
                <w:sz w:val="24"/>
                <w:szCs w:val="24"/>
              </w:rPr>
              <w:t>kg/h</w:t>
            </w:r>
            <w:r>
              <w:rPr>
                <w:sz w:val="24"/>
                <w:szCs w:val="24"/>
              </w:rPr>
              <w:t>）。</w:t>
            </w:r>
          </w:p>
          <w:p>
            <w:pPr>
              <w:spacing w:line="500" w:lineRule="exact"/>
              <w:ind w:firstLine="480" w:firstLineChars="200"/>
              <w:rPr>
                <w:bCs/>
                <w:sz w:val="24"/>
              </w:rPr>
            </w:pPr>
            <w:r>
              <w:rPr>
                <w:rFonts w:hint="eastAsia"/>
                <w:bCs/>
                <w:sz w:val="24"/>
              </w:rPr>
              <w:t>根据</w:t>
            </w:r>
            <w:r>
              <w:rPr>
                <w:bCs/>
                <w:sz w:val="24"/>
              </w:rPr>
              <w:t>《</w:t>
            </w:r>
            <w:r>
              <w:rPr>
                <w:rFonts w:hint="eastAsia"/>
                <w:bCs/>
                <w:sz w:val="24"/>
                <w:lang w:eastAsia="zh-CN"/>
              </w:rPr>
              <w:t>湖南省大气污染防治条例</w:t>
            </w:r>
            <w:r>
              <w:rPr>
                <w:bCs/>
                <w:sz w:val="24"/>
              </w:rPr>
              <w:t>》</w:t>
            </w:r>
            <w:r>
              <w:rPr>
                <w:rFonts w:hint="eastAsia"/>
                <w:bCs/>
                <w:sz w:val="24"/>
              </w:rPr>
              <w:t>的要求，</w:t>
            </w:r>
            <w:r>
              <w:rPr>
                <w:bCs/>
                <w:sz w:val="24"/>
              </w:rPr>
              <w:t>下料口设置独立集气罩，配套</w:t>
            </w:r>
            <w:r>
              <w:rPr>
                <w:rFonts w:hint="eastAsia"/>
                <w:bCs/>
                <w:sz w:val="24"/>
              </w:rPr>
              <w:t>有独立</w:t>
            </w:r>
            <w:r>
              <w:rPr>
                <w:bCs/>
                <w:sz w:val="24"/>
              </w:rPr>
              <w:t>除尘设施不与其他工序混用</w:t>
            </w:r>
            <w:r>
              <w:rPr>
                <w:rFonts w:hint="eastAsia"/>
                <w:bCs/>
                <w:sz w:val="24"/>
              </w:rPr>
              <w:t>。主要生产工艺产尘节点安装封闭集尘装置并配备处理系统，厂房内设置喷雾抑尘措施；生产环节必须在密闭良好的车间内运行，并配备完备的废气收集和处理系统。</w:t>
            </w:r>
          </w:p>
          <w:p>
            <w:pPr>
              <w:pStyle w:val="2"/>
              <w:kinsoku w:val="0"/>
              <w:overflowPunct w:val="0"/>
              <w:spacing w:before="31"/>
              <w:ind w:left="718" w:right="98"/>
              <w:rPr>
                <w:rFonts w:hint="default" w:ascii="Times New Roman" w:hAnsi="Times New Roman" w:eastAsia="宋体" w:cs="Times New Roman"/>
                <w:sz w:val="24"/>
              </w:rPr>
            </w:pPr>
            <w:r>
              <w:rPr>
                <w:rFonts w:hint="eastAsia" w:ascii="Times New Roman" w:hAnsi="Times New Roman" w:eastAsia="宋体" w:cs="Times New Roman"/>
                <w:sz w:val="24"/>
                <w:lang w:eastAsia="zh-CN"/>
              </w:rPr>
              <w:t>④</w:t>
            </w:r>
            <w:r>
              <w:rPr>
                <w:rFonts w:hint="default" w:ascii="Times New Roman" w:hAnsi="Times New Roman" w:eastAsia="宋体" w:cs="Times New Roman"/>
                <w:sz w:val="24"/>
              </w:rPr>
              <w:t>运输车辆扬尘</w:t>
            </w:r>
            <w:r>
              <w:rPr>
                <w:rFonts w:hint="default" w:ascii="Times New Roman" w:hAnsi="Times New Roman" w:eastAsia="宋体" w:cs="Times New Roman"/>
                <w:spacing w:val="-61"/>
                <w:sz w:val="24"/>
              </w:rPr>
              <w:t xml:space="preserve"> </w:t>
            </w:r>
          </w:p>
          <w:p>
            <w:pPr>
              <w:pStyle w:val="2"/>
              <w:kinsoku w:val="0"/>
              <w:overflowPunct w:val="0"/>
              <w:spacing w:before="116" w:line="340" w:lineRule="auto"/>
              <w:ind w:left="238" w:right="236" w:firstLine="480"/>
              <w:jc w:val="both"/>
              <w:rPr>
                <w:rFonts w:hint="default" w:ascii="Times New Roman" w:hAnsi="Times New Roman" w:eastAsia="宋体" w:cs="Times New Roman"/>
                <w:sz w:val="24"/>
              </w:rPr>
            </w:pPr>
            <w:r>
              <w:rPr>
                <w:rFonts w:hint="default" w:ascii="Times New Roman" w:hAnsi="Times New Roman" w:eastAsia="宋体" w:cs="Times New Roman"/>
                <w:sz w:val="24"/>
              </w:rPr>
              <w:t>项目汽车运输扬尘对道路两侧一定范围内会造成污染。扬尘量的大小与车流量、 道路状况、气候条件、汽车行驶速度等均有关系。根据汽车道路扬尘扩散规律，在大</w:t>
            </w:r>
            <w:r>
              <w:rPr>
                <w:rFonts w:hint="default" w:ascii="Times New Roman" w:hAnsi="Times New Roman" w:eastAsia="宋体" w:cs="Times New Roman"/>
                <w:spacing w:val="-65"/>
                <w:sz w:val="24"/>
              </w:rPr>
              <w:t xml:space="preserve"> </w:t>
            </w:r>
            <w:r>
              <w:rPr>
                <w:rFonts w:hint="default" w:ascii="Times New Roman" w:hAnsi="Times New Roman" w:eastAsia="宋体" w:cs="Times New Roman"/>
                <w:spacing w:val="3"/>
                <w:sz w:val="24"/>
              </w:rPr>
              <w:t>气干燥和地面风速低于</w:t>
            </w:r>
            <w:r>
              <w:rPr>
                <w:rFonts w:hint="default" w:ascii="Times New Roman" w:hAnsi="Times New Roman" w:eastAsia="宋体" w:cs="Times New Roman"/>
                <w:spacing w:val="-52"/>
                <w:sz w:val="24"/>
              </w:rPr>
              <w:t xml:space="preserve"> </w:t>
            </w:r>
            <w:r>
              <w:rPr>
                <w:rFonts w:hint="default" w:ascii="Times New Roman" w:hAnsi="Times New Roman" w:eastAsia="宋体" w:cs="Times New Roman"/>
                <w:sz w:val="24"/>
              </w:rPr>
              <w:t>4m/s</w:t>
            </w:r>
            <w:r>
              <w:rPr>
                <w:rFonts w:hint="default" w:ascii="Times New Roman" w:hAnsi="Times New Roman" w:eastAsia="宋体" w:cs="Times New Roman"/>
                <w:spacing w:val="11"/>
                <w:sz w:val="24"/>
              </w:rPr>
              <w:t xml:space="preserve"> </w:t>
            </w:r>
            <w:r>
              <w:rPr>
                <w:rFonts w:hint="default" w:ascii="Times New Roman" w:hAnsi="Times New Roman" w:eastAsia="宋体" w:cs="Times New Roman"/>
                <w:spacing w:val="4"/>
                <w:sz w:val="24"/>
              </w:rPr>
              <w:t>条件下，汽车行驶时引起的路面扬尘量与汽车速度成正</w:t>
            </w:r>
            <w:r>
              <w:rPr>
                <w:rFonts w:hint="default" w:ascii="Times New Roman" w:hAnsi="Times New Roman" w:eastAsia="宋体" w:cs="Times New Roman"/>
                <w:spacing w:val="-118"/>
                <w:sz w:val="24"/>
              </w:rPr>
              <w:t xml:space="preserve"> </w:t>
            </w:r>
            <w:r>
              <w:rPr>
                <w:rFonts w:hint="default" w:ascii="Times New Roman" w:hAnsi="Times New Roman" w:eastAsia="宋体" w:cs="Times New Roman"/>
                <w:sz w:val="24"/>
              </w:rPr>
              <w:t>比，与汽车质量成正比，与道路表面扬尘量成正比，其汽车扬尘量预测经验公式为：</w:t>
            </w:r>
          </w:p>
          <w:p>
            <w:pPr>
              <w:pStyle w:val="2"/>
              <w:kinsoku w:val="0"/>
              <w:overflowPunct w:val="0"/>
              <w:spacing w:before="46"/>
              <w:ind w:left="718" w:right="98"/>
              <w:rPr>
                <w:rFonts w:hint="default" w:ascii="Times New Roman" w:hAnsi="Times New Roman" w:eastAsia="宋体" w:cs="Times New Roman"/>
                <w:sz w:val="24"/>
              </w:rPr>
            </w:pPr>
            <w:r>
              <w:rPr>
                <w:rFonts w:hint="default" w:ascii="Times New Roman" w:hAnsi="Times New Roman" w:eastAsia="宋体" w:cs="Times New Roman"/>
                <w:sz w:val="24"/>
              </w:rPr>
              <w:t>Q=0.123（V/5）（W /6.8）0.85（P</w:t>
            </w:r>
            <w:r>
              <w:rPr>
                <w:rFonts w:hint="default" w:ascii="Times New Roman" w:hAnsi="Times New Roman" w:eastAsia="宋体" w:cs="Times New Roman"/>
                <w:spacing w:val="-29"/>
                <w:sz w:val="24"/>
              </w:rPr>
              <w:t xml:space="preserve"> </w:t>
            </w:r>
            <w:r>
              <w:rPr>
                <w:rFonts w:hint="default" w:ascii="Times New Roman" w:hAnsi="Times New Roman" w:eastAsia="宋体" w:cs="Times New Roman"/>
                <w:sz w:val="24"/>
              </w:rPr>
              <w:t>/0.5）0.72</w:t>
            </w:r>
          </w:p>
          <w:p>
            <w:pPr>
              <w:pStyle w:val="2"/>
              <w:tabs>
                <w:tab w:val="left" w:pos="5343"/>
              </w:tabs>
              <w:kinsoku w:val="0"/>
              <w:overflowPunct w:val="0"/>
              <w:spacing w:before="113" w:line="321" w:lineRule="auto"/>
              <w:ind w:left="1438" w:right="1738" w:hanging="720"/>
              <w:rPr>
                <w:rFonts w:hint="default" w:ascii="Times New Roman" w:hAnsi="Times New Roman" w:eastAsia="宋体" w:cs="Times New Roman"/>
                <w:sz w:val="24"/>
              </w:rPr>
            </w:pPr>
            <w:r>
              <w:rPr>
                <w:rFonts w:hint="default" w:ascii="Times New Roman" w:hAnsi="Times New Roman" w:eastAsia="宋体" w:cs="Times New Roman"/>
                <w:sz w:val="24"/>
              </w:rPr>
              <w:t>式中：Q—汽车行驶扬尘量，kg/km·辆。</w:t>
            </w:r>
            <w:r>
              <w:rPr>
                <w:rFonts w:hint="default" w:ascii="Times New Roman" w:hAnsi="Times New Roman" w:eastAsia="宋体" w:cs="Times New Roman"/>
                <w:sz w:val="24"/>
              </w:rPr>
              <w:tab/>
            </w:r>
          </w:p>
          <w:p>
            <w:pPr>
              <w:pStyle w:val="2"/>
              <w:tabs>
                <w:tab w:val="left" w:pos="5343"/>
              </w:tabs>
              <w:kinsoku w:val="0"/>
              <w:overflowPunct w:val="0"/>
              <w:spacing w:before="113" w:line="321" w:lineRule="auto"/>
              <w:ind w:left="1737" w:leftChars="449" w:right="1738" w:hanging="300" w:hangingChars="125"/>
              <w:rPr>
                <w:rFonts w:hint="default" w:ascii="Times New Roman" w:hAnsi="Times New Roman" w:eastAsia="宋体" w:cs="Times New Roman"/>
                <w:sz w:val="24"/>
              </w:rPr>
            </w:pPr>
            <w:r>
              <w:rPr>
                <w:rFonts w:hint="default" w:ascii="Times New Roman" w:hAnsi="Times New Roman" w:eastAsia="宋体" w:cs="Times New Roman"/>
                <w:sz w:val="24"/>
              </w:rPr>
              <w:t xml:space="preserve">V—汽车速度，km/h； W—汽车质量，t； </w:t>
            </w:r>
          </w:p>
          <w:p>
            <w:pPr>
              <w:pStyle w:val="2"/>
              <w:tabs>
                <w:tab w:val="left" w:pos="5343"/>
              </w:tabs>
              <w:kinsoku w:val="0"/>
              <w:overflowPunct w:val="0"/>
              <w:spacing w:before="113" w:line="321" w:lineRule="auto"/>
              <w:ind w:left="1737" w:leftChars="449" w:right="1738" w:hanging="300" w:hangingChars="125"/>
              <w:rPr>
                <w:rFonts w:hint="default" w:ascii="Times New Roman" w:hAnsi="Times New Roman" w:eastAsia="宋体" w:cs="Times New Roman"/>
                <w:sz w:val="24"/>
              </w:rPr>
            </w:pPr>
            <w:r>
              <w:rPr>
                <w:rFonts w:hint="default" w:ascii="Times New Roman" w:hAnsi="Times New Roman" w:eastAsia="宋体" w:cs="Times New Roman"/>
                <w:sz w:val="24"/>
              </w:rPr>
              <w:t>P—道路表面粉尘量，km/m</w:t>
            </w:r>
            <w:r>
              <w:rPr>
                <w:rFonts w:hint="default" w:ascii="Times New Roman" w:hAnsi="Times New Roman" w:eastAsia="宋体" w:cs="Times New Roman"/>
                <w:position w:val="8"/>
                <w:sz w:val="15"/>
              </w:rPr>
              <w:t>2</w:t>
            </w:r>
            <w:r>
              <w:rPr>
                <w:rFonts w:hint="default" w:ascii="Times New Roman" w:hAnsi="Times New Roman" w:eastAsia="宋体" w:cs="Times New Roman"/>
                <w:sz w:val="24"/>
              </w:rPr>
              <w:t>，取</w:t>
            </w:r>
            <w:r>
              <w:rPr>
                <w:rFonts w:hint="default" w:ascii="Times New Roman" w:hAnsi="Times New Roman" w:eastAsia="宋体" w:cs="Times New Roman"/>
                <w:spacing w:val="-64"/>
                <w:sz w:val="24"/>
              </w:rPr>
              <w:t xml:space="preserve"> </w:t>
            </w:r>
            <w:r>
              <w:rPr>
                <w:rFonts w:hint="default" w:ascii="Times New Roman" w:hAnsi="Times New Roman" w:eastAsia="宋体" w:cs="Times New Roman"/>
                <w:sz w:val="24"/>
              </w:rPr>
              <w:t>0.60。</w:t>
            </w:r>
          </w:p>
          <w:p>
            <w:pPr>
              <w:pStyle w:val="2"/>
              <w:kinsoku w:val="0"/>
              <w:overflowPunct w:val="0"/>
              <w:spacing w:before="16"/>
              <w:ind w:left="718" w:right="98"/>
              <w:rPr>
                <w:rFonts w:hint="default" w:ascii="Times New Roman" w:hAnsi="Times New Roman" w:eastAsia="宋体" w:cs="Times New Roman"/>
                <w:sz w:val="24"/>
              </w:rPr>
            </w:pPr>
            <w:r>
              <w:rPr>
                <w:rFonts w:hint="default" w:ascii="Times New Roman" w:hAnsi="Times New Roman" w:eastAsia="宋体" w:cs="Times New Roman"/>
                <w:sz w:val="24"/>
              </w:rPr>
              <w:t>计算结果见下表：</w:t>
            </w:r>
          </w:p>
          <w:p>
            <w:pPr>
              <w:pStyle w:val="6"/>
              <w:kinsoku w:val="0"/>
              <w:overflowPunct w:val="0"/>
              <w:spacing w:before="144"/>
              <w:ind w:right="98"/>
              <w:jc w:val="center"/>
              <w:rPr>
                <w:rFonts w:hint="default" w:ascii="Times New Roman" w:hAnsi="Times New Roman" w:eastAsia="宋体" w:cs="Times New Roman"/>
                <w:b w:val="0"/>
                <w:sz w:val="24"/>
              </w:rPr>
            </w:pPr>
            <w:bookmarkStart w:id="36" w:name="_Toc8060"/>
            <w:r>
              <w:rPr>
                <w:rFonts w:hint="default" w:ascii="Times New Roman" w:hAnsi="Times New Roman" w:eastAsia="宋体" w:cs="Times New Roman"/>
                <w:sz w:val="24"/>
              </w:rPr>
              <w:t>表</w:t>
            </w:r>
            <w:r>
              <w:rPr>
                <w:rFonts w:hint="default" w:ascii="Times New Roman" w:hAnsi="Times New Roman" w:eastAsia="宋体" w:cs="Times New Roman"/>
                <w:spacing w:val="-63"/>
                <w:sz w:val="24"/>
              </w:rPr>
              <w:t xml:space="preserve"> </w:t>
            </w:r>
            <w:r>
              <w:rPr>
                <w:rFonts w:hint="eastAsia" w:cs="Times New Roman"/>
                <w:sz w:val="24"/>
                <w:lang w:val="en-US" w:eastAsia="zh-CN"/>
              </w:rPr>
              <w:t>5.2.2-4</w:t>
            </w:r>
            <w:r>
              <w:rPr>
                <w:rFonts w:hint="default" w:ascii="Times New Roman" w:hAnsi="Times New Roman" w:eastAsia="宋体" w:cs="Times New Roman"/>
                <w:spacing w:val="-2"/>
                <w:sz w:val="24"/>
                <w:lang w:val="en-US" w:eastAsia="zh-CN"/>
              </w:rPr>
              <w:t xml:space="preserve">  </w:t>
            </w:r>
            <w:r>
              <w:rPr>
                <w:rFonts w:hint="default" w:ascii="Times New Roman" w:hAnsi="Times New Roman" w:eastAsia="宋体" w:cs="Times New Roman"/>
                <w:sz w:val="24"/>
              </w:rPr>
              <w:t>不同车辆行驶速度情况下汽车扬尘产生量预测</w:t>
            </w:r>
            <w:bookmarkEnd w:id="36"/>
          </w:p>
          <w:tbl>
            <w:tblPr>
              <w:tblStyle w:val="43"/>
              <w:tblW w:w="861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51"/>
              <w:gridCol w:w="1950"/>
              <w:gridCol w:w="2066"/>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exact"/>
                <w:jc w:val="center"/>
              </w:trPr>
              <w:tc>
                <w:tcPr>
                  <w:tcW w:w="2051" w:type="dxa"/>
                  <w:tcBorders>
                    <w:top w:val="single" w:color="000000" w:sz="4" w:space="0"/>
                    <w:left w:val="single" w:color="000000" w:sz="6"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sz w:val="21"/>
                    </w:rPr>
                  </w:pPr>
                  <w:r>
                    <w:rPr>
                      <w:rFonts w:hint="default" w:ascii="Times New Roman" w:hAnsi="Times New Roman" w:eastAsia="宋体" w:cs="Times New Roman"/>
                      <w:b/>
                      <w:sz w:val="21"/>
                    </w:rPr>
                    <w:t>汽车平均速度</w:t>
                  </w:r>
                </w:p>
                <w:p>
                  <w:pPr>
                    <w:pStyle w:val="157"/>
                    <w:kinsoku w:val="0"/>
                    <w:overflowPunct w:val="0"/>
                    <w:spacing w:before="37"/>
                    <w:ind w:right="1"/>
                    <w:jc w:val="center"/>
                    <w:rPr>
                      <w:rFonts w:hint="default" w:ascii="Times New Roman" w:hAnsi="Times New Roman" w:eastAsia="宋体" w:cs="Times New Roman"/>
                      <w:sz w:val="24"/>
                    </w:rPr>
                  </w:pPr>
                  <w:r>
                    <w:rPr>
                      <w:rFonts w:hint="default" w:ascii="Times New Roman" w:hAnsi="Times New Roman" w:eastAsia="宋体" w:cs="Times New Roman"/>
                      <w:b/>
                      <w:sz w:val="21"/>
                    </w:rPr>
                    <w:t>（km/h）</w:t>
                  </w:r>
                </w:p>
              </w:tc>
              <w:tc>
                <w:tcPr>
                  <w:tcW w:w="19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before="142"/>
                    <w:ind w:left="105"/>
                    <w:jc w:val="center"/>
                    <w:rPr>
                      <w:rFonts w:hint="default" w:ascii="Times New Roman" w:hAnsi="Times New Roman" w:eastAsia="宋体" w:cs="Times New Roman"/>
                      <w:sz w:val="24"/>
                    </w:rPr>
                  </w:pPr>
                  <w:r>
                    <w:rPr>
                      <w:rFonts w:hint="default" w:ascii="Times New Roman" w:hAnsi="Times New Roman" w:eastAsia="宋体" w:cs="Times New Roman"/>
                      <w:b/>
                      <w:sz w:val="21"/>
                    </w:rPr>
                    <w:t>汽车平均质量（t）</w:t>
                  </w:r>
                </w:p>
              </w:tc>
              <w:tc>
                <w:tcPr>
                  <w:tcW w:w="20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left="5"/>
                    <w:jc w:val="center"/>
                    <w:rPr>
                      <w:rFonts w:hint="default" w:ascii="Times New Roman" w:hAnsi="Times New Roman" w:eastAsia="宋体" w:cs="Times New Roman"/>
                      <w:sz w:val="21"/>
                    </w:rPr>
                  </w:pPr>
                  <w:r>
                    <w:rPr>
                      <w:rFonts w:hint="default" w:ascii="Times New Roman" w:hAnsi="Times New Roman" w:eastAsia="宋体" w:cs="Times New Roman"/>
                      <w:b/>
                      <w:sz w:val="21"/>
                    </w:rPr>
                    <w:t>道路表面粉尘量</w:t>
                  </w:r>
                </w:p>
                <w:p>
                  <w:pPr>
                    <w:pStyle w:val="157"/>
                    <w:kinsoku w:val="0"/>
                    <w:overflowPunct w:val="0"/>
                    <w:spacing w:before="37"/>
                    <w:jc w:val="center"/>
                    <w:rPr>
                      <w:rFonts w:hint="default" w:ascii="Times New Roman" w:hAnsi="Times New Roman" w:eastAsia="宋体" w:cs="Times New Roman"/>
                      <w:sz w:val="24"/>
                    </w:rPr>
                  </w:pPr>
                  <w:r>
                    <w:rPr>
                      <w:rFonts w:hint="default" w:ascii="Times New Roman" w:hAnsi="Times New Roman" w:eastAsia="宋体" w:cs="Times New Roman"/>
                      <w:b/>
                      <w:sz w:val="21"/>
                    </w:rPr>
                    <w:t>（kg/m</w:t>
                  </w:r>
                  <w:r>
                    <w:rPr>
                      <w:rFonts w:hint="default" w:ascii="Times New Roman" w:hAnsi="Times New Roman" w:eastAsia="宋体" w:cs="Times New Roman"/>
                      <w:b/>
                      <w:position w:val="7"/>
                      <w:sz w:val="13"/>
                    </w:rPr>
                    <w:t>2</w:t>
                  </w:r>
                  <w:r>
                    <w:rPr>
                      <w:rFonts w:hint="default" w:ascii="Times New Roman" w:hAnsi="Times New Roman" w:eastAsia="宋体" w:cs="Times New Roman"/>
                      <w:b/>
                      <w:sz w:val="21"/>
                    </w:rPr>
                    <w:t>）</w:t>
                  </w:r>
                </w:p>
              </w:tc>
              <w:tc>
                <w:tcPr>
                  <w:tcW w:w="2549" w:type="dxa"/>
                  <w:tcBorders>
                    <w:top w:val="single" w:color="000000" w:sz="4" w:space="0"/>
                    <w:left w:val="single" w:color="000000" w:sz="4" w:space="0"/>
                    <w:bottom w:val="single" w:color="000000" w:sz="4" w:space="0"/>
                    <w:right w:val="single" w:color="000000" w:sz="6" w:space="0"/>
                    <w:tl2br w:val="nil"/>
                    <w:tr2bl w:val="nil"/>
                  </w:tcBorders>
                  <w:noWrap w:val="0"/>
                  <w:vAlign w:val="center"/>
                </w:tcPr>
                <w:p>
                  <w:pPr>
                    <w:pStyle w:val="157"/>
                    <w:kinsoku w:val="0"/>
                    <w:overflowPunct w:val="0"/>
                    <w:spacing w:line="262" w:lineRule="exact"/>
                    <w:ind w:left="7"/>
                    <w:jc w:val="center"/>
                    <w:rPr>
                      <w:rFonts w:hint="default" w:ascii="Times New Roman" w:hAnsi="Times New Roman" w:eastAsia="宋体" w:cs="Times New Roman"/>
                      <w:sz w:val="21"/>
                    </w:rPr>
                  </w:pPr>
                  <w:r>
                    <w:rPr>
                      <w:rFonts w:hint="default" w:ascii="Times New Roman" w:hAnsi="Times New Roman" w:eastAsia="宋体" w:cs="Times New Roman"/>
                      <w:b/>
                      <w:sz w:val="21"/>
                    </w:rPr>
                    <w:t>汽车扬尘量预测值</w:t>
                  </w:r>
                </w:p>
                <w:p>
                  <w:pPr>
                    <w:pStyle w:val="157"/>
                    <w:kinsoku w:val="0"/>
                    <w:overflowPunct w:val="0"/>
                    <w:spacing w:before="37"/>
                    <w:ind w:left="10"/>
                    <w:jc w:val="center"/>
                    <w:rPr>
                      <w:rFonts w:hint="default" w:ascii="Times New Roman" w:hAnsi="Times New Roman" w:eastAsia="宋体" w:cs="Times New Roman"/>
                      <w:sz w:val="24"/>
                    </w:rPr>
                  </w:pPr>
                  <w:r>
                    <w:rPr>
                      <w:rFonts w:hint="default" w:ascii="Times New Roman" w:hAnsi="Times New Roman" w:eastAsia="宋体" w:cs="Times New Roman"/>
                      <w:b/>
                      <w:sz w:val="21"/>
                    </w:rPr>
                    <w:t>（kg/km·辆）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jc w:val="center"/>
              </w:trPr>
              <w:tc>
                <w:tcPr>
                  <w:tcW w:w="2051" w:type="dxa"/>
                  <w:tcBorders>
                    <w:top w:val="single" w:color="000000" w:sz="4" w:space="0"/>
                    <w:left w:val="single" w:color="000000" w:sz="6" w:space="0"/>
                    <w:bottom w:val="single" w:color="000000" w:sz="4" w:space="0"/>
                    <w:right w:val="single" w:color="000000" w:sz="4" w:space="0"/>
                    <w:tl2br w:val="nil"/>
                    <w:tr2bl w:val="nil"/>
                  </w:tcBorders>
                  <w:noWrap w:val="0"/>
                  <w:vAlign w:val="center"/>
                </w:tcPr>
                <w:p>
                  <w:pPr>
                    <w:pStyle w:val="157"/>
                    <w:kinsoku w:val="0"/>
                    <w:overflowPunct w:val="0"/>
                    <w:spacing w:before="41"/>
                    <w:ind w:right="5"/>
                    <w:jc w:val="center"/>
                    <w:rPr>
                      <w:rFonts w:hint="default" w:ascii="Times New Roman" w:hAnsi="Times New Roman" w:eastAsia="宋体" w:cs="Times New Roman"/>
                      <w:sz w:val="24"/>
                    </w:rPr>
                  </w:pPr>
                  <w:r>
                    <w:rPr>
                      <w:rFonts w:hint="default" w:ascii="Times New Roman" w:hAnsi="Times New Roman" w:eastAsia="宋体" w:cs="Times New Roman"/>
                      <w:w w:val="99"/>
                      <w:sz w:val="21"/>
                    </w:rPr>
                    <w:t>5</w:t>
                  </w:r>
                </w:p>
              </w:tc>
              <w:tc>
                <w:tcPr>
                  <w:tcW w:w="19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before="41"/>
                    <w:jc w:val="center"/>
                    <w:rPr>
                      <w:rFonts w:hint="default" w:ascii="Times New Roman" w:hAnsi="Times New Roman" w:eastAsia="宋体" w:cs="Times New Roman"/>
                      <w:sz w:val="24"/>
                    </w:rPr>
                  </w:pPr>
                  <w:r>
                    <w:rPr>
                      <w:rFonts w:hint="default" w:ascii="Times New Roman" w:hAnsi="Times New Roman" w:eastAsia="宋体" w:cs="Times New Roman"/>
                      <w:sz w:val="21"/>
                    </w:rPr>
                    <w:t>30</w:t>
                  </w:r>
                </w:p>
              </w:tc>
              <w:tc>
                <w:tcPr>
                  <w:tcW w:w="20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before="41"/>
                    <w:ind w:right="2"/>
                    <w:jc w:val="center"/>
                    <w:rPr>
                      <w:rFonts w:hint="default" w:ascii="Times New Roman" w:hAnsi="Times New Roman" w:eastAsia="宋体" w:cs="Times New Roman"/>
                      <w:sz w:val="24"/>
                    </w:rPr>
                  </w:pPr>
                  <w:r>
                    <w:rPr>
                      <w:rFonts w:hint="default" w:ascii="Times New Roman" w:hAnsi="Times New Roman" w:eastAsia="宋体" w:cs="Times New Roman"/>
                      <w:sz w:val="21"/>
                    </w:rPr>
                    <w:t>0.6</w:t>
                  </w:r>
                </w:p>
              </w:tc>
              <w:tc>
                <w:tcPr>
                  <w:tcW w:w="2549" w:type="dxa"/>
                  <w:tcBorders>
                    <w:top w:val="single" w:color="000000" w:sz="4" w:space="0"/>
                    <w:left w:val="single" w:color="000000" w:sz="4" w:space="0"/>
                    <w:bottom w:val="single" w:color="000000" w:sz="4" w:space="0"/>
                    <w:right w:val="single" w:color="000000" w:sz="6" w:space="0"/>
                    <w:tl2br w:val="nil"/>
                    <w:tr2bl w:val="nil"/>
                  </w:tcBorders>
                  <w:noWrap w:val="0"/>
                  <w:vAlign w:val="center"/>
                </w:tcPr>
                <w:p>
                  <w:pPr>
                    <w:pStyle w:val="157"/>
                    <w:kinsoku w:val="0"/>
                    <w:overflowPunct w:val="0"/>
                    <w:spacing w:before="41"/>
                    <w:ind w:left="3"/>
                    <w:jc w:val="center"/>
                    <w:rPr>
                      <w:rFonts w:hint="default" w:ascii="Times New Roman" w:hAnsi="Times New Roman" w:eastAsia="宋体" w:cs="Times New Roman"/>
                      <w:sz w:val="24"/>
                    </w:rPr>
                  </w:pPr>
                  <w:r>
                    <w:rPr>
                      <w:rFonts w:hint="default" w:ascii="Times New Roman" w:hAnsi="Times New Roman" w:eastAsia="宋体" w:cs="Times New Roman"/>
                      <w:sz w:val="21"/>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jc w:val="center"/>
              </w:trPr>
              <w:tc>
                <w:tcPr>
                  <w:tcW w:w="2051" w:type="dxa"/>
                  <w:tcBorders>
                    <w:top w:val="single" w:color="000000" w:sz="4" w:space="0"/>
                    <w:left w:val="single" w:color="000000" w:sz="6" w:space="0"/>
                    <w:bottom w:val="single" w:color="000000" w:sz="4" w:space="0"/>
                    <w:right w:val="single" w:color="000000" w:sz="4" w:space="0"/>
                    <w:tl2br w:val="nil"/>
                    <w:tr2bl w:val="nil"/>
                  </w:tcBorders>
                  <w:noWrap w:val="0"/>
                  <w:vAlign w:val="center"/>
                </w:tcPr>
                <w:p>
                  <w:pPr>
                    <w:pStyle w:val="157"/>
                    <w:kinsoku w:val="0"/>
                    <w:overflowPunct w:val="0"/>
                    <w:spacing w:before="41"/>
                    <w:ind w:right="5"/>
                    <w:jc w:val="center"/>
                    <w:rPr>
                      <w:rFonts w:hint="default" w:ascii="Times New Roman" w:hAnsi="Times New Roman" w:eastAsia="宋体" w:cs="Times New Roman"/>
                      <w:sz w:val="24"/>
                    </w:rPr>
                  </w:pPr>
                  <w:r>
                    <w:rPr>
                      <w:rFonts w:hint="default" w:ascii="Times New Roman" w:hAnsi="Times New Roman" w:eastAsia="宋体" w:cs="Times New Roman"/>
                      <w:sz w:val="21"/>
                    </w:rPr>
                    <w:t>10</w:t>
                  </w:r>
                </w:p>
              </w:tc>
              <w:tc>
                <w:tcPr>
                  <w:tcW w:w="19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before="41"/>
                    <w:jc w:val="center"/>
                    <w:rPr>
                      <w:rFonts w:hint="default" w:ascii="Times New Roman" w:hAnsi="Times New Roman" w:eastAsia="宋体" w:cs="Times New Roman"/>
                      <w:sz w:val="24"/>
                    </w:rPr>
                  </w:pPr>
                  <w:r>
                    <w:rPr>
                      <w:rFonts w:hint="default" w:ascii="Times New Roman" w:hAnsi="Times New Roman" w:eastAsia="宋体" w:cs="Times New Roman"/>
                      <w:sz w:val="21"/>
                    </w:rPr>
                    <w:t>30</w:t>
                  </w:r>
                </w:p>
              </w:tc>
              <w:tc>
                <w:tcPr>
                  <w:tcW w:w="20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before="41"/>
                    <w:ind w:right="2"/>
                    <w:jc w:val="center"/>
                    <w:rPr>
                      <w:rFonts w:hint="default" w:ascii="Times New Roman" w:hAnsi="Times New Roman" w:eastAsia="宋体" w:cs="Times New Roman"/>
                      <w:sz w:val="24"/>
                    </w:rPr>
                  </w:pPr>
                  <w:r>
                    <w:rPr>
                      <w:rFonts w:hint="default" w:ascii="Times New Roman" w:hAnsi="Times New Roman" w:eastAsia="宋体" w:cs="Times New Roman"/>
                      <w:sz w:val="21"/>
                    </w:rPr>
                    <w:t>0.6</w:t>
                  </w:r>
                </w:p>
              </w:tc>
              <w:tc>
                <w:tcPr>
                  <w:tcW w:w="2549" w:type="dxa"/>
                  <w:tcBorders>
                    <w:top w:val="single" w:color="000000" w:sz="4" w:space="0"/>
                    <w:left w:val="single" w:color="000000" w:sz="4" w:space="0"/>
                    <w:bottom w:val="single" w:color="000000" w:sz="4" w:space="0"/>
                    <w:right w:val="single" w:color="000000" w:sz="6" w:space="0"/>
                    <w:tl2br w:val="nil"/>
                    <w:tr2bl w:val="nil"/>
                  </w:tcBorders>
                  <w:noWrap w:val="0"/>
                  <w:vAlign w:val="center"/>
                </w:tcPr>
                <w:p>
                  <w:pPr>
                    <w:pStyle w:val="157"/>
                    <w:kinsoku w:val="0"/>
                    <w:overflowPunct w:val="0"/>
                    <w:spacing w:before="41"/>
                    <w:ind w:left="3"/>
                    <w:jc w:val="center"/>
                    <w:rPr>
                      <w:rFonts w:hint="default" w:ascii="Times New Roman" w:hAnsi="Times New Roman" w:eastAsia="宋体" w:cs="Times New Roman"/>
                      <w:sz w:val="24"/>
                    </w:rPr>
                  </w:pPr>
                  <w:r>
                    <w:rPr>
                      <w:rFonts w:hint="default" w:ascii="Times New Roman" w:hAnsi="Times New Roman" w:eastAsia="宋体" w:cs="Times New Roman"/>
                      <w:sz w:val="21"/>
                    </w:rPr>
                    <w:t>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jc w:val="center"/>
              </w:trPr>
              <w:tc>
                <w:tcPr>
                  <w:tcW w:w="2051" w:type="dxa"/>
                  <w:tcBorders>
                    <w:top w:val="single" w:color="000000" w:sz="4" w:space="0"/>
                    <w:left w:val="single" w:color="000000" w:sz="6" w:space="0"/>
                    <w:bottom w:val="single" w:color="000000" w:sz="4" w:space="0"/>
                    <w:right w:val="single" w:color="000000" w:sz="4" w:space="0"/>
                    <w:tl2br w:val="nil"/>
                    <w:tr2bl w:val="nil"/>
                  </w:tcBorders>
                  <w:noWrap w:val="0"/>
                  <w:vAlign w:val="center"/>
                </w:tcPr>
                <w:p>
                  <w:pPr>
                    <w:pStyle w:val="157"/>
                    <w:kinsoku w:val="0"/>
                    <w:overflowPunct w:val="0"/>
                    <w:spacing w:before="42"/>
                    <w:ind w:right="5"/>
                    <w:jc w:val="center"/>
                    <w:rPr>
                      <w:rFonts w:hint="default" w:ascii="Times New Roman" w:hAnsi="Times New Roman" w:eastAsia="宋体" w:cs="Times New Roman"/>
                      <w:sz w:val="24"/>
                    </w:rPr>
                  </w:pPr>
                  <w:r>
                    <w:rPr>
                      <w:rFonts w:hint="default" w:ascii="Times New Roman" w:hAnsi="Times New Roman" w:eastAsia="宋体" w:cs="Times New Roman"/>
                      <w:sz w:val="21"/>
                    </w:rPr>
                    <w:t>20</w:t>
                  </w:r>
                </w:p>
              </w:tc>
              <w:tc>
                <w:tcPr>
                  <w:tcW w:w="19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before="42"/>
                    <w:jc w:val="center"/>
                    <w:rPr>
                      <w:rFonts w:hint="default" w:ascii="Times New Roman" w:hAnsi="Times New Roman" w:eastAsia="宋体" w:cs="Times New Roman"/>
                      <w:sz w:val="24"/>
                    </w:rPr>
                  </w:pPr>
                  <w:r>
                    <w:rPr>
                      <w:rFonts w:hint="default" w:ascii="Times New Roman" w:hAnsi="Times New Roman" w:eastAsia="宋体" w:cs="Times New Roman"/>
                      <w:sz w:val="21"/>
                    </w:rPr>
                    <w:t>30</w:t>
                  </w:r>
                </w:p>
              </w:tc>
              <w:tc>
                <w:tcPr>
                  <w:tcW w:w="20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before="42"/>
                    <w:ind w:right="2"/>
                    <w:jc w:val="center"/>
                    <w:rPr>
                      <w:rFonts w:hint="default" w:ascii="Times New Roman" w:hAnsi="Times New Roman" w:eastAsia="宋体" w:cs="Times New Roman"/>
                      <w:sz w:val="24"/>
                    </w:rPr>
                  </w:pPr>
                  <w:r>
                    <w:rPr>
                      <w:rFonts w:hint="default" w:ascii="Times New Roman" w:hAnsi="Times New Roman" w:eastAsia="宋体" w:cs="Times New Roman"/>
                      <w:sz w:val="21"/>
                    </w:rPr>
                    <w:t>0.6</w:t>
                  </w:r>
                </w:p>
              </w:tc>
              <w:tc>
                <w:tcPr>
                  <w:tcW w:w="2549" w:type="dxa"/>
                  <w:tcBorders>
                    <w:top w:val="single" w:color="000000" w:sz="4" w:space="0"/>
                    <w:left w:val="single" w:color="000000" w:sz="4" w:space="0"/>
                    <w:bottom w:val="single" w:color="000000" w:sz="4" w:space="0"/>
                    <w:right w:val="single" w:color="000000" w:sz="6" w:space="0"/>
                    <w:tl2br w:val="nil"/>
                    <w:tr2bl w:val="nil"/>
                  </w:tcBorders>
                  <w:noWrap w:val="0"/>
                  <w:vAlign w:val="center"/>
                </w:tcPr>
                <w:p>
                  <w:pPr>
                    <w:pStyle w:val="157"/>
                    <w:kinsoku w:val="0"/>
                    <w:overflowPunct w:val="0"/>
                    <w:spacing w:before="42"/>
                    <w:ind w:left="3"/>
                    <w:jc w:val="center"/>
                    <w:rPr>
                      <w:rFonts w:hint="default" w:ascii="Times New Roman" w:hAnsi="Times New Roman" w:eastAsia="宋体" w:cs="Times New Roman"/>
                      <w:sz w:val="24"/>
                    </w:rPr>
                  </w:pPr>
                  <w:r>
                    <w:rPr>
                      <w:rFonts w:hint="default" w:ascii="Times New Roman" w:hAnsi="Times New Roman" w:eastAsia="宋体" w:cs="Times New Roman"/>
                      <w:sz w:val="21"/>
                    </w:rPr>
                    <w:t>1.96</w:t>
                  </w:r>
                </w:p>
              </w:tc>
            </w:tr>
          </w:tbl>
          <w:p>
            <w:pPr>
              <w:pStyle w:val="21"/>
              <w:bidi w:val="0"/>
              <w:rPr>
                <w:rFonts w:hint="default" w:ascii="Times New Roman" w:hAnsi="Times New Roman" w:eastAsia="宋体" w:cs="Times New Roman"/>
                <w:sz w:val="24"/>
                <w:szCs w:val="22"/>
              </w:rPr>
            </w:pPr>
            <w:r>
              <w:rPr>
                <w:rFonts w:hint="default" w:ascii="Times New Roman" w:hAnsi="Times New Roman" w:eastAsia="宋体" w:cs="Times New Roman"/>
                <w:sz w:val="24"/>
                <w:szCs w:val="22"/>
              </w:rPr>
              <w:t>项目车流量：原料及产品每天运输量为1267t，单车每次运输量按40t计算，每天运输车辆32车次。汽车扬尘量以0.49kg/km·辆计，在厂区内行驶距离以 100m计， 则汽车在厂区内行驶过程中的扬尘量为0.2kg/h，0.47t/a。为了最大限度减少原材料及成品运输对外环境带来的不利影响，评价要求采取以下措施：及时对厂区内地面进行 洒水降尘，原料运输车辆要封闭遮盖，以减少原材料的散落，采取以上措施后，可使 粉尘降低 80%左右，即汽车运输扬尘排放量约为 0.04kg/h，0.09t/a，大大降低了运输粉尘对外环境的影响。</w:t>
            </w:r>
          </w:p>
          <w:p>
            <w:pPr>
              <w:spacing w:line="500" w:lineRule="exact"/>
              <w:ind w:firstLine="480" w:firstLineChars="200"/>
              <w:rPr>
                <w:sz w:val="24"/>
                <w:szCs w:val="24"/>
              </w:rPr>
            </w:pPr>
            <w:r>
              <w:rPr>
                <w:rFonts w:hint="eastAsia"/>
                <w:sz w:val="24"/>
                <w:szCs w:val="24"/>
              </w:rPr>
              <w:t>为减少物料运输产生的粉尘，</w:t>
            </w:r>
            <w:r>
              <w:rPr>
                <w:rFonts w:hint="eastAsia"/>
                <w:sz w:val="24"/>
                <w:szCs w:val="24"/>
                <w:lang w:eastAsia="zh-CN"/>
              </w:rPr>
              <w:t>本次环评建议</w:t>
            </w:r>
            <w:r>
              <w:rPr>
                <w:rFonts w:hint="eastAsia"/>
                <w:sz w:val="24"/>
                <w:szCs w:val="24"/>
              </w:rPr>
              <w:t>建设单位主要采取如下措施：</w:t>
            </w:r>
          </w:p>
          <w:p>
            <w:pPr>
              <w:spacing w:line="500" w:lineRule="exact"/>
              <w:ind w:firstLine="480" w:firstLineChars="200"/>
              <w:rPr>
                <w:bCs/>
                <w:sz w:val="24"/>
                <w:szCs w:val="24"/>
              </w:rPr>
            </w:pPr>
            <w:r>
              <w:rPr>
                <w:rFonts w:hint="eastAsia" w:ascii="宋体" w:hAnsi="宋体" w:cs="宋体"/>
                <w:bCs/>
                <w:sz w:val="24"/>
                <w:szCs w:val="24"/>
              </w:rPr>
              <w:t>①</w:t>
            </w:r>
            <w:r>
              <w:rPr>
                <w:rFonts w:hint="eastAsia"/>
                <w:bCs/>
                <w:sz w:val="24"/>
                <w:szCs w:val="24"/>
              </w:rPr>
              <w:t>对厂区道路进行硬化，减少输送车辆扬尘对外环境的影响；</w:t>
            </w:r>
          </w:p>
          <w:p>
            <w:pPr>
              <w:spacing w:line="500" w:lineRule="exact"/>
              <w:ind w:firstLine="480" w:firstLineChars="200"/>
              <w:rPr>
                <w:bCs/>
                <w:sz w:val="24"/>
                <w:szCs w:val="24"/>
              </w:rPr>
            </w:pPr>
            <w:r>
              <w:rPr>
                <w:rFonts w:hint="eastAsia" w:ascii="宋体" w:hAnsi="宋体" w:cs="宋体"/>
                <w:bCs/>
                <w:sz w:val="24"/>
                <w:szCs w:val="24"/>
              </w:rPr>
              <w:t>②</w:t>
            </w:r>
            <w:r>
              <w:rPr>
                <w:rFonts w:hint="eastAsia"/>
                <w:bCs/>
                <w:sz w:val="24"/>
                <w:szCs w:val="24"/>
              </w:rPr>
              <w:t>运输车辆装载高度最高点不得超过车辆槽帮上沿</w:t>
            </w:r>
            <w:r>
              <w:rPr>
                <w:bCs/>
                <w:sz w:val="24"/>
                <w:szCs w:val="24"/>
              </w:rPr>
              <w:t>40</w:t>
            </w:r>
            <w:r>
              <w:rPr>
                <w:rFonts w:hint="eastAsia"/>
                <w:bCs/>
                <w:sz w:val="24"/>
                <w:szCs w:val="24"/>
              </w:rPr>
              <w:t>厘米，两侧边缘应当低于槽帮上缘</w:t>
            </w:r>
            <w:r>
              <w:rPr>
                <w:bCs/>
                <w:sz w:val="24"/>
                <w:szCs w:val="24"/>
              </w:rPr>
              <w:t>10</w:t>
            </w:r>
            <w:r>
              <w:rPr>
                <w:rFonts w:hint="eastAsia"/>
                <w:bCs/>
                <w:sz w:val="24"/>
                <w:szCs w:val="24"/>
              </w:rPr>
              <w:t>厘米，车斗应采用苫布覆盖，苫布边缘至少要遮住槽帮上沿以下</w:t>
            </w:r>
            <w:r>
              <w:rPr>
                <w:bCs/>
                <w:sz w:val="24"/>
                <w:szCs w:val="24"/>
              </w:rPr>
              <w:t>15</w:t>
            </w:r>
            <w:r>
              <w:rPr>
                <w:rFonts w:hint="eastAsia"/>
                <w:bCs/>
                <w:sz w:val="24"/>
                <w:szCs w:val="24"/>
              </w:rPr>
              <w:t>厘米，禁止厂内露天转运散状物料；</w:t>
            </w:r>
          </w:p>
          <w:p>
            <w:pPr>
              <w:spacing w:line="500" w:lineRule="exact"/>
              <w:ind w:firstLine="480" w:firstLineChars="200"/>
              <w:rPr>
                <w:bCs/>
                <w:sz w:val="24"/>
                <w:szCs w:val="24"/>
              </w:rPr>
            </w:pPr>
            <w:r>
              <w:rPr>
                <w:rFonts w:hint="eastAsia" w:ascii="宋体" w:hAnsi="宋体" w:cs="宋体"/>
                <w:bCs/>
                <w:sz w:val="24"/>
                <w:szCs w:val="24"/>
              </w:rPr>
              <w:t>③</w:t>
            </w:r>
            <w:r>
              <w:rPr>
                <w:rFonts w:hint="eastAsia"/>
                <w:bCs/>
                <w:sz w:val="24"/>
                <w:szCs w:val="24"/>
              </w:rPr>
              <w:t>配备专人对厂区及入厂道路定期清扫，防止积尘，加强场地进行洒水降尘，以降低扬尘污染；</w:t>
            </w:r>
          </w:p>
          <w:p>
            <w:pPr>
              <w:spacing w:line="500" w:lineRule="exact"/>
              <w:ind w:firstLine="480" w:firstLineChars="200"/>
              <w:rPr>
                <w:bCs/>
                <w:sz w:val="24"/>
                <w:szCs w:val="24"/>
              </w:rPr>
            </w:pPr>
            <w:r>
              <w:rPr>
                <w:rFonts w:hint="eastAsia"/>
                <w:bCs/>
                <w:sz w:val="24"/>
                <w:szCs w:val="24"/>
              </w:rPr>
              <w:t>④铲车作业主要原料库内进行，要求对库内地面及时清洁，设专人清扫，防止铲车作业过程中粉尘外逸；</w:t>
            </w:r>
          </w:p>
          <w:p>
            <w:pPr>
              <w:spacing w:line="500" w:lineRule="exact"/>
              <w:ind w:firstLine="480" w:firstLineChars="200"/>
              <w:rPr>
                <w:bCs/>
                <w:sz w:val="24"/>
              </w:rPr>
            </w:pPr>
            <w:r>
              <w:rPr>
                <w:rFonts w:hint="eastAsia"/>
                <w:bCs/>
                <w:sz w:val="24"/>
              </w:rPr>
              <w:t>为进一步减少工程无组织废气的影响，结合</w:t>
            </w:r>
            <w:r>
              <w:rPr>
                <w:bCs/>
                <w:sz w:val="24"/>
              </w:rPr>
              <w:t>《</w:t>
            </w:r>
            <w:r>
              <w:rPr>
                <w:rFonts w:hint="eastAsia"/>
                <w:bCs/>
                <w:sz w:val="24"/>
                <w:lang w:eastAsia="zh-CN"/>
              </w:rPr>
              <w:t>湖南省大气污染防治条例</w:t>
            </w:r>
            <w:r>
              <w:rPr>
                <w:bCs/>
                <w:sz w:val="24"/>
              </w:rPr>
              <w:t>》</w:t>
            </w:r>
            <w:r>
              <w:rPr>
                <w:rFonts w:hint="eastAsia"/>
                <w:bCs/>
                <w:sz w:val="24"/>
              </w:rPr>
              <w:t>等文件相关要求，评价要求采取以下措施:</w:t>
            </w:r>
          </w:p>
          <w:p>
            <w:pPr>
              <w:spacing w:line="500" w:lineRule="exact"/>
              <w:ind w:firstLine="480" w:firstLineChars="200"/>
              <w:rPr>
                <w:sz w:val="24"/>
              </w:rPr>
            </w:pPr>
            <w:r>
              <w:rPr>
                <w:rFonts w:hint="eastAsia"/>
                <w:sz w:val="24"/>
              </w:rPr>
              <w:t>①建设全封闭生产车间，各原料禁止露天堆存，物料转运应在全封闭车回内进行，生产车间等日常应保持全封闭状态；对项目原料间和生产车间成品区进行分区和标识，设置各分区的标志，严格执行，方便项目规范管理。</w:t>
            </w:r>
          </w:p>
          <w:p>
            <w:pPr>
              <w:spacing w:line="500" w:lineRule="exact"/>
              <w:ind w:firstLine="480" w:firstLineChars="200"/>
              <w:rPr>
                <w:sz w:val="24"/>
              </w:rPr>
            </w:pPr>
            <w:r>
              <w:rPr>
                <w:rFonts w:hint="eastAsia"/>
                <w:sz w:val="24"/>
              </w:rPr>
              <w:t>②袋式除尘器下料口按照“三侧围挡、一侧进出料”建设，同时降低下料口高度，在下料口设置全封闭软连接与接料容器对接，减少下料过程中颗粒物的产生；</w:t>
            </w:r>
          </w:p>
          <w:p>
            <w:pPr>
              <w:spacing w:line="500" w:lineRule="exact"/>
              <w:ind w:firstLine="480" w:firstLineChars="200"/>
              <w:rPr>
                <w:sz w:val="24"/>
              </w:rPr>
            </w:pPr>
            <w:r>
              <w:rPr>
                <w:rFonts w:hint="eastAsia"/>
                <w:sz w:val="24"/>
              </w:rPr>
              <w:t>③搅拌设备四周进行全封闭设置，加对各生产设备、连接管道、除尘装置的密封性，减少无组织废气排放；</w:t>
            </w:r>
          </w:p>
          <w:p>
            <w:pPr>
              <w:spacing w:line="500" w:lineRule="exact"/>
              <w:ind w:firstLine="480" w:firstLineChars="200"/>
              <w:rPr>
                <w:sz w:val="24"/>
              </w:rPr>
            </w:pPr>
            <w:r>
              <w:rPr>
                <w:rFonts w:hint="eastAsia"/>
                <w:sz w:val="24"/>
              </w:rPr>
              <w:t>④在项目各产尘点及环保设施处安装视频监控裝置，对设施运行情況24小时视频录像，视频数据保证时间不得少于30天；</w:t>
            </w:r>
          </w:p>
          <w:p>
            <w:pPr>
              <w:spacing w:line="500" w:lineRule="exact"/>
              <w:ind w:firstLine="480" w:firstLineChars="200"/>
              <w:rPr>
                <w:bCs/>
                <w:sz w:val="24"/>
                <w:szCs w:val="24"/>
              </w:rPr>
            </w:pPr>
            <w:r>
              <w:rPr>
                <w:rFonts w:hint="eastAsia"/>
                <w:sz w:val="24"/>
              </w:rPr>
              <w:t>⑤厂区内设置酒水装置，定期对生产及厂区地面进行酒水降尘。企业出厂口和料场出口处配备高压清洗装置对所有车辆车轮、底盘进行冲洗，严禁带泥上路。洗车平台四周应设置洗车废水收集防治设施。</w:t>
            </w:r>
          </w:p>
          <w:p>
            <w:pPr>
              <w:spacing w:line="500" w:lineRule="exact"/>
              <w:ind w:firstLine="480" w:firstLineChars="200"/>
              <w:rPr>
                <w:sz w:val="24"/>
              </w:rPr>
            </w:pPr>
            <w:r>
              <w:rPr>
                <w:rFonts w:hint="eastAsia"/>
                <w:sz w:val="24"/>
                <w:szCs w:val="24"/>
              </w:rPr>
              <w:t>为了减轻扬尘对运输沿线的污染，评价要求项目运输车辆需封闭遮盖，砂石料、成品运输车辆出厂前必须进行车辆清洗，保持车身和轮胎清洁；通过村庄时需减速慢行，减少运输扬尘，最大限度的减轻对运输车辆道路沿线居民的影响。</w:t>
            </w:r>
          </w:p>
          <w:p>
            <w:pPr>
              <w:tabs>
                <w:tab w:val="left" w:pos="0"/>
              </w:tabs>
              <w:spacing w:line="500" w:lineRule="exact"/>
              <w:ind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项目厂区为了进一步减小对周围环境的影响，本项目还应采取的环保措施有：</w:t>
            </w:r>
          </w:p>
          <w:p>
            <w:pPr>
              <w:tabs>
                <w:tab w:val="left" w:pos="0"/>
              </w:tabs>
              <w:spacing w:line="500" w:lineRule="exact"/>
              <w:ind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①</w:t>
            </w:r>
            <w:r>
              <w:rPr>
                <w:rFonts w:hint="default" w:ascii="Times New Roman" w:hAnsi="Times New Roman" w:eastAsia="宋体" w:cs="Times New Roman"/>
                <w:color w:val="auto"/>
                <w:sz w:val="24"/>
                <w:szCs w:val="24"/>
                <w:lang w:val="de-DE"/>
              </w:rPr>
              <w:t>料场设置在储料工棚内，地面必须全部硬化，屋顶安装轻钢瓦，</w:t>
            </w:r>
            <w:r>
              <w:rPr>
                <w:rFonts w:hint="default" w:ascii="Times New Roman" w:hAnsi="Times New Roman" w:eastAsia="宋体" w:cs="Times New Roman"/>
                <w:bCs/>
                <w:color w:val="auto"/>
                <w:sz w:val="24"/>
                <w:szCs w:val="24"/>
              </w:rPr>
              <w:t>四周安装轻钢结构墙体，减少扬尘污染；</w:t>
            </w:r>
          </w:p>
          <w:p>
            <w:pPr>
              <w:tabs>
                <w:tab w:val="left" w:pos="0"/>
              </w:tabs>
              <w:spacing w:line="500" w:lineRule="exact"/>
              <w:ind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②购置洒水车，进行厂区道路洒水，抑制扬尘，定期人工清扫；</w:t>
            </w:r>
          </w:p>
          <w:p>
            <w:pPr>
              <w:tabs>
                <w:tab w:val="left" w:pos="0"/>
              </w:tabs>
              <w:spacing w:line="500" w:lineRule="exact"/>
              <w:ind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③在厂区车辆进出口处，进行定期的洒水抑尘，定期人工清扫路面粉尘；</w:t>
            </w:r>
          </w:p>
          <w:p>
            <w:pPr>
              <w:tabs>
                <w:tab w:val="left" w:pos="0"/>
              </w:tabs>
              <w:spacing w:line="500" w:lineRule="exact"/>
              <w:ind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④设置防风抑尘网，厂区周围必须全部建设闭合的防风抑尘网，抑尘网高度须高于堆垛2米；防风抑尘网须设置基础，确保牢固。</w:t>
            </w:r>
          </w:p>
          <w:p>
            <w:pPr>
              <w:tabs>
                <w:tab w:val="left" w:pos="0"/>
              </w:tabs>
              <w:spacing w:line="500" w:lineRule="exact"/>
              <w:ind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⑤加强厂区围墙周边绿化，尤其要加强厂区与外界道路之间的绿化，设置绿化屏障，</w:t>
            </w:r>
            <w:r>
              <w:rPr>
                <w:rFonts w:hint="default" w:ascii="Times New Roman" w:hAnsi="Times New Roman" w:eastAsia="宋体" w:cs="Times New Roman"/>
                <w:color w:val="auto"/>
                <w:sz w:val="24"/>
                <w:szCs w:val="24"/>
              </w:rPr>
              <w:t>要因地制宜地选择污染物高耐受性植物，以达到除尘、抑尘、减噪、防止扬尘扩散、水土流失和美化环境等作用</w:t>
            </w:r>
            <w:r>
              <w:rPr>
                <w:rFonts w:hint="default" w:ascii="Times New Roman" w:hAnsi="Times New Roman" w:eastAsia="宋体" w:cs="Times New Roman"/>
                <w:bCs/>
                <w:color w:val="auto"/>
                <w:sz w:val="24"/>
                <w:szCs w:val="24"/>
              </w:rPr>
              <w:t>。</w:t>
            </w:r>
          </w:p>
          <w:p>
            <w:pPr>
              <w:tabs>
                <w:tab w:val="left" w:pos="0"/>
              </w:tabs>
              <w:spacing w:line="500" w:lineRule="exact"/>
              <w:ind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⑥企业要建立车辆进出登记报告制度，运送散装物料的车辆必须配置密闭装置，实施密闭运输，并在出口设立车辆冲洗平台，对进出车辆进行逐一冲洗，保持车辆清洁运输。</w:t>
            </w:r>
          </w:p>
          <w:p>
            <w:pPr>
              <w:tabs>
                <w:tab w:val="left" w:pos="0"/>
              </w:tabs>
              <w:spacing w:line="500" w:lineRule="exact"/>
              <w:ind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⑦对厂内道路进行硬化，并安排专人对企业厂区及企业进出口的道路进行经常性清扫、冲洗，保持道路清洁，防止积尘造成的道路扬尘污染。</w:t>
            </w:r>
          </w:p>
          <w:p>
            <w:pPr>
              <w:tabs>
                <w:tab w:val="left" w:pos="0"/>
              </w:tabs>
              <w:spacing w:line="500" w:lineRule="exact"/>
              <w:ind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 8 \* GB3 \* MERGEFORMAT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color w:val="auto"/>
                <w:sz w:val="24"/>
                <w:szCs w:val="24"/>
              </w:rPr>
              <w:t>⑧</w:t>
            </w:r>
            <w:r>
              <w:rPr>
                <w:rFonts w:hint="default" w:ascii="Times New Roman" w:hAnsi="Times New Roman" w:eastAsia="宋体" w:cs="Times New Roman"/>
                <w:bCs/>
                <w:color w:val="auto"/>
                <w:sz w:val="24"/>
                <w:szCs w:val="24"/>
              </w:rPr>
              <w:fldChar w:fldCharType="end"/>
            </w:r>
            <w:r>
              <w:rPr>
                <w:rFonts w:hint="default" w:ascii="Times New Roman" w:hAnsi="Times New Roman" w:eastAsia="宋体" w:cs="Times New Roman"/>
                <w:bCs/>
                <w:color w:val="auto"/>
                <w:sz w:val="24"/>
                <w:szCs w:val="24"/>
              </w:rPr>
              <w:t>生产过程中要实施密闭输送，避免造成扬尘污染。</w:t>
            </w:r>
          </w:p>
          <w:p>
            <w:pPr>
              <w:tabs>
                <w:tab w:val="left" w:pos="1280"/>
              </w:tabs>
              <w:ind w:firstLine="480" w:firstLineChars="200"/>
              <w:textAlignment w:val="baseline"/>
              <w:rPr>
                <w:rFonts w:hint="default" w:ascii="Times New Roman" w:hAnsi="Times New Roman" w:eastAsia="宋体" w:cs="Times New Roman"/>
                <w:color w:val="auto"/>
                <w:sz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 9 \* GB3 \* MERGEFORMAT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color w:val="auto"/>
                <w:sz w:val="24"/>
                <w:szCs w:val="24"/>
              </w:rPr>
              <w:t>⑨</w:t>
            </w:r>
            <w:r>
              <w:rPr>
                <w:rFonts w:hint="default" w:ascii="Times New Roman" w:hAnsi="Times New Roman" w:eastAsia="宋体" w:cs="Times New Roman"/>
                <w:bCs/>
                <w:color w:val="auto"/>
                <w:sz w:val="24"/>
                <w:szCs w:val="24"/>
              </w:rPr>
              <w:fldChar w:fldCharType="end"/>
            </w:r>
            <w:r>
              <w:rPr>
                <w:rFonts w:hint="default" w:ascii="Times New Roman" w:hAnsi="Times New Roman" w:eastAsia="宋体" w:cs="Times New Roman"/>
                <w:bCs/>
                <w:color w:val="auto"/>
                <w:sz w:val="24"/>
                <w:szCs w:val="24"/>
              </w:rPr>
              <w:t>运输车载高压冲洗设备保持完好，并加强管理、按要求实施高压冲洗，防止带泥上路；同时要强化驾驶人员的环保意识，防止运输过程中的抛洒、漏洒现象。</w:t>
            </w:r>
          </w:p>
          <w:p>
            <w:pPr>
              <w:pStyle w:val="21"/>
              <w:numPr>
                <w:ilvl w:val="0"/>
                <w:numId w:val="6"/>
              </w:numPr>
              <w:bidi w:val="0"/>
              <w:rPr>
                <w:rFonts w:hint="default"/>
                <w:sz w:val="24"/>
                <w:szCs w:val="24"/>
              </w:rPr>
            </w:pPr>
            <w:r>
              <w:rPr>
                <w:rFonts w:hint="default"/>
                <w:b/>
                <w:bCs/>
                <w:sz w:val="24"/>
                <w:szCs w:val="24"/>
              </w:rPr>
              <w:t>废水</w:t>
            </w:r>
            <w:r>
              <w:rPr>
                <w:rFonts w:hint="default"/>
                <w:sz w:val="24"/>
                <w:szCs w:val="24"/>
              </w:rPr>
              <w:t xml:space="preserve"> </w:t>
            </w:r>
          </w:p>
          <w:p>
            <w:pPr>
              <w:pStyle w:val="21"/>
              <w:bidi w:val="0"/>
              <w:rPr>
                <w:rFonts w:hint="default"/>
                <w:sz w:val="24"/>
                <w:szCs w:val="24"/>
              </w:rPr>
            </w:pPr>
            <w:r>
              <w:rPr>
                <w:rFonts w:hint="default"/>
                <w:sz w:val="24"/>
                <w:szCs w:val="24"/>
              </w:rPr>
              <w:t>项目用水为生产搅拌用水、场地洒水抑尘用水和生活用水，废水仅为员工生活污水；</w:t>
            </w:r>
          </w:p>
          <w:p>
            <w:pPr>
              <w:pStyle w:val="21"/>
              <w:bidi w:val="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生产搅拌用水</w:t>
            </w:r>
          </w:p>
          <w:p>
            <w:pPr>
              <w:spacing w:line="500" w:lineRule="exact"/>
              <w:ind w:firstLine="480" w:firstLineChars="200"/>
              <w:rPr>
                <w:bCs/>
                <w:iCs/>
                <w:sz w:val="24"/>
                <w:szCs w:val="24"/>
              </w:rPr>
            </w:pPr>
            <w:r>
              <w:rPr>
                <w:rFonts w:hint="eastAsia"/>
                <w:bCs/>
                <w:iCs/>
                <w:sz w:val="24"/>
                <w:szCs w:val="24"/>
              </w:rPr>
              <w:t>根据项目原辅材料配比计算，</w:t>
            </w:r>
            <w:r>
              <w:rPr>
                <w:rFonts w:hint="default" w:ascii="Times New Roman" w:hAnsi="Times New Roman" w:eastAsia="宋体" w:cs="Times New Roman"/>
                <w:sz w:val="24"/>
                <w:szCs w:val="22"/>
              </w:rPr>
              <w:t>项目生产过程中需加水进行搅拌，根据产品特性，用水量为产品产量的5%，项目年产</w:t>
            </w:r>
            <w:r>
              <w:rPr>
                <w:rFonts w:hint="eastAsia" w:ascii="Times New Roman" w:hAnsi="Times New Roman" w:cs="Times New Roman"/>
                <w:sz w:val="24"/>
                <w:szCs w:val="22"/>
                <w:lang w:val="en-US" w:eastAsia="zh-CN"/>
              </w:rPr>
              <w:t>6</w:t>
            </w:r>
            <w:r>
              <w:rPr>
                <w:rFonts w:hint="default" w:ascii="Times New Roman" w:hAnsi="Times New Roman" w:eastAsia="宋体" w:cs="Times New Roman"/>
                <w:sz w:val="24"/>
                <w:szCs w:val="22"/>
              </w:rPr>
              <w:t>万</w:t>
            </w:r>
            <w:r>
              <w:rPr>
                <w:rFonts w:hint="eastAsia" w:ascii="Times New Roman" w:hAnsi="Times New Roman" w:eastAsia="宋体" w:cs="Times New Roman"/>
                <w:sz w:val="24"/>
                <w:szCs w:val="22"/>
                <w:lang w:val="en-US" w:eastAsia="zh-CN"/>
              </w:rPr>
              <w:t>t</w:t>
            </w:r>
            <w:r>
              <w:rPr>
                <w:rFonts w:hint="default" w:ascii="Times New Roman" w:hAnsi="Times New Roman" w:eastAsia="宋体" w:cs="Times New Roman"/>
                <w:sz w:val="24"/>
                <w:szCs w:val="22"/>
              </w:rPr>
              <w:t>水稳基层，</w:t>
            </w:r>
            <w:r>
              <w:rPr>
                <w:rFonts w:hint="eastAsia"/>
                <w:bCs/>
                <w:iCs/>
                <w:sz w:val="24"/>
                <w:szCs w:val="24"/>
              </w:rPr>
              <w:t>项目水稳碎石生产原料用水量共计</w:t>
            </w:r>
            <w:r>
              <w:rPr>
                <w:rFonts w:hint="eastAsia" w:ascii="Times New Roman" w:hAnsi="Times New Roman" w:cs="Times New Roman"/>
                <w:sz w:val="24"/>
                <w:szCs w:val="22"/>
                <w:lang w:val="en-US" w:eastAsia="zh-CN"/>
              </w:rPr>
              <w:t>3</w:t>
            </w:r>
            <w:r>
              <w:rPr>
                <w:rFonts w:hint="default" w:ascii="Times New Roman" w:hAnsi="Times New Roman" w:eastAsia="宋体" w:cs="Times New Roman"/>
                <w:sz w:val="24"/>
                <w:szCs w:val="22"/>
              </w:rPr>
              <w:t>000t/a(</w:t>
            </w:r>
            <w:r>
              <w:rPr>
                <w:rFonts w:hint="eastAsia" w:ascii="Times New Roman" w:hAnsi="Times New Roman" w:cs="Times New Roman"/>
                <w:sz w:val="24"/>
                <w:szCs w:val="22"/>
                <w:lang w:val="en-US" w:eastAsia="zh-CN"/>
              </w:rPr>
              <w:t>10</w:t>
            </w:r>
            <w:r>
              <w:rPr>
                <w:rFonts w:hint="default" w:ascii="Times New Roman" w:hAnsi="Times New Roman" w:eastAsia="宋体" w:cs="Times New Roman"/>
                <w:sz w:val="24"/>
                <w:szCs w:val="22"/>
              </w:rPr>
              <w:t>t/d)</w:t>
            </w:r>
            <w:r>
              <w:rPr>
                <w:rFonts w:hint="eastAsia"/>
                <w:bCs/>
                <w:iCs/>
                <w:sz w:val="24"/>
                <w:szCs w:val="24"/>
              </w:rPr>
              <w:t>。原料搅拌时加入，此部分水，留着产品中，</w:t>
            </w:r>
            <w:r>
              <w:rPr>
                <w:rFonts w:hint="default" w:ascii="Times New Roman" w:hAnsi="Times New Roman" w:eastAsia="宋体" w:cs="Times New Roman"/>
                <w:sz w:val="24"/>
                <w:szCs w:val="22"/>
              </w:rPr>
              <w:t>搅拌用水全部进入产品</w:t>
            </w:r>
            <w:r>
              <w:rPr>
                <w:rFonts w:hint="eastAsia" w:ascii="Times New Roman" w:hAnsi="Times New Roman" w:cs="Times New Roman"/>
                <w:sz w:val="24"/>
                <w:szCs w:val="22"/>
                <w:lang w:eastAsia="zh-CN"/>
              </w:rPr>
              <w:t>，</w:t>
            </w:r>
            <w:r>
              <w:rPr>
                <w:rFonts w:hint="eastAsia"/>
                <w:bCs/>
                <w:iCs/>
                <w:sz w:val="24"/>
                <w:szCs w:val="24"/>
              </w:rPr>
              <w:t>不向外排放。</w:t>
            </w:r>
          </w:p>
          <w:p>
            <w:pPr>
              <w:spacing w:line="500" w:lineRule="exact"/>
              <w:ind w:firstLine="480" w:firstLineChars="200"/>
              <w:rPr>
                <w:bCs/>
                <w:iCs/>
                <w:sz w:val="24"/>
                <w:szCs w:val="24"/>
              </w:rPr>
            </w:pPr>
            <w:r>
              <w:rPr>
                <w:rFonts w:hint="eastAsia"/>
                <w:bCs/>
                <w:iCs/>
                <w:sz w:val="24"/>
                <w:szCs w:val="24"/>
              </w:rPr>
              <w:t>（</w:t>
            </w:r>
            <w:r>
              <w:rPr>
                <w:rFonts w:hint="eastAsia"/>
                <w:bCs/>
                <w:iCs/>
                <w:sz w:val="24"/>
                <w:szCs w:val="24"/>
                <w:lang w:val="en-US" w:eastAsia="zh-CN"/>
              </w:rPr>
              <w:t>2</w:t>
            </w:r>
            <w:r>
              <w:rPr>
                <w:rFonts w:hint="eastAsia"/>
                <w:bCs/>
                <w:iCs/>
                <w:sz w:val="24"/>
                <w:szCs w:val="24"/>
              </w:rPr>
              <w:t>）</w:t>
            </w:r>
            <w:r>
              <w:rPr>
                <w:bCs/>
                <w:iCs/>
                <w:sz w:val="24"/>
                <w:szCs w:val="24"/>
              </w:rPr>
              <w:t>喷淋用水</w:t>
            </w:r>
          </w:p>
          <w:p>
            <w:pPr>
              <w:pStyle w:val="21"/>
              <w:bidi w:val="0"/>
              <w:rPr>
                <w:rFonts w:hint="default" w:ascii="Times New Roman" w:hAnsi="Times New Roman" w:eastAsia="宋体" w:cs="Times New Roman"/>
                <w:sz w:val="24"/>
                <w:szCs w:val="22"/>
              </w:rPr>
            </w:pPr>
            <w:r>
              <w:rPr>
                <w:rFonts w:hint="eastAsia"/>
                <w:bCs/>
                <w:iCs/>
                <w:sz w:val="24"/>
                <w:szCs w:val="24"/>
              </w:rPr>
              <w:t>本项目生产车间内原料库配备雾化洒水设施，抑尘喷淋用水全部进入到产品中，无废水产生。根据项目原料库和成品库面积及物料堆存情况，拟设置</w:t>
            </w:r>
            <w:r>
              <w:rPr>
                <w:bCs/>
                <w:iCs/>
                <w:sz w:val="24"/>
                <w:szCs w:val="24"/>
              </w:rPr>
              <w:t>洒</w:t>
            </w:r>
            <w:r>
              <w:rPr>
                <w:rFonts w:hint="eastAsia"/>
                <w:bCs/>
                <w:iCs/>
                <w:sz w:val="24"/>
                <w:szCs w:val="24"/>
              </w:rPr>
              <w:t>水喷头20个，精细雾化喷嘴喷头流量一般在0.0125</w:t>
            </w:r>
            <w:r>
              <w:rPr>
                <w:bCs/>
                <w:iCs/>
                <w:sz w:val="24"/>
                <w:szCs w:val="24"/>
              </w:rPr>
              <w:t>~</w:t>
            </w:r>
            <w:r>
              <w:rPr>
                <w:rFonts w:hint="eastAsia"/>
                <w:bCs/>
                <w:iCs/>
                <w:sz w:val="24"/>
                <w:szCs w:val="24"/>
              </w:rPr>
              <w:t>0.24L</w:t>
            </w:r>
            <w:r>
              <w:rPr>
                <w:bCs/>
                <w:iCs/>
                <w:sz w:val="24"/>
                <w:szCs w:val="24"/>
              </w:rPr>
              <w:t>/</w:t>
            </w:r>
            <w:r>
              <w:rPr>
                <w:rFonts w:hint="eastAsia"/>
                <w:bCs/>
                <w:iCs/>
                <w:sz w:val="24"/>
                <w:szCs w:val="24"/>
              </w:rPr>
              <w:t>分</w:t>
            </w:r>
            <w:r>
              <w:rPr>
                <w:bCs/>
                <w:iCs/>
                <w:sz w:val="24"/>
                <w:szCs w:val="24"/>
              </w:rPr>
              <w:t>，本次取</w:t>
            </w:r>
            <w:r>
              <w:rPr>
                <w:rFonts w:hint="eastAsia"/>
                <w:bCs/>
                <w:iCs/>
                <w:sz w:val="24"/>
                <w:szCs w:val="24"/>
              </w:rPr>
              <w:t>0.24</w:t>
            </w:r>
            <w:r>
              <w:rPr>
                <w:bCs/>
                <w:iCs/>
                <w:sz w:val="24"/>
                <w:szCs w:val="24"/>
              </w:rPr>
              <w:t>m</w:t>
            </w:r>
            <w:r>
              <w:rPr>
                <w:bCs/>
                <w:iCs/>
                <w:sz w:val="24"/>
                <w:szCs w:val="24"/>
                <w:vertAlign w:val="superscript"/>
              </w:rPr>
              <w:t>3</w:t>
            </w:r>
            <w:r>
              <w:rPr>
                <w:bCs/>
                <w:iCs/>
                <w:sz w:val="24"/>
                <w:szCs w:val="24"/>
              </w:rPr>
              <w:t>/h进行计算，每天开启</w:t>
            </w:r>
            <w:r>
              <w:rPr>
                <w:rFonts w:hint="eastAsia"/>
                <w:bCs/>
                <w:iCs/>
                <w:sz w:val="24"/>
                <w:szCs w:val="24"/>
              </w:rPr>
              <w:t>8h</w:t>
            </w:r>
            <w:r>
              <w:rPr>
                <w:bCs/>
                <w:iCs/>
                <w:sz w:val="24"/>
                <w:szCs w:val="24"/>
              </w:rPr>
              <w:t>，根据计算，用水量约为</w:t>
            </w:r>
            <w:r>
              <w:rPr>
                <w:rFonts w:hint="eastAsia"/>
                <w:bCs/>
                <w:iCs/>
                <w:sz w:val="24"/>
                <w:szCs w:val="24"/>
              </w:rPr>
              <w:t>2.304</w:t>
            </w:r>
            <w:r>
              <w:rPr>
                <w:bCs/>
                <w:iCs/>
                <w:sz w:val="24"/>
                <w:szCs w:val="24"/>
              </w:rPr>
              <w:t>m</w:t>
            </w:r>
            <w:r>
              <w:rPr>
                <w:bCs/>
                <w:iCs/>
                <w:sz w:val="24"/>
                <w:szCs w:val="24"/>
                <w:vertAlign w:val="superscript"/>
              </w:rPr>
              <w:t>3</w:t>
            </w:r>
            <w:r>
              <w:rPr>
                <w:bCs/>
                <w:iCs/>
                <w:sz w:val="24"/>
                <w:szCs w:val="24"/>
              </w:rPr>
              <w:t>/d（</w:t>
            </w:r>
            <w:r>
              <w:rPr>
                <w:rFonts w:hint="eastAsia"/>
                <w:bCs/>
                <w:iCs/>
                <w:sz w:val="24"/>
                <w:szCs w:val="24"/>
              </w:rPr>
              <w:t>691.2</w:t>
            </w:r>
            <w:r>
              <w:rPr>
                <w:bCs/>
                <w:iCs/>
                <w:sz w:val="24"/>
                <w:szCs w:val="24"/>
              </w:rPr>
              <w:t>m</w:t>
            </w:r>
            <w:r>
              <w:rPr>
                <w:bCs/>
                <w:iCs/>
                <w:sz w:val="24"/>
                <w:szCs w:val="24"/>
                <w:vertAlign w:val="superscript"/>
              </w:rPr>
              <w:t>3</w:t>
            </w:r>
            <w:r>
              <w:rPr>
                <w:bCs/>
                <w:iCs/>
                <w:sz w:val="24"/>
                <w:szCs w:val="24"/>
              </w:rPr>
              <w:t>/a）。此部分用水全部随物料进入生产系统，有抑尘增湿作用，对环境起改善作用，无废水外排</w:t>
            </w:r>
            <w:r>
              <w:rPr>
                <w:rFonts w:hint="eastAsia"/>
                <w:bCs/>
                <w:iCs/>
                <w:sz w:val="24"/>
                <w:szCs w:val="24"/>
              </w:rPr>
              <w:t xml:space="preserve">。 </w:t>
            </w:r>
          </w:p>
          <w:p>
            <w:pPr>
              <w:spacing w:line="500" w:lineRule="exact"/>
              <w:ind w:firstLine="480" w:firstLineChars="200"/>
              <w:rPr>
                <w:bCs/>
                <w:iCs/>
                <w:sz w:val="24"/>
                <w:szCs w:val="24"/>
              </w:rPr>
            </w:pPr>
            <w:r>
              <w:rPr>
                <w:rFonts w:hint="eastAsia"/>
                <w:bCs/>
                <w:iCs/>
                <w:sz w:val="24"/>
                <w:szCs w:val="24"/>
              </w:rPr>
              <w:t>（</w:t>
            </w:r>
            <w:r>
              <w:rPr>
                <w:rFonts w:hint="eastAsia"/>
                <w:bCs/>
                <w:iCs/>
                <w:sz w:val="24"/>
                <w:szCs w:val="24"/>
                <w:lang w:val="en-US" w:eastAsia="zh-CN"/>
              </w:rPr>
              <w:t>3</w:t>
            </w:r>
            <w:r>
              <w:rPr>
                <w:rFonts w:hint="eastAsia"/>
                <w:bCs/>
                <w:iCs/>
                <w:sz w:val="24"/>
                <w:szCs w:val="24"/>
              </w:rPr>
              <w:t>）</w:t>
            </w:r>
            <w:r>
              <w:rPr>
                <w:bCs/>
                <w:iCs/>
                <w:sz w:val="24"/>
                <w:szCs w:val="24"/>
              </w:rPr>
              <w:t>厂区内地面洒水、抑尘用水</w:t>
            </w:r>
          </w:p>
          <w:p>
            <w:pPr>
              <w:spacing w:line="500" w:lineRule="exact"/>
              <w:ind w:firstLine="480" w:firstLineChars="200"/>
              <w:rPr>
                <w:bCs/>
                <w:iCs/>
                <w:sz w:val="24"/>
                <w:szCs w:val="24"/>
              </w:rPr>
            </w:pPr>
            <w:r>
              <w:rPr>
                <w:bCs/>
                <w:iCs/>
                <w:sz w:val="24"/>
                <w:szCs w:val="24"/>
              </w:rPr>
              <w:t>根据建设单位提供的资料，洒水车</w:t>
            </w:r>
            <w:r>
              <w:rPr>
                <w:rFonts w:hint="eastAsia"/>
                <w:bCs/>
                <w:iCs/>
                <w:sz w:val="24"/>
                <w:szCs w:val="24"/>
              </w:rPr>
              <w:t>每天两次</w:t>
            </w:r>
            <w:r>
              <w:rPr>
                <w:bCs/>
                <w:iCs/>
                <w:sz w:val="24"/>
                <w:szCs w:val="24"/>
              </w:rPr>
              <w:t>对厂区内地面进行洒水、抑尘，经类比，每次用水量约为</w:t>
            </w:r>
            <w:r>
              <w:rPr>
                <w:rFonts w:hint="eastAsia"/>
                <w:bCs/>
                <w:iCs/>
                <w:sz w:val="24"/>
                <w:szCs w:val="24"/>
                <w:lang w:val="en-US" w:eastAsia="zh-CN"/>
              </w:rPr>
              <w:t>0.8</w:t>
            </w:r>
            <w:r>
              <w:rPr>
                <w:bCs/>
                <w:iCs/>
                <w:sz w:val="24"/>
                <w:szCs w:val="24"/>
              </w:rPr>
              <w:t>m</w:t>
            </w:r>
            <w:r>
              <w:rPr>
                <w:bCs/>
                <w:iCs/>
                <w:sz w:val="24"/>
                <w:szCs w:val="24"/>
                <w:vertAlign w:val="superscript"/>
              </w:rPr>
              <w:t>3</w:t>
            </w:r>
            <w:r>
              <w:rPr>
                <w:bCs/>
                <w:iCs/>
                <w:sz w:val="24"/>
                <w:szCs w:val="24"/>
              </w:rPr>
              <w:t>，则厂区内地面洒水、抑尘用水量为</w:t>
            </w:r>
            <w:r>
              <w:rPr>
                <w:rFonts w:hint="eastAsia"/>
                <w:bCs/>
                <w:iCs/>
                <w:sz w:val="24"/>
                <w:szCs w:val="24"/>
                <w:lang w:val="en-US" w:eastAsia="zh-CN"/>
              </w:rPr>
              <w:t>1.6</w:t>
            </w:r>
            <w:r>
              <w:rPr>
                <w:bCs/>
                <w:iCs/>
                <w:sz w:val="24"/>
                <w:szCs w:val="24"/>
              </w:rPr>
              <w:t>m</w:t>
            </w:r>
            <w:r>
              <w:rPr>
                <w:bCs/>
                <w:iCs/>
                <w:sz w:val="24"/>
                <w:szCs w:val="24"/>
                <w:vertAlign w:val="superscript"/>
              </w:rPr>
              <w:t>3</w:t>
            </w:r>
            <w:r>
              <w:rPr>
                <w:bCs/>
                <w:iCs/>
                <w:sz w:val="24"/>
                <w:szCs w:val="24"/>
              </w:rPr>
              <w:t>/d（</w:t>
            </w:r>
            <w:r>
              <w:rPr>
                <w:rFonts w:hint="eastAsia"/>
                <w:bCs/>
                <w:iCs/>
                <w:sz w:val="24"/>
                <w:szCs w:val="24"/>
                <w:lang w:val="en-US" w:eastAsia="zh-CN"/>
              </w:rPr>
              <w:t>5</w:t>
            </w:r>
            <w:r>
              <w:rPr>
                <w:rFonts w:hint="eastAsia"/>
                <w:bCs/>
                <w:iCs/>
                <w:sz w:val="24"/>
                <w:szCs w:val="24"/>
              </w:rPr>
              <w:t>00</w:t>
            </w:r>
            <w:r>
              <w:rPr>
                <w:bCs/>
                <w:iCs/>
                <w:sz w:val="24"/>
                <w:szCs w:val="24"/>
              </w:rPr>
              <w:t>m</w:t>
            </w:r>
            <w:r>
              <w:rPr>
                <w:bCs/>
                <w:iCs/>
                <w:sz w:val="24"/>
                <w:szCs w:val="24"/>
                <w:vertAlign w:val="superscript"/>
              </w:rPr>
              <w:t>3</w:t>
            </w:r>
            <w:r>
              <w:rPr>
                <w:bCs/>
                <w:iCs/>
                <w:sz w:val="24"/>
                <w:szCs w:val="24"/>
              </w:rPr>
              <w:t>/a），该部分用水全部挥发，不外排。</w:t>
            </w:r>
          </w:p>
          <w:p>
            <w:pPr>
              <w:spacing w:line="500" w:lineRule="exact"/>
              <w:ind w:firstLine="480" w:firstLineChars="200"/>
              <w:rPr>
                <w:bCs/>
                <w:iCs/>
                <w:sz w:val="24"/>
                <w:szCs w:val="24"/>
              </w:rPr>
            </w:pPr>
            <w:r>
              <w:rPr>
                <w:rFonts w:hint="eastAsia"/>
                <w:bCs/>
                <w:iCs/>
                <w:sz w:val="24"/>
                <w:szCs w:val="24"/>
              </w:rPr>
              <w:t>（4）</w:t>
            </w:r>
            <w:r>
              <w:rPr>
                <w:rFonts w:hint="eastAsia"/>
                <w:sz w:val="24"/>
                <w:szCs w:val="24"/>
              </w:rPr>
              <w:t>设备清洗用水</w:t>
            </w:r>
          </w:p>
          <w:p>
            <w:pPr>
              <w:spacing w:line="500" w:lineRule="exact"/>
              <w:ind w:firstLine="480" w:firstLineChars="200"/>
              <w:rPr>
                <w:bCs/>
                <w:iCs/>
                <w:sz w:val="24"/>
                <w:szCs w:val="24"/>
              </w:rPr>
            </w:pPr>
            <w:r>
              <w:rPr>
                <w:bCs/>
                <w:iCs/>
                <w:sz w:val="24"/>
                <w:szCs w:val="24"/>
              </w:rPr>
              <w:t>搅拌机</w:t>
            </w:r>
            <w:r>
              <w:rPr>
                <w:rFonts w:hint="eastAsia"/>
                <w:bCs/>
                <w:iCs/>
                <w:sz w:val="24"/>
                <w:szCs w:val="24"/>
              </w:rPr>
              <w:t>和拌合机</w:t>
            </w:r>
            <w:r>
              <w:rPr>
                <w:bCs/>
                <w:iCs/>
                <w:sz w:val="24"/>
                <w:szCs w:val="24"/>
              </w:rPr>
              <w:t>为本项目的主要生产设备，其在暂时停止生产时必须冲洗干净。冲洗水主要用来冲洗搅拌机机械密封，防止固体物质进入密封，造成密封损坏及冲洗稀释搅拌器叶轮附近的区域，防止搅拌器叶轮被沉积物包裹而不能启动。搅拌器停止生产原因有生产节奏的问题及设备检修问题。本项目按搅拌机</w:t>
            </w:r>
            <w:r>
              <w:rPr>
                <w:rFonts w:hint="eastAsia"/>
                <w:bCs/>
                <w:iCs/>
                <w:sz w:val="24"/>
                <w:szCs w:val="24"/>
              </w:rPr>
              <w:t>和拌合机</w:t>
            </w:r>
            <w:r>
              <w:rPr>
                <w:bCs/>
                <w:iCs/>
                <w:sz w:val="24"/>
                <w:szCs w:val="24"/>
              </w:rPr>
              <w:t>平均每</w:t>
            </w:r>
            <w:r>
              <w:rPr>
                <w:rFonts w:hint="eastAsia"/>
                <w:bCs/>
                <w:iCs/>
                <w:sz w:val="24"/>
                <w:szCs w:val="24"/>
              </w:rPr>
              <w:t>1天</w:t>
            </w:r>
            <w:r>
              <w:rPr>
                <w:bCs/>
                <w:iCs/>
                <w:sz w:val="24"/>
                <w:szCs w:val="24"/>
              </w:rPr>
              <w:t>冲洗1次，每次冲洗水</w:t>
            </w:r>
            <w:r>
              <w:rPr>
                <w:rFonts w:hint="eastAsia"/>
                <w:bCs/>
                <w:iCs/>
                <w:sz w:val="24"/>
                <w:szCs w:val="24"/>
              </w:rPr>
              <w:t>各</w:t>
            </w:r>
            <w:r>
              <w:rPr>
                <w:bCs/>
                <w:iCs/>
                <w:sz w:val="24"/>
                <w:szCs w:val="24"/>
              </w:rPr>
              <w:t>按</w:t>
            </w:r>
            <w:r>
              <w:rPr>
                <w:rFonts w:hint="eastAsia"/>
                <w:bCs/>
                <w:iCs/>
                <w:sz w:val="24"/>
                <w:szCs w:val="24"/>
              </w:rPr>
              <w:t>2</w:t>
            </w:r>
            <w:r>
              <w:rPr>
                <w:bCs/>
                <w:iCs/>
                <w:sz w:val="24"/>
                <w:szCs w:val="24"/>
              </w:rPr>
              <w:t>t计算，搅拌机</w:t>
            </w:r>
            <w:r>
              <w:rPr>
                <w:rFonts w:hint="eastAsia"/>
                <w:bCs/>
                <w:iCs/>
                <w:sz w:val="24"/>
                <w:szCs w:val="24"/>
              </w:rPr>
              <w:t>和拌合机</w:t>
            </w:r>
            <w:r>
              <w:rPr>
                <w:bCs/>
                <w:iCs/>
                <w:sz w:val="24"/>
                <w:szCs w:val="24"/>
              </w:rPr>
              <w:t>冲洗水使用量为</w:t>
            </w:r>
            <w:r>
              <w:rPr>
                <w:rFonts w:hint="eastAsia"/>
                <w:bCs/>
                <w:iCs/>
                <w:sz w:val="24"/>
                <w:szCs w:val="24"/>
              </w:rPr>
              <w:t>1200</w:t>
            </w:r>
            <w:r>
              <w:rPr>
                <w:bCs/>
                <w:iCs/>
                <w:sz w:val="24"/>
                <w:szCs w:val="24"/>
              </w:rPr>
              <w:t>t/a。</w:t>
            </w:r>
            <w:r>
              <w:rPr>
                <w:rFonts w:hint="eastAsia"/>
                <w:bCs/>
                <w:iCs/>
                <w:sz w:val="24"/>
                <w:szCs w:val="24"/>
              </w:rPr>
              <w:t>则</w:t>
            </w:r>
            <w:r>
              <w:rPr>
                <w:bCs/>
                <w:iCs/>
                <w:sz w:val="24"/>
                <w:szCs w:val="24"/>
              </w:rPr>
              <w:t>废水产生量为</w:t>
            </w:r>
            <w:r>
              <w:rPr>
                <w:rFonts w:hint="eastAsia"/>
                <w:bCs/>
                <w:iCs/>
                <w:sz w:val="24"/>
                <w:szCs w:val="24"/>
                <w:lang w:val="en-US" w:eastAsia="zh-CN"/>
              </w:rPr>
              <w:t>3.6</w:t>
            </w:r>
            <w:r>
              <w:rPr>
                <w:rFonts w:hint="eastAsia"/>
                <w:bCs/>
                <w:iCs/>
                <w:sz w:val="24"/>
                <w:szCs w:val="24"/>
              </w:rPr>
              <w:t>t/d，</w:t>
            </w:r>
            <w:r>
              <w:rPr>
                <w:rFonts w:hint="eastAsia"/>
                <w:bCs/>
                <w:iCs/>
                <w:sz w:val="24"/>
                <w:szCs w:val="24"/>
                <w:lang w:val="en-US" w:eastAsia="zh-CN"/>
              </w:rPr>
              <w:t>108</w:t>
            </w:r>
            <w:r>
              <w:rPr>
                <w:rFonts w:hint="eastAsia"/>
                <w:bCs/>
                <w:iCs/>
                <w:sz w:val="24"/>
                <w:szCs w:val="24"/>
              </w:rPr>
              <w:t>0</w:t>
            </w:r>
            <w:r>
              <w:rPr>
                <w:bCs/>
                <w:iCs/>
                <w:sz w:val="24"/>
                <w:szCs w:val="24"/>
              </w:rPr>
              <w:t>t/a。搅拌机冲洗水</w:t>
            </w:r>
            <w:r>
              <w:rPr>
                <w:rFonts w:hint="eastAsia"/>
                <w:bCs/>
                <w:iCs/>
                <w:sz w:val="24"/>
                <w:szCs w:val="24"/>
              </w:rPr>
              <w:t>由</w:t>
            </w:r>
            <w:r>
              <w:rPr>
                <w:bCs/>
                <w:iCs/>
                <w:sz w:val="24"/>
                <w:szCs w:val="24"/>
              </w:rPr>
              <w:t>混凝土运输车辆</w:t>
            </w:r>
            <w:r>
              <w:rPr>
                <w:rFonts w:hint="eastAsia"/>
                <w:bCs/>
                <w:iCs/>
                <w:sz w:val="24"/>
                <w:szCs w:val="24"/>
              </w:rPr>
              <w:t>接收运输至砂石分离机进行砂石分离处理。</w:t>
            </w:r>
            <w:r>
              <w:rPr>
                <w:color w:val="FF0000"/>
                <w:sz w:val="24"/>
                <w:szCs w:val="24"/>
              </w:rPr>
              <w:t>经咨询建设单位，这部分废水</w:t>
            </w:r>
            <w:r>
              <w:rPr>
                <w:rFonts w:hint="eastAsia"/>
                <w:color w:val="FF0000"/>
                <w:sz w:val="24"/>
                <w:szCs w:val="24"/>
              </w:rPr>
              <w:t>经1座300m</w:t>
            </w:r>
            <w:r>
              <w:rPr>
                <w:rFonts w:hint="eastAsia"/>
                <w:color w:val="FF0000"/>
                <w:sz w:val="24"/>
                <w:szCs w:val="24"/>
                <w:vertAlign w:val="superscript"/>
              </w:rPr>
              <w:t>3</w:t>
            </w:r>
            <w:r>
              <w:rPr>
                <w:rFonts w:hint="eastAsia"/>
                <w:color w:val="FF0000"/>
                <w:sz w:val="24"/>
                <w:szCs w:val="24"/>
              </w:rPr>
              <w:t>的三级沉淀池</w:t>
            </w:r>
            <w:r>
              <w:rPr>
                <w:color w:val="FF0000"/>
                <w:sz w:val="24"/>
                <w:szCs w:val="24"/>
              </w:rPr>
              <w:t>沉淀后可作为配料用水回用于生产。该部分废水可以全部回用，不外排。</w:t>
            </w:r>
          </w:p>
          <w:p>
            <w:pPr>
              <w:spacing w:line="500" w:lineRule="exact"/>
              <w:ind w:firstLine="480" w:firstLineChars="200"/>
              <w:rPr>
                <w:b/>
                <w:bCs/>
                <w:iCs/>
                <w:sz w:val="24"/>
                <w:szCs w:val="24"/>
              </w:rPr>
            </w:pPr>
            <w:r>
              <w:rPr>
                <w:rFonts w:hint="eastAsia"/>
                <w:bCs/>
                <w:iCs/>
                <w:sz w:val="24"/>
                <w:szCs w:val="24"/>
              </w:rPr>
              <w:t>（</w:t>
            </w:r>
            <w:r>
              <w:rPr>
                <w:rFonts w:hint="eastAsia"/>
                <w:bCs/>
                <w:iCs/>
                <w:sz w:val="24"/>
                <w:szCs w:val="24"/>
                <w:lang w:val="en-US" w:eastAsia="zh-CN"/>
              </w:rPr>
              <w:t>5</w:t>
            </w:r>
            <w:r>
              <w:rPr>
                <w:rFonts w:hint="eastAsia"/>
                <w:bCs/>
                <w:iCs/>
                <w:sz w:val="24"/>
                <w:szCs w:val="24"/>
              </w:rPr>
              <w:t>）车辆清洗用水</w:t>
            </w:r>
          </w:p>
          <w:p>
            <w:pPr>
              <w:spacing w:line="500" w:lineRule="exact"/>
              <w:ind w:firstLine="480" w:firstLineChars="200"/>
              <w:rPr>
                <w:bCs/>
                <w:iCs/>
                <w:sz w:val="24"/>
                <w:szCs w:val="24"/>
              </w:rPr>
            </w:pPr>
            <w:r>
              <w:rPr>
                <w:bCs/>
                <w:iCs/>
                <w:sz w:val="24"/>
                <w:szCs w:val="24"/>
              </w:rPr>
              <w:t>运输车辆出厂区前需要进行冲洗，避免带土上路。根据建设单位提供的资料，单辆运输车冲洗用水量为0.</w:t>
            </w:r>
            <w:r>
              <w:rPr>
                <w:rFonts w:hint="eastAsia"/>
                <w:bCs/>
                <w:iCs/>
                <w:sz w:val="24"/>
                <w:szCs w:val="24"/>
              </w:rPr>
              <w:t>1</w:t>
            </w:r>
            <w:r>
              <w:rPr>
                <w:bCs/>
                <w:iCs/>
                <w:sz w:val="24"/>
                <w:szCs w:val="24"/>
              </w:rPr>
              <w:t>m</w:t>
            </w:r>
            <w:r>
              <w:rPr>
                <w:bCs/>
                <w:iCs/>
                <w:sz w:val="24"/>
                <w:szCs w:val="24"/>
                <w:vertAlign w:val="superscript"/>
              </w:rPr>
              <w:t>3</w:t>
            </w:r>
            <w:r>
              <w:rPr>
                <w:bCs/>
                <w:iCs/>
                <w:sz w:val="24"/>
                <w:szCs w:val="24"/>
              </w:rPr>
              <w:t>/辆次，每天需运输</w:t>
            </w:r>
            <w:r>
              <w:rPr>
                <w:rFonts w:hint="eastAsia"/>
                <w:bCs/>
                <w:iCs/>
                <w:sz w:val="24"/>
                <w:szCs w:val="24"/>
                <w:lang w:val="en-US" w:eastAsia="zh-CN"/>
              </w:rPr>
              <w:t>14</w:t>
            </w:r>
            <w:r>
              <w:rPr>
                <w:bCs/>
                <w:iCs/>
                <w:sz w:val="24"/>
                <w:szCs w:val="24"/>
              </w:rPr>
              <w:t>辆次（全年</w:t>
            </w:r>
            <w:r>
              <w:rPr>
                <w:rFonts w:hint="eastAsia"/>
                <w:bCs/>
                <w:iCs/>
                <w:sz w:val="24"/>
                <w:szCs w:val="24"/>
              </w:rPr>
              <w:t>装卸各</w:t>
            </w:r>
            <w:r>
              <w:rPr>
                <w:rFonts w:hint="eastAsia"/>
                <w:bCs/>
                <w:iCs/>
                <w:sz w:val="24"/>
                <w:szCs w:val="24"/>
                <w:lang w:val="en-US" w:eastAsia="zh-CN"/>
              </w:rPr>
              <w:t>2070</w:t>
            </w:r>
            <w:r>
              <w:rPr>
                <w:rFonts w:hint="eastAsia"/>
                <w:bCs/>
                <w:iCs/>
                <w:sz w:val="24"/>
                <w:szCs w:val="24"/>
              </w:rPr>
              <w:t>次</w:t>
            </w:r>
            <w:r>
              <w:rPr>
                <w:bCs/>
                <w:iCs/>
                <w:sz w:val="24"/>
                <w:szCs w:val="24"/>
              </w:rPr>
              <w:t>），则冲洗水用量为</w:t>
            </w:r>
            <w:r>
              <w:rPr>
                <w:rFonts w:hint="eastAsia"/>
                <w:bCs/>
                <w:iCs/>
                <w:sz w:val="24"/>
                <w:szCs w:val="24"/>
                <w:lang w:val="en-US" w:eastAsia="zh-CN"/>
              </w:rPr>
              <w:t>1.4</w:t>
            </w:r>
            <w:r>
              <w:rPr>
                <w:bCs/>
                <w:iCs/>
                <w:sz w:val="24"/>
                <w:szCs w:val="24"/>
              </w:rPr>
              <w:t>m</w:t>
            </w:r>
            <w:r>
              <w:rPr>
                <w:bCs/>
                <w:iCs/>
                <w:sz w:val="24"/>
                <w:szCs w:val="24"/>
                <w:vertAlign w:val="superscript"/>
              </w:rPr>
              <w:t>3</w:t>
            </w:r>
            <w:r>
              <w:rPr>
                <w:bCs/>
                <w:iCs/>
                <w:sz w:val="24"/>
                <w:szCs w:val="24"/>
              </w:rPr>
              <w:t>/d（</w:t>
            </w:r>
            <w:r>
              <w:rPr>
                <w:rFonts w:hint="eastAsia"/>
                <w:bCs/>
                <w:iCs/>
                <w:sz w:val="24"/>
                <w:szCs w:val="24"/>
                <w:lang w:val="en-US" w:eastAsia="zh-CN"/>
              </w:rPr>
              <w:t>420</w:t>
            </w:r>
            <w:r>
              <w:rPr>
                <w:bCs/>
                <w:iCs/>
                <w:sz w:val="24"/>
                <w:szCs w:val="24"/>
              </w:rPr>
              <w:t>m</w:t>
            </w:r>
            <w:r>
              <w:rPr>
                <w:bCs/>
                <w:iCs/>
                <w:sz w:val="24"/>
                <w:szCs w:val="24"/>
                <w:vertAlign w:val="superscript"/>
              </w:rPr>
              <w:t>3</w:t>
            </w:r>
            <w:r>
              <w:rPr>
                <w:bCs/>
                <w:iCs/>
                <w:sz w:val="24"/>
                <w:szCs w:val="24"/>
              </w:rPr>
              <w:t>/a），</w:t>
            </w:r>
            <w:r>
              <w:rPr>
                <w:rFonts w:hint="eastAsia"/>
                <w:bCs/>
                <w:iCs/>
                <w:sz w:val="24"/>
                <w:szCs w:val="24"/>
              </w:rPr>
              <w:t>由于蒸发、车辆带走造成</w:t>
            </w:r>
            <w:r>
              <w:rPr>
                <w:bCs/>
                <w:iCs/>
                <w:sz w:val="24"/>
                <w:szCs w:val="24"/>
              </w:rPr>
              <w:t>废水损失率按</w:t>
            </w:r>
            <w:r>
              <w:rPr>
                <w:rFonts w:hint="eastAsia"/>
                <w:bCs/>
                <w:iCs/>
                <w:sz w:val="24"/>
                <w:szCs w:val="24"/>
              </w:rPr>
              <w:t>20</w:t>
            </w:r>
            <w:r>
              <w:rPr>
                <w:bCs/>
                <w:iCs/>
                <w:sz w:val="24"/>
                <w:szCs w:val="24"/>
              </w:rPr>
              <w:t>%计，则废水损失量为</w:t>
            </w:r>
            <w:r>
              <w:rPr>
                <w:rFonts w:hint="eastAsia"/>
                <w:bCs/>
                <w:iCs/>
                <w:sz w:val="24"/>
                <w:szCs w:val="24"/>
              </w:rPr>
              <w:t>0.</w:t>
            </w:r>
            <w:r>
              <w:rPr>
                <w:rFonts w:hint="eastAsia"/>
                <w:bCs/>
                <w:iCs/>
                <w:sz w:val="24"/>
                <w:szCs w:val="24"/>
                <w:lang w:val="en-US" w:eastAsia="zh-CN"/>
              </w:rPr>
              <w:t>28</w:t>
            </w:r>
            <w:r>
              <w:rPr>
                <w:bCs/>
                <w:iCs/>
                <w:sz w:val="24"/>
                <w:szCs w:val="24"/>
              </w:rPr>
              <w:t>m</w:t>
            </w:r>
            <w:r>
              <w:rPr>
                <w:bCs/>
                <w:iCs/>
                <w:sz w:val="24"/>
                <w:szCs w:val="24"/>
                <w:vertAlign w:val="superscript"/>
              </w:rPr>
              <w:t>3</w:t>
            </w:r>
            <w:r>
              <w:rPr>
                <w:bCs/>
                <w:iCs/>
                <w:sz w:val="24"/>
                <w:szCs w:val="24"/>
              </w:rPr>
              <w:t>/d（</w:t>
            </w:r>
            <w:r>
              <w:rPr>
                <w:rFonts w:hint="eastAsia"/>
                <w:bCs/>
                <w:iCs/>
                <w:sz w:val="24"/>
                <w:szCs w:val="24"/>
                <w:lang w:val="en-US" w:eastAsia="zh-CN"/>
              </w:rPr>
              <w:t>84</w:t>
            </w:r>
            <w:r>
              <w:rPr>
                <w:bCs/>
                <w:iCs/>
                <w:sz w:val="24"/>
                <w:szCs w:val="24"/>
              </w:rPr>
              <w:t>m</w:t>
            </w:r>
            <w:r>
              <w:rPr>
                <w:bCs/>
                <w:iCs/>
                <w:sz w:val="24"/>
                <w:szCs w:val="24"/>
                <w:vertAlign w:val="superscript"/>
              </w:rPr>
              <w:t>3</w:t>
            </w:r>
            <w:r>
              <w:rPr>
                <w:bCs/>
                <w:iCs/>
                <w:sz w:val="24"/>
                <w:szCs w:val="24"/>
              </w:rPr>
              <w:t>/a），运输车辆冲洗废水产生量为</w:t>
            </w:r>
            <w:r>
              <w:rPr>
                <w:rFonts w:hint="eastAsia"/>
                <w:bCs/>
                <w:iCs/>
                <w:sz w:val="24"/>
                <w:szCs w:val="24"/>
                <w:lang w:val="en-US" w:eastAsia="zh-CN"/>
              </w:rPr>
              <w:t>1.12</w:t>
            </w:r>
            <w:r>
              <w:rPr>
                <w:bCs/>
                <w:iCs/>
                <w:sz w:val="24"/>
                <w:szCs w:val="24"/>
              </w:rPr>
              <w:t>m</w:t>
            </w:r>
            <w:r>
              <w:rPr>
                <w:bCs/>
                <w:iCs/>
                <w:sz w:val="24"/>
                <w:szCs w:val="24"/>
                <w:vertAlign w:val="superscript"/>
              </w:rPr>
              <w:t>3</w:t>
            </w:r>
            <w:r>
              <w:rPr>
                <w:bCs/>
                <w:iCs/>
                <w:sz w:val="24"/>
                <w:szCs w:val="24"/>
              </w:rPr>
              <w:t>/d（</w:t>
            </w:r>
            <w:r>
              <w:rPr>
                <w:rFonts w:hint="eastAsia"/>
                <w:bCs/>
                <w:iCs/>
                <w:sz w:val="24"/>
                <w:szCs w:val="24"/>
                <w:lang w:val="en-US" w:eastAsia="zh-CN"/>
              </w:rPr>
              <w:t>336</w:t>
            </w:r>
            <w:r>
              <w:rPr>
                <w:bCs/>
                <w:iCs/>
                <w:sz w:val="24"/>
                <w:szCs w:val="24"/>
              </w:rPr>
              <w:t>m</w:t>
            </w:r>
            <w:r>
              <w:rPr>
                <w:bCs/>
                <w:iCs/>
                <w:sz w:val="24"/>
                <w:szCs w:val="24"/>
                <w:vertAlign w:val="superscript"/>
              </w:rPr>
              <w:t>3</w:t>
            </w:r>
            <w:r>
              <w:rPr>
                <w:bCs/>
                <w:iCs/>
                <w:sz w:val="24"/>
                <w:szCs w:val="24"/>
              </w:rPr>
              <w:t>/a）。</w:t>
            </w:r>
          </w:p>
          <w:p>
            <w:pPr>
              <w:pStyle w:val="21"/>
              <w:bidi w:val="0"/>
              <w:rPr>
                <w:rFonts w:hint="default" w:ascii="Times New Roman" w:hAnsi="Times New Roman" w:eastAsia="宋体" w:cs="Times New Roman"/>
                <w:sz w:val="24"/>
                <w:szCs w:val="22"/>
              </w:rPr>
            </w:pPr>
            <w:r>
              <w:rPr>
                <w:bCs/>
                <w:iCs/>
                <w:sz w:val="24"/>
                <w:szCs w:val="24"/>
              </w:rPr>
              <w:t>本环评建议在厂区出口处建设感应式高压廊道冲洗设备，并在该设备处配套建设1座</w:t>
            </w:r>
            <w:r>
              <w:rPr>
                <w:rFonts w:hint="eastAsia"/>
                <w:bCs/>
                <w:iCs/>
                <w:sz w:val="24"/>
                <w:szCs w:val="24"/>
              </w:rPr>
              <w:t>10</w:t>
            </w:r>
            <w:r>
              <w:rPr>
                <w:bCs/>
                <w:iCs/>
                <w:sz w:val="24"/>
                <w:szCs w:val="24"/>
              </w:rPr>
              <w:t>m</w:t>
            </w:r>
            <w:r>
              <w:rPr>
                <w:bCs/>
                <w:iCs/>
                <w:sz w:val="24"/>
                <w:szCs w:val="24"/>
                <w:vertAlign w:val="superscript"/>
              </w:rPr>
              <w:t>3</w:t>
            </w:r>
            <w:r>
              <w:rPr>
                <w:bCs/>
                <w:iCs/>
                <w:sz w:val="24"/>
                <w:szCs w:val="24"/>
              </w:rPr>
              <w:t>沉淀池，车辆经过廊道时，感应器控制喷头放水，对运输车辆进行冲洗，该部分废水主要污染因子为SS，经类比，其浓度约为3000mg/L，该部分废水经沉淀池沉淀后循环使用，不外排，仅定期补充，经核算定期补充量为</w:t>
            </w:r>
            <w:r>
              <w:rPr>
                <w:rFonts w:hint="eastAsia"/>
                <w:bCs/>
                <w:iCs/>
                <w:sz w:val="24"/>
                <w:szCs w:val="24"/>
              </w:rPr>
              <w:t>0.7</w:t>
            </w:r>
            <w:r>
              <w:rPr>
                <w:bCs/>
                <w:iCs/>
                <w:sz w:val="24"/>
                <w:szCs w:val="24"/>
              </w:rPr>
              <w:t>m</w:t>
            </w:r>
            <w:r>
              <w:rPr>
                <w:bCs/>
                <w:iCs/>
                <w:sz w:val="24"/>
                <w:szCs w:val="24"/>
                <w:vertAlign w:val="superscript"/>
              </w:rPr>
              <w:t>3</w:t>
            </w:r>
            <w:r>
              <w:rPr>
                <w:bCs/>
                <w:iCs/>
                <w:sz w:val="24"/>
                <w:szCs w:val="24"/>
              </w:rPr>
              <w:t>/d（</w:t>
            </w:r>
            <w:r>
              <w:rPr>
                <w:rFonts w:hint="eastAsia"/>
                <w:bCs/>
                <w:iCs/>
                <w:sz w:val="24"/>
                <w:szCs w:val="24"/>
              </w:rPr>
              <w:t>210</w:t>
            </w:r>
            <w:r>
              <w:rPr>
                <w:bCs/>
                <w:iCs/>
                <w:sz w:val="24"/>
                <w:szCs w:val="24"/>
              </w:rPr>
              <w:t>m</w:t>
            </w:r>
            <w:r>
              <w:rPr>
                <w:bCs/>
                <w:iCs/>
                <w:sz w:val="24"/>
                <w:szCs w:val="24"/>
                <w:vertAlign w:val="superscript"/>
              </w:rPr>
              <w:t>3</w:t>
            </w:r>
            <w:r>
              <w:rPr>
                <w:bCs/>
                <w:iCs/>
                <w:sz w:val="24"/>
                <w:szCs w:val="24"/>
              </w:rPr>
              <w:t>/a）。</w:t>
            </w:r>
          </w:p>
          <w:p>
            <w:pPr>
              <w:pStyle w:val="21"/>
              <w:bidi w:val="0"/>
              <w:rPr>
                <w:rFonts w:hint="default" w:ascii="Times New Roman" w:hAnsi="Times New Roman" w:eastAsia="宋体" w:cs="Times New Roman"/>
                <w:szCs w:val="22"/>
                <w:lang w:val="de-DE"/>
              </w:rPr>
            </w:pPr>
            <w:r>
              <w:rPr>
                <w:rFonts w:hint="default" w:ascii="Times New Roman" w:hAnsi="Times New Roman" w:eastAsia="宋体" w:cs="Times New Roman"/>
                <w:sz w:val="24"/>
                <w:szCs w:val="22"/>
              </w:rPr>
              <w:t>项目用排水情况见下表：</w:t>
            </w:r>
          </w:p>
          <w:p>
            <w:pPr>
              <w:pStyle w:val="6"/>
              <w:tabs>
                <w:tab w:val="left" w:pos="4385"/>
              </w:tabs>
              <w:kinsoku w:val="0"/>
              <w:overflowPunct w:val="0"/>
              <w:ind w:left="3600" w:right="98"/>
              <w:rPr>
                <w:rFonts w:hint="default" w:ascii="Times New Roman" w:hAnsi="Times New Roman" w:eastAsia="宋体" w:cs="Times New Roman"/>
                <w:b w:val="0"/>
                <w:sz w:val="24"/>
              </w:rPr>
            </w:pPr>
            <w:bookmarkStart w:id="37" w:name="_Toc9756"/>
            <w:r>
              <w:rPr>
                <w:rFonts w:hint="default" w:ascii="Times New Roman" w:hAnsi="Times New Roman" w:eastAsia="宋体" w:cs="Times New Roman"/>
                <w:sz w:val="24"/>
              </w:rPr>
              <w:t>表</w:t>
            </w:r>
            <w:r>
              <w:rPr>
                <w:rFonts w:hint="default" w:ascii="Times New Roman" w:hAnsi="Times New Roman" w:eastAsia="宋体" w:cs="Times New Roman"/>
                <w:spacing w:val="-63"/>
                <w:sz w:val="24"/>
              </w:rPr>
              <w:t xml:space="preserve"> </w:t>
            </w:r>
            <w:r>
              <w:rPr>
                <w:rFonts w:hint="eastAsia" w:cs="Times New Roman"/>
                <w:sz w:val="24"/>
                <w:lang w:val="en-US" w:eastAsia="zh-CN"/>
              </w:rPr>
              <w:t>5.2.2-5</w:t>
            </w:r>
            <w:r>
              <w:rPr>
                <w:rFonts w:hint="default" w:ascii="Times New Roman" w:hAnsi="Times New Roman" w:eastAsia="宋体" w:cs="Times New Roman"/>
                <w:sz w:val="24"/>
              </w:rPr>
              <w:tab/>
            </w:r>
            <w:r>
              <w:rPr>
                <w:rFonts w:hint="default" w:ascii="Times New Roman" w:hAnsi="Times New Roman" w:eastAsia="宋体" w:cs="Times New Roman"/>
                <w:sz w:val="24"/>
              </w:rPr>
              <w:t>项目用水量明细表</w:t>
            </w:r>
            <w:bookmarkEnd w:id="37"/>
          </w:p>
          <w:tbl>
            <w:tblPr>
              <w:tblStyle w:val="43"/>
              <w:tblW w:w="861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
              <w:gridCol w:w="1753"/>
              <w:gridCol w:w="1307"/>
              <w:gridCol w:w="1303"/>
              <w:gridCol w:w="1217"/>
              <w:gridCol w:w="1118"/>
              <w:gridCol w:w="1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exact"/>
                <w:jc w:val="center"/>
              </w:trPr>
              <w:tc>
                <w:tcPr>
                  <w:tcW w:w="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sz w:val="21"/>
                    </w:rPr>
                  </w:pPr>
                  <w:r>
                    <w:rPr>
                      <w:rFonts w:hint="default" w:ascii="Times New Roman" w:hAnsi="Times New Roman" w:eastAsia="宋体" w:cs="Times New Roman"/>
                      <w:b/>
                      <w:sz w:val="21"/>
                    </w:rPr>
                    <w:t>序号</w:t>
                  </w:r>
                </w:p>
              </w:tc>
              <w:tc>
                <w:tcPr>
                  <w:tcW w:w="17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sz w:val="21"/>
                    </w:rPr>
                  </w:pPr>
                  <w:r>
                    <w:rPr>
                      <w:rFonts w:hint="default" w:ascii="Times New Roman" w:hAnsi="Times New Roman" w:eastAsia="宋体" w:cs="Times New Roman"/>
                      <w:b/>
                      <w:sz w:val="21"/>
                    </w:rPr>
                    <w:t>名称</w:t>
                  </w:r>
                </w:p>
              </w:tc>
              <w:tc>
                <w:tcPr>
                  <w:tcW w:w="13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sz w:val="21"/>
                    </w:rPr>
                  </w:pPr>
                  <w:r>
                    <w:rPr>
                      <w:rFonts w:hint="default" w:ascii="Times New Roman" w:hAnsi="Times New Roman" w:eastAsia="宋体" w:cs="Times New Roman"/>
                      <w:b/>
                      <w:sz w:val="21"/>
                    </w:rPr>
                    <w:t>总用水量</w:t>
                  </w:r>
                </w:p>
                <w:p>
                  <w:pPr>
                    <w:pStyle w:val="157"/>
                    <w:kinsoku w:val="0"/>
                    <w:overflowPunct w:val="0"/>
                    <w:spacing w:line="262" w:lineRule="exact"/>
                    <w:ind w:right="1"/>
                    <w:jc w:val="center"/>
                    <w:rPr>
                      <w:rFonts w:hint="default" w:ascii="Times New Roman" w:hAnsi="Times New Roman" w:eastAsia="宋体" w:cs="Times New Roman"/>
                      <w:b/>
                      <w:sz w:val="21"/>
                    </w:rPr>
                  </w:pPr>
                  <w:r>
                    <w:rPr>
                      <w:rFonts w:hint="default" w:ascii="Times New Roman" w:hAnsi="Times New Roman" w:eastAsia="宋体" w:cs="Times New Roman"/>
                      <w:b/>
                      <w:sz w:val="21"/>
                    </w:rPr>
                    <w:t>（m</w:t>
                  </w:r>
                  <w:r>
                    <w:rPr>
                      <w:rFonts w:hint="default" w:ascii="Times New Roman" w:hAnsi="Times New Roman" w:eastAsia="宋体" w:cs="Times New Roman"/>
                      <w:b/>
                      <w:sz w:val="21"/>
                      <w:vertAlign w:val="superscript"/>
                    </w:rPr>
                    <w:t>3</w:t>
                  </w:r>
                  <w:r>
                    <w:rPr>
                      <w:rFonts w:hint="default" w:ascii="Times New Roman" w:hAnsi="Times New Roman" w:eastAsia="宋体" w:cs="Times New Roman"/>
                      <w:b/>
                      <w:sz w:val="21"/>
                    </w:rPr>
                    <w:t>/d）</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sz w:val="21"/>
                    </w:rPr>
                  </w:pPr>
                  <w:r>
                    <w:rPr>
                      <w:rFonts w:hint="default" w:ascii="Times New Roman" w:hAnsi="Times New Roman" w:eastAsia="宋体" w:cs="Times New Roman"/>
                      <w:b/>
                      <w:sz w:val="21"/>
                    </w:rPr>
                    <w:t>新鲜水</w:t>
                  </w:r>
                </w:p>
                <w:p>
                  <w:pPr>
                    <w:pStyle w:val="157"/>
                    <w:kinsoku w:val="0"/>
                    <w:overflowPunct w:val="0"/>
                    <w:spacing w:line="262" w:lineRule="exact"/>
                    <w:ind w:right="1"/>
                    <w:jc w:val="center"/>
                    <w:rPr>
                      <w:rFonts w:hint="default" w:ascii="Times New Roman" w:hAnsi="Times New Roman" w:eastAsia="宋体" w:cs="Times New Roman"/>
                      <w:b/>
                      <w:sz w:val="21"/>
                    </w:rPr>
                  </w:pPr>
                  <w:r>
                    <w:rPr>
                      <w:rFonts w:hint="default" w:ascii="Times New Roman" w:hAnsi="Times New Roman" w:eastAsia="宋体" w:cs="Times New Roman"/>
                      <w:b/>
                      <w:sz w:val="21"/>
                    </w:rPr>
                    <w:t>（m</w:t>
                  </w:r>
                  <w:r>
                    <w:rPr>
                      <w:rFonts w:hint="default" w:ascii="Times New Roman" w:hAnsi="Times New Roman" w:eastAsia="宋体" w:cs="Times New Roman"/>
                      <w:b/>
                      <w:sz w:val="21"/>
                      <w:vertAlign w:val="superscript"/>
                    </w:rPr>
                    <w:t>3</w:t>
                  </w:r>
                  <w:r>
                    <w:rPr>
                      <w:rFonts w:hint="default" w:ascii="Times New Roman" w:hAnsi="Times New Roman" w:eastAsia="宋体" w:cs="Times New Roman"/>
                      <w:b/>
                      <w:sz w:val="21"/>
                    </w:rPr>
                    <w:t>/d）</w:t>
                  </w:r>
                </w:p>
              </w:tc>
              <w:tc>
                <w:tcPr>
                  <w:tcW w:w="12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sz w:val="21"/>
                    </w:rPr>
                  </w:pPr>
                  <w:r>
                    <w:rPr>
                      <w:rFonts w:hint="default" w:ascii="Times New Roman" w:hAnsi="Times New Roman" w:eastAsia="宋体" w:cs="Times New Roman"/>
                      <w:b/>
                      <w:sz w:val="21"/>
                    </w:rPr>
                    <w:t>回用水量</w:t>
                  </w:r>
                </w:p>
                <w:p>
                  <w:pPr>
                    <w:pStyle w:val="157"/>
                    <w:kinsoku w:val="0"/>
                    <w:overflowPunct w:val="0"/>
                    <w:spacing w:line="262" w:lineRule="exact"/>
                    <w:ind w:right="1"/>
                    <w:jc w:val="center"/>
                    <w:rPr>
                      <w:rFonts w:hint="default" w:ascii="Times New Roman" w:hAnsi="Times New Roman" w:eastAsia="宋体" w:cs="Times New Roman"/>
                      <w:b/>
                      <w:sz w:val="21"/>
                    </w:rPr>
                  </w:pPr>
                  <w:r>
                    <w:rPr>
                      <w:rFonts w:hint="default" w:ascii="Times New Roman" w:hAnsi="Times New Roman" w:eastAsia="宋体" w:cs="Times New Roman"/>
                      <w:b/>
                      <w:sz w:val="21"/>
                    </w:rPr>
                    <w:t>（m</w:t>
                  </w:r>
                  <w:r>
                    <w:rPr>
                      <w:rFonts w:hint="default" w:ascii="Times New Roman" w:hAnsi="Times New Roman" w:eastAsia="宋体" w:cs="Times New Roman"/>
                      <w:b/>
                      <w:sz w:val="21"/>
                      <w:vertAlign w:val="superscript"/>
                    </w:rPr>
                    <w:t>3</w:t>
                  </w:r>
                  <w:r>
                    <w:rPr>
                      <w:rFonts w:hint="default" w:ascii="Times New Roman" w:hAnsi="Times New Roman" w:eastAsia="宋体" w:cs="Times New Roman"/>
                      <w:b/>
                      <w:sz w:val="21"/>
                    </w:rPr>
                    <w:t>/d）</w:t>
                  </w:r>
                </w:p>
              </w:tc>
              <w:tc>
                <w:tcPr>
                  <w:tcW w:w="1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sz w:val="21"/>
                    </w:rPr>
                  </w:pPr>
                  <w:r>
                    <w:rPr>
                      <w:rFonts w:hint="default" w:ascii="Times New Roman" w:hAnsi="Times New Roman" w:eastAsia="宋体" w:cs="Times New Roman"/>
                      <w:b/>
                      <w:sz w:val="21"/>
                    </w:rPr>
                    <w:t>废水量</w:t>
                  </w:r>
                </w:p>
                <w:p>
                  <w:pPr>
                    <w:pStyle w:val="157"/>
                    <w:kinsoku w:val="0"/>
                    <w:overflowPunct w:val="0"/>
                    <w:spacing w:line="262" w:lineRule="exact"/>
                    <w:ind w:right="1"/>
                    <w:jc w:val="center"/>
                    <w:rPr>
                      <w:rFonts w:hint="default" w:ascii="Times New Roman" w:hAnsi="Times New Roman" w:eastAsia="宋体" w:cs="Times New Roman"/>
                      <w:b/>
                      <w:sz w:val="21"/>
                    </w:rPr>
                  </w:pPr>
                  <w:r>
                    <w:rPr>
                      <w:rFonts w:hint="default" w:ascii="Times New Roman" w:hAnsi="Times New Roman" w:eastAsia="宋体" w:cs="Times New Roman"/>
                      <w:b/>
                      <w:sz w:val="21"/>
                    </w:rPr>
                    <w:t>（m</w:t>
                  </w:r>
                  <w:r>
                    <w:rPr>
                      <w:rFonts w:hint="default" w:ascii="Times New Roman" w:hAnsi="Times New Roman" w:eastAsia="宋体" w:cs="Times New Roman"/>
                      <w:b/>
                      <w:sz w:val="21"/>
                      <w:vertAlign w:val="superscript"/>
                    </w:rPr>
                    <w:t>3</w:t>
                  </w:r>
                  <w:r>
                    <w:rPr>
                      <w:rFonts w:hint="default" w:ascii="Times New Roman" w:hAnsi="Times New Roman" w:eastAsia="宋体" w:cs="Times New Roman"/>
                      <w:b/>
                      <w:sz w:val="21"/>
                    </w:rPr>
                    <w:t>/d）</w:t>
                  </w:r>
                </w:p>
              </w:tc>
              <w:tc>
                <w:tcPr>
                  <w:tcW w:w="12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sz w:val="21"/>
                    </w:rPr>
                  </w:pPr>
                  <w:r>
                    <w:rPr>
                      <w:rFonts w:hint="default" w:ascii="Times New Roman" w:hAnsi="Times New Roman" w:eastAsia="宋体" w:cs="Times New Roman"/>
                      <w:b/>
                      <w:sz w:val="21"/>
                    </w:rPr>
                    <w:t>排放量</w:t>
                  </w:r>
                </w:p>
                <w:p>
                  <w:pPr>
                    <w:pStyle w:val="157"/>
                    <w:kinsoku w:val="0"/>
                    <w:overflowPunct w:val="0"/>
                    <w:spacing w:line="262" w:lineRule="exact"/>
                    <w:ind w:right="1"/>
                    <w:jc w:val="center"/>
                    <w:rPr>
                      <w:rFonts w:hint="default" w:ascii="Times New Roman" w:hAnsi="Times New Roman" w:eastAsia="宋体" w:cs="Times New Roman"/>
                      <w:b/>
                      <w:sz w:val="21"/>
                    </w:rPr>
                  </w:pPr>
                  <w:r>
                    <w:rPr>
                      <w:rFonts w:hint="default" w:ascii="Times New Roman" w:hAnsi="Times New Roman" w:eastAsia="宋体" w:cs="Times New Roman"/>
                      <w:b/>
                      <w:sz w:val="21"/>
                    </w:rPr>
                    <w:t>（m</w:t>
                  </w:r>
                  <w:r>
                    <w:rPr>
                      <w:rFonts w:hint="default" w:ascii="Times New Roman" w:hAnsi="Times New Roman" w:eastAsia="宋体" w:cs="Times New Roman"/>
                      <w:b/>
                      <w:sz w:val="21"/>
                      <w:vertAlign w:val="superscript"/>
                    </w:rPr>
                    <w:t>3</w:t>
                  </w:r>
                  <w:r>
                    <w:rPr>
                      <w:rFonts w:hint="default" w:ascii="Times New Roman" w:hAnsi="Times New Roman" w:eastAsia="宋体" w:cs="Times New Roman"/>
                      <w:b/>
                      <w:sz w:val="21"/>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exact"/>
                <w:jc w:val="center"/>
              </w:trPr>
              <w:tc>
                <w:tcPr>
                  <w:tcW w:w="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1</w:t>
                  </w:r>
                </w:p>
              </w:tc>
              <w:tc>
                <w:tcPr>
                  <w:tcW w:w="17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搅拌用水</w:t>
                  </w:r>
                </w:p>
              </w:tc>
              <w:tc>
                <w:tcPr>
                  <w:tcW w:w="13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lang w:val="en-US" w:eastAsia="zh-CN"/>
                    </w:rPr>
                  </w:pPr>
                  <w:r>
                    <w:rPr>
                      <w:rFonts w:hint="eastAsia" w:ascii="Times New Roman" w:hAnsi="Times New Roman" w:eastAsia="宋体" w:cs="Times New Roman"/>
                      <w:b w:val="0"/>
                      <w:bCs/>
                      <w:sz w:val="21"/>
                      <w:lang w:val="en-US" w:eastAsia="zh-CN"/>
                    </w:rPr>
                    <w:t>10</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lang w:val="en-US" w:eastAsia="zh-CN"/>
                    </w:rPr>
                  </w:pPr>
                  <w:r>
                    <w:rPr>
                      <w:rFonts w:hint="eastAsia" w:ascii="Times New Roman" w:hAnsi="Times New Roman" w:eastAsia="宋体" w:cs="Times New Roman"/>
                      <w:b w:val="0"/>
                      <w:bCs/>
                      <w:sz w:val="21"/>
                      <w:lang w:val="en-US" w:eastAsia="zh-CN"/>
                    </w:rPr>
                    <w:t>10</w:t>
                  </w:r>
                </w:p>
              </w:tc>
              <w:tc>
                <w:tcPr>
                  <w:tcW w:w="12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0</w:t>
                  </w:r>
                </w:p>
              </w:tc>
              <w:tc>
                <w:tcPr>
                  <w:tcW w:w="1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0</w:t>
                  </w:r>
                </w:p>
              </w:tc>
              <w:tc>
                <w:tcPr>
                  <w:tcW w:w="12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exact"/>
                <w:jc w:val="center"/>
              </w:trPr>
              <w:tc>
                <w:tcPr>
                  <w:tcW w:w="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2</w:t>
                  </w:r>
                </w:p>
              </w:tc>
              <w:tc>
                <w:tcPr>
                  <w:tcW w:w="17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喷淋用水</w:t>
                  </w:r>
                </w:p>
              </w:tc>
              <w:tc>
                <w:tcPr>
                  <w:tcW w:w="13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lang w:val="en-US" w:eastAsia="zh-CN"/>
                    </w:rPr>
                  </w:pPr>
                  <w:r>
                    <w:rPr>
                      <w:rFonts w:hint="eastAsia" w:ascii="Times New Roman" w:hAnsi="Times New Roman" w:eastAsia="宋体" w:cs="Times New Roman"/>
                      <w:b w:val="0"/>
                      <w:bCs/>
                      <w:sz w:val="21"/>
                      <w:lang w:val="en-US" w:eastAsia="zh-CN"/>
                    </w:rPr>
                    <w:t>2.304</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eastAsia" w:ascii="Times New Roman" w:hAnsi="Times New Roman" w:eastAsia="宋体" w:cs="Times New Roman"/>
                      <w:b w:val="0"/>
                      <w:bCs/>
                      <w:sz w:val="21"/>
                      <w:lang w:val="en-US" w:eastAsia="zh-CN"/>
                    </w:rPr>
                    <w:t>2.304</w:t>
                  </w:r>
                </w:p>
              </w:tc>
              <w:tc>
                <w:tcPr>
                  <w:tcW w:w="12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0</w:t>
                  </w:r>
                </w:p>
              </w:tc>
              <w:tc>
                <w:tcPr>
                  <w:tcW w:w="1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0</w:t>
                  </w:r>
                </w:p>
              </w:tc>
              <w:tc>
                <w:tcPr>
                  <w:tcW w:w="12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exact"/>
                <w:jc w:val="center"/>
              </w:trPr>
              <w:tc>
                <w:tcPr>
                  <w:tcW w:w="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3</w:t>
                  </w:r>
                </w:p>
              </w:tc>
              <w:tc>
                <w:tcPr>
                  <w:tcW w:w="17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eastAsia" w:ascii="Times New Roman" w:hAnsi="Times New Roman" w:eastAsia="宋体" w:cs="Times New Roman"/>
                      <w:b w:val="0"/>
                      <w:bCs/>
                      <w:sz w:val="21"/>
                      <w:lang w:eastAsia="zh-CN"/>
                    </w:rPr>
                  </w:pPr>
                  <w:r>
                    <w:rPr>
                      <w:rFonts w:hint="eastAsia" w:ascii="Times New Roman" w:hAnsi="Times New Roman" w:eastAsia="宋体" w:cs="Times New Roman"/>
                      <w:b w:val="0"/>
                      <w:bCs/>
                      <w:sz w:val="21"/>
                      <w:lang w:eastAsia="zh-CN"/>
                    </w:rPr>
                    <w:t>地面洒水</w:t>
                  </w:r>
                </w:p>
              </w:tc>
              <w:tc>
                <w:tcPr>
                  <w:tcW w:w="13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lang w:val="en-US" w:eastAsia="zh-CN"/>
                    </w:rPr>
                  </w:pPr>
                  <w:r>
                    <w:rPr>
                      <w:rFonts w:hint="eastAsia" w:ascii="Times New Roman" w:hAnsi="Times New Roman" w:eastAsia="宋体" w:cs="Times New Roman"/>
                      <w:b w:val="0"/>
                      <w:bCs/>
                      <w:sz w:val="21"/>
                      <w:lang w:val="en-US" w:eastAsia="zh-CN"/>
                    </w:rPr>
                    <w:t>1.6</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lang w:val="en-US" w:eastAsia="zh-CN"/>
                    </w:rPr>
                  </w:pPr>
                  <w:r>
                    <w:rPr>
                      <w:rFonts w:hint="eastAsia" w:ascii="Times New Roman" w:hAnsi="Times New Roman" w:eastAsia="宋体" w:cs="Times New Roman"/>
                      <w:b w:val="0"/>
                      <w:bCs/>
                      <w:sz w:val="21"/>
                      <w:lang w:val="en-US" w:eastAsia="zh-CN"/>
                    </w:rPr>
                    <w:t>1.6</w:t>
                  </w:r>
                </w:p>
              </w:tc>
              <w:tc>
                <w:tcPr>
                  <w:tcW w:w="12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eastAsia" w:ascii="Times New Roman" w:hAnsi="Times New Roman" w:eastAsia="宋体" w:cs="Times New Roman"/>
                      <w:b w:val="0"/>
                      <w:bCs/>
                      <w:sz w:val="21"/>
                      <w:lang w:val="en-US" w:eastAsia="zh-CN"/>
                    </w:rPr>
                  </w:pPr>
                  <w:r>
                    <w:rPr>
                      <w:rFonts w:hint="eastAsia" w:ascii="Times New Roman" w:hAnsi="Times New Roman" w:eastAsia="宋体" w:cs="Times New Roman"/>
                      <w:b w:val="0"/>
                      <w:bCs/>
                      <w:sz w:val="21"/>
                      <w:lang w:val="en-US" w:eastAsia="zh-CN"/>
                    </w:rPr>
                    <w:t>0</w:t>
                  </w:r>
                </w:p>
              </w:tc>
              <w:tc>
                <w:tcPr>
                  <w:tcW w:w="1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eastAsia" w:ascii="Times New Roman" w:hAnsi="Times New Roman" w:eastAsia="宋体" w:cs="Times New Roman"/>
                      <w:b w:val="0"/>
                      <w:bCs/>
                      <w:sz w:val="21"/>
                      <w:lang w:val="en-US" w:eastAsia="zh-CN"/>
                    </w:rPr>
                  </w:pPr>
                  <w:r>
                    <w:rPr>
                      <w:rFonts w:hint="eastAsia" w:ascii="Times New Roman" w:hAnsi="Times New Roman" w:eastAsia="宋体" w:cs="Times New Roman"/>
                      <w:b w:val="0"/>
                      <w:bCs/>
                      <w:sz w:val="21"/>
                      <w:lang w:val="en-US" w:eastAsia="zh-CN"/>
                    </w:rPr>
                    <w:t>0</w:t>
                  </w:r>
                </w:p>
              </w:tc>
              <w:tc>
                <w:tcPr>
                  <w:tcW w:w="12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eastAsia" w:ascii="Times New Roman" w:hAnsi="Times New Roman" w:eastAsia="宋体" w:cs="Times New Roman"/>
                      <w:b w:val="0"/>
                      <w:bCs/>
                      <w:sz w:val="21"/>
                      <w:lang w:val="en-US" w:eastAsia="zh-CN"/>
                    </w:rPr>
                  </w:pPr>
                  <w:r>
                    <w:rPr>
                      <w:rFonts w:hint="eastAsia" w:ascii="Times New Roman" w:hAnsi="Times New Roman" w:eastAsia="宋体" w:cs="Times New Roman"/>
                      <w:b w:val="0"/>
                      <w:bCs/>
                      <w:sz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exact"/>
                <w:jc w:val="center"/>
              </w:trPr>
              <w:tc>
                <w:tcPr>
                  <w:tcW w:w="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eastAsia" w:ascii="Times New Roman" w:hAnsi="Times New Roman" w:eastAsia="宋体" w:cs="Times New Roman"/>
                      <w:b w:val="0"/>
                      <w:bCs/>
                      <w:sz w:val="21"/>
                      <w:lang w:val="en-US" w:eastAsia="zh-CN"/>
                    </w:rPr>
                  </w:pPr>
                  <w:r>
                    <w:rPr>
                      <w:rFonts w:hint="eastAsia" w:ascii="Times New Roman" w:hAnsi="Times New Roman" w:eastAsia="宋体" w:cs="Times New Roman"/>
                      <w:b w:val="0"/>
                      <w:bCs/>
                      <w:sz w:val="21"/>
                      <w:lang w:val="en-US" w:eastAsia="zh-CN"/>
                    </w:rPr>
                    <w:t>4</w:t>
                  </w:r>
                </w:p>
              </w:tc>
              <w:tc>
                <w:tcPr>
                  <w:tcW w:w="17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eastAsia" w:ascii="Times New Roman" w:hAnsi="Times New Roman" w:eastAsia="宋体" w:cs="Times New Roman"/>
                      <w:b w:val="0"/>
                      <w:bCs/>
                      <w:sz w:val="21"/>
                      <w:lang w:eastAsia="zh-CN"/>
                    </w:rPr>
                  </w:pPr>
                  <w:r>
                    <w:rPr>
                      <w:rFonts w:hint="eastAsia" w:ascii="Times New Roman" w:hAnsi="Times New Roman" w:eastAsia="宋体" w:cs="Times New Roman"/>
                      <w:b w:val="0"/>
                      <w:bCs/>
                      <w:sz w:val="21"/>
                      <w:lang w:eastAsia="zh-CN"/>
                    </w:rPr>
                    <w:t>设备清洗用水</w:t>
                  </w:r>
                </w:p>
              </w:tc>
              <w:tc>
                <w:tcPr>
                  <w:tcW w:w="13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lang w:val="en-US" w:eastAsia="zh-CN"/>
                    </w:rPr>
                  </w:pPr>
                  <w:r>
                    <w:rPr>
                      <w:rFonts w:hint="eastAsia" w:ascii="Times New Roman" w:hAnsi="Times New Roman" w:eastAsia="宋体" w:cs="Times New Roman"/>
                      <w:b w:val="0"/>
                      <w:bCs/>
                      <w:sz w:val="21"/>
                      <w:lang w:val="en-US" w:eastAsia="zh-CN"/>
                    </w:rPr>
                    <w:t>1200</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lang w:val="en-US" w:eastAsia="zh-CN"/>
                    </w:rPr>
                  </w:pPr>
                  <w:r>
                    <w:rPr>
                      <w:rFonts w:hint="eastAsia" w:ascii="Times New Roman" w:hAnsi="Times New Roman" w:eastAsia="宋体" w:cs="Times New Roman"/>
                      <w:b w:val="0"/>
                      <w:bCs/>
                      <w:sz w:val="21"/>
                      <w:lang w:val="en-US" w:eastAsia="zh-CN"/>
                    </w:rPr>
                    <w:t>120</w:t>
                  </w:r>
                </w:p>
              </w:tc>
              <w:tc>
                <w:tcPr>
                  <w:tcW w:w="12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lang w:val="en-US" w:eastAsia="zh-CN"/>
                    </w:rPr>
                  </w:pPr>
                  <w:r>
                    <w:rPr>
                      <w:rFonts w:hint="eastAsia" w:ascii="Times New Roman" w:hAnsi="Times New Roman" w:eastAsia="宋体" w:cs="Times New Roman"/>
                      <w:b w:val="0"/>
                      <w:bCs/>
                      <w:sz w:val="21"/>
                      <w:lang w:val="en-US" w:eastAsia="zh-CN"/>
                    </w:rPr>
                    <w:t>1080</w:t>
                  </w:r>
                </w:p>
              </w:tc>
              <w:tc>
                <w:tcPr>
                  <w:tcW w:w="1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eastAsia" w:ascii="Times New Roman" w:hAnsi="Times New Roman" w:eastAsia="宋体" w:cs="Times New Roman"/>
                      <w:b w:val="0"/>
                      <w:bCs/>
                      <w:sz w:val="21"/>
                      <w:lang w:val="en-US" w:eastAsia="zh-CN"/>
                    </w:rPr>
                  </w:pPr>
                  <w:r>
                    <w:rPr>
                      <w:rFonts w:hint="eastAsia" w:ascii="Times New Roman" w:hAnsi="Times New Roman" w:eastAsia="宋体" w:cs="Times New Roman"/>
                      <w:b w:val="0"/>
                      <w:bCs/>
                      <w:sz w:val="21"/>
                      <w:lang w:val="en-US" w:eastAsia="zh-CN"/>
                    </w:rPr>
                    <w:t>0</w:t>
                  </w:r>
                </w:p>
              </w:tc>
              <w:tc>
                <w:tcPr>
                  <w:tcW w:w="12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eastAsia" w:ascii="Times New Roman" w:hAnsi="Times New Roman" w:eastAsia="宋体" w:cs="Times New Roman"/>
                      <w:b w:val="0"/>
                      <w:bCs/>
                      <w:sz w:val="21"/>
                      <w:lang w:val="en-US" w:eastAsia="zh-CN"/>
                    </w:rPr>
                  </w:pPr>
                  <w:r>
                    <w:rPr>
                      <w:rFonts w:hint="eastAsia" w:ascii="Times New Roman" w:hAnsi="Times New Roman" w:eastAsia="宋体" w:cs="Times New Roman"/>
                      <w:b w:val="0"/>
                      <w:bCs/>
                      <w:sz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exact"/>
                <w:jc w:val="center"/>
              </w:trPr>
              <w:tc>
                <w:tcPr>
                  <w:tcW w:w="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eastAsia" w:ascii="Times New Roman" w:hAnsi="Times New Roman" w:eastAsia="宋体" w:cs="Times New Roman"/>
                      <w:b w:val="0"/>
                      <w:bCs/>
                      <w:sz w:val="21"/>
                      <w:lang w:val="en-US" w:eastAsia="zh-CN"/>
                    </w:rPr>
                  </w:pPr>
                  <w:r>
                    <w:rPr>
                      <w:rFonts w:hint="eastAsia" w:ascii="Times New Roman" w:hAnsi="Times New Roman" w:eastAsia="宋体" w:cs="Times New Roman"/>
                      <w:b w:val="0"/>
                      <w:bCs/>
                      <w:sz w:val="21"/>
                      <w:lang w:val="en-US" w:eastAsia="zh-CN"/>
                    </w:rPr>
                    <w:t>5</w:t>
                  </w:r>
                </w:p>
              </w:tc>
              <w:tc>
                <w:tcPr>
                  <w:tcW w:w="17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eastAsia" w:ascii="Times New Roman" w:hAnsi="Times New Roman" w:eastAsia="宋体" w:cs="Times New Roman"/>
                      <w:b w:val="0"/>
                      <w:bCs/>
                      <w:sz w:val="21"/>
                      <w:lang w:eastAsia="zh-CN"/>
                    </w:rPr>
                  </w:pPr>
                  <w:r>
                    <w:rPr>
                      <w:rFonts w:hint="eastAsia" w:ascii="Times New Roman" w:hAnsi="Times New Roman" w:eastAsia="宋体" w:cs="Times New Roman"/>
                      <w:b w:val="0"/>
                      <w:bCs/>
                      <w:sz w:val="21"/>
                      <w:lang w:eastAsia="zh-CN"/>
                    </w:rPr>
                    <w:t>车辆清洗用水</w:t>
                  </w:r>
                </w:p>
              </w:tc>
              <w:tc>
                <w:tcPr>
                  <w:tcW w:w="13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lang w:val="en-US" w:eastAsia="zh-CN"/>
                    </w:rPr>
                  </w:pPr>
                  <w:r>
                    <w:rPr>
                      <w:rFonts w:hint="eastAsia" w:ascii="Times New Roman" w:hAnsi="Times New Roman" w:eastAsia="宋体" w:cs="Times New Roman"/>
                      <w:b w:val="0"/>
                      <w:bCs/>
                      <w:sz w:val="21"/>
                      <w:lang w:val="en-US" w:eastAsia="zh-CN"/>
                    </w:rPr>
                    <w:t>1.4</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lang w:val="en-US" w:eastAsia="zh-CN"/>
                    </w:rPr>
                  </w:pPr>
                  <w:r>
                    <w:rPr>
                      <w:rFonts w:hint="eastAsia" w:ascii="Times New Roman" w:hAnsi="Times New Roman" w:eastAsia="宋体" w:cs="Times New Roman"/>
                      <w:b w:val="0"/>
                      <w:bCs/>
                      <w:sz w:val="21"/>
                      <w:lang w:val="en-US" w:eastAsia="zh-CN"/>
                    </w:rPr>
                    <w:t>0.28</w:t>
                  </w:r>
                </w:p>
              </w:tc>
              <w:tc>
                <w:tcPr>
                  <w:tcW w:w="12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lang w:val="en-US" w:eastAsia="zh-CN"/>
                    </w:rPr>
                  </w:pPr>
                  <w:r>
                    <w:rPr>
                      <w:rFonts w:hint="eastAsia" w:ascii="Times New Roman" w:hAnsi="Times New Roman" w:eastAsia="宋体" w:cs="Times New Roman"/>
                      <w:b w:val="0"/>
                      <w:bCs/>
                      <w:sz w:val="21"/>
                      <w:lang w:val="en-US" w:eastAsia="zh-CN"/>
                    </w:rPr>
                    <w:t>1.12</w:t>
                  </w:r>
                </w:p>
              </w:tc>
              <w:tc>
                <w:tcPr>
                  <w:tcW w:w="1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eastAsia" w:ascii="Times New Roman" w:hAnsi="Times New Roman" w:eastAsia="宋体" w:cs="Times New Roman"/>
                      <w:b w:val="0"/>
                      <w:bCs/>
                      <w:sz w:val="21"/>
                      <w:lang w:val="en-US" w:eastAsia="zh-CN"/>
                    </w:rPr>
                  </w:pPr>
                  <w:r>
                    <w:rPr>
                      <w:rFonts w:hint="eastAsia" w:ascii="Times New Roman" w:hAnsi="Times New Roman" w:eastAsia="宋体" w:cs="Times New Roman"/>
                      <w:b w:val="0"/>
                      <w:bCs/>
                      <w:sz w:val="21"/>
                      <w:lang w:val="en-US" w:eastAsia="zh-CN"/>
                    </w:rPr>
                    <w:t>0</w:t>
                  </w:r>
                </w:p>
              </w:tc>
              <w:tc>
                <w:tcPr>
                  <w:tcW w:w="12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eastAsia" w:ascii="Times New Roman" w:hAnsi="Times New Roman" w:eastAsia="宋体" w:cs="Times New Roman"/>
                      <w:b w:val="0"/>
                      <w:bCs/>
                      <w:sz w:val="21"/>
                      <w:lang w:val="en-US" w:eastAsia="zh-CN"/>
                    </w:rPr>
                  </w:pPr>
                  <w:r>
                    <w:rPr>
                      <w:rFonts w:hint="eastAsia" w:ascii="Times New Roman" w:hAnsi="Times New Roman" w:eastAsia="宋体" w:cs="Times New Roman"/>
                      <w:b w:val="0"/>
                      <w:bCs/>
                      <w:sz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exact"/>
                <w:jc w:val="center"/>
              </w:trPr>
              <w:tc>
                <w:tcPr>
                  <w:tcW w:w="24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合计</w:t>
                  </w:r>
                </w:p>
              </w:tc>
              <w:tc>
                <w:tcPr>
                  <w:tcW w:w="13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lang w:val="en-US" w:eastAsia="zh-CN"/>
                    </w:rPr>
                  </w:pPr>
                  <w:r>
                    <w:rPr>
                      <w:rFonts w:hint="eastAsia" w:ascii="Times New Roman" w:hAnsi="Times New Roman" w:eastAsia="宋体" w:cs="Times New Roman"/>
                      <w:b w:val="0"/>
                      <w:bCs/>
                      <w:sz w:val="21"/>
                      <w:lang w:val="en-US" w:eastAsia="zh-CN"/>
                    </w:rPr>
                    <w:t>1215.30</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lang w:val="en-US" w:eastAsia="zh-CN"/>
                    </w:rPr>
                  </w:pPr>
                  <w:r>
                    <w:rPr>
                      <w:rFonts w:hint="eastAsia" w:ascii="Times New Roman" w:hAnsi="Times New Roman" w:eastAsia="宋体" w:cs="Times New Roman"/>
                      <w:b w:val="0"/>
                      <w:bCs/>
                      <w:sz w:val="21"/>
                      <w:lang w:val="en-US" w:eastAsia="zh-CN"/>
                    </w:rPr>
                    <w:t>134.18</w:t>
                  </w:r>
                </w:p>
              </w:tc>
              <w:tc>
                <w:tcPr>
                  <w:tcW w:w="12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lang w:val="en-US" w:eastAsia="zh-CN"/>
                    </w:rPr>
                  </w:pPr>
                  <w:r>
                    <w:rPr>
                      <w:rFonts w:hint="eastAsia" w:ascii="Times New Roman" w:hAnsi="Times New Roman" w:eastAsia="宋体" w:cs="Times New Roman"/>
                      <w:b w:val="0"/>
                      <w:bCs/>
                      <w:sz w:val="21"/>
                      <w:lang w:val="en-US" w:eastAsia="zh-CN"/>
                    </w:rPr>
                    <w:t>1081.12</w:t>
                  </w:r>
                </w:p>
              </w:tc>
              <w:tc>
                <w:tcPr>
                  <w:tcW w:w="1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eastAsia" w:ascii="Times New Roman" w:hAnsi="Times New Roman" w:eastAsia="宋体" w:cs="Times New Roman"/>
                      <w:b w:val="0"/>
                      <w:bCs/>
                      <w:sz w:val="21"/>
                      <w:lang w:eastAsia="zh-CN"/>
                    </w:rPr>
                  </w:pPr>
                  <w:r>
                    <w:rPr>
                      <w:rFonts w:hint="eastAsia" w:ascii="Times New Roman" w:hAnsi="Times New Roman" w:eastAsia="宋体" w:cs="Times New Roman"/>
                      <w:b w:val="0"/>
                      <w:bCs/>
                      <w:sz w:val="21"/>
                      <w:lang w:val="en-US" w:eastAsia="zh-CN"/>
                    </w:rPr>
                    <w:t>0</w:t>
                  </w:r>
                </w:p>
              </w:tc>
              <w:tc>
                <w:tcPr>
                  <w:tcW w:w="12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eastAsia" w:ascii="Times New Roman" w:hAnsi="Times New Roman" w:eastAsia="宋体" w:cs="Times New Roman"/>
                      <w:b w:val="0"/>
                      <w:bCs/>
                      <w:sz w:val="21"/>
                      <w:lang w:eastAsia="zh-CN"/>
                    </w:rPr>
                  </w:pPr>
                  <w:r>
                    <w:rPr>
                      <w:rFonts w:hint="eastAsia" w:ascii="Times New Roman" w:hAnsi="Times New Roman" w:eastAsia="宋体" w:cs="Times New Roman"/>
                      <w:b w:val="0"/>
                      <w:bCs/>
                      <w:sz w:val="21"/>
                      <w:lang w:val="en-US" w:eastAsia="zh-CN"/>
                    </w:rPr>
                    <w:t>0</w:t>
                  </w:r>
                </w:p>
              </w:tc>
            </w:tr>
          </w:tbl>
          <w:p>
            <w:pPr>
              <w:pStyle w:val="2"/>
              <w:kinsoku w:val="0"/>
              <w:overflowPunct w:val="0"/>
              <w:ind w:left="838" w:right="98"/>
              <w:rPr>
                <w:rFonts w:hint="default" w:ascii="Times New Roman" w:hAnsi="Times New Roman" w:eastAsia="宋体" w:cs="Times New Roman"/>
                <w:sz w:val="24"/>
              </w:rPr>
            </w:pPr>
            <w:r>
              <w:rPr>
                <w:rFonts w:hint="default" w:ascii="Times New Roman" w:hAnsi="Times New Roman" w:eastAsia="宋体" w:cs="Times New Roman"/>
                <w:sz w:val="24"/>
              </w:rPr>
              <w:t>项目水平衡如下图所示：</w:t>
            </w:r>
          </w:p>
          <w:p>
            <w:pPr>
              <w:pStyle w:val="133"/>
              <w:ind w:firstLine="0"/>
              <w:jc w:val="center"/>
              <w:rPr>
                <w:sz w:val="24"/>
                <w:szCs w:val="22"/>
              </w:rPr>
            </w:pPr>
            <w:r>
              <w:rPr>
                <w:bCs/>
                <w:sz w:val="24"/>
                <w:szCs w:val="24"/>
              </w:rPr>
              <mc:AlternateContent>
                <mc:Choice Requires="wpc">
                  <w:drawing>
                    <wp:inline distT="0" distB="0" distL="114300" distR="114300">
                      <wp:extent cx="5733415" cy="4817110"/>
                      <wp:effectExtent l="0" t="0" r="0" b="0"/>
                      <wp:docPr id="664" name="画布 6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65" name="文本框 617"/>
                              <wps:cNvSpPr txBox="1"/>
                              <wps:spPr>
                                <a:xfrm>
                                  <a:off x="1929615" y="471145"/>
                                  <a:ext cx="784664" cy="28147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喷淋用水</w:t>
                                    </w:r>
                                  </w:p>
                                </w:txbxContent>
                              </wps:txbx>
                              <wps:bodyPr upright="1"/>
                            </wps:wsp>
                            <wps:wsp>
                              <wps:cNvPr id="666" name="直接箭头连接符 618"/>
                              <wps:cNvCnPr/>
                              <wps:spPr>
                                <a:xfrm flipV="1">
                                  <a:off x="1274862" y="612315"/>
                                  <a:ext cx="654753" cy="866"/>
                                </a:xfrm>
                                <a:prstGeom prst="straightConnector1">
                                  <a:avLst/>
                                </a:prstGeom>
                                <a:ln w="9525" cap="flat" cmpd="sng">
                                  <a:solidFill>
                                    <a:srgbClr val="000000"/>
                                  </a:solidFill>
                                  <a:prstDash val="solid"/>
                                  <a:headEnd type="none" w="med" len="med"/>
                                  <a:tailEnd type="triangle" w="med" len="med"/>
                                </a:ln>
                              </wps:spPr>
                              <wps:bodyPr/>
                            </wps:wsp>
                            <wps:wsp>
                              <wps:cNvPr id="667" name="文本框 619"/>
                              <wps:cNvSpPr txBox="1"/>
                              <wps:spPr>
                                <a:xfrm>
                                  <a:off x="1928749" y="1126764"/>
                                  <a:ext cx="1410836" cy="28060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地面洒水、抑尘用水</w:t>
                                    </w:r>
                                  </w:p>
                                </w:txbxContent>
                              </wps:txbx>
                              <wps:bodyPr upright="1"/>
                            </wps:wsp>
                            <wps:wsp>
                              <wps:cNvPr id="668" name="直接箭头连接符 620"/>
                              <wps:cNvCnPr/>
                              <wps:spPr>
                                <a:xfrm flipV="1">
                                  <a:off x="1274862" y="1267068"/>
                                  <a:ext cx="653886" cy="1732"/>
                                </a:xfrm>
                                <a:prstGeom prst="straightConnector1">
                                  <a:avLst/>
                                </a:prstGeom>
                                <a:ln w="9525" cap="flat" cmpd="sng">
                                  <a:solidFill>
                                    <a:srgbClr val="000000"/>
                                  </a:solidFill>
                                  <a:prstDash val="solid"/>
                                  <a:headEnd type="none" w="med" len="med"/>
                                  <a:tailEnd type="triangle" w="med" len="med"/>
                                </a:ln>
                              </wps:spPr>
                              <wps:bodyPr/>
                            </wps:wsp>
                            <wps:wsp>
                              <wps:cNvPr id="669" name="文本框 621"/>
                              <wps:cNvSpPr txBox="1"/>
                              <wps:spPr>
                                <a:xfrm>
                                  <a:off x="1929615" y="1804901"/>
                                  <a:ext cx="784664" cy="28060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车辆清洗</w:t>
                                    </w:r>
                                  </w:p>
                                </w:txbxContent>
                              </wps:txbx>
                              <wps:bodyPr upright="1"/>
                            </wps:wsp>
                            <wps:wsp>
                              <wps:cNvPr id="670" name="直接箭头连接符 622"/>
                              <wps:cNvCnPr/>
                              <wps:spPr>
                                <a:xfrm flipV="1">
                                  <a:off x="1274862" y="1945205"/>
                                  <a:ext cx="654753" cy="1732"/>
                                </a:xfrm>
                                <a:prstGeom prst="straightConnector1">
                                  <a:avLst/>
                                </a:prstGeom>
                                <a:ln w="9525" cap="flat" cmpd="sng">
                                  <a:solidFill>
                                    <a:srgbClr val="000000"/>
                                  </a:solidFill>
                                  <a:prstDash val="solid"/>
                                  <a:headEnd type="none" w="med" len="med"/>
                                  <a:tailEnd type="triangle" w="med" len="med"/>
                                </a:ln>
                              </wps:spPr>
                              <wps:bodyPr/>
                            </wps:wsp>
                            <wps:wsp>
                              <wps:cNvPr id="671" name="文本框 623"/>
                              <wps:cNvSpPr txBox="1"/>
                              <wps:spPr>
                                <a:xfrm>
                                  <a:off x="1929615" y="2497761"/>
                                  <a:ext cx="784664" cy="28147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生活废水</w:t>
                                    </w:r>
                                  </w:p>
                                </w:txbxContent>
                              </wps:txbx>
                              <wps:bodyPr upright="1"/>
                            </wps:wsp>
                            <wps:wsp>
                              <wps:cNvPr id="672" name="直接箭头连接符 624"/>
                              <wps:cNvCnPr/>
                              <wps:spPr>
                                <a:xfrm flipV="1">
                                  <a:off x="1274862" y="2638931"/>
                                  <a:ext cx="654753" cy="866"/>
                                </a:xfrm>
                                <a:prstGeom prst="straightConnector1">
                                  <a:avLst/>
                                </a:prstGeom>
                                <a:ln w="9525" cap="flat" cmpd="sng">
                                  <a:solidFill>
                                    <a:srgbClr val="000000"/>
                                  </a:solidFill>
                                  <a:prstDash val="solid"/>
                                  <a:headEnd type="none" w="med" len="med"/>
                                  <a:tailEnd type="triangle" w="med" len="med"/>
                                </a:ln>
                              </wps:spPr>
                              <wps:bodyPr/>
                            </wps:wsp>
                            <wps:wsp>
                              <wps:cNvPr id="673" name="文本框 625"/>
                              <wps:cNvSpPr txBox="1"/>
                              <wps:spPr>
                                <a:xfrm>
                                  <a:off x="1876784" y="3267702"/>
                                  <a:ext cx="785530" cy="28147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设备清洗</w:t>
                                    </w:r>
                                  </w:p>
                                </w:txbxContent>
                              </wps:txbx>
                              <wps:bodyPr upright="1"/>
                            </wps:wsp>
                            <wps:wsp>
                              <wps:cNvPr id="674" name="直接箭头连接符 626"/>
                              <wps:cNvCnPr/>
                              <wps:spPr>
                                <a:xfrm>
                                  <a:off x="1274862" y="3408872"/>
                                  <a:ext cx="601922" cy="866"/>
                                </a:xfrm>
                                <a:prstGeom prst="straightConnector1">
                                  <a:avLst/>
                                </a:prstGeom>
                                <a:ln w="9525" cap="flat" cmpd="sng">
                                  <a:solidFill>
                                    <a:srgbClr val="000000"/>
                                  </a:solidFill>
                                  <a:prstDash val="solid"/>
                                  <a:headEnd type="none" w="med" len="med"/>
                                  <a:tailEnd type="triangle" w="med" len="med"/>
                                </a:ln>
                              </wps:spPr>
                              <wps:bodyPr/>
                            </wps:wsp>
                            <wps:wsp>
                              <wps:cNvPr id="675" name="直接箭头连接符 627"/>
                              <wps:cNvCnPr/>
                              <wps:spPr>
                                <a:xfrm>
                                  <a:off x="1274862" y="613181"/>
                                  <a:ext cx="866" cy="3610667"/>
                                </a:xfrm>
                                <a:prstGeom prst="straightConnector1">
                                  <a:avLst/>
                                </a:prstGeom>
                                <a:ln w="9525" cap="flat" cmpd="sng">
                                  <a:solidFill>
                                    <a:srgbClr val="000000"/>
                                  </a:solidFill>
                                  <a:prstDash val="solid"/>
                                  <a:headEnd type="none" w="med" len="med"/>
                                  <a:tailEnd type="none" w="med" len="med"/>
                                </a:ln>
                              </wps:spPr>
                              <wps:bodyPr/>
                            </wps:wsp>
                            <wps:wsp>
                              <wps:cNvPr id="676" name="直接箭头连接符 628"/>
                              <wps:cNvCnPr/>
                              <wps:spPr>
                                <a:xfrm flipV="1">
                                  <a:off x="621842" y="2083777"/>
                                  <a:ext cx="653020" cy="1732"/>
                                </a:xfrm>
                                <a:prstGeom prst="straightConnector1">
                                  <a:avLst/>
                                </a:prstGeom>
                                <a:ln w="9525" cap="flat" cmpd="sng">
                                  <a:solidFill>
                                    <a:srgbClr val="000000"/>
                                  </a:solidFill>
                                  <a:prstDash val="solid"/>
                                  <a:headEnd type="none" w="med" len="med"/>
                                  <a:tailEnd type="triangle" w="med" len="med"/>
                                </a:ln>
                              </wps:spPr>
                              <wps:bodyPr/>
                            </wps:wsp>
                            <wps:wsp>
                              <wps:cNvPr id="677" name="肘形连接符 629"/>
                              <wps:cNvCnPr/>
                              <wps:spPr>
                                <a:xfrm rot="16200000">
                                  <a:off x="2331473" y="187072"/>
                                  <a:ext cx="274546" cy="293599"/>
                                </a:xfrm>
                                <a:prstGeom prst="bentConnector2">
                                  <a:avLst/>
                                </a:prstGeom>
                                <a:ln w="9525" cap="flat" cmpd="sng">
                                  <a:solidFill>
                                    <a:srgbClr val="000000"/>
                                  </a:solidFill>
                                  <a:prstDash val="solid"/>
                                  <a:miter/>
                                  <a:headEnd type="none" w="med" len="med"/>
                                  <a:tailEnd type="triangle" w="med" len="med"/>
                                </a:ln>
                              </wps:spPr>
                              <wps:bodyPr/>
                            </wps:wsp>
                            <wps:wsp>
                              <wps:cNvPr id="678" name="文本框 630"/>
                              <wps:cNvSpPr txBox="1"/>
                              <wps:spPr>
                                <a:xfrm>
                                  <a:off x="1365800" y="402725"/>
                                  <a:ext cx="457287" cy="349894"/>
                                </a:xfrm>
                                <a:prstGeom prst="rect">
                                  <a:avLst/>
                                </a:prstGeom>
                                <a:noFill/>
                                <a:ln w="15875">
                                  <a:noFill/>
                                </a:ln>
                              </wps:spPr>
                              <wps:txbx>
                                <w:txbxContent>
                                  <w:p>
                                    <w:pPr>
                                      <w:rPr>
                                        <w:sz w:val="18"/>
                                        <w:szCs w:val="18"/>
                                      </w:rPr>
                                    </w:pPr>
                                    <w:r>
                                      <w:rPr>
                                        <w:rFonts w:hint="eastAsia"/>
                                        <w:sz w:val="18"/>
                                        <w:szCs w:val="18"/>
                                      </w:rPr>
                                      <w:t>2.304</w:t>
                                    </w:r>
                                  </w:p>
                                </w:txbxContent>
                              </wps:txbx>
                              <wps:bodyPr upright="1"/>
                            </wps:wsp>
                            <wps:wsp>
                              <wps:cNvPr id="679" name="文本框 631"/>
                              <wps:cNvSpPr txBox="1"/>
                              <wps:spPr>
                                <a:xfrm>
                                  <a:off x="2615546" y="52831"/>
                                  <a:ext cx="724039" cy="349894"/>
                                </a:xfrm>
                                <a:prstGeom prst="rect">
                                  <a:avLst/>
                                </a:prstGeom>
                                <a:noFill/>
                                <a:ln w="15875">
                                  <a:noFill/>
                                </a:ln>
                              </wps:spPr>
                              <wps:txbx>
                                <w:txbxContent>
                                  <w:p>
                                    <w:pPr>
                                      <w:rPr>
                                        <w:sz w:val="18"/>
                                        <w:szCs w:val="18"/>
                                      </w:rPr>
                                    </w:pPr>
                                    <w:r>
                                      <w:rPr>
                                        <w:rFonts w:hint="eastAsia"/>
                                        <w:sz w:val="18"/>
                                        <w:szCs w:val="18"/>
                                      </w:rPr>
                                      <w:t>损失2.304</w:t>
                                    </w:r>
                                  </w:p>
                                </w:txbxContent>
                              </wps:txbx>
                              <wps:bodyPr upright="1"/>
                            </wps:wsp>
                            <wps:wsp>
                              <wps:cNvPr id="680" name="文本框 632"/>
                              <wps:cNvSpPr txBox="1"/>
                              <wps:spPr>
                                <a:xfrm>
                                  <a:off x="1365800" y="1057478"/>
                                  <a:ext cx="457287" cy="349894"/>
                                </a:xfrm>
                                <a:prstGeom prst="rect">
                                  <a:avLst/>
                                </a:prstGeom>
                                <a:noFill/>
                                <a:ln w="15875">
                                  <a:noFill/>
                                </a:ln>
                              </wps:spPr>
                              <wps:txbx>
                                <w:txbxContent>
                                  <w:p>
                                    <w:pPr>
                                      <w:rPr>
                                        <w:sz w:val="18"/>
                                        <w:szCs w:val="18"/>
                                      </w:rPr>
                                    </w:pPr>
                                    <w:r>
                                      <w:rPr>
                                        <w:rFonts w:hint="eastAsia"/>
                                        <w:sz w:val="18"/>
                                        <w:szCs w:val="18"/>
                                      </w:rPr>
                                      <w:t>5</w:t>
                                    </w:r>
                                  </w:p>
                                </w:txbxContent>
                              </wps:txbx>
                              <wps:bodyPr upright="1"/>
                            </wps:wsp>
                            <wps:wsp>
                              <wps:cNvPr id="681" name="肘形连接符 633"/>
                              <wps:cNvCnPr/>
                              <wps:spPr>
                                <a:xfrm flipV="1">
                                  <a:off x="2420679" y="851352"/>
                                  <a:ext cx="293599" cy="274546"/>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682" name="文本框 634"/>
                              <wps:cNvSpPr txBox="1"/>
                              <wps:spPr>
                                <a:xfrm>
                                  <a:off x="2714278" y="707583"/>
                                  <a:ext cx="724039" cy="349894"/>
                                </a:xfrm>
                                <a:prstGeom prst="rect">
                                  <a:avLst/>
                                </a:prstGeom>
                                <a:noFill/>
                                <a:ln w="15875">
                                  <a:noFill/>
                                </a:ln>
                              </wps:spPr>
                              <wps:txbx>
                                <w:txbxContent>
                                  <w:p>
                                    <w:pPr>
                                      <w:rPr>
                                        <w:sz w:val="18"/>
                                        <w:szCs w:val="18"/>
                                      </w:rPr>
                                    </w:pPr>
                                    <w:r>
                                      <w:rPr>
                                        <w:rFonts w:hint="eastAsia"/>
                                        <w:sz w:val="18"/>
                                        <w:szCs w:val="18"/>
                                      </w:rPr>
                                      <w:t>损失5</w:t>
                                    </w:r>
                                  </w:p>
                                </w:txbxContent>
                              </wps:txbx>
                              <wps:bodyPr upright="1"/>
                            </wps:wsp>
                            <wps:wsp>
                              <wps:cNvPr id="683" name="文本框 635"/>
                              <wps:cNvSpPr txBox="1"/>
                              <wps:spPr>
                                <a:xfrm>
                                  <a:off x="3339584" y="1818758"/>
                                  <a:ext cx="784664" cy="28060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沉淀池</w:t>
                                    </w:r>
                                  </w:p>
                                </w:txbxContent>
                              </wps:txbx>
                              <wps:bodyPr upright="1"/>
                            </wps:wsp>
                            <wps:wsp>
                              <wps:cNvPr id="684" name="直接箭头连接符 636"/>
                              <wps:cNvCnPr/>
                              <wps:spPr>
                                <a:xfrm>
                                  <a:off x="2714278" y="1945205"/>
                                  <a:ext cx="625306" cy="16455"/>
                                </a:xfrm>
                                <a:prstGeom prst="straightConnector1">
                                  <a:avLst/>
                                </a:prstGeom>
                                <a:ln w="9525" cap="flat" cmpd="sng">
                                  <a:solidFill>
                                    <a:srgbClr val="000000"/>
                                  </a:solidFill>
                                  <a:prstDash val="solid"/>
                                  <a:headEnd type="none" w="med" len="med"/>
                                  <a:tailEnd type="triangle" w="med" len="med"/>
                                </a:ln>
                              </wps:spPr>
                              <wps:bodyPr/>
                            </wps:wsp>
                            <wps:wsp>
                              <wps:cNvPr id="685" name="肘形连接符 637"/>
                              <wps:cNvCnPr/>
                              <wps:spPr>
                                <a:xfrm rot="-5400000" flipV="1">
                                  <a:off x="3020003" y="1387452"/>
                                  <a:ext cx="13857" cy="1409970"/>
                                </a:xfrm>
                                <a:prstGeom prst="bentConnector3">
                                  <a:avLst>
                                    <a:gd name="adj1" fmla="val -1636366"/>
                                  </a:avLst>
                                </a:prstGeom>
                                <a:ln w="9525" cap="flat" cmpd="sng">
                                  <a:solidFill>
                                    <a:srgbClr val="000000"/>
                                  </a:solidFill>
                                  <a:prstDash val="solid"/>
                                  <a:miter/>
                                  <a:headEnd type="none" w="med" len="med"/>
                                  <a:tailEnd type="triangle" w="med" len="med"/>
                                </a:ln>
                              </wps:spPr>
                              <wps:bodyPr/>
                            </wps:wsp>
                            <wps:wsp>
                              <wps:cNvPr id="686" name="肘形连接符 638"/>
                              <wps:cNvCnPr/>
                              <wps:spPr>
                                <a:xfrm flipV="1">
                                  <a:off x="2181642" y="1531221"/>
                                  <a:ext cx="292733" cy="273680"/>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687" name="文本框 639"/>
                              <wps:cNvSpPr txBox="1"/>
                              <wps:spPr>
                                <a:xfrm>
                                  <a:off x="2474376" y="1386586"/>
                                  <a:ext cx="724039" cy="349894"/>
                                </a:xfrm>
                                <a:prstGeom prst="rect">
                                  <a:avLst/>
                                </a:prstGeom>
                                <a:noFill/>
                                <a:ln w="15875">
                                  <a:noFill/>
                                </a:ln>
                              </wps:spPr>
                              <wps:txbx>
                                <w:txbxContent>
                                  <w:p>
                                    <w:pPr>
                                      <w:rPr>
                                        <w:sz w:val="18"/>
                                        <w:szCs w:val="18"/>
                                      </w:rPr>
                                    </w:pPr>
                                    <w:r>
                                      <w:rPr>
                                        <w:rFonts w:hint="eastAsia"/>
                                        <w:sz w:val="18"/>
                                        <w:szCs w:val="18"/>
                                      </w:rPr>
                                      <w:t>损失0.7</w:t>
                                    </w:r>
                                  </w:p>
                                </w:txbxContent>
                              </wps:txbx>
                              <wps:bodyPr upright="1"/>
                            </wps:wsp>
                            <wps:wsp>
                              <wps:cNvPr id="688" name="文本框 640"/>
                              <wps:cNvSpPr txBox="1"/>
                              <wps:spPr>
                                <a:xfrm>
                                  <a:off x="1364934" y="1749472"/>
                                  <a:ext cx="458154" cy="349894"/>
                                </a:xfrm>
                                <a:prstGeom prst="rect">
                                  <a:avLst/>
                                </a:prstGeom>
                                <a:noFill/>
                                <a:ln w="15875">
                                  <a:noFill/>
                                </a:ln>
                              </wps:spPr>
                              <wps:txbx>
                                <w:txbxContent>
                                  <w:p>
                                    <w:pPr>
                                      <w:rPr>
                                        <w:sz w:val="18"/>
                                        <w:szCs w:val="18"/>
                                      </w:rPr>
                                    </w:pPr>
                                    <w:r>
                                      <w:rPr>
                                        <w:rFonts w:hint="eastAsia"/>
                                        <w:sz w:val="18"/>
                                        <w:szCs w:val="18"/>
                                      </w:rPr>
                                      <w:t>0.7</w:t>
                                    </w:r>
                                  </w:p>
                                </w:txbxContent>
                              </wps:txbx>
                              <wps:bodyPr upright="1"/>
                            </wps:wsp>
                            <wps:wsp>
                              <wps:cNvPr id="689" name="文本框 641"/>
                              <wps:cNvSpPr txBox="1"/>
                              <wps:spPr>
                                <a:xfrm>
                                  <a:off x="2741127" y="1733882"/>
                                  <a:ext cx="457287" cy="349894"/>
                                </a:xfrm>
                                <a:prstGeom prst="rect">
                                  <a:avLst/>
                                </a:prstGeom>
                                <a:noFill/>
                                <a:ln w="15875">
                                  <a:noFill/>
                                </a:ln>
                              </wps:spPr>
                              <wps:txbx>
                                <w:txbxContent>
                                  <w:p>
                                    <w:pPr>
                                      <w:rPr>
                                        <w:sz w:val="18"/>
                                        <w:szCs w:val="18"/>
                                      </w:rPr>
                                    </w:pPr>
                                    <w:r>
                                      <w:rPr>
                                        <w:rFonts w:hint="eastAsia"/>
                                        <w:sz w:val="18"/>
                                        <w:szCs w:val="18"/>
                                      </w:rPr>
                                      <w:t>2.8</w:t>
                                    </w:r>
                                  </w:p>
                                </w:txbxContent>
                              </wps:txbx>
                              <wps:bodyPr upright="1"/>
                            </wps:wsp>
                            <wps:wsp>
                              <wps:cNvPr id="690" name="文本框 642"/>
                              <wps:cNvSpPr txBox="1"/>
                              <wps:spPr>
                                <a:xfrm>
                                  <a:off x="2882297" y="2147866"/>
                                  <a:ext cx="457287" cy="349894"/>
                                </a:xfrm>
                                <a:prstGeom prst="rect">
                                  <a:avLst/>
                                </a:prstGeom>
                                <a:noFill/>
                                <a:ln w="15875">
                                  <a:noFill/>
                                </a:ln>
                              </wps:spPr>
                              <wps:txbx>
                                <w:txbxContent>
                                  <w:p>
                                    <w:pPr>
                                      <w:rPr>
                                        <w:sz w:val="18"/>
                                        <w:szCs w:val="18"/>
                                      </w:rPr>
                                    </w:pPr>
                                    <w:r>
                                      <w:rPr>
                                        <w:rFonts w:hint="eastAsia"/>
                                        <w:sz w:val="18"/>
                                        <w:szCs w:val="18"/>
                                      </w:rPr>
                                      <w:t>2.8</w:t>
                                    </w:r>
                                  </w:p>
                                </w:txbxContent>
                              </wps:txbx>
                              <wps:bodyPr upright="1"/>
                            </wps:wsp>
                            <wps:wsp>
                              <wps:cNvPr id="691" name="文本框 643"/>
                              <wps:cNvSpPr txBox="1"/>
                              <wps:spPr>
                                <a:xfrm>
                                  <a:off x="3369031" y="2510752"/>
                                  <a:ext cx="784664" cy="28147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化粪池</w:t>
                                    </w:r>
                                  </w:p>
                                </w:txbxContent>
                              </wps:txbx>
                              <wps:bodyPr upright="1"/>
                            </wps:wsp>
                            <wps:wsp>
                              <wps:cNvPr id="692" name="直接箭头连接符 644"/>
                              <wps:cNvCnPr/>
                              <wps:spPr>
                                <a:xfrm flipV="1">
                                  <a:off x="2714278" y="2651922"/>
                                  <a:ext cx="654753" cy="866"/>
                                </a:xfrm>
                                <a:prstGeom prst="straightConnector1">
                                  <a:avLst/>
                                </a:prstGeom>
                                <a:ln w="9525" cap="flat" cmpd="sng">
                                  <a:solidFill>
                                    <a:srgbClr val="000000"/>
                                  </a:solidFill>
                                  <a:prstDash val="solid"/>
                                  <a:headEnd type="none" w="med" len="med"/>
                                  <a:tailEnd type="triangle" w="med" len="med"/>
                                </a:ln>
                              </wps:spPr>
                              <wps:bodyPr/>
                            </wps:wsp>
                            <wps:wsp>
                              <wps:cNvPr id="693" name="文本框 645"/>
                              <wps:cNvSpPr txBox="1"/>
                              <wps:spPr>
                                <a:xfrm>
                                  <a:off x="4505321" y="2510752"/>
                                  <a:ext cx="1087790" cy="281474"/>
                                </a:xfrm>
                                <a:prstGeom prst="rect">
                                  <a:avLst/>
                                </a:prstGeom>
                                <a:solidFill>
                                  <a:srgbClr val="FFFFFF"/>
                                </a:solidFill>
                                <a:ln>
                                  <a:noFill/>
                                </a:ln>
                              </wps:spPr>
                              <wps:txbx>
                                <w:txbxContent>
                                  <w:p>
                                    <w:pPr>
                                      <w:rPr>
                                        <w:sz w:val="21"/>
                                        <w:szCs w:val="21"/>
                                      </w:rPr>
                                    </w:pPr>
                                    <w:r>
                                      <w:rPr>
                                        <w:rFonts w:hint="eastAsia"/>
                                        <w:sz w:val="21"/>
                                        <w:szCs w:val="21"/>
                                      </w:rPr>
                                      <w:t>定期清运</w:t>
                                    </w:r>
                                  </w:p>
                                </w:txbxContent>
                              </wps:txbx>
                              <wps:bodyPr upright="1"/>
                            </wps:wsp>
                            <wps:wsp>
                              <wps:cNvPr id="694" name="直接箭头连接符 646"/>
                              <wps:cNvCnPr/>
                              <wps:spPr>
                                <a:xfrm>
                                  <a:off x="4153695" y="2652788"/>
                                  <a:ext cx="351626" cy="866"/>
                                </a:xfrm>
                                <a:prstGeom prst="straightConnector1">
                                  <a:avLst/>
                                </a:prstGeom>
                                <a:ln w="9525" cap="flat" cmpd="sng">
                                  <a:solidFill>
                                    <a:srgbClr val="000000"/>
                                  </a:solidFill>
                                  <a:prstDash val="solid"/>
                                  <a:headEnd type="none" w="med" len="med"/>
                                  <a:tailEnd type="triangle" w="med" len="med"/>
                                </a:ln>
                              </wps:spPr>
                              <wps:bodyPr/>
                            </wps:wsp>
                            <wps:wsp>
                              <wps:cNvPr id="695" name="文本框 647"/>
                              <wps:cNvSpPr txBox="1"/>
                              <wps:spPr>
                                <a:xfrm>
                                  <a:off x="1364934" y="2429341"/>
                                  <a:ext cx="458154" cy="349894"/>
                                </a:xfrm>
                                <a:prstGeom prst="rect">
                                  <a:avLst/>
                                </a:prstGeom>
                                <a:noFill/>
                                <a:ln w="15875">
                                  <a:noFill/>
                                </a:ln>
                              </wps:spPr>
                              <wps:txbx>
                                <w:txbxContent>
                                  <w:p>
                                    <w:pPr>
                                      <w:rPr>
                                        <w:sz w:val="18"/>
                                        <w:szCs w:val="18"/>
                                      </w:rPr>
                                    </w:pPr>
                                    <w:r>
                                      <w:rPr>
                                        <w:rFonts w:hint="eastAsia"/>
                                        <w:sz w:val="18"/>
                                        <w:szCs w:val="18"/>
                                      </w:rPr>
                                      <w:t>1.6</w:t>
                                    </w:r>
                                  </w:p>
                                </w:txbxContent>
                              </wps:txbx>
                              <wps:bodyPr upright="1"/>
                            </wps:wsp>
                            <wps:wsp>
                              <wps:cNvPr id="696" name="文本框 648"/>
                              <wps:cNvSpPr txBox="1"/>
                              <wps:spPr>
                                <a:xfrm>
                                  <a:off x="1556385" y="1992630"/>
                                  <a:ext cx="708660" cy="344805"/>
                                </a:xfrm>
                                <a:prstGeom prst="rect">
                                  <a:avLst/>
                                </a:prstGeom>
                                <a:noFill/>
                                <a:ln w="15875">
                                  <a:noFill/>
                                </a:ln>
                              </wps:spPr>
                              <wps:txbx>
                                <w:txbxContent>
                                  <w:p>
                                    <w:pPr>
                                      <w:rPr>
                                        <w:sz w:val="18"/>
                                        <w:szCs w:val="18"/>
                                      </w:rPr>
                                    </w:pPr>
                                    <w:r>
                                      <w:rPr>
                                        <w:rFonts w:hint="eastAsia"/>
                                        <w:sz w:val="18"/>
                                        <w:szCs w:val="18"/>
                                      </w:rPr>
                                      <w:t>损失0.32</w:t>
                                    </w:r>
                                  </w:p>
                                </w:txbxContent>
                              </wps:txbx>
                              <wps:bodyPr upright="1"/>
                            </wps:wsp>
                            <wps:wsp>
                              <wps:cNvPr id="697" name="曲线连接符 649"/>
                              <wps:cNvCnPr/>
                              <wps:spPr>
                                <a:xfrm rot="-16200000" flipH="1">
                                  <a:off x="2036142" y="2211956"/>
                                  <a:ext cx="160224" cy="411386"/>
                                </a:xfrm>
                                <a:prstGeom prst="curvedConnector3">
                                  <a:avLst>
                                    <a:gd name="adj1" fmla="val 50000"/>
                                  </a:avLst>
                                </a:prstGeom>
                                <a:ln w="9525" cap="flat" cmpd="sng">
                                  <a:solidFill>
                                    <a:srgbClr val="000000"/>
                                  </a:solidFill>
                                  <a:prstDash val="solid"/>
                                  <a:headEnd type="none" w="med" len="med"/>
                                  <a:tailEnd type="triangle" w="med" len="med"/>
                                </a:ln>
                              </wps:spPr>
                              <wps:bodyPr/>
                            </wps:wsp>
                            <wps:wsp>
                              <wps:cNvPr id="698" name="文本框 650"/>
                              <wps:cNvSpPr txBox="1"/>
                              <wps:spPr>
                                <a:xfrm>
                                  <a:off x="2812145" y="2429341"/>
                                  <a:ext cx="458154" cy="349894"/>
                                </a:xfrm>
                                <a:prstGeom prst="rect">
                                  <a:avLst/>
                                </a:prstGeom>
                                <a:noFill/>
                                <a:ln w="15875">
                                  <a:noFill/>
                                </a:ln>
                              </wps:spPr>
                              <wps:txbx>
                                <w:txbxContent>
                                  <w:p>
                                    <w:pPr>
                                      <w:rPr>
                                        <w:sz w:val="18"/>
                                        <w:szCs w:val="18"/>
                                      </w:rPr>
                                    </w:pPr>
                                    <w:r>
                                      <w:rPr>
                                        <w:rFonts w:hint="eastAsia"/>
                                        <w:sz w:val="18"/>
                                        <w:szCs w:val="18"/>
                                      </w:rPr>
                                      <w:t>1.28</w:t>
                                    </w:r>
                                  </w:p>
                                </w:txbxContent>
                              </wps:txbx>
                              <wps:bodyPr upright="1"/>
                            </wps:wsp>
                            <wps:wsp>
                              <wps:cNvPr id="699" name="文本框 651"/>
                              <wps:cNvSpPr txBox="1"/>
                              <wps:spPr>
                                <a:xfrm>
                                  <a:off x="4153695" y="2429341"/>
                                  <a:ext cx="457287" cy="349894"/>
                                </a:xfrm>
                                <a:prstGeom prst="rect">
                                  <a:avLst/>
                                </a:prstGeom>
                                <a:noFill/>
                                <a:ln w="15875">
                                  <a:noFill/>
                                </a:ln>
                              </wps:spPr>
                              <wps:txbx>
                                <w:txbxContent>
                                  <w:p>
                                    <w:pPr>
                                      <w:rPr>
                                        <w:sz w:val="18"/>
                                        <w:szCs w:val="18"/>
                                      </w:rPr>
                                    </w:pPr>
                                    <w:r>
                                      <w:rPr>
                                        <w:rFonts w:hint="eastAsia"/>
                                        <w:sz w:val="18"/>
                                        <w:szCs w:val="18"/>
                                      </w:rPr>
                                      <w:t>1.28</w:t>
                                    </w:r>
                                  </w:p>
                                </w:txbxContent>
                              </wps:txbx>
                              <wps:bodyPr upright="1"/>
                            </wps:wsp>
                            <wps:wsp>
                              <wps:cNvPr id="700" name="文本框 652"/>
                              <wps:cNvSpPr txBox="1"/>
                              <wps:spPr>
                                <a:xfrm>
                                  <a:off x="3317066" y="3268568"/>
                                  <a:ext cx="784664" cy="28060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沉淀池</w:t>
                                    </w:r>
                                  </w:p>
                                </w:txbxContent>
                              </wps:txbx>
                              <wps:bodyPr upright="1"/>
                            </wps:wsp>
                            <wps:wsp>
                              <wps:cNvPr id="701" name="直接箭头连接符 653"/>
                              <wps:cNvCnPr/>
                              <wps:spPr>
                                <a:xfrm flipV="1">
                                  <a:off x="2662314" y="3409738"/>
                                  <a:ext cx="654753" cy="866"/>
                                </a:xfrm>
                                <a:prstGeom prst="straightConnector1">
                                  <a:avLst/>
                                </a:prstGeom>
                                <a:ln w="9525" cap="flat" cmpd="sng">
                                  <a:solidFill>
                                    <a:srgbClr val="000000"/>
                                  </a:solidFill>
                                  <a:prstDash val="solid"/>
                                  <a:headEnd type="none" w="med" len="med"/>
                                  <a:tailEnd type="triangle" w="med" len="med"/>
                                </a:ln>
                              </wps:spPr>
                              <wps:bodyPr/>
                            </wps:wsp>
                            <wps:wsp>
                              <wps:cNvPr id="702" name="肘形连接符 654"/>
                              <wps:cNvCnPr/>
                              <wps:spPr>
                                <a:xfrm rot="16200000" flipH="1" flipV="1">
                                  <a:off x="2722939" y="2422412"/>
                                  <a:ext cx="140304" cy="1832615"/>
                                </a:xfrm>
                                <a:prstGeom prst="bentConnector4">
                                  <a:avLst>
                                    <a:gd name="adj1" fmla="val -163347"/>
                                    <a:gd name="adj2" fmla="val 112472"/>
                                  </a:avLst>
                                </a:prstGeom>
                                <a:ln w="9525" cap="flat" cmpd="sng">
                                  <a:solidFill>
                                    <a:srgbClr val="000000"/>
                                  </a:solidFill>
                                  <a:prstDash val="solid"/>
                                  <a:miter/>
                                  <a:headEnd type="none" w="med" len="med"/>
                                  <a:tailEnd type="triangle" w="med" len="med"/>
                                </a:ln>
                              </wps:spPr>
                              <wps:bodyPr/>
                            </wps:wsp>
                            <wps:wsp>
                              <wps:cNvPr id="703" name="文本框 655"/>
                              <wps:cNvSpPr txBox="1"/>
                              <wps:spPr>
                                <a:xfrm>
                                  <a:off x="1220299" y="3161174"/>
                                  <a:ext cx="458154" cy="349894"/>
                                </a:xfrm>
                                <a:prstGeom prst="rect">
                                  <a:avLst/>
                                </a:prstGeom>
                                <a:noFill/>
                                <a:ln w="15875">
                                  <a:noFill/>
                                </a:ln>
                              </wps:spPr>
                              <wps:txbx>
                                <w:txbxContent>
                                  <w:p>
                                    <w:pPr>
                                      <w:rPr>
                                        <w:sz w:val="18"/>
                                        <w:szCs w:val="18"/>
                                      </w:rPr>
                                    </w:pPr>
                                    <w:r>
                                      <w:rPr>
                                        <w:rFonts w:hint="eastAsia"/>
                                        <w:sz w:val="18"/>
                                        <w:szCs w:val="18"/>
                                      </w:rPr>
                                      <w:t>4</w:t>
                                    </w:r>
                                  </w:p>
                                </w:txbxContent>
                              </wps:txbx>
                              <wps:bodyPr upright="1"/>
                            </wps:wsp>
                            <wps:wsp>
                              <wps:cNvPr id="704" name="文本框 656"/>
                              <wps:cNvSpPr txBox="1"/>
                              <wps:spPr>
                                <a:xfrm>
                                  <a:off x="2741127" y="3199282"/>
                                  <a:ext cx="458154" cy="349894"/>
                                </a:xfrm>
                                <a:prstGeom prst="rect">
                                  <a:avLst/>
                                </a:prstGeom>
                                <a:noFill/>
                                <a:ln w="15875">
                                  <a:noFill/>
                                </a:ln>
                              </wps:spPr>
                              <wps:txbx>
                                <w:txbxContent>
                                  <w:p>
                                    <w:pPr>
                                      <w:rPr>
                                        <w:sz w:val="18"/>
                                        <w:szCs w:val="18"/>
                                      </w:rPr>
                                    </w:pPr>
                                    <w:r>
                                      <w:rPr>
                                        <w:rFonts w:hint="eastAsia"/>
                                        <w:sz w:val="18"/>
                                        <w:szCs w:val="18"/>
                                      </w:rPr>
                                      <w:t>4</w:t>
                                    </w:r>
                                  </w:p>
                                </w:txbxContent>
                              </wps:txbx>
                              <wps:bodyPr upright="1"/>
                            </wps:wsp>
                            <wps:wsp>
                              <wps:cNvPr id="705" name="文本框 657"/>
                              <wps:cNvSpPr txBox="1"/>
                              <wps:spPr>
                                <a:xfrm>
                                  <a:off x="2436268" y="2849387"/>
                                  <a:ext cx="457287" cy="349894"/>
                                </a:xfrm>
                                <a:prstGeom prst="rect">
                                  <a:avLst/>
                                </a:prstGeom>
                                <a:noFill/>
                                <a:ln w="15875">
                                  <a:noFill/>
                                </a:ln>
                              </wps:spPr>
                              <wps:txbx>
                                <w:txbxContent>
                                  <w:p>
                                    <w:pPr>
                                      <w:rPr>
                                        <w:sz w:val="18"/>
                                        <w:szCs w:val="18"/>
                                      </w:rPr>
                                    </w:pPr>
                                    <w:r>
                                      <w:rPr>
                                        <w:rFonts w:hint="eastAsia"/>
                                        <w:sz w:val="18"/>
                                        <w:szCs w:val="18"/>
                                      </w:rPr>
                                      <w:t>4</w:t>
                                    </w:r>
                                  </w:p>
                                </w:txbxContent>
                              </wps:txbx>
                              <wps:bodyPr upright="1"/>
                            </wps:wsp>
                            <wps:wsp>
                              <wps:cNvPr id="706" name="文本框 658"/>
                              <wps:cNvSpPr txBox="1"/>
                              <wps:spPr>
                                <a:xfrm>
                                  <a:off x="322180" y="1818758"/>
                                  <a:ext cx="1043620" cy="349894"/>
                                </a:xfrm>
                                <a:prstGeom prst="rect">
                                  <a:avLst/>
                                </a:prstGeom>
                                <a:noFill/>
                                <a:ln w="15875">
                                  <a:noFill/>
                                </a:ln>
                              </wps:spPr>
                              <wps:txbx>
                                <w:txbxContent>
                                  <w:p>
                                    <w:pPr>
                                      <w:rPr>
                                        <w:sz w:val="18"/>
                                        <w:szCs w:val="18"/>
                                      </w:rPr>
                                    </w:pPr>
                                    <w:r>
                                      <w:rPr>
                                        <w:rFonts w:hint="eastAsia"/>
                                        <w:sz w:val="18"/>
                                        <w:szCs w:val="18"/>
                                      </w:rPr>
                                      <w:t>新鲜水91.04</w:t>
                                    </w:r>
                                  </w:p>
                                </w:txbxContent>
                              </wps:txbx>
                              <wps:bodyPr upright="1"/>
                            </wps:wsp>
                            <wps:wsp>
                              <wps:cNvPr id="707" name="文本框 659"/>
                              <wps:cNvSpPr txBox="1"/>
                              <wps:spPr>
                                <a:xfrm>
                                  <a:off x="1956463" y="4040241"/>
                                  <a:ext cx="784664" cy="28060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配料用水</w:t>
                                    </w:r>
                                  </w:p>
                                </w:txbxContent>
                              </wps:txbx>
                              <wps:bodyPr upright="1"/>
                            </wps:wsp>
                            <wps:wsp>
                              <wps:cNvPr id="708" name="直接箭头连接符 660"/>
                              <wps:cNvCnPr/>
                              <wps:spPr>
                                <a:xfrm flipV="1">
                                  <a:off x="1301710" y="4181411"/>
                                  <a:ext cx="654753" cy="866"/>
                                </a:xfrm>
                                <a:prstGeom prst="straightConnector1">
                                  <a:avLst/>
                                </a:prstGeom>
                                <a:ln w="9525" cap="flat" cmpd="sng">
                                  <a:solidFill>
                                    <a:srgbClr val="000000"/>
                                  </a:solidFill>
                                  <a:prstDash val="solid"/>
                                  <a:headEnd type="none" w="med" len="med"/>
                                  <a:tailEnd type="triangle" w="med" len="med"/>
                                </a:ln>
                              </wps:spPr>
                              <wps:bodyPr/>
                            </wps:wsp>
                            <wps:wsp>
                              <wps:cNvPr id="709" name="肘形连接符 661"/>
                              <wps:cNvCnPr/>
                              <wps:spPr>
                                <a:xfrm flipV="1">
                                  <a:off x="2348795" y="3765695"/>
                                  <a:ext cx="294465" cy="274546"/>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710" name="文本框 662"/>
                              <wps:cNvSpPr txBox="1"/>
                              <wps:spPr>
                                <a:xfrm>
                                  <a:off x="1419497" y="3915526"/>
                                  <a:ext cx="457287" cy="349894"/>
                                </a:xfrm>
                                <a:prstGeom prst="rect">
                                  <a:avLst/>
                                </a:prstGeom>
                                <a:noFill/>
                                <a:ln w="15875">
                                  <a:noFill/>
                                </a:ln>
                              </wps:spPr>
                              <wps:txbx>
                                <w:txbxContent>
                                  <w:p>
                                    <w:pPr>
                                      <w:rPr>
                                        <w:sz w:val="18"/>
                                        <w:szCs w:val="18"/>
                                      </w:rPr>
                                    </w:pPr>
                                    <w:r>
                                      <w:rPr>
                                        <w:rFonts w:hint="eastAsia"/>
                                        <w:sz w:val="18"/>
                                        <w:szCs w:val="18"/>
                                      </w:rPr>
                                      <w:t>78.3</w:t>
                                    </w:r>
                                  </w:p>
                                </w:txbxContent>
                              </wps:txbx>
                              <wps:bodyPr upright="1"/>
                            </wps:wsp>
                            <wps:wsp>
                              <wps:cNvPr id="711" name="文本框 663"/>
                              <wps:cNvSpPr txBox="1"/>
                              <wps:spPr>
                                <a:xfrm>
                                  <a:off x="2662314" y="3621060"/>
                                  <a:ext cx="1069602" cy="349894"/>
                                </a:xfrm>
                                <a:prstGeom prst="rect">
                                  <a:avLst/>
                                </a:prstGeom>
                                <a:noFill/>
                                <a:ln w="15875">
                                  <a:noFill/>
                                </a:ln>
                              </wps:spPr>
                              <wps:txbx>
                                <w:txbxContent>
                                  <w:p>
                                    <w:pPr>
                                      <w:rPr>
                                        <w:sz w:val="18"/>
                                        <w:szCs w:val="18"/>
                                      </w:rPr>
                                    </w:pPr>
                                    <w:r>
                                      <w:rPr>
                                        <w:rFonts w:hint="eastAsia"/>
                                        <w:sz w:val="18"/>
                                        <w:szCs w:val="18"/>
                                      </w:rPr>
                                      <w:t>78.3进入产品</w:t>
                                    </w:r>
                                  </w:p>
                                </w:txbxContent>
                              </wps:txbx>
                              <wps:bodyPr upright="1"/>
                            </wps:wsp>
                          </wpc:wpc>
                        </a:graphicData>
                      </a:graphic>
                    </wp:inline>
                  </w:drawing>
                </mc:Choice>
                <mc:Fallback>
                  <w:pict>
                    <v:group id="_x0000_s1026" o:spid="_x0000_s1026" o:spt="203" style="height:379.3pt;width:451.45pt;" coordsize="5733415,4817110" editas="canvas" o:gfxdata="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">
                      <o:lock v:ext="edit" aspectratio="f"/>
                      <v:shape id="_x0000_s1026" o:spid="_x0000_s1026" style="position:absolute;left:0;top:0;height:4817110;width:5733415;" filled="f" stroked="f" coordsize="21600,21600" o:gfxdata="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">
                        <v:fill on="f" focussize="0,0"/>
                        <v:stroke on="f"/>
                        <v:imagedata o:title=""/>
                        <o:lock v:ext="edit" aspectratio="t"/>
                      </v:shape>
                      <v:shape id="文本框 617" o:spid="_x0000_s1026" o:spt="202" type="#_x0000_t202" style="position:absolute;left:1929615;top:471145;height:281474;width:784664;" fillcolor="#FFFFFF" filled="t" stroked="t" coordsize="21600,21600" o:gfxdata="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lvGPdYAAAAFAQAADwAAAAAAAAABACAAAAAiAAAAZHJzL2Rvd25yZXYu&#10;eG1sUEsBAhQAFAAAAAgAh07iQC6Kehr9AQAA9gMAAA4AAAAAAAAAAQAgAAAAJQEAAGRycy9lMm9E&#10;b2MueG1sUEsFBgAAAAAGAAYAWQEAAJQFAAAAAA==&#10;">
                        <v:fill on="t" focussize="0,0"/>
                        <v:stroke color="#000000" joinstyle="miter"/>
                        <v:imagedata o:title=""/>
                        <o:lock v:ext="edit" aspectratio="f"/>
                        <v:textbox>
                          <w:txbxContent>
                            <w:p>
                              <w:pPr>
                                <w:rPr>
                                  <w:sz w:val="21"/>
                                  <w:szCs w:val="21"/>
                                </w:rPr>
                              </w:pPr>
                              <w:r>
                                <w:rPr>
                                  <w:rFonts w:hint="eastAsia"/>
                                  <w:sz w:val="21"/>
                                  <w:szCs w:val="21"/>
                                </w:rPr>
                                <w:t>喷淋用水</w:t>
                              </w:r>
                            </w:p>
                          </w:txbxContent>
                        </v:textbox>
                      </v:shape>
                      <v:shape id="直接箭头连接符 618" o:spid="_x0000_s1026" o:spt="32" type="#_x0000_t32" style="position:absolute;left:1274862;top:612315;flip:y;height:866;width:654753;" filled="f" stroked="t" coordsize="21600,21600" o:gfxdata="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o3LFnWAAAABQEAAA8AAAAAAAAAAQAgAAAAIgAAAGRycy9kb3du&#10;cmV2LnhtbFBLAQIUABQAAAAIAIdO4kC7Uen6AQIAALwDAAAOAAAAAAAAAAEAIAAAACUBAABkcnMv&#10;ZTJvRG9jLnhtbFBLBQYAAAAABgAGAFkBAACYBQAAAAA=&#10;">
                        <v:fill on="f" focussize="0,0"/>
                        <v:stroke color="#000000" joinstyle="round" endarrow="block"/>
                        <v:imagedata o:title=""/>
                        <o:lock v:ext="edit" aspectratio="f"/>
                      </v:shape>
                      <v:shape id="文本框 619" o:spid="_x0000_s1026" o:spt="202" type="#_x0000_t202" style="position:absolute;left:1928749;top:1126764;height:280608;width:1410836;" fillcolor="#FFFFFF" filled="t" stroked="t" coordsize="21600,21600" o:gfxdata="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Jbxj3WAAAABQEAAA8AAAAAAAAAAQAgAAAAIgAAAGRycy9kb3ducmV2&#10;LnhtbFBLAQIUABQAAAAIAIdO4kCMogaV/gEAAPgDAAAOAAAAAAAAAAEAIAAAACUBAABkcnMvZTJv&#10;RG9jLnhtbFBLBQYAAAAABgAGAFkBAACVBQAAAAA=&#10;">
                        <v:fill on="t" focussize="0,0"/>
                        <v:stroke color="#000000" joinstyle="miter"/>
                        <v:imagedata o:title=""/>
                        <o:lock v:ext="edit" aspectratio="f"/>
                        <v:textbox>
                          <w:txbxContent>
                            <w:p>
                              <w:pPr>
                                <w:rPr>
                                  <w:sz w:val="21"/>
                                  <w:szCs w:val="21"/>
                                </w:rPr>
                              </w:pPr>
                              <w:r>
                                <w:rPr>
                                  <w:rFonts w:hint="eastAsia"/>
                                  <w:sz w:val="21"/>
                                  <w:szCs w:val="21"/>
                                </w:rPr>
                                <w:t>地面洒水、抑尘用水</w:t>
                              </w:r>
                            </w:p>
                          </w:txbxContent>
                        </v:textbox>
                      </v:shape>
                      <v:shape id="直接箭头连接符 620" o:spid="_x0000_s1026" o:spt="32" type="#_x0000_t32" style="position:absolute;left:1274862;top:1267068;flip:y;height:1732;width:653886;" filled="f" stroked="t" coordsize="21600,21600" o:gfxdata="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o3LFnWAAAABQEAAA8AAAAAAAAAAQAgAAAAIgAAAGRycy9kb3ducmV2&#10;LnhtbFBLAQIUABQAAAAIAIdO4kDdvFhD/gEAAL4DAAAOAAAAAAAAAAEAIAAAACUBAABkcnMvZTJv&#10;RG9jLnhtbFBLBQYAAAAABgAGAFkBAACVBQAAAAA=&#10;">
                        <v:fill on="f" focussize="0,0"/>
                        <v:stroke color="#000000" joinstyle="round" endarrow="block"/>
                        <v:imagedata o:title=""/>
                        <o:lock v:ext="edit" aspectratio="f"/>
                      </v:shape>
                      <v:shape id="文本框 621" o:spid="_x0000_s1026" o:spt="202" type="#_x0000_t202" style="position:absolute;left:1929615;top:1804901;height:280608;width:784664;" fillcolor="#FFFFFF" filled="t" stroked="t" coordsize="21600,21600" o:gfxdata="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lvGPdYAAAAFAQAADwAAAAAAAAABACAAAAAiAAAAZHJzL2Rvd25yZXYu&#10;eG1sUEsBAhQAFAAAAAgAh07iQFVK2gf9AQAA9wMAAA4AAAAAAAAAAQAgAAAAJQEAAGRycy9lMm9E&#10;b2MueG1sUEsFBgAAAAAGAAYAWQEAAJQFAAAAAA==&#10;">
                        <v:fill on="t" focussize="0,0"/>
                        <v:stroke color="#000000" joinstyle="miter"/>
                        <v:imagedata o:title=""/>
                        <o:lock v:ext="edit" aspectratio="f"/>
                        <v:textbox>
                          <w:txbxContent>
                            <w:p>
                              <w:pPr>
                                <w:rPr>
                                  <w:sz w:val="21"/>
                                  <w:szCs w:val="21"/>
                                </w:rPr>
                              </w:pPr>
                              <w:r>
                                <w:rPr>
                                  <w:rFonts w:hint="eastAsia"/>
                                  <w:sz w:val="21"/>
                                  <w:szCs w:val="21"/>
                                </w:rPr>
                                <w:t>车辆清洗</w:t>
                              </w:r>
                            </w:p>
                          </w:txbxContent>
                        </v:textbox>
                      </v:shape>
                      <v:shape id="直接箭头连接符 622" o:spid="_x0000_s1026" o:spt="32" type="#_x0000_t32" style="position:absolute;left:1274862;top:1945205;flip:y;height:1732;width:654753;" filled="f" stroked="t" coordsize="21600,21600" o:gfxdata="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o3LFnWAAAABQEAAA8AAAAAAAAAAQAgAAAAIgAAAGRycy9k&#10;b3ducmV2LnhtbFBLAQIUABQAAAAIAIdO4kDCUg/bBAIAAL4DAAAOAAAAAAAAAAEAIAAAACUBAABk&#10;cnMvZTJvRG9jLnhtbFBLBQYAAAAABgAGAFkBAACbBQAAAAA=&#10;">
                        <v:fill on="f" focussize="0,0"/>
                        <v:stroke color="#000000" joinstyle="round" endarrow="block"/>
                        <v:imagedata o:title=""/>
                        <o:lock v:ext="edit" aspectratio="f"/>
                      </v:shape>
                      <v:shape id="文本框 623" o:spid="_x0000_s1026" o:spt="202" type="#_x0000_t202" style="position:absolute;left:1929615;top:2497761;height:281474;width:784664;" fillcolor="#FFFFFF" filled="t" stroked="t" coordsize="21600,21600" o:gfxdata="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iW8Y91gAAAAUBAAAPAAAAAAAAAAEAIAAAACIAAABkcnMvZG93bnJl&#10;di54bWxQSwECFAAUAAAACACHTuJAvq3aaf8BAAD3AwAADgAAAAAAAAABACAAAAAlAQAAZHJzL2Uy&#10;b0RvYy54bWxQSwUGAAAAAAYABgBZAQAAlgUAAAAA&#10;">
                        <v:fill on="t" focussize="0,0"/>
                        <v:stroke color="#000000" joinstyle="miter"/>
                        <v:imagedata o:title=""/>
                        <o:lock v:ext="edit" aspectratio="f"/>
                        <v:textbox>
                          <w:txbxContent>
                            <w:p>
                              <w:pPr>
                                <w:rPr>
                                  <w:sz w:val="21"/>
                                  <w:szCs w:val="21"/>
                                </w:rPr>
                              </w:pPr>
                              <w:r>
                                <w:rPr>
                                  <w:rFonts w:hint="eastAsia"/>
                                  <w:sz w:val="21"/>
                                  <w:szCs w:val="21"/>
                                </w:rPr>
                                <w:t>生活废水</w:t>
                              </w:r>
                            </w:p>
                          </w:txbxContent>
                        </v:textbox>
                      </v:shape>
                      <v:shape id="直接箭头连接符 624" o:spid="_x0000_s1026" o:spt="32" type="#_x0000_t32" style="position:absolute;left:1274862;top:2638931;flip:y;height:866;width:654753;" filled="f" stroked="t" coordsize="21600,21600" o:gfxdata="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csWdYAAAAFAQAADwAAAAAAAAABACAAAAAiAAAAZHJzL2Rv&#10;d25yZXYueG1sUEsBAhQAFAAAAAgAh07iQNwSIYADAgAAvQMAAA4AAAAAAAAAAQAgAAAAJQEAAGRy&#10;cy9lMm9Eb2MueG1sUEsFBgAAAAAGAAYAWQEAAJoFAAAAAA==&#10;">
                        <v:fill on="f" focussize="0,0"/>
                        <v:stroke color="#000000" joinstyle="round" endarrow="block"/>
                        <v:imagedata o:title=""/>
                        <o:lock v:ext="edit" aspectratio="f"/>
                      </v:shape>
                      <v:shape id="文本框 625" o:spid="_x0000_s1026" o:spt="202" type="#_x0000_t202" style="position:absolute;left:1876784;top:3267702;height:281474;width:785530;" fillcolor="#FFFFFF" filled="t" stroked="t" coordsize="21600,21600" o:gfxdata="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Jbxj3WAAAABQEAAA8AAAAAAAAAAQAgAAAAIgAAAGRycy9kb3ducmV2&#10;LnhtbFBLAQIUABQAAAAIAIdO4kDXqvtK/gEAAPcDAAAOAAAAAAAAAAEAIAAAACUBAABkcnMvZTJv&#10;RG9jLnhtbFBLBQYAAAAABgAGAFkBAACVBQAAAAA=&#10;">
                        <v:fill on="t" focussize="0,0"/>
                        <v:stroke color="#000000" joinstyle="miter"/>
                        <v:imagedata o:title=""/>
                        <o:lock v:ext="edit" aspectratio="f"/>
                        <v:textbox>
                          <w:txbxContent>
                            <w:p>
                              <w:pPr>
                                <w:rPr>
                                  <w:sz w:val="21"/>
                                  <w:szCs w:val="21"/>
                                </w:rPr>
                              </w:pPr>
                              <w:r>
                                <w:rPr>
                                  <w:rFonts w:hint="eastAsia"/>
                                  <w:sz w:val="21"/>
                                  <w:szCs w:val="21"/>
                                </w:rPr>
                                <w:t>设备清洗</w:t>
                              </w:r>
                            </w:p>
                          </w:txbxContent>
                        </v:textbox>
                      </v:shape>
                      <v:shape id="直接箭头连接符 626" o:spid="_x0000_s1026" o:spt="32" type="#_x0000_t32" style="position:absolute;left:1274862;top:3408872;height:866;width:601922;" filled="f" stroked="t" coordsize="21600,21600" o:gfxdata="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qrBCfXAAAABQEAAA8AAAAAAAAAAQAgAAAAIgAAAGRycy9kb3ducmV2&#10;LnhtbFBLAQIUABQAAAAIAIdO4kA8CUqJ/QEAALMDAAAOAAAAAAAAAAEAIAAAACYBAABkcnMvZTJv&#10;RG9jLnhtbFBLBQYAAAAABgAGAFkBAACVBQAAAAA=&#10;">
                        <v:fill on="f" focussize="0,0"/>
                        <v:stroke color="#000000" joinstyle="round" endarrow="block"/>
                        <v:imagedata o:title=""/>
                        <o:lock v:ext="edit" aspectratio="f"/>
                      </v:shape>
                      <v:shape id="直接箭头连接符 627" o:spid="_x0000_s1026" o:spt="32" type="#_x0000_t32" style="position:absolute;left:1274862;top:613181;height:3610667;width:866;" filled="f" stroked="t" coordsize="21600,21600" o:gfxdata="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5vbuvWAAAABQEAAA8AAAAAAAAAAQAgAAAAIgAAAGRycy9kb3ducmV2LnhtbFBLAQIU&#10;ABQAAAAIAIdO4kBanuha9QEAAK8DAAAOAAAAAAAAAAEAIAAAACUBAABkcnMvZTJvRG9jLnhtbFBL&#10;BQYAAAAABgAGAFkBAACMBQAAAAA=&#10;">
                        <v:fill on="f" focussize="0,0"/>
                        <v:stroke color="#000000" joinstyle="round"/>
                        <v:imagedata o:title=""/>
                        <o:lock v:ext="edit" aspectratio="f"/>
                      </v:shape>
                      <v:shape id="直接箭头连接符 628" o:spid="_x0000_s1026" o:spt="32" type="#_x0000_t32" style="position:absolute;left:621842;top:2083777;flip:y;height:1732;width:653020;" filled="f" stroked="t" coordsize="21600,21600" o:gfxdata="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6NyxZ1gAAAAUBAAAPAAAAAAAAAAEAIAAAACIAAABkcnMvZG93&#10;bnJldi54bWxQSwECFAAUAAAACACHTuJA8ezkpwICAAC9AwAADgAAAAAAAAABACAAAAAlAQAAZHJz&#10;L2Uyb0RvYy54bWxQSwUGAAAAAAYABgBZAQAAmQUAAAAA&#10;">
                        <v:fill on="f" focussize="0,0"/>
                        <v:stroke color="#000000" joinstyle="round" endarrow="block"/>
                        <v:imagedata o:title=""/>
                        <o:lock v:ext="edit" aspectratio="f"/>
                      </v:shape>
                      <v:shape id="肘形连接符 629" o:spid="_x0000_s1026" o:spt="33" type="#_x0000_t33" style="position:absolute;left:2331473;top:187072;height:293599;width:274546;rotation:-5898240f;" filled="f" stroked="t" coordsize="21600,21600" o:gfxdata="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&#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8MNeTWAAAABQEAAA8AAAAAAAAAAQAgAAAAIgAAAGRy&#10;cy9kb3ducmV2LnhtbFBLAQIUABQAAAAIAIdO4kD/jSFlBwIAAMQDAAAOAAAAAAAAAAEAIAAAACUB&#10;AABkcnMvZTJvRG9jLnhtbFBLBQYAAAAABgAGAFkBAACeBQAAAAA=&#10;">
                        <v:fill on="f" focussize="0,0"/>
                        <v:stroke color="#000000" joinstyle="miter" endarrow="block"/>
                        <v:imagedata o:title=""/>
                        <o:lock v:ext="edit" aspectratio="f"/>
                      </v:shape>
                      <v:shape id="文本框 630" o:spid="_x0000_s1026" o:spt="202" type="#_x0000_t202" style="position:absolute;left:1365800;top:402725;height:349894;width:457287;"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ZRRjDZAAAABQEA&#10;AA8AAAAAAAAAAQAgAAAAIgAAAGRycy9kb3ducmV2LnhtbFBLAQIUABQAAAAIAIdO4kDLmcclpwEA&#10;ABgDAAAOAAAAAAAAAAEAIAAAACgBAABkcnMvZTJvRG9jLnhtbFBLBQYAAAAABgAGAFkBAABBBQAA&#10;AAA=&#10;">
                        <v:fill on="f" focussize="0,0"/>
                        <v:stroke on="f" weight="1.25pt"/>
                        <v:imagedata o:title=""/>
                        <o:lock v:ext="edit" aspectratio="f"/>
                        <v:textbox>
                          <w:txbxContent>
                            <w:p>
                              <w:pPr>
                                <w:rPr>
                                  <w:sz w:val="18"/>
                                  <w:szCs w:val="18"/>
                                </w:rPr>
                              </w:pPr>
                              <w:r>
                                <w:rPr>
                                  <w:rFonts w:hint="eastAsia"/>
                                  <w:sz w:val="18"/>
                                  <w:szCs w:val="18"/>
                                </w:rPr>
                                <w:t>2.304</w:t>
                              </w:r>
                            </w:p>
                          </w:txbxContent>
                        </v:textbox>
                      </v:shape>
                      <v:shape id="文本框 631" o:spid="_x0000_s1026" o:spt="202" type="#_x0000_t202" style="position:absolute;left:2615546;top:52831;height:349894;width:724039;"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ZRRjDZAAAABQEA&#10;AA8AAAAAAAAAAQAgAAAAIgAAAGRycy9kb3ducmV2LnhtbFBLAQIUABQAAAAIAIdO4kCc1FL5pwEA&#10;ABcDAAAOAAAAAAAAAAEAIAAAACgBAABkcnMvZTJvRG9jLnhtbFBLBQYAAAAABgAGAFkBAABBBQAA&#10;AAA=&#10;">
                        <v:fill on="f" focussize="0,0"/>
                        <v:stroke on="f" weight="1.25pt"/>
                        <v:imagedata o:title=""/>
                        <o:lock v:ext="edit" aspectratio="f"/>
                        <v:textbox>
                          <w:txbxContent>
                            <w:p>
                              <w:pPr>
                                <w:rPr>
                                  <w:sz w:val="18"/>
                                  <w:szCs w:val="18"/>
                                </w:rPr>
                              </w:pPr>
                              <w:r>
                                <w:rPr>
                                  <w:rFonts w:hint="eastAsia"/>
                                  <w:sz w:val="18"/>
                                  <w:szCs w:val="18"/>
                                </w:rPr>
                                <w:t>损失2.304</w:t>
                              </w:r>
                            </w:p>
                          </w:txbxContent>
                        </v:textbox>
                      </v:shape>
                      <v:shape id="文本框 632" o:spid="_x0000_s1026" o:spt="202" type="#_x0000_t202" style="position:absolute;left:1365800;top:1057478;height:349894;width:457287;"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WUUYw2QAAAAUB&#10;AAAPAAAAAAAAAAEAIAAAACIAAABkcnMvZG93bnJldi54bWxQSwECFAAUAAAACACHTuJA6yjm76gB&#10;AAAZAwAADgAAAAAAAAABACAAAAAoAQAAZHJzL2Uyb0RvYy54bWxQSwUGAAAAAAYABgBZAQAAQgUA&#10;AAAA&#10;">
                        <v:fill on="f" focussize="0,0"/>
                        <v:stroke on="f" weight="1.25pt"/>
                        <v:imagedata o:title=""/>
                        <o:lock v:ext="edit" aspectratio="f"/>
                        <v:textbox>
                          <w:txbxContent>
                            <w:p>
                              <w:pPr>
                                <w:rPr>
                                  <w:sz w:val="18"/>
                                  <w:szCs w:val="18"/>
                                </w:rPr>
                              </w:pPr>
                              <w:r>
                                <w:rPr>
                                  <w:rFonts w:hint="eastAsia"/>
                                  <w:sz w:val="18"/>
                                  <w:szCs w:val="18"/>
                                </w:rPr>
                                <w:t>5</w:t>
                              </w:r>
                            </w:p>
                          </w:txbxContent>
                        </v:textbox>
                      </v:shape>
                      <v:shape id="肘形连接符 633" o:spid="_x0000_s1026" o:spt="34" type="#_x0000_t34" style="position:absolute;left:2420679;top:851352;flip:y;height:274546;width:293599;" filled="f" stroked="t" coordsize="21600,21600" o:gfxdata="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KhVOv1AAAAAUBAAAPAAAA&#10;AAAAAAEAIAAAACIAAABkcnMvZG93bnJldi54bWxQSwECFAAUAAAACACHTuJA8Zpe+BkCAADsAwAA&#10;DgAAAAAAAAABACAAAAAjAQAAZHJzL2Uyb0RvYy54bWxQSwUGAAAAAAYABgBZAQAArgUAAAAA&#10;" adj="10800">
                        <v:fill on="f" focussize="0,0"/>
                        <v:stroke color="#000000" joinstyle="miter" endarrow="block"/>
                        <v:imagedata o:title=""/>
                        <o:lock v:ext="edit" aspectratio="f"/>
                      </v:shape>
                      <v:shape id="文本框 634" o:spid="_x0000_s1026" o:spt="202" type="#_x0000_t202" style="position:absolute;left:2714278;top:707583;height:349894;width:724039;"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lFGMNkAAAAF&#10;AQAADwAAAAAAAAABACAAAAAiAAAAZHJzL2Rvd25yZXYueG1sUEsBAhQAFAAAAAgAh07iQCbnh5up&#10;AQAAGAMAAA4AAAAAAAAAAQAgAAAAKAEAAGRycy9lMm9Eb2MueG1sUEsFBgAAAAAGAAYAWQEAAEMF&#10;AAAAAA==&#10;">
                        <v:fill on="f" focussize="0,0"/>
                        <v:stroke on="f" weight="1.25pt"/>
                        <v:imagedata o:title=""/>
                        <o:lock v:ext="edit" aspectratio="f"/>
                        <v:textbox>
                          <w:txbxContent>
                            <w:p>
                              <w:pPr>
                                <w:rPr>
                                  <w:sz w:val="18"/>
                                  <w:szCs w:val="18"/>
                                </w:rPr>
                              </w:pPr>
                              <w:r>
                                <w:rPr>
                                  <w:rFonts w:hint="eastAsia"/>
                                  <w:sz w:val="18"/>
                                  <w:szCs w:val="18"/>
                                </w:rPr>
                                <w:t>损失5</w:t>
                              </w:r>
                            </w:p>
                          </w:txbxContent>
                        </v:textbox>
                      </v:shape>
                      <v:shape id="文本框 635" o:spid="_x0000_s1026" o:spt="202" type="#_x0000_t202" style="position:absolute;left:3339584;top:1818758;height:280608;width:784664;" fillcolor="#FFFFFF" filled="t" stroked="t" coordsize="21600,21600" o:gfxdata="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Jbxj3WAAAABQEAAA8AAAAAAAAAAQAgAAAAIgAAAGRycy9kb3du&#10;cmV2LnhtbFBLAQIUABQAAAAIAIdO4kAIn7OiAQIAAPcDAAAOAAAAAAAAAAEAIAAAACUBAABkcnMv&#10;ZTJvRG9jLnhtbFBLBQYAAAAABgAGAFkBAACYBQAAAAA=&#10;">
                        <v:fill on="t" focussize="0,0"/>
                        <v:stroke color="#000000" joinstyle="miter"/>
                        <v:imagedata o:title=""/>
                        <o:lock v:ext="edit" aspectratio="f"/>
                        <v:textbox>
                          <w:txbxContent>
                            <w:p>
                              <w:pPr>
                                <w:rPr>
                                  <w:sz w:val="21"/>
                                  <w:szCs w:val="21"/>
                                </w:rPr>
                              </w:pPr>
                              <w:r>
                                <w:rPr>
                                  <w:rFonts w:hint="eastAsia"/>
                                  <w:sz w:val="21"/>
                                  <w:szCs w:val="21"/>
                                </w:rPr>
                                <w:t>沉淀池</w:t>
                              </w:r>
                            </w:p>
                          </w:txbxContent>
                        </v:textbox>
                      </v:shape>
                      <v:shape id="直接箭头连接符 636" o:spid="_x0000_s1026" o:spt="32" type="#_x0000_t32" style="position:absolute;left:2714278;top:1945205;height:16455;width:625306;" filled="f" stroked="t" coordsize="21600,21600" o:gfxdata="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KqwQn1wAAAAUBAAAPAAAAAAAAAAEAIAAAACIAAABkcnMvZG93bnJl&#10;di54bWxQSwECFAAUAAAACACHTuJASxeXX/4BAAC1AwAADgAAAAAAAAABACAAAAAmAQAAZHJzL2Uy&#10;b0RvYy54bWxQSwUGAAAAAAYABgBZAQAAlgUAAAAA&#10;">
                        <v:fill on="f" focussize="0,0"/>
                        <v:stroke color="#000000" joinstyle="round" endarrow="block"/>
                        <v:imagedata o:title=""/>
                        <o:lock v:ext="edit" aspectratio="f"/>
                      </v:shape>
                      <v:shape id="肘形连接符 637" o:spid="_x0000_s1026" o:spt="34" type="#_x0000_t34" style="position:absolute;left:3020003;top:1387452;flip:y;height:1409970;width:13857;rotation:5898240f;" filled="f" stroked="t" coordsize="21600,21600" o:gfxdata="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CnPB/T&#10;AAAABQEAAA8AAAAAAAAAAQAgAAAAIgAAAGRycy9kb3ducmV2LnhtbFBLAQIUABQAAAAIAIdO4kD/&#10;kN3NJQIAAP8DAAAOAAAAAAAAAAEAIAAAACIBAABkcnMvZTJvRG9jLnhtbFBLBQYAAAAABgAGAFkB&#10;AAC5BQAAAAA=&#10;" adj="-353455">
                        <v:fill on="f" focussize="0,0"/>
                        <v:stroke color="#000000" joinstyle="miter" endarrow="block"/>
                        <v:imagedata o:title=""/>
                        <o:lock v:ext="edit" aspectratio="f"/>
                      </v:shape>
                      <v:shape id="肘形连接符 638" o:spid="_x0000_s1026" o:spt="34" type="#_x0000_t34" style="position:absolute;left:2181642;top:1531221;flip:y;height:273680;width:292733;" filled="f" stroked="t" coordsize="21600,21600" o:gfxdata="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KhVOv1AAAAAUBAAAPAAAA&#10;AAAAAAEAIAAAACIAAABkcnMvZG93bnJldi54bWxQSwECFAAUAAAACACHTuJAMD1DlRkCAADtAwAA&#10;DgAAAAAAAAABACAAAAAjAQAAZHJzL2Uyb0RvYy54bWxQSwUGAAAAAAYABgBZAQAArgUAAAAA&#10;" adj="10800">
                        <v:fill on="f" focussize="0,0"/>
                        <v:stroke color="#000000" joinstyle="miter" endarrow="block"/>
                        <v:imagedata o:title=""/>
                        <o:lock v:ext="edit" aspectratio="f"/>
                      </v:shape>
                      <v:shape id="文本框 639" o:spid="_x0000_s1026" o:spt="202" type="#_x0000_t202" style="position:absolute;left:2474376;top:1386586;height:349894;width:724039;"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WUUYw2QAAAAUB&#10;AAAPAAAAAAAAAAEAIAAAACIAAABkcnMvZG93bnJldi54bWxQSwECFAAUAAAACACHTuJAw74Nx6gB&#10;AAAZAwAADgAAAAAAAAABACAAAAAoAQAAZHJzL2Uyb0RvYy54bWxQSwUGAAAAAAYABgBZAQAAQgUA&#10;AAAA&#10;">
                        <v:fill on="f" focussize="0,0"/>
                        <v:stroke on="f" weight="1.25pt"/>
                        <v:imagedata o:title=""/>
                        <o:lock v:ext="edit" aspectratio="f"/>
                        <v:textbox>
                          <w:txbxContent>
                            <w:p>
                              <w:pPr>
                                <w:rPr>
                                  <w:sz w:val="18"/>
                                  <w:szCs w:val="18"/>
                                </w:rPr>
                              </w:pPr>
                              <w:r>
                                <w:rPr>
                                  <w:rFonts w:hint="eastAsia"/>
                                  <w:sz w:val="18"/>
                                  <w:szCs w:val="18"/>
                                </w:rPr>
                                <w:t>损失0.7</w:t>
                              </w:r>
                            </w:p>
                          </w:txbxContent>
                        </v:textbox>
                      </v:shape>
                      <v:shape id="文本框 640" o:spid="_x0000_s1026" o:spt="202" type="#_x0000_t202" style="position:absolute;left:1364934;top:1749472;height:349894;width:458154;"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ZRRjDZAAAABQEA&#10;AA8AAAAAAAAAAQAgAAAAIgAAAGRycy9kb3ducmV2LnhtbFBLAQIUABQAAAAIAIdO4kDi0XNEpwEA&#10;ABkDAAAOAAAAAAAAAAEAIAAAACgBAABkcnMvZTJvRG9jLnhtbFBLBQYAAAAABgAGAFkBAABBBQAA&#10;AAA=&#10;">
                        <v:fill on="f" focussize="0,0"/>
                        <v:stroke on="f" weight="1.25pt"/>
                        <v:imagedata o:title=""/>
                        <o:lock v:ext="edit" aspectratio="f"/>
                        <v:textbox>
                          <w:txbxContent>
                            <w:p>
                              <w:pPr>
                                <w:rPr>
                                  <w:sz w:val="18"/>
                                  <w:szCs w:val="18"/>
                                </w:rPr>
                              </w:pPr>
                              <w:r>
                                <w:rPr>
                                  <w:rFonts w:hint="eastAsia"/>
                                  <w:sz w:val="18"/>
                                  <w:szCs w:val="18"/>
                                </w:rPr>
                                <w:t>0.7</w:t>
                              </w:r>
                            </w:p>
                          </w:txbxContent>
                        </v:textbox>
                      </v:shape>
                      <v:shape id="文本框 641" o:spid="_x0000_s1026" o:spt="202" type="#_x0000_t202" style="position:absolute;left:2741127;top:1733882;height:349894;width:457287;"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lFGMNkAAAAF&#10;AQAADwAAAAAAAAABACAAAAAiAAAAZHJzL2Rvd25yZXYueG1sUEsBAhQAFAAAAAgAh07iQC0tefqp&#10;AQAAGQMAAA4AAAAAAAAAAQAgAAAAKAEAAGRycy9lMm9Eb2MueG1sUEsFBgAAAAAGAAYAWQEAAEMF&#10;AAAAAA==&#10;">
                        <v:fill on="f" focussize="0,0"/>
                        <v:stroke on="f" weight="1.25pt"/>
                        <v:imagedata o:title=""/>
                        <o:lock v:ext="edit" aspectratio="f"/>
                        <v:textbox>
                          <w:txbxContent>
                            <w:p>
                              <w:pPr>
                                <w:rPr>
                                  <w:sz w:val="18"/>
                                  <w:szCs w:val="18"/>
                                </w:rPr>
                              </w:pPr>
                              <w:r>
                                <w:rPr>
                                  <w:rFonts w:hint="eastAsia"/>
                                  <w:sz w:val="18"/>
                                  <w:szCs w:val="18"/>
                                </w:rPr>
                                <w:t>2.8</w:t>
                              </w:r>
                            </w:p>
                          </w:txbxContent>
                        </v:textbox>
                      </v:shape>
                      <v:shape id="文本框 642" o:spid="_x0000_s1026" o:spt="202" type="#_x0000_t202" style="position:absolute;left:2882297;top:2147866;height:349894;width:457287;"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WUUYw2QAAAAUB&#10;AAAPAAAAAAAAAAEAIAAAACIAAABkcnMvZG93bnJldi54bWxQSwECFAAUAAAACACHTuJAxyI046gB&#10;AAAZAwAADgAAAAAAAAABACAAAAAoAQAAZHJzL2Uyb0RvYy54bWxQSwUGAAAAAAYABgBZAQAAQgUA&#10;AAAA&#10;">
                        <v:fill on="f" focussize="0,0"/>
                        <v:stroke on="f" weight="1.25pt"/>
                        <v:imagedata o:title=""/>
                        <o:lock v:ext="edit" aspectratio="f"/>
                        <v:textbox>
                          <w:txbxContent>
                            <w:p>
                              <w:pPr>
                                <w:rPr>
                                  <w:sz w:val="18"/>
                                  <w:szCs w:val="18"/>
                                </w:rPr>
                              </w:pPr>
                              <w:r>
                                <w:rPr>
                                  <w:rFonts w:hint="eastAsia"/>
                                  <w:sz w:val="18"/>
                                  <w:szCs w:val="18"/>
                                </w:rPr>
                                <w:t>2.8</w:t>
                              </w:r>
                            </w:p>
                          </w:txbxContent>
                        </v:textbox>
                      </v:shape>
                      <v:shape id="文本框 643" o:spid="_x0000_s1026" o:spt="202" type="#_x0000_t202" style="position:absolute;left:3369031;top:2510752;height:281474;width:784664;" fillcolor="#FFFFFF" filled="t" stroked="t" coordsize="21600,21600" o:gfxdata="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Jbxj3WAAAABQEAAA8AAAAAAAAAAQAgAAAAIgAAAGRycy9kb3ducmV2&#10;LnhtbFBLAQIUABQAAAAIAIdO4kC7VVc//gEAAPcDAAAOAAAAAAAAAAEAIAAAACUBAABkcnMvZTJv&#10;RG9jLnhtbFBLBQYAAAAABgAGAFkBAACVBQAAAAA=&#10;">
                        <v:fill on="t" focussize="0,0"/>
                        <v:stroke color="#000000" joinstyle="miter"/>
                        <v:imagedata o:title=""/>
                        <o:lock v:ext="edit" aspectratio="f"/>
                        <v:textbox>
                          <w:txbxContent>
                            <w:p>
                              <w:pPr>
                                <w:rPr>
                                  <w:sz w:val="21"/>
                                  <w:szCs w:val="21"/>
                                </w:rPr>
                              </w:pPr>
                              <w:r>
                                <w:rPr>
                                  <w:rFonts w:hint="eastAsia"/>
                                  <w:sz w:val="21"/>
                                  <w:szCs w:val="21"/>
                                </w:rPr>
                                <w:t>化粪池</w:t>
                              </w:r>
                            </w:p>
                          </w:txbxContent>
                        </v:textbox>
                      </v:shape>
                      <v:shape id="直接箭头连接符 644" o:spid="_x0000_s1026" o:spt="32" type="#_x0000_t32" style="position:absolute;left:2714278;top:2651922;flip:y;height:866;width:654753;" filled="f" stroked="t" coordsize="21600,21600" o:gfxdata="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csWdYAAAAFAQAADwAAAAAAAAABACAAAAAiAAAAZHJzL2Rv&#10;d25yZXYueG1sUEsBAhQAFAAAAAgAh07iQKr/xFADAgAAvQMAAA4AAAAAAAAAAQAgAAAAJQEAAGRy&#10;cy9lMm9Eb2MueG1sUEsFBgAAAAAGAAYAWQEAAJoFAAAAAA==&#10;">
                        <v:fill on="f" focussize="0,0"/>
                        <v:stroke color="#000000" joinstyle="round" endarrow="block"/>
                        <v:imagedata o:title=""/>
                        <o:lock v:ext="edit" aspectratio="f"/>
                      </v:shape>
                      <v:shape id="文本框 645" o:spid="_x0000_s1026" o:spt="202" type="#_x0000_t202" style="position:absolute;left:4505321;top:2510752;height:281474;width:1087790;" fillcolor="#FFFFFF" filled="t" stroked="f" coordsize="21600,21600" o:gfxdata="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s&#10;EIEK1QAAAAUBAAAPAAAAAAAAAAEAIAAAACIAAABkcnMvZG93bnJldi54bWxQSwECFAAUAAAACACH&#10;TuJAcReTwLUBAAA5AwAADgAAAAAAAAABACAAAAAkAQAAZHJzL2Uyb0RvYy54bWxQSwUGAAAAAAYA&#10;BgBZAQAASwUAAAAA&#10;">
                        <v:fill on="t" focussize="0,0"/>
                        <v:stroke on="f"/>
                        <v:imagedata o:title=""/>
                        <o:lock v:ext="edit" aspectratio="f"/>
                        <v:textbox>
                          <w:txbxContent>
                            <w:p>
                              <w:pPr>
                                <w:rPr>
                                  <w:sz w:val="21"/>
                                  <w:szCs w:val="21"/>
                                </w:rPr>
                              </w:pPr>
                              <w:r>
                                <w:rPr>
                                  <w:rFonts w:hint="eastAsia"/>
                                  <w:sz w:val="21"/>
                                  <w:szCs w:val="21"/>
                                </w:rPr>
                                <w:t>定期清运</w:t>
                              </w:r>
                            </w:p>
                          </w:txbxContent>
                        </v:textbox>
                      </v:shape>
                      <v:shape id="直接箭头连接符 646" o:spid="_x0000_s1026" o:spt="32" type="#_x0000_t32" style="position:absolute;left:4153695;top:2652788;height:866;width:351626;" filled="f" stroked="t" coordsize="21600,21600" o:gfxdata="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qrBCfXAAAABQEAAA8AAAAAAAAAAQAgAAAAIgAAAGRycy9kb3ducmV2&#10;LnhtbFBLAQIUABQAAAAIAIdO4kBxZScc/QEAALMDAAAOAAAAAAAAAAEAIAAAACYBAABkcnMvZTJv&#10;RG9jLnhtbFBLBQYAAAAABgAGAFkBAACVBQAAAAA=&#10;">
                        <v:fill on="f" focussize="0,0"/>
                        <v:stroke color="#000000" joinstyle="round" endarrow="block"/>
                        <v:imagedata o:title=""/>
                        <o:lock v:ext="edit" aspectratio="f"/>
                      </v:shape>
                      <v:shape id="文本框 647" o:spid="_x0000_s1026" o:spt="202" type="#_x0000_t202" style="position:absolute;left:1364934;top:2429341;height:349894;width:458154;"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WUUYw2QAAAAUB&#10;AAAPAAAAAAAAAAEAIAAAACIAAABkcnMvZG93bnJldi54bWxQSwECFAAUAAAACACHTuJARkYouqgB&#10;AAAZAwAADgAAAAAAAAABACAAAAAoAQAAZHJzL2Uyb0RvYy54bWxQSwUGAAAAAAYABgBZAQAAQgUA&#10;AAAA&#10;">
                        <v:fill on="f" focussize="0,0"/>
                        <v:stroke on="f" weight="1.25pt"/>
                        <v:imagedata o:title=""/>
                        <o:lock v:ext="edit" aspectratio="f"/>
                        <v:textbox>
                          <w:txbxContent>
                            <w:p>
                              <w:pPr>
                                <w:rPr>
                                  <w:sz w:val="18"/>
                                  <w:szCs w:val="18"/>
                                </w:rPr>
                              </w:pPr>
                              <w:r>
                                <w:rPr>
                                  <w:rFonts w:hint="eastAsia"/>
                                  <w:sz w:val="18"/>
                                  <w:szCs w:val="18"/>
                                </w:rPr>
                                <w:t>1.6</w:t>
                              </w:r>
                            </w:p>
                          </w:txbxContent>
                        </v:textbox>
                      </v:shape>
                      <v:shape id="文本框 648" o:spid="_x0000_s1026" o:spt="202" type="#_x0000_t202" style="position:absolute;left:1556385;top:1992630;height:344805;width:708660;"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ZRRjDZAAAABQEA&#10;AA8AAAAAAAAAAQAgAAAAIgAAAGRycy9kb3ducmV2LnhtbFBLAQIUABQAAAAIAIdO4kCKE3qdpwEA&#10;ABkDAAAOAAAAAAAAAAEAIAAAACgBAABkcnMvZTJvRG9jLnhtbFBLBQYAAAAABgAGAFkBAABBBQAA&#10;AAA=&#10;">
                        <v:fill on="f" focussize="0,0"/>
                        <v:stroke on="f" weight="1.25pt"/>
                        <v:imagedata o:title=""/>
                        <o:lock v:ext="edit" aspectratio="f"/>
                        <v:textbox>
                          <w:txbxContent>
                            <w:p>
                              <w:pPr>
                                <w:rPr>
                                  <w:sz w:val="18"/>
                                  <w:szCs w:val="18"/>
                                </w:rPr>
                              </w:pPr>
                              <w:r>
                                <w:rPr>
                                  <w:rFonts w:hint="eastAsia"/>
                                  <w:sz w:val="18"/>
                                  <w:szCs w:val="18"/>
                                </w:rPr>
                                <w:t>损失0.32</w:t>
                              </w:r>
                            </w:p>
                          </w:txbxContent>
                        </v:textbox>
                      </v:shape>
                      <v:shape id="曲线连接符 649" o:spid="_x0000_s1026" o:spt="38" type="#_x0000_t38" style="position:absolute;left:2036142;top:2211956;flip:x;height:411386;width:160224;rotation:-5898240f;" filled="f" stroked="t" coordsize="21600,21600" o:gfxdata="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5Ypt29QA&#10;AAAFAQAADwAAAAAAAAABACAAAAAiAAAAZHJzL2Rvd25yZXYueG1sUEsBAhQAFAAAAAgAh07iQAf0&#10;E48jAgAA9QMAAA4AAAAAAAAAAQAgAAAAIwEAAGRycy9lMm9Eb2MueG1sUEsFBgAAAAAGAAYAWQEA&#10;ALgFAAAAAA==&#10;" adj="10800">
                        <v:fill on="f" focussize="0,0"/>
                        <v:stroke color="#000000" joinstyle="round" endarrow="block"/>
                        <v:imagedata o:title=""/>
                        <o:lock v:ext="edit" aspectratio="f"/>
                      </v:shape>
                      <v:shape id="文本框 650" o:spid="_x0000_s1026" o:spt="202" type="#_x0000_t202" style="position:absolute;left:2812145;top:2429341;height:349894;width:458154;"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WUUYw2QAAAAUB&#10;AAAPAAAAAAAAAAEAIAAAACIAAABkcnMvZG93bnJldi54bWxQSwECFAAUAAAACACHTuJAmt9oHagB&#10;AAAZAwAADgAAAAAAAAABACAAAAAoAQAAZHJzL2Uyb0RvYy54bWxQSwUGAAAAAAYABgBZAQAAQgUA&#10;AAAA&#10;">
                        <v:fill on="f" focussize="0,0"/>
                        <v:stroke on="f" weight="1.25pt"/>
                        <v:imagedata o:title=""/>
                        <o:lock v:ext="edit" aspectratio="f"/>
                        <v:textbox>
                          <w:txbxContent>
                            <w:p>
                              <w:pPr>
                                <w:rPr>
                                  <w:sz w:val="18"/>
                                  <w:szCs w:val="18"/>
                                </w:rPr>
                              </w:pPr>
                              <w:r>
                                <w:rPr>
                                  <w:rFonts w:hint="eastAsia"/>
                                  <w:sz w:val="18"/>
                                  <w:szCs w:val="18"/>
                                </w:rPr>
                                <w:t>1.28</w:t>
                              </w:r>
                            </w:p>
                          </w:txbxContent>
                        </v:textbox>
                      </v:shape>
                      <v:shape id="文本框 651" o:spid="_x0000_s1026" o:spt="202" type="#_x0000_t202" style="position:absolute;left:4153695;top:2429341;height:349894;width:457287;"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lFGMNkAAAAF&#10;AQAADwAAAAAAAAABACAAAAAiAAAAZHJzL2Rvd25yZXYueG1sUEsBAhQAFAAAAAgAh07iQJHvpWWp&#10;AQAAGQMAAA4AAAAAAAAAAQAgAAAAKAEAAGRycy9lMm9Eb2MueG1sUEsFBgAAAAAGAAYAWQEAAEMF&#10;AAAAAA==&#10;">
                        <v:fill on="f" focussize="0,0"/>
                        <v:stroke on="f" weight="1.25pt"/>
                        <v:imagedata o:title=""/>
                        <o:lock v:ext="edit" aspectratio="f"/>
                        <v:textbox>
                          <w:txbxContent>
                            <w:p>
                              <w:pPr>
                                <w:rPr>
                                  <w:sz w:val="18"/>
                                  <w:szCs w:val="18"/>
                                </w:rPr>
                              </w:pPr>
                              <w:r>
                                <w:rPr>
                                  <w:rFonts w:hint="eastAsia"/>
                                  <w:sz w:val="18"/>
                                  <w:szCs w:val="18"/>
                                </w:rPr>
                                <w:t>1.28</w:t>
                              </w:r>
                            </w:p>
                          </w:txbxContent>
                        </v:textbox>
                      </v:shape>
                      <v:shape id="文本框 652" o:spid="_x0000_s1026" o:spt="202" type="#_x0000_t202" style="position:absolute;left:3317066;top:3268568;height:280608;width:784664;" fillcolor="#FFFFFF" filled="t" stroked="t" coordsize="21600,21600" o:gfxdata="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lvGPdYAAAAFAQAADwAAAAAAAAABACAAAAAiAAAAZHJzL2Rvd25y&#10;ZXYueG1sUEsBAhQAFAAAAAgAh07iQHjE+REAAgAA9wMAAA4AAAAAAAAAAQAgAAAAJQEAAGRycy9l&#10;Mm9Eb2MueG1sUEsFBgAAAAAGAAYAWQEAAJcFAAAAAA==&#10;">
                        <v:fill on="t" focussize="0,0"/>
                        <v:stroke color="#000000" joinstyle="miter"/>
                        <v:imagedata o:title=""/>
                        <o:lock v:ext="edit" aspectratio="f"/>
                        <v:textbox>
                          <w:txbxContent>
                            <w:p>
                              <w:pPr>
                                <w:rPr>
                                  <w:sz w:val="21"/>
                                  <w:szCs w:val="21"/>
                                </w:rPr>
                              </w:pPr>
                              <w:r>
                                <w:rPr>
                                  <w:rFonts w:hint="eastAsia"/>
                                  <w:sz w:val="21"/>
                                  <w:szCs w:val="21"/>
                                </w:rPr>
                                <w:t>沉淀池</w:t>
                              </w:r>
                            </w:p>
                          </w:txbxContent>
                        </v:textbox>
                      </v:shape>
                      <v:shape id="直接箭头连接符 653" o:spid="_x0000_s1026" o:spt="32" type="#_x0000_t32" style="position:absolute;left:2662314;top:3409738;flip:y;height:866;width:654753;" filled="f" stroked="t" coordsize="21600,21600" o:gfxdata="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csWdYAAAAFAQAADwAAAAAAAAABACAAAAAiAAAAZHJzL2Rv&#10;d25yZXYueG1sUEsBAhQAFAAAAAgAh07iQMR6icYDAgAAvQMAAA4AAAAAAAAAAQAgAAAAJQEAAGRy&#10;cy9lMm9Eb2MueG1sUEsFBgAAAAAGAAYAWQEAAJoFAAAAAA==&#10;">
                        <v:fill on="f" focussize="0,0"/>
                        <v:stroke color="#000000" joinstyle="round" endarrow="block"/>
                        <v:imagedata o:title=""/>
                        <o:lock v:ext="edit" aspectratio="f"/>
                      </v:shape>
                      <v:shape id="肘形连接符 654" o:spid="_x0000_s1026" o:spt="35" type="#_x0000_t35" style="position:absolute;left:2722939;top:2422412;flip:x y;height:1832615;width:140304;rotation:-5898240f;" filled="f" stroked="t" coordsize="21600,21600" o:gfxdata="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AUCCfUAAAABQEAAA8AAAAAAAAAAQAgAAAAIgAAAGRycy9kb3ducmV2&#10;LnhtbFBLAQIUABQAAAAIAIdO4kCPaSg3OQIAAC4EAAAOAAAAAAAAAAEAIAAAACMBAABkcnMvZTJv&#10;RG9jLnhtbFBLBQYAAAAABgAGAFkBAADOBQAAAAA=&#10;" adj="-35283,24294">
                        <v:fill on="f" focussize="0,0"/>
                        <v:stroke color="#000000" joinstyle="miter" endarrow="block"/>
                        <v:imagedata o:title=""/>
                        <o:lock v:ext="edit" aspectratio="f"/>
                      </v:shape>
                      <v:shape id="文本框 655" o:spid="_x0000_s1026" o:spt="202" type="#_x0000_t202" style="position:absolute;left:1220299;top:3161174;height:349894;width:458154;"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lFGMNkAAAAF&#10;AQAADwAAAAAAAAABACAAAAAiAAAAZHJzL2Rvd25yZXYueG1sUEsBAhQAFAAAAAgAh07iQDOxeYyp&#10;AQAAGQMAAA4AAAAAAAAAAQAgAAAAKAEAAGRycy9lMm9Eb2MueG1sUEsFBgAAAAAGAAYAWQEAAEMF&#10;AAAAAA==&#10;">
                        <v:fill on="f" focussize="0,0"/>
                        <v:stroke on="f" weight="1.25pt"/>
                        <v:imagedata o:title=""/>
                        <o:lock v:ext="edit" aspectratio="f"/>
                        <v:textbox>
                          <w:txbxContent>
                            <w:p>
                              <w:pPr>
                                <w:rPr>
                                  <w:sz w:val="18"/>
                                  <w:szCs w:val="18"/>
                                </w:rPr>
                              </w:pPr>
                              <w:r>
                                <w:rPr>
                                  <w:rFonts w:hint="eastAsia"/>
                                  <w:sz w:val="18"/>
                                  <w:szCs w:val="18"/>
                                </w:rPr>
                                <w:t>4</w:t>
                              </w:r>
                            </w:p>
                          </w:txbxContent>
                        </v:textbox>
                      </v:shape>
                      <v:shape id="文本框 656" o:spid="_x0000_s1026" o:spt="202" type="#_x0000_t202" style="position:absolute;left:2741127;top:3199282;height:349894;width:458154;"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lFGMNkAAAAF&#10;AQAADwAAAAAAAAABACAAAAAiAAAAZHJzL2Rvd25yZXYueG1sUEsBAhQAFAAAAAgAh07iQLM7g+2p&#10;AQAAGQMAAA4AAAAAAAAAAQAgAAAAKAEAAGRycy9lMm9Eb2MueG1sUEsFBgAAAAAGAAYAWQEAAEMF&#10;AAAAAA==&#10;">
                        <v:fill on="f" focussize="0,0"/>
                        <v:stroke on="f" weight="1.25pt"/>
                        <v:imagedata o:title=""/>
                        <o:lock v:ext="edit" aspectratio="f"/>
                        <v:textbox>
                          <w:txbxContent>
                            <w:p>
                              <w:pPr>
                                <w:rPr>
                                  <w:sz w:val="18"/>
                                  <w:szCs w:val="18"/>
                                </w:rPr>
                              </w:pPr>
                              <w:r>
                                <w:rPr>
                                  <w:rFonts w:hint="eastAsia"/>
                                  <w:sz w:val="18"/>
                                  <w:szCs w:val="18"/>
                                </w:rPr>
                                <w:t>4</w:t>
                              </w:r>
                            </w:p>
                          </w:txbxContent>
                        </v:textbox>
                      </v:shape>
                      <v:shape id="文本框 657" o:spid="_x0000_s1026" o:spt="202" type="#_x0000_t202" style="position:absolute;left:2436268;top:2849387;height:349894;width:457287;"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WUUYw2QAAAAUB&#10;AAAPAAAAAAAAAAEAIAAAACIAAABkcnMvZG93bnJldi54bWxQSwECFAAUAAAACACHTuJAe0hADqgB&#10;AAAZAwAADgAAAAAAAAABACAAAAAoAQAAZHJzL2Uyb0RvYy54bWxQSwUGAAAAAAYABgBZAQAAQgUA&#10;AAAA&#10;">
                        <v:fill on="f" focussize="0,0"/>
                        <v:stroke on="f" weight="1.25pt"/>
                        <v:imagedata o:title=""/>
                        <o:lock v:ext="edit" aspectratio="f"/>
                        <v:textbox>
                          <w:txbxContent>
                            <w:p>
                              <w:pPr>
                                <w:rPr>
                                  <w:sz w:val="18"/>
                                  <w:szCs w:val="18"/>
                                </w:rPr>
                              </w:pPr>
                              <w:r>
                                <w:rPr>
                                  <w:rFonts w:hint="eastAsia"/>
                                  <w:sz w:val="18"/>
                                  <w:szCs w:val="18"/>
                                </w:rPr>
                                <w:t>4</w:t>
                              </w:r>
                            </w:p>
                          </w:txbxContent>
                        </v:textbox>
                      </v:shape>
                      <v:shape id="文本框 658" o:spid="_x0000_s1026" o:spt="202" type="#_x0000_t202" style="position:absolute;left:322180;top:1818758;height:349894;width:1043620;"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ZRRjDZAAAABQEA&#10;AA8AAAAAAAAAAQAgAAAAIgAAAGRycy9kb3ducmV2LnhtbFBLAQIUABQAAAAIAIdO4kCVFd+JpwEA&#10;ABkDAAAOAAAAAAAAAAEAIAAAACgBAABkcnMvZTJvRG9jLnhtbFBLBQYAAAAABgAGAFkBAABBBQAA&#10;AAA=&#10;">
                        <v:fill on="f" focussize="0,0"/>
                        <v:stroke on="f" weight="1.25pt"/>
                        <v:imagedata o:title=""/>
                        <o:lock v:ext="edit" aspectratio="f"/>
                        <v:textbox>
                          <w:txbxContent>
                            <w:p>
                              <w:pPr>
                                <w:rPr>
                                  <w:sz w:val="18"/>
                                  <w:szCs w:val="18"/>
                                </w:rPr>
                              </w:pPr>
                              <w:r>
                                <w:rPr>
                                  <w:rFonts w:hint="eastAsia"/>
                                  <w:sz w:val="18"/>
                                  <w:szCs w:val="18"/>
                                </w:rPr>
                                <w:t>新鲜水91.04</w:t>
                              </w:r>
                            </w:p>
                          </w:txbxContent>
                        </v:textbox>
                      </v:shape>
                      <v:shape id="文本框 659" o:spid="_x0000_s1026" o:spt="202" type="#_x0000_t202" style="position:absolute;left:1956463;top:4040241;height:280608;width:784664;" fillcolor="#FFFFFF" filled="t" stroked="t" coordsize="21600,21600" o:gfxdata="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lvGPdYAAAAFAQAADwAAAAAAAAABACAAAAAiAAAAZHJzL2Rvd25y&#10;ZXYueG1sUEsBAhQAFAAAAAgAh07iQAsQzUoAAgAA9wMAAA4AAAAAAAAAAQAgAAAAJQEAAGRycy9l&#10;Mm9Eb2MueG1sUEsFBgAAAAAGAAYAWQEAAJcFAAAAAA==&#10;">
                        <v:fill on="t" focussize="0,0"/>
                        <v:stroke color="#000000" joinstyle="miter"/>
                        <v:imagedata o:title=""/>
                        <o:lock v:ext="edit" aspectratio="f"/>
                        <v:textbox>
                          <w:txbxContent>
                            <w:p>
                              <w:pPr>
                                <w:rPr>
                                  <w:sz w:val="21"/>
                                  <w:szCs w:val="21"/>
                                </w:rPr>
                              </w:pPr>
                              <w:r>
                                <w:rPr>
                                  <w:rFonts w:hint="eastAsia"/>
                                  <w:sz w:val="21"/>
                                  <w:szCs w:val="21"/>
                                </w:rPr>
                                <w:t>配料用水</w:t>
                              </w:r>
                            </w:p>
                          </w:txbxContent>
                        </v:textbox>
                      </v:shape>
                      <v:shape id="直接箭头连接符 660" o:spid="_x0000_s1026" o:spt="32" type="#_x0000_t32" style="position:absolute;left:1301710;top:4181411;flip:y;height:866;width:654753;" filled="f" stroked="t" coordsize="21600,21600" o:gfxdata="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csWdYAAAAFAQAADwAAAAAAAAABACAAAAAiAAAAZHJzL2Rvd25y&#10;ZXYueG1sUEsBAhQAFAAAAAgAh07iQLCGaIIAAgAAvQMAAA4AAAAAAAAAAQAgAAAAJQEAAGRycy9l&#10;Mm9Eb2MueG1sUEsFBgAAAAAGAAYAWQEAAJcFAAAAAA==&#10;">
                        <v:fill on="f" focussize="0,0"/>
                        <v:stroke color="#000000" joinstyle="round" endarrow="block"/>
                        <v:imagedata o:title=""/>
                        <o:lock v:ext="edit" aspectratio="f"/>
                      </v:shape>
                      <v:shape id="肘形连接符 661" o:spid="_x0000_s1026" o:spt="34" type="#_x0000_t34" style="position:absolute;left:2348795;top:3765695;flip:y;height:274546;width:294465;" filled="f" stroked="t" coordsize="21600,21600" o:gfxdata="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oVTr9QAAAAFAQAADwAAAAAA&#10;AAABACAAAAAiAAAAZHJzL2Rvd25yZXYueG1sUEsBAhQAFAAAAAgAh07iQB0lO7YXAgAA7QMAAA4A&#10;AAAAAAAAAQAgAAAAIwEAAGRycy9lMm9Eb2MueG1sUEsFBgAAAAAGAAYAWQEAAKwFAAAAAA==&#10;" adj="10800">
                        <v:fill on="f" focussize="0,0"/>
                        <v:stroke color="#000000" joinstyle="miter" endarrow="block"/>
                        <v:imagedata o:title=""/>
                        <o:lock v:ext="edit" aspectratio="f"/>
                      </v:shape>
                      <v:shape id="文本框 662" o:spid="_x0000_s1026" o:spt="202" type="#_x0000_t202" style="position:absolute;left:1419497;top:3915526;height:349894;width:457287;"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WUUYw2QAAAAUB&#10;AAAPAAAAAAAAAAEAIAAAACIAAABkcnMvZG93bnJldi54bWxQSwECFAAUAAAACACHTuJA4lo2xKgB&#10;AAAZAwAADgAAAAAAAAABACAAAAAoAQAAZHJzL2Uyb0RvYy54bWxQSwUGAAAAAAYABgBZAQAAQgUA&#10;AAAA&#10;">
                        <v:fill on="f" focussize="0,0"/>
                        <v:stroke on="f" weight="1.25pt"/>
                        <v:imagedata o:title=""/>
                        <o:lock v:ext="edit" aspectratio="f"/>
                        <v:textbox>
                          <w:txbxContent>
                            <w:p>
                              <w:pPr>
                                <w:rPr>
                                  <w:sz w:val="18"/>
                                  <w:szCs w:val="18"/>
                                </w:rPr>
                              </w:pPr>
                              <w:r>
                                <w:rPr>
                                  <w:rFonts w:hint="eastAsia"/>
                                  <w:sz w:val="18"/>
                                  <w:szCs w:val="18"/>
                                </w:rPr>
                                <w:t>78.3</w:t>
                              </w:r>
                            </w:p>
                          </w:txbxContent>
                        </v:textbox>
                      </v:shape>
                      <v:shape id="文本框 663" o:spid="_x0000_s1026" o:spt="202" type="#_x0000_t202" style="position:absolute;left:2662314;top:3621060;height:349894;width:1069602;" filled="f" stroked="f" coordsize="21600,21600" o:gfxdata="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WUUYw2QAAAAUB&#10;AAAPAAAAAAAAAAEAIAAAACIAAABkcnMvZG93bnJldi54bWxQSwECFAAUAAAACACHTuJAw6xOCagB&#10;AAAaAwAADgAAAAAAAAABACAAAAAoAQAAZHJzL2Uyb0RvYy54bWxQSwUGAAAAAAYABgBZAQAAQgUA&#10;AAAA&#10;">
                        <v:fill on="f" focussize="0,0"/>
                        <v:stroke on="f" weight="1.25pt"/>
                        <v:imagedata o:title=""/>
                        <o:lock v:ext="edit" aspectratio="f"/>
                        <v:textbox>
                          <w:txbxContent>
                            <w:p>
                              <w:pPr>
                                <w:rPr>
                                  <w:sz w:val="18"/>
                                  <w:szCs w:val="18"/>
                                </w:rPr>
                              </w:pPr>
                              <w:r>
                                <w:rPr>
                                  <w:rFonts w:hint="eastAsia"/>
                                  <w:sz w:val="18"/>
                                  <w:szCs w:val="18"/>
                                </w:rPr>
                                <w:t>78.3进入产品</w:t>
                              </w:r>
                            </w:p>
                          </w:txbxContent>
                        </v:textbox>
                      </v:shape>
                      <w10:wrap type="none"/>
                      <w10:anchorlock/>
                    </v:group>
                  </w:pict>
                </mc:Fallback>
              </mc:AlternateContent>
            </w:r>
          </w:p>
          <w:p>
            <w:pPr>
              <w:pStyle w:val="63"/>
              <w:snapToGrid w:val="0"/>
              <w:spacing w:line="360" w:lineRule="auto"/>
              <w:ind w:firstLine="480"/>
              <w:jc w:val="center"/>
              <w:rPr>
                <w:rFonts w:hint="default" w:ascii="Times New Roman" w:hAnsi="Times New Roman" w:eastAsia="宋体" w:cs="Times New Roman"/>
                <w:bCs/>
              </w:rPr>
            </w:pPr>
            <w:r>
              <w:rPr>
                <w:rFonts w:hint="default" w:ascii="Times New Roman" w:hAnsi="Times New Roman" w:eastAsia="宋体" w:cs="Times New Roman"/>
                <w:sz w:val="21"/>
                <w:szCs w:val="21"/>
              </w:rPr>
              <w:t>图</w:t>
            </w:r>
            <w:r>
              <w:rPr>
                <w:rFonts w:hint="default" w:ascii="Times New Roman" w:hAnsi="Times New Roman" w:eastAsia="宋体" w:cs="Times New Roman"/>
                <w:sz w:val="21"/>
                <w:szCs w:val="21"/>
                <w:lang w:val="en-US" w:eastAsia="zh-CN"/>
              </w:rPr>
              <w:t>5.2.2-</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 xml:space="preserve"> 项目水平衡图 （m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/d）</w:t>
            </w:r>
          </w:p>
          <w:p>
            <w:pPr>
              <w:pStyle w:val="2"/>
              <w:kinsoku w:val="0"/>
              <w:overflowPunct w:val="0"/>
              <w:ind w:left="708" w:right="98"/>
              <w:rPr>
                <w:rFonts w:hint="default" w:ascii="Times New Roman" w:hAnsi="Times New Roman" w:eastAsia="宋体" w:cs="Times New Roman"/>
                <w:sz w:val="24"/>
              </w:rPr>
            </w:pPr>
            <w:r>
              <w:rPr>
                <w:rFonts w:hint="default" w:ascii="Times New Roman" w:hAnsi="Times New Roman" w:eastAsia="宋体" w:cs="Times New Roman"/>
                <w:b/>
                <w:sz w:val="24"/>
              </w:rPr>
              <w:t>3、噪声</w:t>
            </w:r>
          </w:p>
          <w:p>
            <w:pPr>
              <w:spacing w:line="500" w:lineRule="exact"/>
              <w:ind w:firstLine="480" w:firstLineChars="200"/>
              <w:rPr>
                <w:sz w:val="24"/>
                <w:szCs w:val="24"/>
              </w:rPr>
            </w:pPr>
            <w:r>
              <w:rPr>
                <w:sz w:val="24"/>
                <w:szCs w:val="24"/>
              </w:rPr>
              <w:t>该项目主要噪声源为</w:t>
            </w:r>
            <w:r>
              <w:rPr>
                <w:bCs/>
                <w:sz w:val="24"/>
                <w:szCs w:val="24"/>
              </w:rPr>
              <w:t>生产过程中搅拌站、物料运输装置运转所产生的噪声</w:t>
            </w:r>
            <w:r>
              <w:rPr>
                <w:sz w:val="24"/>
                <w:szCs w:val="24"/>
              </w:rPr>
              <w:t>，经查阅《环境保护使用数据手册》和《环境工程手册—环境噪声控制卷》，其噪声级为</w:t>
            </w:r>
            <w:r>
              <w:rPr>
                <w:rFonts w:hint="eastAsia"/>
                <w:sz w:val="24"/>
                <w:szCs w:val="24"/>
              </w:rPr>
              <w:t>80</w:t>
            </w:r>
            <w:r>
              <w:rPr>
                <w:sz w:val="24"/>
                <w:szCs w:val="24"/>
              </w:rPr>
              <w:t>~</w:t>
            </w:r>
            <w:r>
              <w:rPr>
                <w:rFonts w:hint="eastAsia"/>
                <w:sz w:val="24"/>
                <w:szCs w:val="24"/>
              </w:rPr>
              <w:t>95</w:t>
            </w:r>
            <w:r>
              <w:rPr>
                <w:sz w:val="24"/>
                <w:szCs w:val="24"/>
              </w:rPr>
              <w:t>dB(A)。根据建设单位提供资料，生产设备均设置在车间内，评价要求对高噪声设备安装减振基础，并定期对各类设备进行日常检修，确保其处于良好的运行状态，以避免异常噪声的产生，采取以上措施后各高噪设备可降低</w:t>
            </w:r>
            <w:r>
              <w:rPr>
                <w:rFonts w:hint="eastAsia"/>
                <w:sz w:val="24"/>
                <w:szCs w:val="24"/>
              </w:rPr>
              <w:t>25</w:t>
            </w:r>
            <w:r>
              <w:rPr>
                <w:sz w:val="24"/>
                <w:szCs w:val="24"/>
              </w:rPr>
              <w:t>dB(A)，主要噪声设备噪声级及防治措施见</w:t>
            </w:r>
            <w:r>
              <w:rPr>
                <w:rFonts w:hint="eastAsia"/>
                <w:sz w:val="24"/>
                <w:szCs w:val="24"/>
                <w:lang w:eastAsia="zh-CN"/>
              </w:rPr>
              <w:t>下表</w:t>
            </w:r>
            <w:r>
              <w:rPr>
                <w:sz w:val="24"/>
                <w:szCs w:val="24"/>
              </w:rPr>
              <w:t>。</w:t>
            </w:r>
          </w:p>
          <w:p>
            <w:pPr>
              <w:autoSpaceDE w:val="0"/>
              <w:autoSpaceDN w:val="0"/>
              <w:adjustRightInd w:val="0"/>
              <w:snapToGrid w:val="0"/>
              <w:spacing w:line="400" w:lineRule="exact"/>
              <w:ind w:left="420"/>
              <w:jc w:val="center"/>
              <w:rPr>
                <w:rFonts w:hint="eastAsia" w:ascii="宋体" w:hAnsi="宋体" w:eastAsia="宋体" w:cs="宋体"/>
                <w:sz w:val="21"/>
                <w:szCs w:val="21"/>
              </w:rPr>
            </w:pPr>
            <w:r>
              <w:rPr>
                <w:rFonts w:hint="eastAsia" w:ascii="宋体" w:hAnsi="宋体" w:eastAsia="宋体" w:cs="宋体"/>
                <w:sz w:val="21"/>
                <w:szCs w:val="21"/>
              </w:rPr>
              <w:t>表</w:t>
            </w:r>
            <w:r>
              <w:rPr>
                <w:rFonts w:hint="eastAsia" w:ascii="宋体" w:hAnsi="宋体" w:eastAsia="宋体" w:cs="宋体"/>
                <w:spacing w:val="-63"/>
                <w:sz w:val="21"/>
                <w:szCs w:val="21"/>
              </w:rPr>
              <w:t xml:space="preserve"> </w:t>
            </w:r>
            <w:r>
              <w:rPr>
                <w:rFonts w:hint="eastAsia" w:ascii="宋体" w:hAnsi="宋体" w:eastAsia="宋体" w:cs="宋体"/>
                <w:sz w:val="21"/>
                <w:szCs w:val="21"/>
                <w:lang w:val="en-US" w:eastAsia="zh-CN"/>
              </w:rPr>
              <w:t>5.2.2-6</w:t>
            </w:r>
            <w:r>
              <w:rPr>
                <w:rFonts w:hint="eastAsia" w:ascii="宋体" w:hAnsi="宋体" w:eastAsia="宋体" w:cs="宋体"/>
                <w:sz w:val="21"/>
                <w:szCs w:val="21"/>
              </w:rPr>
              <w:t xml:space="preserve">  主要高噪声设备噪声源 单位：dB（A）</w:t>
            </w:r>
          </w:p>
          <w:tbl>
            <w:tblPr>
              <w:tblStyle w:val="43"/>
              <w:tblW w:w="893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558"/>
              <w:gridCol w:w="865"/>
              <w:gridCol w:w="1385"/>
              <w:gridCol w:w="1916"/>
              <w:gridCol w:w="1199"/>
              <w:gridCol w:w="12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3" w:type="dxa"/>
                  <w:vAlign w:val="center"/>
                </w:tcPr>
                <w:p>
                  <w:pPr>
                    <w:adjustRightInd w:val="0"/>
                    <w:snapToGrid w:val="0"/>
                    <w:jc w:val="center"/>
                    <w:rPr>
                      <w:bCs/>
                      <w:sz w:val="21"/>
                      <w:szCs w:val="21"/>
                    </w:rPr>
                  </w:pPr>
                  <w:r>
                    <w:rPr>
                      <w:bCs/>
                      <w:sz w:val="21"/>
                      <w:szCs w:val="21"/>
                    </w:rPr>
                    <w:t>序号</w:t>
                  </w:r>
                </w:p>
              </w:tc>
              <w:tc>
                <w:tcPr>
                  <w:tcW w:w="1558" w:type="dxa"/>
                  <w:vAlign w:val="center"/>
                </w:tcPr>
                <w:p>
                  <w:pPr>
                    <w:adjustRightInd w:val="0"/>
                    <w:snapToGrid w:val="0"/>
                    <w:jc w:val="center"/>
                    <w:rPr>
                      <w:bCs/>
                      <w:sz w:val="21"/>
                      <w:szCs w:val="21"/>
                    </w:rPr>
                  </w:pPr>
                  <w:r>
                    <w:rPr>
                      <w:bCs/>
                      <w:sz w:val="21"/>
                      <w:szCs w:val="21"/>
                    </w:rPr>
                    <w:t>设备名称</w:t>
                  </w:r>
                </w:p>
              </w:tc>
              <w:tc>
                <w:tcPr>
                  <w:tcW w:w="865" w:type="dxa"/>
                  <w:vAlign w:val="center"/>
                </w:tcPr>
                <w:p>
                  <w:pPr>
                    <w:adjustRightInd w:val="0"/>
                    <w:snapToGrid w:val="0"/>
                    <w:jc w:val="center"/>
                    <w:rPr>
                      <w:bCs/>
                      <w:sz w:val="21"/>
                      <w:szCs w:val="21"/>
                    </w:rPr>
                  </w:pPr>
                  <w:r>
                    <w:rPr>
                      <w:bCs/>
                      <w:sz w:val="21"/>
                      <w:szCs w:val="21"/>
                    </w:rPr>
                    <w:t>数量</w:t>
                  </w:r>
                </w:p>
              </w:tc>
              <w:tc>
                <w:tcPr>
                  <w:tcW w:w="1385" w:type="dxa"/>
                  <w:vAlign w:val="center"/>
                </w:tcPr>
                <w:p>
                  <w:pPr>
                    <w:adjustRightInd w:val="0"/>
                    <w:snapToGrid w:val="0"/>
                    <w:jc w:val="center"/>
                    <w:rPr>
                      <w:bCs/>
                      <w:sz w:val="21"/>
                      <w:szCs w:val="21"/>
                    </w:rPr>
                  </w:pPr>
                  <w:r>
                    <w:rPr>
                      <w:bCs/>
                      <w:sz w:val="21"/>
                      <w:szCs w:val="21"/>
                    </w:rPr>
                    <w:t>噪声源强</w:t>
                  </w:r>
                </w:p>
              </w:tc>
              <w:tc>
                <w:tcPr>
                  <w:tcW w:w="3115" w:type="dxa"/>
                  <w:gridSpan w:val="2"/>
                  <w:vAlign w:val="center"/>
                </w:tcPr>
                <w:p>
                  <w:pPr>
                    <w:adjustRightInd w:val="0"/>
                    <w:snapToGrid w:val="0"/>
                    <w:jc w:val="center"/>
                    <w:rPr>
                      <w:bCs/>
                      <w:sz w:val="21"/>
                      <w:szCs w:val="21"/>
                    </w:rPr>
                  </w:pPr>
                  <w:r>
                    <w:rPr>
                      <w:rFonts w:hint="eastAsia"/>
                      <w:bCs/>
                      <w:sz w:val="21"/>
                      <w:szCs w:val="21"/>
                    </w:rPr>
                    <w:t>降噪措施</w:t>
                  </w:r>
                </w:p>
              </w:tc>
              <w:tc>
                <w:tcPr>
                  <w:tcW w:w="1229" w:type="dxa"/>
                  <w:vAlign w:val="center"/>
                </w:tcPr>
                <w:p>
                  <w:pPr>
                    <w:adjustRightInd w:val="0"/>
                    <w:snapToGrid w:val="0"/>
                    <w:jc w:val="center"/>
                    <w:rPr>
                      <w:bCs/>
                      <w:sz w:val="21"/>
                      <w:szCs w:val="21"/>
                    </w:rPr>
                  </w:pPr>
                  <w:r>
                    <w:rPr>
                      <w:rFonts w:hint="eastAsia"/>
                      <w:bCs/>
                      <w:sz w:val="21"/>
                      <w:szCs w:val="21"/>
                    </w:rPr>
                    <w:t>降噪后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3" w:type="dxa"/>
                  <w:vAlign w:val="center"/>
                </w:tcPr>
                <w:p>
                  <w:pPr>
                    <w:adjustRightInd w:val="0"/>
                    <w:snapToGrid w:val="0"/>
                    <w:jc w:val="center"/>
                    <w:rPr>
                      <w:bCs/>
                      <w:sz w:val="21"/>
                      <w:szCs w:val="21"/>
                    </w:rPr>
                  </w:pPr>
                  <w:r>
                    <w:rPr>
                      <w:bCs/>
                      <w:sz w:val="21"/>
                      <w:szCs w:val="21"/>
                    </w:rPr>
                    <w:t>1</w:t>
                  </w:r>
                </w:p>
              </w:tc>
              <w:tc>
                <w:tcPr>
                  <w:tcW w:w="1558" w:type="dxa"/>
                  <w:vAlign w:val="center"/>
                </w:tcPr>
                <w:p>
                  <w:pPr>
                    <w:ind w:left="-15"/>
                    <w:jc w:val="center"/>
                    <w:rPr>
                      <w:sz w:val="21"/>
                      <w:szCs w:val="21"/>
                    </w:rPr>
                  </w:pPr>
                  <w:r>
                    <w:rPr>
                      <w:rFonts w:hAnsi="宋体"/>
                      <w:sz w:val="21"/>
                      <w:szCs w:val="21"/>
                    </w:rPr>
                    <w:t>搅拌机</w:t>
                  </w:r>
                </w:p>
              </w:tc>
              <w:tc>
                <w:tcPr>
                  <w:tcW w:w="865" w:type="dxa"/>
                  <w:vAlign w:val="center"/>
                </w:tcPr>
                <w:p>
                  <w:pPr>
                    <w:ind w:left="-15"/>
                    <w:jc w:val="center"/>
                    <w:rPr>
                      <w:sz w:val="21"/>
                      <w:szCs w:val="21"/>
                    </w:rPr>
                  </w:pPr>
                  <w:r>
                    <w:rPr>
                      <w:rFonts w:hint="eastAsia"/>
                      <w:sz w:val="21"/>
                      <w:szCs w:val="21"/>
                    </w:rPr>
                    <w:t>1</w:t>
                  </w:r>
                  <w:r>
                    <w:rPr>
                      <w:rFonts w:hAnsi="宋体"/>
                      <w:sz w:val="21"/>
                      <w:szCs w:val="21"/>
                    </w:rPr>
                    <w:t>台</w:t>
                  </w:r>
                </w:p>
              </w:tc>
              <w:tc>
                <w:tcPr>
                  <w:tcW w:w="1385" w:type="dxa"/>
                  <w:vAlign w:val="center"/>
                </w:tcPr>
                <w:p>
                  <w:pPr>
                    <w:ind w:left="-15"/>
                    <w:jc w:val="center"/>
                    <w:rPr>
                      <w:sz w:val="21"/>
                      <w:szCs w:val="21"/>
                    </w:rPr>
                  </w:pPr>
                  <w:r>
                    <w:rPr>
                      <w:rFonts w:hint="eastAsia"/>
                      <w:sz w:val="21"/>
                      <w:szCs w:val="21"/>
                    </w:rPr>
                    <w:t>90</w:t>
                  </w:r>
                </w:p>
              </w:tc>
              <w:tc>
                <w:tcPr>
                  <w:tcW w:w="1916" w:type="dxa"/>
                  <w:vAlign w:val="center"/>
                </w:tcPr>
                <w:p>
                  <w:pPr>
                    <w:adjustRightInd w:val="0"/>
                    <w:snapToGrid w:val="0"/>
                    <w:jc w:val="center"/>
                    <w:rPr>
                      <w:bCs/>
                      <w:sz w:val="21"/>
                      <w:szCs w:val="21"/>
                    </w:rPr>
                  </w:pPr>
                  <w:r>
                    <w:rPr>
                      <w:rFonts w:hint="eastAsia"/>
                      <w:sz w:val="21"/>
                      <w:szCs w:val="21"/>
                    </w:rPr>
                    <w:t>基础减振、密闭措施</w:t>
                  </w:r>
                </w:p>
              </w:tc>
              <w:tc>
                <w:tcPr>
                  <w:tcW w:w="1199" w:type="dxa"/>
                  <w:vMerge w:val="restart"/>
                  <w:vAlign w:val="center"/>
                </w:tcPr>
                <w:p>
                  <w:pPr>
                    <w:adjustRightInd w:val="0"/>
                    <w:snapToGrid w:val="0"/>
                    <w:jc w:val="center"/>
                    <w:rPr>
                      <w:bCs/>
                      <w:sz w:val="21"/>
                      <w:szCs w:val="21"/>
                    </w:rPr>
                  </w:pPr>
                  <w:r>
                    <w:rPr>
                      <w:rFonts w:hint="eastAsia"/>
                      <w:bCs/>
                      <w:sz w:val="21"/>
                      <w:szCs w:val="21"/>
                    </w:rPr>
                    <w:t>安排专人对设备进行维护，使各设备处于良好运行状态</w:t>
                  </w:r>
                </w:p>
              </w:tc>
              <w:tc>
                <w:tcPr>
                  <w:tcW w:w="1229" w:type="dxa"/>
                  <w:vAlign w:val="center"/>
                </w:tcPr>
                <w:p>
                  <w:pPr>
                    <w:adjustRightInd w:val="0"/>
                    <w:snapToGrid w:val="0"/>
                    <w:jc w:val="center"/>
                    <w:rPr>
                      <w:bCs/>
                      <w:sz w:val="21"/>
                      <w:szCs w:val="21"/>
                    </w:rPr>
                  </w:pPr>
                  <w:r>
                    <w:rPr>
                      <w:rFonts w:hint="eastAsia"/>
                      <w:bCs/>
                      <w:sz w:val="21"/>
                      <w:szCs w:val="21"/>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3" w:type="dxa"/>
                  <w:vAlign w:val="center"/>
                </w:tcPr>
                <w:p>
                  <w:pPr>
                    <w:adjustRightInd w:val="0"/>
                    <w:snapToGrid w:val="0"/>
                    <w:jc w:val="center"/>
                    <w:rPr>
                      <w:bCs/>
                      <w:sz w:val="21"/>
                      <w:szCs w:val="21"/>
                    </w:rPr>
                  </w:pPr>
                  <w:r>
                    <w:rPr>
                      <w:bCs/>
                      <w:sz w:val="21"/>
                      <w:szCs w:val="21"/>
                    </w:rPr>
                    <w:t>2</w:t>
                  </w:r>
                </w:p>
              </w:tc>
              <w:tc>
                <w:tcPr>
                  <w:tcW w:w="1558" w:type="dxa"/>
                  <w:vAlign w:val="center"/>
                </w:tcPr>
                <w:p>
                  <w:pPr>
                    <w:ind w:left="-15"/>
                    <w:jc w:val="center"/>
                    <w:rPr>
                      <w:sz w:val="21"/>
                      <w:szCs w:val="21"/>
                    </w:rPr>
                  </w:pPr>
                  <w:r>
                    <w:rPr>
                      <w:rFonts w:hint="eastAsia" w:hAnsi="宋体"/>
                      <w:sz w:val="21"/>
                      <w:szCs w:val="21"/>
                    </w:rPr>
                    <w:t>拌合机</w:t>
                  </w:r>
                </w:p>
              </w:tc>
              <w:tc>
                <w:tcPr>
                  <w:tcW w:w="865" w:type="dxa"/>
                  <w:vAlign w:val="center"/>
                </w:tcPr>
                <w:p>
                  <w:pPr>
                    <w:ind w:left="-15"/>
                    <w:jc w:val="center"/>
                    <w:rPr>
                      <w:sz w:val="21"/>
                      <w:szCs w:val="21"/>
                    </w:rPr>
                  </w:pPr>
                  <w:r>
                    <w:rPr>
                      <w:rFonts w:hint="eastAsia"/>
                      <w:sz w:val="21"/>
                      <w:szCs w:val="21"/>
                    </w:rPr>
                    <w:t>1</w:t>
                  </w:r>
                  <w:r>
                    <w:rPr>
                      <w:rFonts w:hAnsi="宋体"/>
                      <w:sz w:val="21"/>
                      <w:szCs w:val="21"/>
                    </w:rPr>
                    <w:t>台</w:t>
                  </w:r>
                </w:p>
              </w:tc>
              <w:tc>
                <w:tcPr>
                  <w:tcW w:w="1385" w:type="dxa"/>
                  <w:vAlign w:val="center"/>
                </w:tcPr>
                <w:p>
                  <w:pPr>
                    <w:ind w:left="-15"/>
                    <w:jc w:val="center"/>
                    <w:rPr>
                      <w:sz w:val="21"/>
                      <w:szCs w:val="21"/>
                    </w:rPr>
                  </w:pPr>
                  <w:r>
                    <w:rPr>
                      <w:rFonts w:hint="eastAsia"/>
                      <w:sz w:val="21"/>
                      <w:szCs w:val="21"/>
                    </w:rPr>
                    <w:t>90</w:t>
                  </w:r>
                </w:p>
              </w:tc>
              <w:tc>
                <w:tcPr>
                  <w:tcW w:w="1916" w:type="dxa"/>
                  <w:vAlign w:val="center"/>
                </w:tcPr>
                <w:p>
                  <w:pPr>
                    <w:adjustRightInd w:val="0"/>
                    <w:snapToGrid w:val="0"/>
                    <w:jc w:val="center"/>
                    <w:rPr>
                      <w:sz w:val="21"/>
                      <w:szCs w:val="21"/>
                    </w:rPr>
                  </w:pPr>
                  <w:r>
                    <w:rPr>
                      <w:rFonts w:hint="eastAsia"/>
                      <w:sz w:val="21"/>
                      <w:szCs w:val="21"/>
                    </w:rPr>
                    <w:t>基础减振、密闭措施</w:t>
                  </w:r>
                </w:p>
              </w:tc>
              <w:tc>
                <w:tcPr>
                  <w:tcW w:w="1199" w:type="dxa"/>
                  <w:vMerge w:val="continue"/>
                  <w:vAlign w:val="center"/>
                </w:tcPr>
                <w:p>
                  <w:pPr>
                    <w:adjustRightInd w:val="0"/>
                    <w:snapToGrid w:val="0"/>
                    <w:jc w:val="center"/>
                    <w:rPr>
                      <w:sz w:val="21"/>
                      <w:szCs w:val="21"/>
                    </w:rPr>
                  </w:pPr>
                </w:p>
              </w:tc>
              <w:tc>
                <w:tcPr>
                  <w:tcW w:w="1229" w:type="dxa"/>
                  <w:vAlign w:val="center"/>
                </w:tcPr>
                <w:p>
                  <w:pPr>
                    <w:adjustRightInd w:val="0"/>
                    <w:snapToGrid w:val="0"/>
                    <w:jc w:val="center"/>
                    <w:rPr>
                      <w:bCs/>
                      <w:sz w:val="21"/>
                      <w:szCs w:val="21"/>
                    </w:rPr>
                  </w:pPr>
                  <w:r>
                    <w:rPr>
                      <w:rFonts w:hint="eastAsia"/>
                      <w:bCs/>
                      <w:sz w:val="21"/>
                      <w:szCs w:val="21"/>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3" w:type="dxa"/>
                  <w:vAlign w:val="center"/>
                </w:tcPr>
                <w:p>
                  <w:pPr>
                    <w:adjustRightInd w:val="0"/>
                    <w:snapToGrid w:val="0"/>
                    <w:jc w:val="center"/>
                    <w:rPr>
                      <w:bCs/>
                      <w:sz w:val="21"/>
                      <w:szCs w:val="21"/>
                    </w:rPr>
                  </w:pPr>
                  <w:r>
                    <w:rPr>
                      <w:rFonts w:hint="eastAsia"/>
                      <w:bCs/>
                      <w:sz w:val="21"/>
                      <w:szCs w:val="21"/>
                    </w:rPr>
                    <w:t>3</w:t>
                  </w:r>
                </w:p>
              </w:tc>
              <w:tc>
                <w:tcPr>
                  <w:tcW w:w="1558" w:type="dxa"/>
                  <w:vAlign w:val="center"/>
                </w:tcPr>
                <w:p>
                  <w:pPr>
                    <w:ind w:left="-15"/>
                    <w:jc w:val="center"/>
                    <w:rPr>
                      <w:sz w:val="21"/>
                      <w:szCs w:val="21"/>
                    </w:rPr>
                  </w:pPr>
                  <w:r>
                    <w:rPr>
                      <w:rFonts w:hAnsi="宋体"/>
                      <w:sz w:val="21"/>
                      <w:szCs w:val="21"/>
                    </w:rPr>
                    <w:t>皮带机</w:t>
                  </w:r>
                </w:p>
              </w:tc>
              <w:tc>
                <w:tcPr>
                  <w:tcW w:w="865" w:type="dxa"/>
                  <w:vAlign w:val="center"/>
                </w:tcPr>
                <w:p>
                  <w:pPr>
                    <w:ind w:left="-15"/>
                    <w:jc w:val="center"/>
                    <w:rPr>
                      <w:sz w:val="21"/>
                      <w:szCs w:val="21"/>
                    </w:rPr>
                  </w:pPr>
                  <w:r>
                    <w:rPr>
                      <w:rFonts w:hint="eastAsia"/>
                      <w:sz w:val="21"/>
                      <w:szCs w:val="21"/>
                    </w:rPr>
                    <w:t>3</w:t>
                  </w:r>
                  <w:r>
                    <w:rPr>
                      <w:rFonts w:hAnsi="宋体"/>
                      <w:sz w:val="21"/>
                      <w:szCs w:val="21"/>
                    </w:rPr>
                    <w:t>台</w:t>
                  </w:r>
                </w:p>
              </w:tc>
              <w:tc>
                <w:tcPr>
                  <w:tcW w:w="1385" w:type="dxa"/>
                  <w:vAlign w:val="center"/>
                </w:tcPr>
                <w:p>
                  <w:pPr>
                    <w:ind w:left="-15"/>
                    <w:jc w:val="center"/>
                    <w:rPr>
                      <w:sz w:val="21"/>
                      <w:szCs w:val="21"/>
                    </w:rPr>
                  </w:pPr>
                  <w:r>
                    <w:rPr>
                      <w:sz w:val="21"/>
                      <w:szCs w:val="21"/>
                    </w:rPr>
                    <w:t>8</w:t>
                  </w:r>
                  <w:r>
                    <w:rPr>
                      <w:rFonts w:hint="eastAsia"/>
                      <w:sz w:val="21"/>
                      <w:szCs w:val="21"/>
                    </w:rPr>
                    <w:t>0</w:t>
                  </w:r>
                </w:p>
              </w:tc>
              <w:tc>
                <w:tcPr>
                  <w:tcW w:w="1916" w:type="dxa"/>
                  <w:vAlign w:val="center"/>
                </w:tcPr>
                <w:p>
                  <w:pPr>
                    <w:adjustRightInd w:val="0"/>
                    <w:snapToGrid w:val="0"/>
                    <w:jc w:val="center"/>
                    <w:rPr>
                      <w:sz w:val="21"/>
                      <w:szCs w:val="21"/>
                    </w:rPr>
                  </w:pPr>
                  <w:r>
                    <w:rPr>
                      <w:rFonts w:hint="eastAsia"/>
                      <w:sz w:val="21"/>
                      <w:szCs w:val="21"/>
                    </w:rPr>
                    <w:t>基础减振、密闭措施</w:t>
                  </w:r>
                </w:p>
              </w:tc>
              <w:tc>
                <w:tcPr>
                  <w:tcW w:w="1199" w:type="dxa"/>
                  <w:vMerge w:val="continue"/>
                  <w:vAlign w:val="center"/>
                </w:tcPr>
                <w:p>
                  <w:pPr>
                    <w:adjustRightInd w:val="0"/>
                    <w:snapToGrid w:val="0"/>
                    <w:jc w:val="center"/>
                    <w:rPr>
                      <w:sz w:val="21"/>
                      <w:szCs w:val="21"/>
                    </w:rPr>
                  </w:pPr>
                </w:p>
              </w:tc>
              <w:tc>
                <w:tcPr>
                  <w:tcW w:w="1229" w:type="dxa"/>
                  <w:vAlign w:val="center"/>
                </w:tcPr>
                <w:p>
                  <w:pPr>
                    <w:adjustRightInd w:val="0"/>
                    <w:snapToGrid w:val="0"/>
                    <w:jc w:val="center"/>
                    <w:rPr>
                      <w:bCs/>
                      <w:sz w:val="21"/>
                      <w:szCs w:val="21"/>
                    </w:rPr>
                  </w:pPr>
                  <w:r>
                    <w:rPr>
                      <w:rFonts w:hint="eastAsia"/>
                      <w:bCs/>
                      <w:sz w:val="21"/>
                      <w:szCs w:val="21"/>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3" w:type="dxa"/>
                  <w:vAlign w:val="center"/>
                </w:tcPr>
                <w:p>
                  <w:pPr>
                    <w:adjustRightInd w:val="0"/>
                    <w:snapToGrid w:val="0"/>
                    <w:jc w:val="center"/>
                    <w:rPr>
                      <w:bCs/>
                      <w:sz w:val="21"/>
                      <w:szCs w:val="21"/>
                    </w:rPr>
                  </w:pPr>
                  <w:r>
                    <w:rPr>
                      <w:rFonts w:hint="eastAsia"/>
                      <w:bCs/>
                      <w:sz w:val="21"/>
                      <w:szCs w:val="21"/>
                    </w:rPr>
                    <w:t>4</w:t>
                  </w:r>
                </w:p>
              </w:tc>
              <w:tc>
                <w:tcPr>
                  <w:tcW w:w="1558" w:type="dxa"/>
                  <w:vAlign w:val="center"/>
                </w:tcPr>
                <w:p>
                  <w:pPr>
                    <w:ind w:left="-15"/>
                    <w:jc w:val="center"/>
                    <w:rPr>
                      <w:rFonts w:hAnsi="宋体"/>
                      <w:sz w:val="21"/>
                      <w:szCs w:val="21"/>
                    </w:rPr>
                  </w:pPr>
                  <w:r>
                    <w:rPr>
                      <w:rFonts w:hint="eastAsia" w:hAnsi="宋体"/>
                      <w:sz w:val="21"/>
                      <w:szCs w:val="21"/>
                    </w:rPr>
                    <w:t>风机</w:t>
                  </w:r>
                </w:p>
              </w:tc>
              <w:tc>
                <w:tcPr>
                  <w:tcW w:w="865" w:type="dxa"/>
                  <w:vAlign w:val="center"/>
                </w:tcPr>
                <w:p>
                  <w:pPr>
                    <w:ind w:left="-15"/>
                    <w:jc w:val="center"/>
                    <w:rPr>
                      <w:sz w:val="21"/>
                      <w:szCs w:val="21"/>
                    </w:rPr>
                  </w:pPr>
                  <w:r>
                    <w:rPr>
                      <w:rFonts w:hint="eastAsia"/>
                      <w:sz w:val="21"/>
                      <w:szCs w:val="21"/>
                    </w:rPr>
                    <w:t>4</w:t>
                  </w:r>
                  <w:r>
                    <w:rPr>
                      <w:rFonts w:hAnsi="宋体"/>
                      <w:sz w:val="21"/>
                      <w:szCs w:val="21"/>
                    </w:rPr>
                    <w:t>台</w:t>
                  </w:r>
                </w:p>
              </w:tc>
              <w:tc>
                <w:tcPr>
                  <w:tcW w:w="1385" w:type="dxa"/>
                  <w:vAlign w:val="center"/>
                </w:tcPr>
                <w:p>
                  <w:pPr>
                    <w:ind w:left="-15"/>
                    <w:jc w:val="center"/>
                    <w:rPr>
                      <w:sz w:val="21"/>
                      <w:szCs w:val="21"/>
                    </w:rPr>
                  </w:pPr>
                  <w:r>
                    <w:rPr>
                      <w:rFonts w:hint="eastAsia"/>
                      <w:sz w:val="21"/>
                      <w:szCs w:val="21"/>
                    </w:rPr>
                    <w:t>95</w:t>
                  </w:r>
                </w:p>
              </w:tc>
              <w:tc>
                <w:tcPr>
                  <w:tcW w:w="1916" w:type="dxa"/>
                  <w:vAlign w:val="center"/>
                </w:tcPr>
                <w:p>
                  <w:pPr>
                    <w:adjustRightInd w:val="0"/>
                    <w:snapToGrid w:val="0"/>
                    <w:jc w:val="center"/>
                    <w:rPr>
                      <w:sz w:val="21"/>
                      <w:szCs w:val="21"/>
                    </w:rPr>
                  </w:pPr>
                  <w:r>
                    <w:rPr>
                      <w:rFonts w:hint="eastAsia"/>
                      <w:sz w:val="21"/>
                      <w:szCs w:val="21"/>
                    </w:rPr>
                    <w:t>基础减振、隔声</w:t>
                  </w:r>
                </w:p>
              </w:tc>
              <w:tc>
                <w:tcPr>
                  <w:tcW w:w="1199" w:type="dxa"/>
                  <w:vMerge w:val="continue"/>
                  <w:vAlign w:val="center"/>
                </w:tcPr>
                <w:p>
                  <w:pPr>
                    <w:adjustRightInd w:val="0"/>
                    <w:snapToGrid w:val="0"/>
                    <w:jc w:val="center"/>
                    <w:rPr>
                      <w:sz w:val="21"/>
                      <w:szCs w:val="21"/>
                    </w:rPr>
                  </w:pPr>
                </w:p>
              </w:tc>
              <w:tc>
                <w:tcPr>
                  <w:tcW w:w="1229" w:type="dxa"/>
                  <w:vAlign w:val="center"/>
                </w:tcPr>
                <w:p>
                  <w:pPr>
                    <w:adjustRightInd w:val="0"/>
                    <w:snapToGrid w:val="0"/>
                    <w:jc w:val="center"/>
                    <w:rPr>
                      <w:bCs/>
                      <w:sz w:val="21"/>
                      <w:szCs w:val="21"/>
                    </w:rPr>
                  </w:pPr>
                  <w:r>
                    <w:rPr>
                      <w:rFonts w:hint="eastAsia"/>
                      <w:bCs/>
                      <w:sz w:val="21"/>
                      <w:szCs w:val="21"/>
                    </w:rPr>
                    <w:t>70</w:t>
                  </w:r>
                </w:p>
              </w:tc>
            </w:tr>
          </w:tbl>
          <w:p>
            <w:pPr>
              <w:tabs>
                <w:tab w:val="left" w:pos="6480"/>
              </w:tabs>
              <w:spacing w:line="500" w:lineRule="exact"/>
              <w:ind w:firstLine="480" w:firstLineChars="200"/>
              <w:rPr>
                <w:bCs/>
                <w:sz w:val="24"/>
                <w:szCs w:val="24"/>
              </w:rPr>
            </w:pPr>
            <w:r>
              <w:rPr>
                <w:bCs/>
                <w:sz w:val="24"/>
                <w:szCs w:val="24"/>
              </w:rPr>
              <w:t>为了最大程度地减少噪声对项目区域声环境质量的影响，建议本项目还应采取以下噪声污染防治措施：加强设备维护保养，确保设备正常运行，避免设备带病运行，造成设备运行噪声级提高，对环境造成影响。</w:t>
            </w:r>
          </w:p>
          <w:p>
            <w:pPr>
              <w:tabs>
                <w:tab w:val="left" w:pos="6480"/>
              </w:tabs>
              <w:spacing w:line="500" w:lineRule="exact"/>
              <w:ind w:firstLine="482" w:firstLineChars="200"/>
              <w:rPr>
                <w:rFonts w:hint="default" w:ascii="Times New Roman" w:hAnsi="Times New Roman" w:eastAsia="宋体" w:cs="Times New Roman"/>
                <w:color w:val="auto"/>
                <w:sz w:val="24"/>
                <w:szCs w:val="24"/>
                <w:lang w:val="de-DE"/>
              </w:rPr>
            </w:pPr>
            <w:r>
              <w:rPr>
                <w:rFonts w:hint="default" w:ascii="Times New Roman" w:hAnsi="Times New Roman" w:eastAsia="宋体" w:cs="Times New Roman"/>
                <w:b/>
                <w:sz w:val="24"/>
              </w:rPr>
              <w:t>4、固废</w:t>
            </w:r>
          </w:p>
          <w:p>
            <w:pPr>
              <w:spacing w:line="500" w:lineRule="exact"/>
              <w:ind w:firstLine="480" w:firstLineChars="200"/>
              <w:rPr>
                <w:kern w:val="0"/>
                <w:sz w:val="24"/>
                <w:szCs w:val="24"/>
              </w:rPr>
            </w:pPr>
            <w:r>
              <w:rPr>
                <w:sz w:val="24"/>
              </w:rPr>
              <w:t>该项目的固体废物主要包括除尘装置收集的粉尘</w:t>
            </w:r>
            <w:r>
              <w:rPr>
                <w:rFonts w:hint="eastAsia"/>
                <w:sz w:val="24"/>
              </w:rPr>
              <w:t>、</w:t>
            </w:r>
            <w:r>
              <w:rPr>
                <w:sz w:val="24"/>
              </w:rPr>
              <w:t>职工办公生活产生的生活垃圾</w:t>
            </w:r>
            <w:r>
              <w:rPr>
                <w:rFonts w:hint="eastAsia"/>
                <w:sz w:val="24"/>
              </w:rPr>
              <w:t>和沉淀池</w:t>
            </w:r>
            <w:r>
              <w:rPr>
                <w:sz w:val="24"/>
              </w:rPr>
              <w:t>产生的沉淀</w:t>
            </w:r>
            <w:r>
              <w:rPr>
                <w:rFonts w:hint="eastAsia"/>
                <w:sz w:val="24"/>
              </w:rPr>
              <w:t>污泥</w:t>
            </w:r>
            <w:r>
              <w:rPr>
                <w:sz w:val="24"/>
              </w:rPr>
              <w:t>。</w:t>
            </w:r>
          </w:p>
          <w:p>
            <w:pPr>
              <w:spacing w:line="500" w:lineRule="exact"/>
              <w:ind w:firstLine="480" w:firstLineChars="200"/>
              <w:rPr>
                <w:bCs/>
                <w:sz w:val="24"/>
                <w:szCs w:val="24"/>
              </w:rPr>
            </w:pPr>
            <w:r>
              <w:rPr>
                <w:bCs/>
                <w:sz w:val="24"/>
                <w:szCs w:val="24"/>
              </w:rPr>
              <w:t>（1）除尘装置收集的粉尘</w:t>
            </w:r>
          </w:p>
          <w:p>
            <w:pPr>
              <w:spacing w:line="500" w:lineRule="exact"/>
              <w:ind w:firstLine="480" w:firstLineChars="200"/>
              <w:rPr>
                <w:bCs/>
                <w:sz w:val="24"/>
                <w:szCs w:val="24"/>
              </w:rPr>
            </w:pPr>
            <w:r>
              <w:rPr>
                <w:bCs/>
                <w:sz w:val="24"/>
                <w:szCs w:val="24"/>
              </w:rPr>
              <w:t>经核算，</w:t>
            </w:r>
            <w:r>
              <w:rPr>
                <w:rFonts w:hint="eastAsia"/>
                <w:bCs/>
                <w:sz w:val="24"/>
                <w:szCs w:val="24"/>
              </w:rPr>
              <w:t>袋式除尘器</w:t>
            </w:r>
            <w:r>
              <w:rPr>
                <w:bCs/>
                <w:sz w:val="24"/>
                <w:szCs w:val="24"/>
              </w:rPr>
              <w:t>收集的粉尘量为</w:t>
            </w:r>
            <w:r>
              <w:rPr>
                <w:rFonts w:hint="eastAsia"/>
                <w:bCs/>
                <w:sz w:val="24"/>
                <w:szCs w:val="24"/>
              </w:rPr>
              <w:t>32</w:t>
            </w:r>
            <w:r>
              <w:rPr>
                <w:bCs/>
                <w:sz w:val="24"/>
                <w:szCs w:val="24"/>
              </w:rPr>
              <w:t>t/a，集中收集后</w:t>
            </w:r>
            <w:r>
              <w:rPr>
                <w:rFonts w:hint="eastAsia"/>
                <w:bCs/>
                <w:sz w:val="24"/>
                <w:szCs w:val="24"/>
              </w:rPr>
              <w:t>回用于生产</w:t>
            </w:r>
            <w:r>
              <w:rPr>
                <w:bCs/>
                <w:sz w:val="24"/>
                <w:szCs w:val="24"/>
              </w:rPr>
              <w:t>。</w:t>
            </w:r>
          </w:p>
          <w:p>
            <w:pPr>
              <w:spacing w:line="500" w:lineRule="exact"/>
              <w:ind w:firstLine="480" w:firstLineChars="200"/>
              <w:rPr>
                <w:bCs/>
                <w:sz w:val="24"/>
                <w:szCs w:val="24"/>
              </w:rPr>
            </w:pPr>
            <w:r>
              <w:rPr>
                <w:bCs/>
                <w:sz w:val="24"/>
                <w:szCs w:val="24"/>
              </w:rPr>
              <w:t>（</w:t>
            </w:r>
            <w:r>
              <w:rPr>
                <w:rFonts w:hint="eastAsia"/>
                <w:bCs/>
                <w:sz w:val="24"/>
                <w:szCs w:val="24"/>
              </w:rPr>
              <w:t>2</w:t>
            </w:r>
            <w:r>
              <w:rPr>
                <w:bCs/>
                <w:sz w:val="24"/>
                <w:szCs w:val="24"/>
              </w:rPr>
              <w:t>）职工办公生活产生的生活垃圾</w:t>
            </w:r>
          </w:p>
          <w:p>
            <w:pPr>
              <w:spacing w:line="500" w:lineRule="exact"/>
              <w:ind w:firstLine="480" w:firstLineChars="200"/>
              <w:rPr>
                <w:bCs/>
                <w:sz w:val="24"/>
                <w:szCs w:val="24"/>
              </w:rPr>
            </w:pPr>
            <w:r>
              <w:rPr>
                <w:bCs/>
                <w:sz w:val="24"/>
                <w:szCs w:val="24"/>
              </w:rPr>
              <w:t>项目营运期劳动定员为</w:t>
            </w:r>
            <w:r>
              <w:rPr>
                <w:rFonts w:hint="eastAsia"/>
                <w:bCs/>
                <w:sz w:val="24"/>
                <w:szCs w:val="24"/>
              </w:rPr>
              <w:t>20</w:t>
            </w:r>
            <w:r>
              <w:rPr>
                <w:bCs/>
                <w:sz w:val="24"/>
                <w:szCs w:val="24"/>
              </w:rPr>
              <w:t>人，均不在厂区食宿，生活垃圾按0.5kg/人•d计算，生活垃圾产生量为</w:t>
            </w:r>
            <w:r>
              <w:rPr>
                <w:rFonts w:hint="eastAsia"/>
                <w:bCs/>
                <w:sz w:val="24"/>
                <w:szCs w:val="24"/>
              </w:rPr>
              <w:t>10</w:t>
            </w:r>
            <w:r>
              <w:rPr>
                <w:bCs/>
                <w:sz w:val="24"/>
                <w:szCs w:val="24"/>
              </w:rPr>
              <w:t>kg/d（</w:t>
            </w:r>
            <w:r>
              <w:rPr>
                <w:rFonts w:hint="eastAsia"/>
                <w:bCs/>
                <w:sz w:val="24"/>
                <w:szCs w:val="24"/>
              </w:rPr>
              <w:t>3</w:t>
            </w:r>
            <w:r>
              <w:rPr>
                <w:bCs/>
                <w:sz w:val="24"/>
                <w:szCs w:val="24"/>
              </w:rPr>
              <w:t>t/a），生活垃圾经垃圾桶收集后由当地环卫部门定期清运。</w:t>
            </w:r>
          </w:p>
          <w:p>
            <w:pPr>
              <w:spacing w:line="500" w:lineRule="exact"/>
              <w:ind w:firstLine="480" w:firstLineChars="200"/>
              <w:rPr>
                <w:bCs/>
                <w:sz w:val="24"/>
                <w:szCs w:val="24"/>
              </w:rPr>
            </w:pPr>
            <w:r>
              <w:rPr>
                <w:bCs/>
                <w:sz w:val="24"/>
                <w:szCs w:val="24"/>
              </w:rPr>
              <w:t>（</w:t>
            </w:r>
            <w:r>
              <w:rPr>
                <w:rFonts w:hint="eastAsia"/>
                <w:bCs/>
                <w:sz w:val="24"/>
                <w:szCs w:val="24"/>
              </w:rPr>
              <w:t>3</w:t>
            </w:r>
            <w:r>
              <w:rPr>
                <w:bCs/>
                <w:sz w:val="24"/>
                <w:szCs w:val="24"/>
              </w:rPr>
              <w:t>）</w:t>
            </w:r>
            <w:r>
              <w:rPr>
                <w:rFonts w:hint="eastAsia"/>
                <w:bCs/>
                <w:sz w:val="24"/>
                <w:szCs w:val="24"/>
              </w:rPr>
              <w:t>沉淀池</w:t>
            </w:r>
            <w:r>
              <w:rPr>
                <w:bCs/>
                <w:sz w:val="24"/>
                <w:szCs w:val="24"/>
              </w:rPr>
              <w:t>产生的沉淀</w:t>
            </w:r>
            <w:r>
              <w:rPr>
                <w:rFonts w:hint="eastAsia"/>
                <w:bCs/>
                <w:sz w:val="24"/>
                <w:szCs w:val="24"/>
              </w:rPr>
              <w:t>污泥</w:t>
            </w:r>
          </w:p>
          <w:p>
            <w:pPr>
              <w:pStyle w:val="21"/>
              <w:bidi w:val="0"/>
              <w:rPr>
                <w:rFonts w:hint="eastAsia"/>
                <w:bCs/>
                <w:sz w:val="24"/>
                <w:szCs w:val="24"/>
              </w:rPr>
            </w:pPr>
            <w:r>
              <w:rPr>
                <w:rFonts w:hint="eastAsia"/>
                <w:bCs/>
                <w:sz w:val="24"/>
                <w:szCs w:val="24"/>
              </w:rPr>
              <w:t>搅拌设备及运输车辆需定期进行清洗，清洗过程会有部分粘附与车辆及设备上的废渣产生，</w:t>
            </w:r>
            <w:r>
              <w:rPr>
                <w:bCs/>
                <w:sz w:val="24"/>
                <w:szCs w:val="24"/>
              </w:rPr>
              <w:t>根据经验数据，平均每天产生废渣量0.5t，则年产生量为</w:t>
            </w:r>
            <w:r>
              <w:rPr>
                <w:rFonts w:hint="eastAsia"/>
                <w:bCs/>
                <w:sz w:val="24"/>
                <w:szCs w:val="24"/>
              </w:rPr>
              <w:t>100</w:t>
            </w:r>
            <w:r>
              <w:rPr>
                <w:bCs/>
                <w:sz w:val="24"/>
                <w:szCs w:val="24"/>
              </w:rPr>
              <w:t>t/a。</w:t>
            </w:r>
            <w:r>
              <w:rPr>
                <w:rFonts w:hint="eastAsia"/>
                <w:bCs/>
                <w:sz w:val="24"/>
                <w:szCs w:val="24"/>
              </w:rPr>
              <w:t>该部分废渣随清洗水进入沉淀池内，经沉淀收集后定期清理作为原料使用，不外排。</w:t>
            </w:r>
          </w:p>
          <w:p>
            <w:pPr>
              <w:pStyle w:val="21"/>
              <w:bidi w:val="0"/>
              <w:rPr>
                <w:rFonts w:hint="default" w:ascii="Times New Roman" w:hAnsi="Times New Roman" w:eastAsia="宋体" w:cs="Times New Roman"/>
                <w:sz w:val="24"/>
                <w:szCs w:val="22"/>
                <w:lang w:val="de-DE"/>
              </w:rPr>
            </w:pPr>
            <w:r>
              <w:rPr>
                <w:rFonts w:hint="default" w:ascii="Times New Roman" w:hAnsi="Times New Roman" w:eastAsia="宋体" w:cs="Times New Roman"/>
                <w:sz w:val="24"/>
                <w:szCs w:val="22"/>
              </w:rPr>
              <w:t>建设项目固废主要为：除尘器收集的粉尘及人员生活垃圾。</w:t>
            </w:r>
          </w:p>
          <w:p>
            <w:pPr>
              <w:pStyle w:val="21"/>
              <w:bidi w:val="0"/>
              <w:rPr>
                <w:rFonts w:hint="default" w:ascii="Times New Roman" w:hAnsi="Times New Roman" w:eastAsia="宋体" w:cs="Times New Roman"/>
                <w:sz w:val="24"/>
                <w:szCs w:val="22"/>
              </w:rPr>
            </w:pPr>
            <w:r>
              <w:rPr>
                <w:rFonts w:hint="default" w:ascii="Times New Roman" w:hAnsi="Times New Roman" w:eastAsia="宋体" w:cs="Times New Roman"/>
                <w:sz w:val="24"/>
                <w:szCs w:val="22"/>
              </w:rPr>
              <w:t>①除尘装置收集粉尘</w:t>
            </w:r>
          </w:p>
          <w:p>
            <w:pPr>
              <w:pStyle w:val="21"/>
              <w:bidi w:val="0"/>
              <w:rPr>
                <w:rFonts w:hint="default" w:ascii="Times New Roman" w:hAnsi="Times New Roman" w:eastAsia="宋体" w:cs="Times New Roman"/>
                <w:sz w:val="24"/>
                <w:szCs w:val="22"/>
              </w:rPr>
            </w:pPr>
            <w:r>
              <w:rPr>
                <w:rFonts w:hint="default" w:ascii="Times New Roman" w:hAnsi="Times New Roman" w:eastAsia="宋体" w:cs="Times New Roman"/>
                <w:sz w:val="24"/>
                <w:szCs w:val="22"/>
              </w:rPr>
              <w:t>根据前文分析，除尘装置收集粉尘量约为146.01t/a，收集后综合利用。</w:t>
            </w:r>
          </w:p>
          <w:p>
            <w:pPr>
              <w:pStyle w:val="21"/>
              <w:bidi w:val="0"/>
              <w:rPr>
                <w:rFonts w:hint="default" w:ascii="Times New Roman" w:hAnsi="Times New Roman" w:eastAsia="宋体" w:cs="Times New Roman"/>
                <w:sz w:val="24"/>
                <w:szCs w:val="22"/>
              </w:rPr>
            </w:pPr>
            <w:r>
              <w:rPr>
                <w:rFonts w:hint="default" w:ascii="Times New Roman" w:hAnsi="Times New Roman" w:eastAsia="宋体" w:cs="Times New Roman"/>
                <w:sz w:val="24"/>
                <w:szCs w:val="22"/>
              </w:rPr>
              <w:t>②生活垃圾</w:t>
            </w:r>
          </w:p>
          <w:p>
            <w:pPr>
              <w:pStyle w:val="21"/>
              <w:bidi w:val="0"/>
              <w:rPr>
                <w:rFonts w:hint="default" w:ascii="Times New Roman" w:hAnsi="Times New Roman" w:eastAsia="宋体" w:cs="Times New Roman"/>
                <w:sz w:val="24"/>
                <w:szCs w:val="22"/>
              </w:rPr>
            </w:pPr>
            <w:r>
              <w:rPr>
                <w:rFonts w:hint="default" w:ascii="Times New Roman" w:hAnsi="Times New Roman" w:eastAsia="宋体" w:cs="Times New Roman"/>
                <w:sz w:val="24"/>
                <w:szCs w:val="22"/>
              </w:rPr>
              <w:t>本项目劳动定员 20 人，均不在厂内食宿，生活垃圾产生系数按 0.5kg/（人·d）计，则生活垃圾产生量约为 3.0t/a。袋装收集于垃圾桶暂存后由环卫部门统一收集定期清运处理。</w:t>
            </w:r>
          </w:p>
          <w:p>
            <w:pPr>
              <w:pStyle w:val="21"/>
              <w:bidi w:val="0"/>
              <w:rPr>
                <w:rFonts w:hint="default" w:ascii="Times New Roman" w:hAnsi="Times New Roman" w:eastAsia="宋体" w:cs="Times New Roman"/>
                <w:sz w:val="24"/>
                <w:szCs w:val="22"/>
              </w:rPr>
            </w:pPr>
            <w:r>
              <w:rPr>
                <w:rFonts w:hint="default" w:ascii="Times New Roman" w:hAnsi="Times New Roman" w:eastAsia="宋体" w:cs="Times New Roman"/>
                <w:sz w:val="24"/>
                <w:szCs w:val="22"/>
              </w:rPr>
              <w:t>本项目固废产生及排放情况见</w:t>
            </w:r>
            <w:r>
              <w:rPr>
                <w:rFonts w:hint="eastAsia" w:cs="Times New Roman"/>
                <w:sz w:val="24"/>
                <w:szCs w:val="22"/>
                <w:lang w:eastAsia="zh-CN"/>
              </w:rPr>
              <w:t>下表</w:t>
            </w:r>
            <w:r>
              <w:rPr>
                <w:rFonts w:hint="default" w:ascii="Times New Roman" w:hAnsi="Times New Roman" w:eastAsia="宋体" w:cs="Times New Roman"/>
                <w:sz w:val="24"/>
                <w:szCs w:val="22"/>
              </w:rPr>
              <w:t>。</w:t>
            </w:r>
          </w:p>
          <w:p>
            <w:pPr>
              <w:pStyle w:val="21"/>
              <w:bidi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表</w:t>
            </w:r>
            <w:r>
              <w:rPr>
                <w:rFonts w:hint="default" w:ascii="Times New Roman" w:hAnsi="Times New Roman" w:eastAsia="宋体" w:cs="Times New Roman"/>
                <w:spacing w:val="-63"/>
                <w:sz w:val="21"/>
                <w:szCs w:val="21"/>
              </w:rPr>
              <w:t xml:space="preserve"> </w:t>
            </w:r>
            <w:r>
              <w:rPr>
                <w:rFonts w:hint="default" w:ascii="Times New Roman" w:hAnsi="Times New Roman" w:eastAsia="宋体" w:cs="Times New Roman"/>
                <w:sz w:val="21"/>
                <w:szCs w:val="21"/>
                <w:lang w:val="en-US" w:eastAsia="zh-CN"/>
              </w:rPr>
              <w:t>5.2.2-</w:t>
            </w:r>
            <w:r>
              <w:rPr>
                <w:rFonts w:hint="default" w:ascii="Times New Roman" w:hAnsi="Times New Roman" w:eastAsia="宋体" w:cs="Times New Roman"/>
                <w:sz w:val="21"/>
                <w:szCs w:val="21"/>
              </w:rPr>
              <w:t>7</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固废产生情况一览表</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单位：t/a</w:t>
            </w:r>
          </w:p>
          <w:tbl>
            <w:tblPr>
              <w:tblStyle w:val="43"/>
              <w:tblW w:w="8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8"/>
              <w:gridCol w:w="1370"/>
              <w:gridCol w:w="1044"/>
              <w:gridCol w:w="1044"/>
              <w:gridCol w:w="701"/>
              <w:gridCol w:w="1347"/>
              <w:gridCol w:w="805"/>
              <w:gridCol w:w="1273"/>
              <w:gridCol w:w="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6" w:hRule="exact"/>
              </w:trPr>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sz w:val="21"/>
                    </w:rPr>
                  </w:pPr>
                  <w:r>
                    <w:rPr>
                      <w:rFonts w:hint="default" w:ascii="Times New Roman" w:hAnsi="Times New Roman" w:eastAsia="宋体" w:cs="Times New Roman"/>
                      <w:b/>
                      <w:sz w:val="21"/>
                    </w:rPr>
                    <w:t>序号</w:t>
                  </w:r>
                </w:p>
              </w:tc>
              <w:tc>
                <w:tcPr>
                  <w:tcW w:w="1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sz w:val="21"/>
                    </w:rPr>
                  </w:pPr>
                  <w:r>
                    <w:rPr>
                      <w:rFonts w:hint="default" w:ascii="Times New Roman" w:hAnsi="Times New Roman" w:eastAsia="宋体" w:cs="Times New Roman"/>
                      <w:b/>
                      <w:sz w:val="21"/>
                    </w:rPr>
                    <w:t>名称</w:t>
                  </w:r>
                </w:p>
              </w:tc>
              <w:tc>
                <w:tcPr>
                  <w:tcW w:w="10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sz w:val="21"/>
                    </w:rPr>
                  </w:pPr>
                  <w:r>
                    <w:rPr>
                      <w:rFonts w:hint="default" w:ascii="Times New Roman" w:hAnsi="Times New Roman" w:eastAsia="宋体" w:cs="Times New Roman"/>
                      <w:b/>
                      <w:sz w:val="21"/>
                    </w:rPr>
                    <w:t>类别</w:t>
                  </w:r>
                </w:p>
              </w:tc>
              <w:tc>
                <w:tcPr>
                  <w:tcW w:w="10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sz w:val="21"/>
                    </w:rPr>
                  </w:pPr>
                  <w:r>
                    <w:rPr>
                      <w:rFonts w:hint="default" w:ascii="Times New Roman" w:hAnsi="Times New Roman" w:eastAsia="宋体" w:cs="Times New Roman"/>
                      <w:b/>
                      <w:sz w:val="21"/>
                    </w:rPr>
                    <w:t>来源</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sz w:val="21"/>
                    </w:rPr>
                  </w:pPr>
                  <w:r>
                    <w:rPr>
                      <w:rFonts w:hint="default" w:ascii="Times New Roman" w:hAnsi="Times New Roman" w:eastAsia="宋体" w:cs="Times New Roman"/>
                      <w:b/>
                      <w:sz w:val="21"/>
                    </w:rPr>
                    <w:t>状态</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sz w:val="21"/>
                    </w:rPr>
                  </w:pPr>
                  <w:r>
                    <w:rPr>
                      <w:rFonts w:hint="default" w:ascii="Times New Roman" w:hAnsi="Times New Roman" w:eastAsia="宋体" w:cs="Times New Roman"/>
                      <w:b/>
                      <w:sz w:val="21"/>
                    </w:rPr>
                    <w:t>存放地点</w:t>
                  </w:r>
                </w:p>
              </w:tc>
              <w:tc>
                <w:tcPr>
                  <w:tcW w:w="8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sz w:val="21"/>
                    </w:rPr>
                  </w:pPr>
                  <w:r>
                    <w:rPr>
                      <w:rFonts w:hint="default" w:ascii="Times New Roman" w:hAnsi="Times New Roman" w:eastAsia="宋体" w:cs="Times New Roman"/>
                      <w:b/>
                      <w:sz w:val="21"/>
                    </w:rPr>
                    <w:t>产生量</w:t>
                  </w:r>
                </w:p>
              </w:tc>
              <w:tc>
                <w:tcPr>
                  <w:tcW w:w="12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sz w:val="21"/>
                    </w:rPr>
                  </w:pPr>
                  <w:r>
                    <w:rPr>
                      <w:rFonts w:hint="default" w:ascii="Times New Roman" w:hAnsi="Times New Roman" w:eastAsia="宋体" w:cs="Times New Roman"/>
                      <w:b/>
                      <w:sz w:val="21"/>
                    </w:rPr>
                    <w:t>处置方式</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sz w:val="21"/>
                    </w:rPr>
                  </w:pPr>
                  <w:r>
                    <w:rPr>
                      <w:rFonts w:hint="default" w:ascii="Times New Roman" w:hAnsi="Times New Roman" w:eastAsia="宋体" w:cs="Times New Roman"/>
                      <w:b/>
                      <w:sz w:val="21"/>
                    </w:rPr>
                    <w:t>排放量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exact"/>
              </w:trPr>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1</w:t>
                  </w:r>
                </w:p>
              </w:tc>
              <w:tc>
                <w:tcPr>
                  <w:tcW w:w="1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除尘器收集 粉尘</w:t>
                  </w:r>
                </w:p>
              </w:tc>
              <w:tc>
                <w:tcPr>
                  <w:tcW w:w="10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一般固废</w:t>
                  </w:r>
                </w:p>
              </w:tc>
              <w:tc>
                <w:tcPr>
                  <w:tcW w:w="10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除尘器</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固态</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一般固废堆场</w:t>
                  </w:r>
                </w:p>
              </w:tc>
              <w:tc>
                <w:tcPr>
                  <w:tcW w:w="8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146.01</w:t>
                  </w:r>
                </w:p>
              </w:tc>
              <w:tc>
                <w:tcPr>
                  <w:tcW w:w="12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收集后外售综 合利用</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p>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9" w:hRule="exact"/>
              </w:trPr>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2</w:t>
                  </w:r>
                </w:p>
              </w:tc>
              <w:tc>
                <w:tcPr>
                  <w:tcW w:w="1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生活垃圾</w:t>
                  </w:r>
                </w:p>
              </w:tc>
              <w:tc>
                <w:tcPr>
                  <w:tcW w:w="10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w:t>
                  </w:r>
                </w:p>
              </w:tc>
              <w:tc>
                <w:tcPr>
                  <w:tcW w:w="10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办公生活</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固态</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垃圾桶</w:t>
                  </w:r>
                </w:p>
              </w:tc>
              <w:tc>
                <w:tcPr>
                  <w:tcW w:w="8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3.0</w:t>
                  </w:r>
                </w:p>
              </w:tc>
              <w:tc>
                <w:tcPr>
                  <w:tcW w:w="12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委托环卫部门 清运处理</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p>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0</w:t>
                  </w:r>
                </w:p>
              </w:tc>
            </w:tr>
          </w:tbl>
          <w:p>
            <w:pPr>
              <w:pStyle w:val="157"/>
              <w:kinsoku w:val="0"/>
              <w:overflowPunct w:val="0"/>
              <w:ind w:left="452"/>
              <w:rPr>
                <w:rFonts w:hint="default" w:ascii="Times New Roman" w:hAnsi="Times New Roman" w:eastAsia="宋体" w:cs="Times New Roman"/>
                <w:sz w:val="24"/>
              </w:rPr>
            </w:pPr>
            <w:bookmarkStart w:id="38" w:name="5、污染物排放量汇总"/>
            <w:bookmarkEnd w:id="38"/>
            <w:r>
              <w:rPr>
                <w:rFonts w:hint="default" w:ascii="Times New Roman" w:hAnsi="Times New Roman" w:eastAsia="宋体" w:cs="Times New Roman"/>
                <w:b/>
                <w:sz w:val="24"/>
              </w:rPr>
              <w:t>5、污染物排放量汇总</w:t>
            </w:r>
          </w:p>
          <w:p>
            <w:pPr>
              <w:pStyle w:val="157"/>
              <w:kinsoku w:val="0"/>
              <w:overflowPunct w:val="0"/>
              <w:spacing w:before="27"/>
              <w:ind w:left="580"/>
              <w:rPr>
                <w:rFonts w:hint="default" w:ascii="Times New Roman" w:hAnsi="Times New Roman" w:eastAsia="宋体" w:cs="Times New Roman"/>
                <w:sz w:val="24"/>
              </w:rPr>
            </w:pPr>
            <w:r>
              <w:rPr>
                <w:rFonts w:hint="default" w:ascii="Times New Roman" w:hAnsi="Times New Roman" w:eastAsia="宋体" w:cs="Times New Roman"/>
                <w:sz w:val="24"/>
              </w:rPr>
              <w:t>建设项目污染物排放汇总情况详见</w:t>
            </w:r>
            <w:r>
              <w:rPr>
                <w:rFonts w:hint="eastAsia" w:cs="Times New Roman"/>
                <w:sz w:val="24"/>
                <w:lang w:eastAsia="zh-CN"/>
              </w:rPr>
              <w:t>下表</w:t>
            </w:r>
            <w:r>
              <w:rPr>
                <w:rFonts w:hint="default" w:ascii="Times New Roman" w:hAnsi="Times New Roman" w:eastAsia="宋体" w:cs="Times New Roman"/>
                <w:sz w:val="24"/>
              </w:rPr>
              <w:t>。</w:t>
            </w:r>
          </w:p>
          <w:p>
            <w:pPr>
              <w:tabs>
                <w:tab w:val="left" w:pos="6480"/>
              </w:tabs>
              <w:spacing w:line="500" w:lineRule="exact"/>
              <w:ind w:firstLine="422" w:firstLineChars="200"/>
              <w:jc w:val="center"/>
              <w:rPr>
                <w:rFonts w:hint="default" w:ascii="Times New Roman" w:hAnsi="Times New Roman" w:eastAsia="宋体" w:cs="Times New Roman"/>
                <w:b/>
                <w:bCs/>
                <w:color w:val="auto"/>
                <w:sz w:val="21"/>
                <w:szCs w:val="21"/>
                <w:lang w:val="de-DE"/>
              </w:rPr>
            </w:pPr>
            <w:r>
              <w:rPr>
                <w:rFonts w:hint="default" w:ascii="Times New Roman" w:hAnsi="Times New Roman" w:eastAsia="宋体" w:cs="Times New Roman"/>
                <w:b/>
                <w:bCs/>
                <w:sz w:val="21"/>
                <w:szCs w:val="21"/>
              </w:rPr>
              <w:t>表</w:t>
            </w:r>
            <w:r>
              <w:rPr>
                <w:rFonts w:hint="default" w:ascii="Times New Roman" w:hAnsi="Times New Roman" w:eastAsia="宋体" w:cs="Times New Roman"/>
                <w:b/>
                <w:bCs/>
                <w:spacing w:val="-63"/>
                <w:sz w:val="21"/>
                <w:szCs w:val="21"/>
              </w:rPr>
              <w:t xml:space="preserve"> </w:t>
            </w:r>
            <w:r>
              <w:rPr>
                <w:rFonts w:hint="default" w:ascii="Times New Roman" w:hAnsi="Times New Roman" w:eastAsia="宋体" w:cs="Times New Roman"/>
                <w:b/>
                <w:bCs/>
                <w:sz w:val="21"/>
                <w:szCs w:val="21"/>
                <w:lang w:val="en-US" w:eastAsia="zh-CN"/>
              </w:rPr>
              <w:t>5.2.2-</w:t>
            </w:r>
            <w:r>
              <w:rPr>
                <w:rFonts w:hint="default" w:ascii="Times New Roman" w:hAnsi="Times New Roman" w:eastAsia="宋体" w:cs="Times New Roman"/>
                <w:b/>
                <w:bCs/>
                <w:sz w:val="21"/>
                <w:szCs w:val="21"/>
              </w:rPr>
              <w:t>8</w:t>
            </w:r>
            <w:r>
              <w:rPr>
                <w:rFonts w:hint="default"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w w:val="95"/>
                <w:sz w:val="21"/>
                <w:szCs w:val="21"/>
              </w:rPr>
              <w:t>项目污染物排放量汇总一览表</w:t>
            </w:r>
            <w:r>
              <w:rPr>
                <w:rFonts w:hint="default" w:ascii="Times New Roman" w:hAnsi="Times New Roman" w:eastAsia="宋体" w:cs="Times New Roman"/>
                <w:b/>
                <w:bCs/>
                <w:w w:val="95"/>
                <w:sz w:val="21"/>
                <w:szCs w:val="21"/>
                <w:lang w:val="en-US" w:eastAsia="zh-CN"/>
              </w:rPr>
              <w:t xml:space="preserve">  </w:t>
            </w:r>
            <w:r>
              <w:rPr>
                <w:rFonts w:hint="default" w:ascii="Times New Roman" w:hAnsi="Times New Roman" w:eastAsia="宋体" w:cs="Times New Roman"/>
                <w:b/>
                <w:bCs/>
                <w:sz w:val="21"/>
                <w:szCs w:val="21"/>
              </w:rPr>
              <w:t>单位：t/a</w:t>
            </w:r>
          </w:p>
          <w:tbl>
            <w:tblPr>
              <w:tblStyle w:val="43"/>
              <w:tblW w:w="8418" w:type="dxa"/>
              <w:tblInd w:w="2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6"/>
              <w:gridCol w:w="1155"/>
              <w:gridCol w:w="1293"/>
              <w:gridCol w:w="1747"/>
              <w:gridCol w:w="1648"/>
              <w:gridCol w:w="1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2" w:hRule="exact"/>
              </w:trPr>
              <w:tc>
                <w:tcPr>
                  <w:tcW w:w="9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sz w:val="21"/>
                    </w:rPr>
                  </w:pPr>
                  <w:r>
                    <w:rPr>
                      <w:rFonts w:hint="default" w:ascii="Times New Roman" w:hAnsi="Times New Roman" w:eastAsia="宋体" w:cs="Times New Roman"/>
                      <w:b/>
                      <w:sz w:val="21"/>
                    </w:rPr>
                    <w:t>类别</w:t>
                  </w:r>
                </w:p>
              </w:tc>
              <w:tc>
                <w:tcPr>
                  <w:tcW w:w="24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sz w:val="21"/>
                    </w:rPr>
                  </w:pPr>
                  <w:r>
                    <w:rPr>
                      <w:rFonts w:hint="default" w:ascii="Times New Roman" w:hAnsi="Times New Roman" w:eastAsia="宋体" w:cs="Times New Roman"/>
                      <w:b/>
                      <w:sz w:val="21"/>
                    </w:rPr>
                    <w:t>污染物名称</w:t>
                  </w:r>
                </w:p>
              </w:tc>
              <w:tc>
                <w:tcPr>
                  <w:tcW w:w="1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sz w:val="21"/>
                    </w:rPr>
                  </w:pPr>
                  <w:r>
                    <w:rPr>
                      <w:rFonts w:hint="default" w:ascii="Times New Roman" w:hAnsi="Times New Roman" w:eastAsia="宋体" w:cs="Times New Roman"/>
                      <w:b/>
                      <w:sz w:val="21"/>
                    </w:rPr>
                    <w:t>产生量</w:t>
                  </w:r>
                </w:p>
              </w:tc>
              <w:tc>
                <w:tcPr>
                  <w:tcW w:w="16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sz w:val="21"/>
                    </w:rPr>
                  </w:pPr>
                  <w:r>
                    <w:rPr>
                      <w:rFonts w:hint="default" w:ascii="Times New Roman" w:hAnsi="Times New Roman" w:eastAsia="宋体" w:cs="Times New Roman"/>
                      <w:b/>
                      <w:sz w:val="21"/>
                    </w:rPr>
                    <w:t>削减量</w:t>
                  </w:r>
                </w:p>
              </w:tc>
              <w:tc>
                <w:tcPr>
                  <w:tcW w:w="1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sz w:val="21"/>
                    </w:rPr>
                  </w:pPr>
                  <w:r>
                    <w:rPr>
                      <w:rFonts w:hint="default" w:ascii="Times New Roman" w:hAnsi="Times New Roman" w:eastAsia="宋体" w:cs="Times New Roman"/>
                      <w:b/>
                      <w:sz w:val="21"/>
                    </w:rPr>
                    <w:t>排放量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exact"/>
              </w:trPr>
              <w:tc>
                <w:tcPr>
                  <w:tcW w:w="95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废气</w:t>
                  </w:r>
                </w:p>
              </w:tc>
              <w:tc>
                <w:tcPr>
                  <w:tcW w:w="115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粉尘</w:t>
                  </w:r>
                </w:p>
              </w:tc>
              <w:tc>
                <w:tcPr>
                  <w:tcW w:w="12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有组织</w:t>
                  </w:r>
                </w:p>
              </w:tc>
              <w:tc>
                <w:tcPr>
                  <w:tcW w:w="1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146.3</w:t>
                  </w:r>
                </w:p>
              </w:tc>
              <w:tc>
                <w:tcPr>
                  <w:tcW w:w="16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146.01</w:t>
                  </w:r>
                </w:p>
              </w:tc>
              <w:tc>
                <w:tcPr>
                  <w:tcW w:w="1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exact"/>
              </w:trPr>
              <w:tc>
                <w:tcPr>
                  <w:tcW w:w="9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p>
              </w:tc>
              <w:tc>
                <w:tcPr>
                  <w:tcW w:w="115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p>
              </w:tc>
              <w:tc>
                <w:tcPr>
                  <w:tcW w:w="12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无组织</w:t>
                  </w:r>
                </w:p>
              </w:tc>
              <w:tc>
                <w:tcPr>
                  <w:tcW w:w="1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0.518</w:t>
                  </w:r>
                </w:p>
              </w:tc>
              <w:tc>
                <w:tcPr>
                  <w:tcW w:w="16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0.38</w:t>
                  </w:r>
                </w:p>
              </w:tc>
              <w:tc>
                <w:tcPr>
                  <w:tcW w:w="1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0.138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exact"/>
              </w:trPr>
              <w:tc>
                <w:tcPr>
                  <w:tcW w:w="956" w:type="dxa"/>
                  <w:tcBorders>
                    <w:top w:val="single" w:color="000000" w:sz="4" w:space="0"/>
                    <w:left w:val="single" w:color="000000" w:sz="4" w:space="0"/>
                    <w:bottom w:val="nil"/>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固体废</w:t>
                  </w:r>
                </w:p>
              </w:tc>
              <w:tc>
                <w:tcPr>
                  <w:tcW w:w="24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除尘装置收集粉尘</w:t>
                  </w:r>
                </w:p>
              </w:tc>
              <w:tc>
                <w:tcPr>
                  <w:tcW w:w="1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146.01</w:t>
                  </w:r>
                </w:p>
              </w:tc>
              <w:tc>
                <w:tcPr>
                  <w:tcW w:w="16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146.01</w:t>
                  </w:r>
                </w:p>
              </w:tc>
              <w:tc>
                <w:tcPr>
                  <w:tcW w:w="1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8" w:hRule="exact"/>
              </w:trPr>
              <w:tc>
                <w:tcPr>
                  <w:tcW w:w="956" w:type="dxa"/>
                  <w:tcBorders>
                    <w:top w:val="nil"/>
                    <w:left w:val="single" w:color="000000" w:sz="4" w:space="0"/>
                    <w:bottom w:val="single" w:color="000000" w:sz="10"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物</w:t>
                  </w:r>
                </w:p>
              </w:tc>
              <w:tc>
                <w:tcPr>
                  <w:tcW w:w="2448" w:type="dxa"/>
                  <w:gridSpan w:val="2"/>
                  <w:tcBorders>
                    <w:top w:val="single" w:color="000000" w:sz="4" w:space="0"/>
                    <w:left w:val="single" w:color="000000" w:sz="4" w:space="0"/>
                    <w:bottom w:val="single" w:color="000000" w:sz="10"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生活垃圾</w:t>
                  </w:r>
                </w:p>
              </w:tc>
              <w:tc>
                <w:tcPr>
                  <w:tcW w:w="1747" w:type="dxa"/>
                  <w:tcBorders>
                    <w:top w:val="single" w:color="000000" w:sz="4" w:space="0"/>
                    <w:left w:val="single" w:color="000000" w:sz="4" w:space="0"/>
                    <w:bottom w:val="single" w:color="000000" w:sz="10"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3.0</w:t>
                  </w:r>
                </w:p>
              </w:tc>
              <w:tc>
                <w:tcPr>
                  <w:tcW w:w="1648" w:type="dxa"/>
                  <w:tcBorders>
                    <w:top w:val="single" w:color="000000" w:sz="4" w:space="0"/>
                    <w:left w:val="single" w:color="000000" w:sz="4" w:space="0"/>
                    <w:bottom w:val="single" w:color="000000" w:sz="10"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3.0</w:t>
                  </w:r>
                </w:p>
              </w:tc>
              <w:tc>
                <w:tcPr>
                  <w:tcW w:w="1619" w:type="dxa"/>
                  <w:tcBorders>
                    <w:top w:val="single" w:color="000000" w:sz="4" w:space="0"/>
                    <w:left w:val="single" w:color="000000" w:sz="4" w:space="0"/>
                    <w:bottom w:val="single" w:color="000000" w:sz="10" w:space="0"/>
                    <w:right w:val="single" w:color="000000" w:sz="4" w:space="0"/>
                    <w:tl2br w:val="nil"/>
                    <w:tr2bl w:val="nil"/>
                  </w:tcBorders>
                  <w:noWrap w:val="0"/>
                  <w:vAlign w:val="center"/>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0</w:t>
                  </w:r>
                </w:p>
              </w:tc>
            </w:tr>
          </w:tbl>
          <w:p>
            <w:pPr>
              <w:tabs>
                <w:tab w:val="left" w:pos="1280"/>
              </w:tabs>
              <w:ind w:firstLine="562" w:firstLineChars="200"/>
              <w:textAlignment w:val="baseline"/>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（三）预制厂</w:t>
            </w:r>
          </w:p>
          <w:p>
            <w:pPr>
              <w:pStyle w:val="21"/>
              <w:bidi w:val="0"/>
              <w:rPr>
                <w:rFonts w:hint="default"/>
                <w:b/>
                <w:bCs/>
                <w:sz w:val="24"/>
                <w:szCs w:val="22"/>
                <w:lang w:val="en-US" w:eastAsia="zh-CN"/>
              </w:rPr>
            </w:pPr>
            <w:r>
              <w:rPr>
                <w:rFonts w:hint="default"/>
                <w:b/>
                <w:bCs/>
                <w:sz w:val="24"/>
                <w:szCs w:val="22"/>
                <w:lang w:val="en-US" w:eastAsia="zh-CN"/>
              </w:rPr>
              <w:t>1.废气污染</w:t>
            </w:r>
          </w:p>
          <w:p>
            <w:pPr>
              <w:pStyle w:val="21"/>
              <w:bidi w:val="0"/>
              <w:rPr>
                <w:rFonts w:hint="default"/>
                <w:sz w:val="24"/>
                <w:szCs w:val="22"/>
              </w:rPr>
            </w:pPr>
            <w:r>
              <w:rPr>
                <w:rFonts w:hint="default"/>
                <w:sz w:val="24"/>
                <w:szCs w:val="22"/>
              </w:rPr>
              <w:t>项目运营过程中废气主要来自以下4个方面：</w:t>
            </w:r>
          </w:p>
          <w:p>
            <w:pPr>
              <w:pStyle w:val="21"/>
              <w:bidi w:val="0"/>
              <w:rPr>
                <w:rFonts w:hint="default"/>
                <w:sz w:val="24"/>
                <w:szCs w:val="22"/>
              </w:rPr>
            </w:pPr>
            <w:r>
              <w:rPr>
                <w:rFonts w:hint="default"/>
                <w:sz w:val="24"/>
                <w:szCs w:val="22"/>
              </w:rPr>
              <w:t xml:space="preserve">（1）车辆运输扬尘 </w:t>
            </w:r>
          </w:p>
          <w:p>
            <w:pPr>
              <w:pStyle w:val="21"/>
              <w:bidi w:val="0"/>
              <w:rPr>
                <w:rFonts w:hint="default"/>
                <w:sz w:val="24"/>
                <w:szCs w:val="22"/>
              </w:rPr>
            </w:pPr>
            <w:r>
              <w:rPr>
                <w:rFonts w:hint="default"/>
                <w:sz w:val="24"/>
                <w:szCs w:val="22"/>
              </w:rPr>
              <w:t>车辆运输扬尘主要来自于项目水泥、砂石料车辆运输过程，无组织扬尘排放量</w:t>
            </w:r>
            <w:r>
              <w:rPr>
                <w:rFonts w:hint="default"/>
                <w:sz w:val="24"/>
                <w:szCs w:val="22"/>
                <w:lang w:val="en-US" w:eastAsia="zh-CN"/>
              </w:rPr>
              <w:t>计算在混凝土部分内</w:t>
            </w:r>
            <w:r>
              <w:rPr>
                <w:rFonts w:hint="default"/>
                <w:sz w:val="24"/>
                <w:szCs w:val="22"/>
              </w:rPr>
              <w:t>。</w:t>
            </w:r>
          </w:p>
          <w:p>
            <w:pPr>
              <w:pStyle w:val="21"/>
              <w:bidi w:val="0"/>
              <w:rPr>
                <w:rFonts w:hint="default"/>
                <w:sz w:val="24"/>
                <w:szCs w:val="22"/>
              </w:rPr>
            </w:pPr>
            <w:r>
              <w:rPr>
                <w:rFonts w:hint="default"/>
                <w:sz w:val="24"/>
                <w:szCs w:val="22"/>
              </w:rPr>
              <w:t>（2）水泥筒仓呼吸孔粉尘</w:t>
            </w:r>
          </w:p>
          <w:p>
            <w:pPr>
              <w:pStyle w:val="21"/>
              <w:bidi w:val="0"/>
              <w:rPr>
                <w:rFonts w:hint="default"/>
                <w:sz w:val="24"/>
                <w:szCs w:val="22"/>
              </w:rPr>
            </w:pPr>
            <w:r>
              <w:rPr>
                <w:rFonts w:hint="default"/>
                <w:sz w:val="24"/>
                <w:szCs w:val="22"/>
              </w:rPr>
              <w:t>项目水泥筒仓进料过程中会产生一定量的粉尘，项目水泥筒仓设置布袋除尘器， 粉尘经除尘后经由 15m高排气筒排放，有组织排放量</w:t>
            </w:r>
            <w:r>
              <w:rPr>
                <w:rFonts w:hint="default"/>
                <w:sz w:val="24"/>
                <w:szCs w:val="22"/>
                <w:lang w:val="en-US" w:eastAsia="zh-CN"/>
              </w:rPr>
              <w:t>计算于混凝土部分内</w:t>
            </w:r>
            <w:r>
              <w:rPr>
                <w:rFonts w:hint="default"/>
                <w:sz w:val="24"/>
                <w:szCs w:val="22"/>
              </w:rPr>
              <w:t>。</w:t>
            </w:r>
          </w:p>
          <w:p>
            <w:pPr>
              <w:pStyle w:val="21"/>
              <w:bidi w:val="0"/>
              <w:rPr>
                <w:rFonts w:hint="default"/>
                <w:sz w:val="24"/>
                <w:szCs w:val="22"/>
              </w:rPr>
            </w:pPr>
            <w:r>
              <w:rPr>
                <w:rFonts w:hint="default"/>
                <w:sz w:val="24"/>
                <w:szCs w:val="22"/>
              </w:rPr>
              <w:t xml:space="preserve">（3）进料、搅拌粉尘 </w:t>
            </w:r>
          </w:p>
          <w:p>
            <w:pPr>
              <w:pStyle w:val="21"/>
              <w:bidi w:val="0"/>
              <w:rPr>
                <w:rFonts w:hint="default"/>
                <w:sz w:val="24"/>
                <w:szCs w:val="22"/>
              </w:rPr>
            </w:pPr>
            <w:r>
              <w:rPr>
                <w:rFonts w:hint="default"/>
                <w:sz w:val="24"/>
                <w:szCs w:val="22"/>
              </w:rPr>
              <w:t>项目混凝土搅拌站混凝土进料、搅拌过程中会产生一定量的粉尘，两组搅拌机各 设置一个集气罩，经集气后进入同一个布袋除尘器除尘，除尘后粉尘排放量</w:t>
            </w:r>
            <w:r>
              <w:rPr>
                <w:rFonts w:hint="default"/>
                <w:sz w:val="24"/>
                <w:szCs w:val="22"/>
                <w:lang w:val="en-US" w:eastAsia="zh-CN"/>
              </w:rPr>
              <w:t>已计算于混凝土部分内</w:t>
            </w:r>
            <w:r>
              <w:rPr>
                <w:rFonts w:hint="default"/>
                <w:sz w:val="24"/>
                <w:szCs w:val="22"/>
              </w:rPr>
              <w:t>。</w:t>
            </w:r>
          </w:p>
          <w:p>
            <w:pPr>
              <w:pStyle w:val="21"/>
              <w:bidi w:val="0"/>
              <w:rPr>
                <w:rFonts w:hint="default"/>
                <w:sz w:val="24"/>
                <w:szCs w:val="22"/>
              </w:rPr>
            </w:pPr>
            <w:r>
              <w:rPr>
                <w:rFonts w:hint="default"/>
                <w:sz w:val="24"/>
                <w:szCs w:val="22"/>
              </w:rPr>
              <w:t xml:space="preserve">（4）焊接烟尘 </w:t>
            </w:r>
          </w:p>
          <w:p>
            <w:pPr>
              <w:pStyle w:val="21"/>
              <w:bidi w:val="0"/>
              <w:rPr>
                <w:rFonts w:hint="default"/>
                <w:sz w:val="24"/>
                <w:szCs w:val="22"/>
              </w:rPr>
            </w:pPr>
            <w:r>
              <w:rPr>
                <w:rFonts w:hint="default"/>
                <w:sz w:val="24"/>
                <w:szCs w:val="22"/>
              </w:rPr>
              <w:t>焊接烟尘主要来自于项目钢筋件焊接过程，焊接烟尘经焊接烟尘净化器处理后以 无组织形式排放于车间，排放量为 0.51kg/a。</w:t>
            </w:r>
          </w:p>
          <w:p>
            <w:pPr>
              <w:pStyle w:val="21"/>
              <w:bidi w:val="0"/>
              <w:rPr>
                <w:rFonts w:hint="default"/>
                <w:b/>
                <w:bCs/>
                <w:sz w:val="24"/>
                <w:szCs w:val="22"/>
              </w:rPr>
            </w:pPr>
            <w:bookmarkStart w:id="39" w:name="5.2.2.2水污染"/>
            <w:bookmarkEnd w:id="39"/>
            <w:r>
              <w:rPr>
                <w:rFonts w:hint="default"/>
                <w:b/>
                <w:bCs/>
                <w:sz w:val="24"/>
                <w:szCs w:val="22"/>
                <w:lang w:val="en-US" w:eastAsia="zh-CN"/>
              </w:rPr>
              <w:t>2.</w:t>
            </w:r>
            <w:r>
              <w:rPr>
                <w:rFonts w:hint="default"/>
                <w:b/>
                <w:bCs/>
                <w:sz w:val="24"/>
                <w:szCs w:val="22"/>
              </w:rPr>
              <w:t>水污染</w:t>
            </w:r>
          </w:p>
          <w:p>
            <w:pPr>
              <w:pStyle w:val="21"/>
              <w:bidi w:val="0"/>
              <w:rPr>
                <w:rFonts w:hint="default"/>
                <w:sz w:val="24"/>
                <w:szCs w:val="22"/>
              </w:rPr>
            </w:pPr>
            <w:r>
              <w:rPr>
                <w:rFonts w:hint="default"/>
                <w:sz w:val="24"/>
                <w:szCs w:val="22"/>
              </w:rPr>
              <w:t>项目废水主要来自于职工生活废水、车辆、设备冲洗废水 、地面冲洗废水和模具清洗废水，职工生活废水主要污染物为 COD和 NH3-N，冲洗清洗废水污染物主要为 SS。</w:t>
            </w:r>
          </w:p>
          <w:p>
            <w:pPr>
              <w:pStyle w:val="21"/>
              <w:bidi w:val="0"/>
              <w:rPr>
                <w:rFonts w:hint="default"/>
                <w:b/>
                <w:bCs/>
                <w:sz w:val="24"/>
                <w:szCs w:val="22"/>
              </w:rPr>
            </w:pPr>
            <w:bookmarkStart w:id="40" w:name="5.2.2.3噪声污染"/>
            <w:bookmarkEnd w:id="40"/>
            <w:r>
              <w:rPr>
                <w:rFonts w:hint="default"/>
                <w:b/>
                <w:bCs/>
                <w:sz w:val="24"/>
                <w:szCs w:val="22"/>
                <w:lang w:val="en-US" w:eastAsia="zh-CN"/>
              </w:rPr>
              <w:t>3.</w:t>
            </w:r>
            <w:r>
              <w:rPr>
                <w:rFonts w:hint="default"/>
                <w:b/>
                <w:bCs/>
                <w:sz w:val="24"/>
                <w:szCs w:val="22"/>
              </w:rPr>
              <w:t>噪声污染</w:t>
            </w:r>
          </w:p>
          <w:p>
            <w:pPr>
              <w:pStyle w:val="21"/>
              <w:bidi w:val="0"/>
              <w:rPr>
                <w:rFonts w:hint="default"/>
                <w:sz w:val="24"/>
                <w:szCs w:val="22"/>
              </w:rPr>
            </w:pPr>
            <w:r>
              <w:rPr>
                <w:rFonts w:hint="default"/>
                <w:sz w:val="24"/>
                <w:szCs w:val="22"/>
              </w:rPr>
              <w:t>项目运营期噪声源主要来自 钢筋调直切断机、折弯机作业噪声、电焊机作业噪声、搅拌机作业噪声、振平机作业噪声，行车作业噪声，主要噪声值 85~100 dB（A）。</w:t>
            </w:r>
          </w:p>
          <w:p>
            <w:pPr>
              <w:pStyle w:val="21"/>
              <w:bidi w:val="0"/>
              <w:rPr>
                <w:rFonts w:hint="default"/>
                <w:b/>
                <w:bCs/>
                <w:sz w:val="24"/>
                <w:szCs w:val="22"/>
              </w:rPr>
            </w:pPr>
            <w:bookmarkStart w:id="41" w:name="5.2.2.4固体废物"/>
            <w:bookmarkEnd w:id="41"/>
            <w:r>
              <w:rPr>
                <w:rFonts w:hint="default"/>
                <w:b/>
                <w:bCs/>
                <w:sz w:val="24"/>
                <w:szCs w:val="22"/>
                <w:lang w:val="en-US" w:eastAsia="zh-CN"/>
              </w:rPr>
              <w:t>4.</w:t>
            </w:r>
            <w:r>
              <w:rPr>
                <w:rFonts w:hint="default"/>
                <w:b/>
                <w:bCs/>
                <w:sz w:val="24"/>
                <w:szCs w:val="22"/>
              </w:rPr>
              <w:t>固体废物</w:t>
            </w:r>
          </w:p>
          <w:p>
            <w:pPr>
              <w:pStyle w:val="21"/>
              <w:bidi w:val="0"/>
              <w:rPr>
                <w:rFonts w:hint="eastAsia"/>
              </w:rPr>
            </w:pPr>
            <w:r>
              <w:rPr>
                <w:rFonts w:hint="default"/>
                <w:sz w:val="24"/>
                <w:szCs w:val="22"/>
              </w:rPr>
              <w:t>项目固体废物主要来自于职工生活垃圾 、生产加工过程边角料 、收集的除尘 灰 、混凝土残渣 、沉淀池沉淀渣 。</w:t>
            </w:r>
          </w:p>
          <w:p>
            <w:pPr>
              <w:tabs>
                <w:tab w:val="left" w:pos="1280"/>
              </w:tabs>
              <w:ind w:firstLine="562" w:firstLineChars="200"/>
              <w:textAlignment w:val="baseline"/>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（四）钢筋加工厂</w:t>
            </w:r>
          </w:p>
          <w:p>
            <w:pPr>
              <w:pStyle w:val="21"/>
              <w:bidi w:val="0"/>
              <w:rPr>
                <w:rFonts w:hint="eastAsia"/>
                <w:b/>
                <w:bCs/>
                <w:sz w:val="24"/>
                <w:szCs w:val="22"/>
              </w:rPr>
            </w:pPr>
            <w:r>
              <w:rPr>
                <w:rFonts w:hint="eastAsia"/>
                <w:b/>
                <w:bCs/>
                <w:sz w:val="24"/>
                <w:szCs w:val="22"/>
              </w:rPr>
              <w:t>1</w:t>
            </w:r>
            <w:r>
              <w:rPr>
                <w:rFonts w:hint="eastAsia"/>
                <w:b/>
                <w:bCs/>
                <w:sz w:val="24"/>
                <w:szCs w:val="22"/>
                <w:lang w:eastAsia="zh-CN"/>
              </w:rPr>
              <w:t>.</w:t>
            </w:r>
            <w:r>
              <w:rPr>
                <w:rFonts w:hint="eastAsia"/>
                <w:b/>
                <w:bCs/>
                <w:sz w:val="24"/>
                <w:szCs w:val="22"/>
              </w:rPr>
              <w:t>废气</w:t>
            </w:r>
          </w:p>
          <w:p>
            <w:pPr>
              <w:pStyle w:val="21"/>
              <w:bidi w:val="0"/>
              <w:rPr>
                <w:rFonts w:hint="eastAsia"/>
                <w:sz w:val="24"/>
                <w:szCs w:val="22"/>
              </w:rPr>
            </w:pPr>
            <w:r>
              <w:rPr>
                <w:rFonts w:hint="eastAsia"/>
                <w:sz w:val="24"/>
                <w:szCs w:val="22"/>
              </w:rPr>
              <w:t>本项目主要废气的产生及排放为焊接烟尘。</w:t>
            </w:r>
          </w:p>
          <w:p>
            <w:pPr>
              <w:pStyle w:val="21"/>
              <w:bidi w:val="0"/>
              <w:rPr>
                <w:rFonts w:hint="eastAsia"/>
              </w:rPr>
            </w:pPr>
            <w:r>
              <w:rPr>
                <w:rFonts w:hint="eastAsia"/>
                <w:sz w:val="24"/>
                <w:szCs w:val="22"/>
              </w:rPr>
              <w:t>焊接烟尘由金属及非金属在过热条件下产生的蒸发气体经氧化和冷凝而形成的。 焊接烟尘的主要化学成分，取决于焊接材料（焊丝、焊条、焊剂等）和被焊接材料的成分及其蒸发的难易，主要是一些金属氧化物。根据《焊接车间环境污染及控制技术进展》（《上海环境科学》），不同</w:t>
            </w:r>
            <w:r>
              <w:rPr>
                <w:rFonts w:hint="eastAsia"/>
                <w:sz w:val="24"/>
                <w:szCs w:val="22"/>
                <w:lang w:eastAsia="zh-CN"/>
              </w:rPr>
              <w:t>成分</w:t>
            </w:r>
            <w:r>
              <w:rPr>
                <w:rFonts w:hint="eastAsia"/>
                <w:sz w:val="24"/>
                <w:szCs w:val="22"/>
              </w:rPr>
              <w:t>的焊接材料在实施焊接时产生的不同成分的焊接烟尘，常用结构钢焊条不同焊接方法的发尘量见下表。</w:t>
            </w:r>
          </w:p>
          <w:p>
            <w:pPr>
              <w:pStyle w:val="7"/>
              <w:kinsoku w:val="0"/>
              <w:overflowPunct w:val="0"/>
              <w:spacing w:before="59" w:beforeLines="0" w:afterLines="0"/>
              <w:ind w:left="100" w:right="98"/>
              <w:jc w:val="center"/>
              <w:rPr>
                <w:rFonts w:hint="eastAsia"/>
                <w:b/>
                <w:bCs w:val="0"/>
                <w:sz w:val="21"/>
                <w:szCs w:val="21"/>
              </w:rPr>
            </w:pPr>
            <w:r>
              <w:rPr>
                <w:rFonts w:hint="eastAsia"/>
                <w:b/>
                <w:bCs w:val="0"/>
                <w:sz w:val="21"/>
                <w:szCs w:val="21"/>
              </w:rPr>
              <w:t>表</w:t>
            </w:r>
            <w:r>
              <w:rPr>
                <w:rFonts w:hint="eastAsia" w:eastAsia="宋体"/>
                <w:b/>
                <w:bCs w:val="0"/>
                <w:sz w:val="21"/>
                <w:szCs w:val="21"/>
                <w:lang w:val="en-US" w:eastAsia="zh-CN"/>
              </w:rPr>
              <w:t>5.2.4-1</w:t>
            </w:r>
            <w:r>
              <w:rPr>
                <w:rFonts w:hint="default" w:ascii="Times New Roman" w:hAnsi="Times New Roman" w:eastAsia="Times New Roman"/>
                <w:b/>
                <w:bCs w:val="0"/>
                <w:sz w:val="21"/>
                <w:szCs w:val="21"/>
              </w:rPr>
              <w:t xml:space="preserve">  </w:t>
            </w:r>
            <w:r>
              <w:rPr>
                <w:rFonts w:hint="eastAsia"/>
                <w:b/>
                <w:bCs w:val="0"/>
                <w:sz w:val="21"/>
                <w:szCs w:val="21"/>
              </w:rPr>
              <w:t>不同焊接方法的发尘量</w:t>
            </w:r>
          </w:p>
          <w:tbl>
            <w:tblPr>
              <w:tblStyle w:val="43"/>
              <w:tblW w:w="8825" w:type="dxa"/>
              <w:tblInd w:w="3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5"/>
              <w:gridCol w:w="3474"/>
              <w:gridCol w:w="2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trPr>
              <w:tc>
                <w:tcPr>
                  <w:tcW w:w="2365" w:type="dxa"/>
                  <w:tcBorders>
                    <w:top w:val="single" w:color="000000" w:sz="12" w:space="0"/>
                    <w:left w:val="single" w:color="000000" w:sz="12" w:space="0"/>
                    <w:bottom w:val="single" w:color="000000" w:sz="4" w:space="0"/>
                    <w:right w:val="single" w:color="000000" w:sz="4" w:space="0"/>
                    <w:tl2br w:val="nil"/>
                    <w:tr2bl w:val="nil"/>
                  </w:tcBorders>
                  <w:noWrap w:val="0"/>
                  <w:vAlign w:val="top"/>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eastAsia" w:ascii="Times New Roman" w:hAnsi="Times New Roman" w:eastAsia="宋体" w:cs="Times New Roman"/>
                      <w:b w:val="0"/>
                      <w:bCs/>
                      <w:sz w:val="21"/>
                    </w:rPr>
                    <w:t>焊接方法</w:t>
                  </w:r>
                </w:p>
              </w:tc>
              <w:tc>
                <w:tcPr>
                  <w:tcW w:w="3474" w:type="dxa"/>
                  <w:tcBorders>
                    <w:top w:val="single" w:color="000000" w:sz="12"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eastAsia" w:ascii="Times New Roman" w:hAnsi="Times New Roman" w:eastAsia="宋体" w:cs="Times New Roman"/>
                      <w:b w:val="0"/>
                      <w:bCs/>
                      <w:sz w:val="21"/>
                    </w:rPr>
                    <w:t>焊接材料</w:t>
                  </w:r>
                </w:p>
              </w:tc>
              <w:tc>
                <w:tcPr>
                  <w:tcW w:w="2986" w:type="dxa"/>
                  <w:tcBorders>
                    <w:top w:val="single" w:color="000000" w:sz="12" w:space="0"/>
                    <w:left w:val="single" w:color="000000" w:sz="4" w:space="0"/>
                    <w:bottom w:val="single" w:color="000000" w:sz="4" w:space="0"/>
                    <w:right w:val="single" w:color="000000" w:sz="12" w:space="0"/>
                    <w:tl2br w:val="nil"/>
                    <w:tr2bl w:val="nil"/>
                  </w:tcBorders>
                  <w:noWrap w:val="0"/>
                  <w:vAlign w:val="top"/>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eastAsia" w:ascii="Times New Roman" w:hAnsi="Times New Roman" w:eastAsia="宋体" w:cs="Times New Roman"/>
                      <w:b w:val="0"/>
                      <w:bCs/>
                      <w:sz w:val="21"/>
                    </w:rPr>
                    <w:t>焊接材料的发尘量（</w:t>
                  </w:r>
                  <w:r>
                    <w:rPr>
                      <w:rFonts w:hint="default" w:ascii="Times New Roman" w:hAnsi="Times New Roman" w:eastAsia="宋体" w:cs="Times New Roman"/>
                      <w:b w:val="0"/>
                      <w:bCs/>
                      <w:sz w:val="21"/>
                    </w:rPr>
                    <w:t>g/kg</w:t>
                  </w:r>
                  <w:r>
                    <w:rPr>
                      <w:rFonts w:hint="eastAsia" w:ascii="Times New Roman" w:hAnsi="Times New Roman" w:eastAsia="宋体" w:cs="Times New Roman"/>
                      <w:b w:val="0"/>
                      <w:bCs/>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exact"/>
              </w:trPr>
              <w:tc>
                <w:tcPr>
                  <w:tcW w:w="2365" w:type="dxa"/>
                  <w:vMerge w:val="restart"/>
                  <w:tcBorders>
                    <w:top w:val="single" w:color="000000" w:sz="4" w:space="0"/>
                    <w:left w:val="single" w:color="000000" w:sz="12" w:space="0"/>
                    <w:bottom w:val="single" w:color="000000" w:sz="4" w:space="0"/>
                    <w:right w:val="single" w:color="000000" w:sz="4" w:space="0"/>
                    <w:tl2br w:val="nil"/>
                    <w:tr2bl w:val="nil"/>
                  </w:tcBorders>
                  <w:noWrap w:val="0"/>
                  <w:vAlign w:val="top"/>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eastAsia" w:ascii="Times New Roman" w:hAnsi="Times New Roman" w:eastAsia="宋体" w:cs="Times New Roman"/>
                      <w:b w:val="0"/>
                      <w:bCs/>
                      <w:sz w:val="21"/>
                    </w:rPr>
                    <w:t>电弧焊</w:t>
                  </w:r>
                </w:p>
              </w:tc>
              <w:tc>
                <w:tcPr>
                  <w:tcW w:w="34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eastAsia" w:ascii="Times New Roman" w:hAnsi="Times New Roman" w:eastAsia="宋体" w:cs="Times New Roman"/>
                      <w:b w:val="0"/>
                      <w:bCs/>
                      <w:sz w:val="21"/>
                    </w:rPr>
                    <w:t xml:space="preserve">低氢型焊条（结 </w:t>
                  </w:r>
                  <w:r>
                    <w:rPr>
                      <w:rFonts w:hint="default" w:ascii="Times New Roman" w:hAnsi="Times New Roman" w:eastAsia="宋体" w:cs="Times New Roman"/>
                      <w:b w:val="0"/>
                      <w:bCs/>
                      <w:sz w:val="21"/>
                    </w:rPr>
                    <w:t>507</w:t>
                  </w:r>
                  <w:r>
                    <w:rPr>
                      <w:rFonts w:hint="eastAsia" w:ascii="Times New Roman" w:hAnsi="Times New Roman" w:eastAsia="宋体" w:cs="Times New Roman"/>
                      <w:b w:val="0"/>
                      <w:bCs/>
                      <w:sz w:val="21"/>
                    </w:rPr>
                    <w:t xml:space="preserve">，直径 </w:t>
                  </w:r>
                  <w:r>
                    <w:rPr>
                      <w:rFonts w:hint="default" w:ascii="Times New Roman" w:hAnsi="Times New Roman" w:eastAsia="宋体" w:cs="Times New Roman"/>
                      <w:b w:val="0"/>
                      <w:bCs/>
                      <w:sz w:val="21"/>
                    </w:rPr>
                    <w:t>4mm</w:t>
                  </w:r>
                  <w:r>
                    <w:rPr>
                      <w:rFonts w:hint="eastAsia" w:ascii="Times New Roman" w:hAnsi="Times New Roman" w:eastAsia="宋体" w:cs="Times New Roman"/>
                      <w:b w:val="0"/>
                      <w:bCs/>
                      <w:sz w:val="21"/>
                    </w:rPr>
                    <w:t>）</w:t>
                  </w:r>
                </w:p>
              </w:tc>
              <w:tc>
                <w:tcPr>
                  <w:tcW w:w="2986" w:type="dxa"/>
                  <w:tcBorders>
                    <w:top w:val="single" w:color="000000" w:sz="4" w:space="0"/>
                    <w:left w:val="single" w:color="000000" w:sz="4" w:space="0"/>
                    <w:bottom w:val="single" w:color="000000" w:sz="4" w:space="0"/>
                    <w:right w:val="single" w:color="000000" w:sz="12" w:space="0"/>
                    <w:tl2br w:val="nil"/>
                    <w:tr2bl w:val="nil"/>
                  </w:tcBorders>
                  <w:noWrap w:val="0"/>
                  <w:vAlign w:val="top"/>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11</w:t>
                  </w:r>
                  <w:r>
                    <w:rPr>
                      <w:rFonts w:hint="eastAsia" w:ascii="Times New Roman" w:hAnsi="Times New Roman" w:eastAsia="宋体" w:cs="Times New Roman"/>
                      <w:b w:val="0"/>
                      <w:bCs/>
                      <w:sz w:val="21"/>
                    </w:rPr>
                    <w:t>～</w:t>
                  </w:r>
                  <w:r>
                    <w:rPr>
                      <w:rFonts w:hint="default" w:ascii="Times New Roman" w:hAnsi="Times New Roman" w:eastAsia="宋体" w:cs="Times New Roman"/>
                      <w:b w:val="0"/>
                      <w:bCs/>
                      <w:sz w:val="21"/>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trPr>
              <w:tc>
                <w:tcPr>
                  <w:tcW w:w="2365" w:type="dxa"/>
                  <w:vMerge w:val="continue"/>
                  <w:tcBorders>
                    <w:top w:val="single" w:color="000000" w:sz="4" w:space="0"/>
                    <w:left w:val="single" w:color="000000" w:sz="12" w:space="0"/>
                    <w:bottom w:val="single" w:color="000000" w:sz="4" w:space="0"/>
                    <w:right w:val="single" w:color="000000" w:sz="4" w:space="0"/>
                    <w:tl2br w:val="nil"/>
                    <w:tr2bl w:val="nil"/>
                  </w:tcBorders>
                  <w:noWrap w:val="0"/>
                  <w:vAlign w:val="top"/>
                </w:tcPr>
                <w:p>
                  <w:pPr>
                    <w:pStyle w:val="157"/>
                    <w:kinsoku w:val="0"/>
                    <w:overflowPunct w:val="0"/>
                    <w:spacing w:line="262" w:lineRule="exact"/>
                    <w:ind w:right="1"/>
                    <w:jc w:val="center"/>
                    <w:rPr>
                      <w:rFonts w:hint="default" w:ascii="Times New Roman" w:hAnsi="Times New Roman" w:eastAsia="宋体" w:cs="Times New Roman"/>
                      <w:b w:val="0"/>
                      <w:bCs/>
                      <w:sz w:val="21"/>
                    </w:rPr>
                  </w:pPr>
                </w:p>
              </w:tc>
              <w:tc>
                <w:tcPr>
                  <w:tcW w:w="34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eastAsia" w:ascii="Times New Roman" w:hAnsi="Times New Roman" w:eastAsia="宋体" w:cs="Times New Roman"/>
                      <w:b w:val="0"/>
                      <w:bCs/>
                      <w:sz w:val="21"/>
                    </w:rPr>
                    <w:t xml:space="preserve">（结 </w:t>
                  </w:r>
                  <w:r>
                    <w:rPr>
                      <w:rFonts w:hint="default" w:ascii="Times New Roman" w:hAnsi="Times New Roman" w:eastAsia="宋体" w:cs="Times New Roman"/>
                      <w:b w:val="0"/>
                      <w:bCs/>
                      <w:sz w:val="21"/>
                    </w:rPr>
                    <w:t>422</w:t>
                  </w:r>
                  <w:r>
                    <w:rPr>
                      <w:rFonts w:hint="eastAsia" w:ascii="Times New Roman" w:hAnsi="Times New Roman" w:eastAsia="宋体" w:cs="Times New Roman"/>
                      <w:b w:val="0"/>
                      <w:bCs/>
                      <w:sz w:val="21"/>
                    </w:rPr>
                    <w:t xml:space="preserve">，直径 </w:t>
                  </w:r>
                  <w:r>
                    <w:rPr>
                      <w:rFonts w:hint="default" w:ascii="Times New Roman" w:hAnsi="Times New Roman" w:eastAsia="宋体" w:cs="Times New Roman"/>
                      <w:b w:val="0"/>
                      <w:bCs/>
                      <w:sz w:val="21"/>
                    </w:rPr>
                    <w:t>4mm</w:t>
                  </w:r>
                  <w:r>
                    <w:rPr>
                      <w:rFonts w:hint="eastAsia" w:ascii="Times New Roman" w:hAnsi="Times New Roman" w:eastAsia="宋体" w:cs="Times New Roman"/>
                      <w:b w:val="0"/>
                      <w:bCs/>
                      <w:sz w:val="21"/>
                    </w:rPr>
                    <w:t>）</w:t>
                  </w:r>
                </w:p>
              </w:tc>
              <w:tc>
                <w:tcPr>
                  <w:tcW w:w="2986" w:type="dxa"/>
                  <w:tcBorders>
                    <w:top w:val="single" w:color="000000" w:sz="4" w:space="0"/>
                    <w:left w:val="single" w:color="000000" w:sz="4" w:space="0"/>
                    <w:bottom w:val="single" w:color="000000" w:sz="4" w:space="0"/>
                    <w:right w:val="single" w:color="000000" w:sz="12" w:space="0"/>
                    <w:tl2br w:val="nil"/>
                    <w:tr2bl w:val="nil"/>
                  </w:tcBorders>
                  <w:noWrap w:val="0"/>
                  <w:vAlign w:val="top"/>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6</w:t>
                  </w:r>
                  <w:r>
                    <w:rPr>
                      <w:rFonts w:hint="eastAsia" w:ascii="Times New Roman" w:hAnsi="Times New Roman" w:eastAsia="宋体" w:cs="Times New Roman"/>
                      <w:b w:val="0"/>
                      <w:bCs/>
                      <w:sz w:val="21"/>
                    </w:rPr>
                    <w:t>～</w:t>
                  </w:r>
                  <w:r>
                    <w:rPr>
                      <w:rFonts w:hint="default" w:ascii="Times New Roman" w:hAnsi="Times New Roman" w:eastAsia="宋体" w:cs="Times New Roman"/>
                      <w:b w:val="0"/>
                      <w:bCs/>
                      <w:sz w:val="21"/>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exact"/>
              </w:trPr>
              <w:tc>
                <w:tcPr>
                  <w:tcW w:w="2365" w:type="dxa"/>
                  <w:vMerge w:val="restart"/>
                  <w:tcBorders>
                    <w:top w:val="single" w:color="000000" w:sz="4" w:space="0"/>
                    <w:left w:val="single" w:color="000000" w:sz="12" w:space="0"/>
                    <w:bottom w:val="single" w:color="000000" w:sz="4" w:space="0"/>
                    <w:right w:val="single" w:color="000000" w:sz="4" w:space="0"/>
                    <w:tl2br w:val="nil"/>
                    <w:tr2bl w:val="nil"/>
                  </w:tcBorders>
                  <w:noWrap w:val="0"/>
                  <w:vAlign w:val="top"/>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 xml:space="preserve">CO2 </w:t>
                  </w:r>
                  <w:r>
                    <w:rPr>
                      <w:rFonts w:hint="eastAsia" w:ascii="Times New Roman" w:hAnsi="Times New Roman" w:eastAsia="宋体" w:cs="Times New Roman"/>
                      <w:b w:val="0"/>
                      <w:bCs/>
                      <w:sz w:val="21"/>
                    </w:rPr>
                    <w:t>焊</w:t>
                  </w:r>
                </w:p>
              </w:tc>
              <w:tc>
                <w:tcPr>
                  <w:tcW w:w="34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eastAsia" w:ascii="Times New Roman" w:hAnsi="Times New Roman" w:eastAsia="宋体" w:cs="Times New Roman"/>
                      <w:b w:val="0"/>
                      <w:bCs/>
                      <w:sz w:val="21"/>
                    </w:rPr>
                    <w:t xml:space="preserve">实心焊丝（直径 </w:t>
                  </w:r>
                  <w:r>
                    <w:rPr>
                      <w:rFonts w:hint="default" w:ascii="Times New Roman" w:hAnsi="Times New Roman" w:eastAsia="宋体" w:cs="Times New Roman"/>
                      <w:b w:val="0"/>
                      <w:bCs/>
                      <w:sz w:val="21"/>
                    </w:rPr>
                    <w:t>1.6mm</w:t>
                  </w:r>
                  <w:r>
                    <w:rPr>
                      <w:rFonts w:hint="eastAsia" w:ascii="Times New Roman" w:hAnsi="Times New Roman" w:eastAsia="宋体" w:cs="Times New Roman"/>
                      <w:b w:val="0"/>
                      <w:bCs/>
                      <w:sz w:val="21"/>
                    </w:rPr>
                    <w:t>）</w:t>
                  </w:r>
                </w:p>
              </w:tc>
              <w:tc>
                <w:tcPr>
                  <w:tcW w:w="2986" w:type="dxa"/>
                  <w:tcBorders>
                    <w:top w:val="single" w:color="000000" w:sz="4" w:space="0"/>
                    <w:left w:val="single" w:color="000000" w:sz="4" w:space="0"/>
                    <w:bottom w:val="single" w:color="000000" w:sz="4" w:space="0"/>
                    <w:right w:val="single" w:color="000000" w:sz="12" w:space="0"/>
                    <w:tl2br w:val="nil"/>
                    <w:tr2bl w:val="nil"/>
                  </w:tcBorders>
                  <w:noWrap w:val="0"/>
                  <w:vAlign w:val="top"/>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5</w:t>
                  </w:r>
                  <w:r>
                    <w:rPr>
                      <w:rFonts w:hint="eastAsia" w:ascii="Times New Roman" w:hAnsi="Times New Roman" w:eastAsia="宋体" w:cs="Times New Roman"/>
                      <w:b w:val="0"/>
                      <w:bCs/>
                      <w:sz w:val="21"/>
                    </w:rPr>
                    <w:t>～</w:t>
                  </w:r>
                  <w:r>
                    <w:rPr>
                      <w:rFonts w:hint="default" w:ascii="Times New Roman" w:hAnsi="Times New Roman" w:eastAsia="宋体" w:cs="Times New Roman"/>
                      <w:b w:val="0"/>
                      <w:bCs/>
                      <w:sz w:val="21"/>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exact"/>
              </w:trPr>
              <w:tc>
                <w:tcPr>
                  <w:tcW w:w="2365" w:type="dxa"/>
                  <w:vMerge w:val="continue"/>
                  <w:tcBorders>
                    <w:top w:val="single" w:color="000000" w:sz="4" w:space="0"/>
                    <w:left w:val="single" w:color="000000" w:sz="12" w:space="0"/>
                    <w:bottom w:val="single" w:color="000000" w:sz="4" w:space="0"/>
                    <w:right w:val="single" w:color="000000" w:sz="4" w:space="0"/>
                    <w:tl2br w:val="nil"/>
                    <w:tr2bl w:val="nil"/>
                  </w:tcBorders>
                  <w:noWrap w:val="0"/>
                  <w:vAlign w:val="top"/>
                </w:tcPr>
                <w:p>
                  <w:pPr>
                    <w:pStyle w:val="157"/>
                    <w:kinsoku w:val="0"/>
                    <w:overflowPunct w:val="0"/>
                    <w:spacing w:line="262" w:lineRule="exact"/>
                    <w:ind w:right="1"/>
                    <w:jc w:val="center"/>
                    <w:rPr>
                      <w:rFonts w:hint="default" w:ascii="Times New Roman" w:hAnsi="Times New Roman" w:eastAsia="宋体" w:cs="Times New Roman"/>
                      <w:b w:val="0"/>
                      <w:bCs/>
                      <w:sz w:val="21"/>
                    </w:rPr>
                  </w:pPr>
                </w:p>
              </w:tc>
              <w:tc>
                <w:tcPr>
                  <w:tcW w:w="34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eastAsia" w:ascii="Times New Roman" w:hAnsi="Times New Roman" w:eastAsia="宋体" w:cs="Times New Roman"/>
                      <w:b w:val="0"/>
                      <w:bCs/>
                      <w:sz w:val="21"/>
                    </w:rPr>
                    <w:t xml:space="preserve">药芯焊丝（直径 </w:t>
                  </w:r>
                  <w:r>
                    <w:rPr>
                      <w:rFonts w:hint="default" w:ascii="Times New Roman" w:hAnsi="Times New Roman" w:eastAsia="宋体" w:cs="Times New Roman"/>
                      <w:b w:val="0"/>
                      <w:bCs/>
                      <w:sz w:val="21"/>
                    </w:rPr>
                    <w:t>1.6mm</w:t>
                  </w:r>
                  <w:r>
                    <w:rPr>
                      <w:rFonts w:hint="eastAsia" w:ascii="Times New Roman" w:hAnsi="Times New Roman" w:eastAsia="宋体" w:cs="Times New Roman"/>
                      <w:b w:val="0"/>
                      <w:bCs/>
                      <w:sz w:val="21"/>
                    </w:rPr>
                    <w:t>）</w:t>
                  </w:r>
                </w:p>
              </w:tc>
              <w:tc>
                <w:tcPr>
                  <w:tcW w:w="2986" w:type="dxa"/>
                  <w:tcBorders>
                    <w:top w:val="single" w:color="000000" w:sz="4" w:space="0"/>
                    <w:left w:val="single" w:color="000000" w:sz="4" w:space="0"/>
                    <w:bottom w:val="single" w:color="000000" w:sz="4" w:space="0"/>
                    <w:right w:val="single" w:color="000000" w:sz="12" w:space="0"/>
                    <w:tl2br w:val="nil"/>
                    <w:tr2bl w:val="nil"/>
                  </w:tcBorders>
                  <w:noWrap w:val="0"/>
                  <w:vAlign w:val="top"/>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7</w:t>
                  </w:r>
                  <w:r>
                    <w:rPr>
                      <w:rFonts w:hint="eastAsia" w:ascii="Times New Roman" w:hAnsi="Times New Roman" w:eastAsia="宋体" w:cs="Times New Roman"/>
                      <w:b w:val="0"/>
                      <w:bCs/>
                      <w:sz w:val="21"/>
                    </w:rPr>
                    <w:t>～</w:t>
                  </w:r>
                  <w:r>
                    <w:rPr>
                      <w:rFonts w:hint="default" w:ascii="Times New Roman" w:hAnsi="Times New Roman" w:eastAsia="宋体" w:cs="Times New Roman"/>
                      <w:b w:val="0"/>
                      <w:bCs/>
                      <w:sz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trPr>
              <w:tc>
                <w:tcPr>
                  <w:tcW w:w="2365" w:type="dxa"/>
                  <w:tcBorders>
                    <w:top w:val="single" w:color="000000" w:sz="4" w:space="0"/>
                    <w:left w:val="single" w:color="000000" w:sz="12" w:space="0"/>
                    <w:bottom w:val="single" w:color="000000" w:sz="12" w:space="0"/>
                    <w:right w:val="single" w:color="000000" w:sz="4" w:space="0"/>
                    <w:tl2br w:val="nil"/>
                    <w:tr2bl w:val="nil"/>
                  </w:tcBorders>
                  <w:noWrap w:val="0"/>
                  <w:vAlign w:val="top"/>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eastAsia" w:ascii="Times New Roman" w:hAnsi="Times New Roman" w:eastAsia="宋体" w:cs="Times New Roman"/>
                      <w:b w:val="0"/>
                      <w:bCs/>
                      <w:sz w:val="21"/>
                    </w:rPr>
                    <w:t>氩弧焊</w:t>
                  </w:r>
                </w:p>
              </w:tc>
              <w:tc>
                <w:tcPr>
                  <w:tcW w:w="3474" w:type="dxa"/>
                  <w:tcBorders>
                    <w:top w:val="single" w:color="000000" w:sz="4" w:space="0"/>
                    <w:left w:val="single" w:color="000000" w:sz="4" w:space="0"/>
                    <w:bottom w:val="single" w:color="000000" w:sz="12" w:space="0"/>
                    <w:right w:val="single" w:color="000000" w:sz="4" w:space="0"/>
                    <w:tl2br w:val="nil"/>
                    <w:tr2bl w:val="nil"/>
                  </w:tcBorders>
                  <w:noWrap w:val="0"/>
                  <w:vAlign w:val="top"/>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eastAsia" w:ascii="Times New Roman" w:hAnsi="Times New Roman" w:eastAsia="宋体" w:cs="Times New Roman"/>
                      <w:b w:val="0"/>
                      <w:bCs/>
                      <w:sz w:val="21"/>
                    </w:rPr>
                    <w:t xml:space="preserve">实心焊条（直径 </w:t>
                  </w:r>
                  <w:r>
                    <w:rPr>
                      <w:rFonts w:hint="default" w:ascii="Times New Roman" w:hAnsi="Times New Roman" w:eastAsia="宋体" w:cs="Times New Roman"/>
                      <w:b w:val="0"/>
                      <w:bCs/>
                      <w:sz w:val="21"/>
                    </w:rPr>
                    <w:t>1.6mm</w:t>
                  </w:r>
                  <w:r>
                    <w:rPr>
                      <w:rFonts w:hint="eastAsia" w:ascii="Times New Roman" w:hAnsi="Times New Roman" w:eastAsia="宋体" w:cs="Times New Roman"/>
                      <w:b w:val="0"/>
                      <w:bCs/>
                      <w:sz w:val="21"/>
                    </w:rPr>
                    <w:t>）</w:t>
                  </w:r>
                </w:p>
              </w:tc>
              <w:tc>
                <w:tcPr>
                  <w:tcW w:w="2986" w:type="dxa"/>
                  <w:tcBorders>
                    <w:top w:val="single" w:color="000000" w:sz="4" w:space="0"/>
                    <w:left w:val="single" w:color="000000" w:sz="4" w:space="0"/>
                    <w:bottom w:val="single" w:color="000000" w:sz="12" w:space="0"/>
                    <w:right w:val="single" w:color="000000" w:sz="12" w:space="0"/>
                    <w:tl2br w:val="nil"/>
                    <w:tr2bl w:val="nil"/>
                  </w:tcBorders>
                  <w:noWrap w:val="0"/>
                  <w:vAlign w:val="top"/>
                </w:tcPr>
                <w:p>
                  <w:pPr>
                    <w:pStyle w:val="157"/>
                    <w:kinsoku w:val="0"/>
                    <w:overflowPunct w:val="0"/>
                    <w:spacing w:line="262" w:lineRule="exact"/>
                    <w:ind w:right="1"/>
                    <w:jc w:val="cente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2</w:t>
                  </w:r>
                  <w:r>
                    <w:rPr>
                      <w:rFonts w:hint="eastAsia" w:ascii="Times New Roman" w:hAnsi="Times New Roman" w:eastAsia="宋体" w:cs="Times New Roman"/>
                      <w:b w:val="0"/>
                      <w:bCs/>
                      <w:sz w:val="21"/>
                    </w:rPr>
                    <w:t>～</w:t>
                  </w:r>
                  <w:r>
                    <w:rPr>
                      <w:rFonts w:hint="default" w:ascii="Times New Roman" w:hAnsi="Times New Roman" w:eastAsia="宋体" w:cs="Times New Roman"/>
                      <w:b w:val="0"/>
                      <w:bCs/>
                      <w:sz w:val="21"/>
                    </w:rPr>
                    <w:t>5</w:t>
                  </w:r>
                </w:p>
              </w:tc>
            </w:tr>
          </w:tbl>
          <w:p>
            <w:pPr>
              <w:pStyle w:val="21"/>
              <w:bidi w:val="0"/>
              <w:rPr>
                <w:rFonts w:hint="eastAsia"/>
                <w:sz w:val="24"/>
                <w:szCs w:val="22"/>
              </w:rPr>
            </w:pPr>
            <w:r>
              <w:rPr>
                <w:rFonts w:hint="eastAsia"/>
                <w:sz w:val="24"/>
                <w:szCs w:val="22"/>
              </w:rPr>
              <w:t xml:space="preserve">本项目生产过程中采用采用 </w:t>
            </w:r>
            <w:r>
              <w:rPr>
                <w:rFonts w:hint="eastAsia"/>
                <w:sz w:val="24"/>
                <w:szCs w:val="22"/>
                <w:lang w:val="en-US" w:eastAsia="zh-CN"/>
              </w:rPr>
              <w:t>电弧</w:t>
            </w:r>
            <w:r>
              <w:rPr>
                <w:rFonts w:hint="eastAsia"/>
                <w:sz w:val="24"/>
                <w:szCs w:val="22"/>
              </w:rPr>
              <w:t>焊，焊材采用低氢型焊条（结</w:t>
            </w:r>
            <w:r>
              <w:rPr>
                <w:rFonts w:hint="default"/>
                <w:sz w:val="24"/>
                <w:szCs w:val="22"/>
              </w:rPr>
              <w:t>507</w:t>
            </w:r>
            <w:r>
              <w:rPr>
                <w:rFonts w:hint="eastAsia"/>
                <w:sz w:val="24"/>
                <w:szCs w:val="22"/>
              </w:rPr>
              <w:t>，直径</w:t>
            </w:r>
            <w:r>
              <w:rPr>
                <w:rFonts w:hint="default"/>
                <w:sz w:val="24"/>
                <w:szCs w:val="22"/>
              </w:rPr>
              <w:t>4mm</w:t>
            </w:r>
            <w:r>
              <w:rPr>
                <w:rFonts w:hint="eastAsia"/>
                <w:sz w:val="24"/>
                <w:szCs w:val="22"/>
              </w:rPr>
              <w:t>），焊材年消耗量为</w:t>
            </w:r>
            <w:r>
              <w:rPr>
                <w:rFonts w:hint="eastAsia"/>
                <w:sz w:val="24"/>
                <w:szCs w:val="22"/>
                <w:lang w:val="en-US" w:eastAsia="zh-CN"/>
              </w:rPr>
              <w:t>3.45</w:t>
            </w:r>
            <w:r>
              <w:rPr>
                <w:rFonts w:hint="default"/>
                <w:sz w:val="24"/>
                <w:szCs w:val="22"/>
              </w:rPr>
              <w:t>t/a</w:t>
            </w:r>
            <w:r>
              <w:rPr>
                <w:rFonts w:hint="eastAsia"/>
                <w:sz w:val="24"/>
                <w:szCs w:val="22"/>
              </w:rPr>
              <w:t>，焊材发尘量按照</w:t>
            </w:r>
            <w:r>
              <w:rPr>
                <w:rFonts w:hint="eastAsia"/>
                <w:sz w:val="24"/>
                <w:szCs w:val="22"/>
                <w:lang w:val="en-US" w:eastAsia="zh-CN"/>
              </w:rPr>
              <w:t>14</w:t>
            </w:r>
            <w:r>
              <w:rPr>
                <w:rFonts w:hint="default"/>
                <w:sz w:val="24"/>
                <w:szCs w:val="22"/>
              </w:rPr>
              <w:t xml:space="preserve">g/kg </w:t>
            </w:r>
            <w:r>
              <w:rPr>
                <w:rFonts w:hint="eastAsia"/>
                <w:sz w:val="24"/>
                <w:szCs w:val="22"/>
              </w:rPr>
              <w:t xml:space="preserve">则焊接烟尘的年产生量为 </w:t>
            </w:r>
            <w:r>
              <w:rPr>
                <w:rFonts w:hint="default"/>
                <w:sz w:val="24"/>
                <w:szCs w:val="22"/>
              </w:rPr>
              <w:t>0.0</w:t>
            </w:r>
            <w:r>
              <w:rPr>
                <w:rFonts w:hint="eastAsia"/>
                <w:sz w:val="24"/>
                <w:szCs w:val="22"/>
                <w:lang w:val="en-US" w:eastAsia="zh-CN"/>
              </w:rPr>
              <w:t>48</w:t>
            </w:r>
            <w:r>
              <w:rPr>
                <w:rFonts w:hint="default"/>
                <w:sz w:val="24"/>
                <w:szCs w:val="22"/>
              </w:rPr>
              <w:t>t/a</w:t>
            </w:r>
            <w:r>
              <w:rPr>
                <w:rFonts w:hint="eastAsia"/>
                <w:sz w:val="24"/>
                <w:szCs w:val="22"/>
              </w:rPr>
              <w:t>。</w:t>
            </w:r>
          </w:p>
          <w:p>
            <w:pPr>
              <w:pStyle w:val="21"/>
              <w:bidi w:val="0"/>
              <w:rPr>
                <w:rFonts w:hint="eastAsia"/>
                <w:b/>
                <w:bCs/>
                <w:sz w:val="24"/>
                <w:szCs w:val="22"/>
              </w:rPr>
            </w:pPr>
            <w:r>
              <w:rPr>
                <w:rFonts w:hint="eastAsia"/>
                <w:b/>
                <w:bCs/>
                <w:sz w:val="24"/>
                <w:szCs w:val="22"/>
              </w:rPr>
              <w:t>2、废水</w:t>
            </w:r>
          </w:p>
          <w:p>
            <w:pPr>
              <w:pStyle w:val="21"/>
              <w:bidi w:val="0"/>
              <w:rPr>
                <w:rFonts w:hint="eastAsia"/>
                <w:sz w:val="24"/>
                <w:szCs w:val="22"/>
              </w:rPr>
            </w:pPr>
            <w:r>
              <w:rPr>
                <w:rFonts w:hint="eastAsia"/>
                <w:sz w:val="24"/>
                <w:szCs w:val="22"/>
              </w:rPr>
              <w:t>项目生产过程中不用水，无生产废水产生及排放。项目产生的废水主要为生活污 水。项目生活用水量为390m</w:t>
            </w:r>
            <w:r>
              <w:rPr>
                <w:rFonts w:hint="eastAsia"/>
                <w:sz w:val="24"/>
                <w:szCs w:val="22"/>
                <w:vertAlign w:val="superscript"/>
              </w:rPr>
              <w:t>3</w:t>
            </w:r>
            <w:r>
              <w:rPr>
                <w:rFonts w:hint="eastAsia"/>
                <w:sz w:val="24"/>
                <w:szCs w:val="22"/>
              </w:rPr>
              <w:t>/a，产污系数按 0.8 计，则污水产生量约为1.04m</w:t>
            </w:r>
            <w:r>
              <w:rPr>
                <w:rFonts w:hint="eastAsia"/>
                <w:sz w:val="24"/>
                <w:szCs w:val="22"/>
                <w:vertAlign w:val="superscript"/>
              </w:rPr>
              <w:t>3</w:t>
            </w:r>
            <w:r>
              <w:rPr>
                <w:rFonts w:hint="eastAsia"/>
                <w:sz w:val="24"/>
                <w:szCs w:val="22"/>
              </w:rPr>
              <w:t>/d（合 312m</w:t>
            </w:r>
            <w:r>
              <w:rPr>
                <w:rFonts w:hint="eastAsia"/>
                <w:sz w:val="24"/>
                <w:szCs w:val="22"/>
                <w:vertAlign w:val="superscript"/>
              </w:rPr>
              <w:t>3</w:t>
            </w:r>
            <w:r>
              <w:rPr>
                <w:rFonts w:hint="eastAsia"/>
                <w:sz w:val="24"/>
                <w:szCs w:val="22"/>
              </w:rPr>
              <w:t>/a），生活污水中污染物浓度及含量分别为：</w:t>
            </w:r>
            <w:r>
              <w:rPr>
                <w:rFonts w:hint="default"/>
                <w:sz w:val="24"/>
                <w:szCs w:val="22"/>
              </w:rPr>
              <w:t>COD</w:t>
            </w:r>
            <w:r>
              <w:rPr>
                <w:rFonts w:hint="eastAsia"/>
                <w:sz w:val="24"/>
                <w:szCs w:val="22"/>
              </w:rPr>
              <w:t>：</w:t>
            </w:r>
            <w:r>
              <w:rPr>
                <w:rFonts w:hint="default"/>
                <w:sz w:val="24"/>
                <w:szCs w:val="22"/>
              </w:rPr>
              <w:t>350mg/L</w:t>
            </w:r>
            <w:r>
              <w:rPr>
                <w:rFonts w:hint="eastAsia"/>
                <w:sz w:val="24"/>
                <w:szCs w:val="22"/>
              </w:rPr>
              <w:t>、</w:t>
            </w:r>
            <w:r>
              <w:rPr>
                <w:rFonts w:hint="default"/>
                <w:sz w:val="24"/>
                <w:szCs w:val="22"/>
              </w:rPr>
              <w:t>0.11t/a</w:t>
            </w:r>
            <w:r>
              <w:rPr>
                <w:rFonts w:hint="eastAsia"/>
                <w:sz w:val="24"/>
                <w:szCs w:val="22"/>
              </w:rPr>
              <w:t>，</w:t>
            </w:r>
            <w:r>
              <w:rPr>
                <w:rFonts w:hint="default"/>
                <w:sz w:val="24"/>
                <w:szCs w:val="22"/>
              </w:rPr>
              <w:t>SS</w:t>
            </w:r>
            <w:r>
              <w:rPr>
                <w:rFonts w:hint="eastAsia"/>
                <w:sz w:val="24"/>
                <w:szCs w:val="22"/>
              </w:rPr>
              <w:t>：</w:t>
            </w:r>
            <w:r>
              <w:rPr>
                <w:rFonts w:hint="default"/>
                <w:sz w:val="24"/>
                <w:szCs w:val="22"/>
              </w:rPr>
              <w:t>200mg/L</w:t>
            </w:r>
            <w:r>
              <w:rPr>
                <w:rFonts w:hint="eastAsia"/>
                <w:sz w:val="24"/>
                <w:szCs w:val="22"/>
              </w:rPr>
              <w:t>、</w:t>
            </w:r>
            <w:r>
              <w:rPr>
                <w:rFonts w:hint="default"/>
                <w:sz w:val="24"/>
                <w:szCs w:val="22"/>
              </w:rPr>
              <w:t>0.062t/a</w:t>
            </w:r>
            <w:r>
              <w:rPr>
                <w:rFonts w:hint="eastAsia"/>
                <w:sz w:val="24"/>
                <w:szCs w:val="22"/>
              </w:rPr>
              <w:t>；氨氮：</w:t>
            </w:r>
            <w:r>
              <w:rPr>
                <w:rFonts w:hint="default"/>
                <w:sz w:val="24"/>
                <w:szCs w:val="22"/>
              </w:rPr>
              <w:t>35mg/L</w:t>
            </w:r>
            <w:r>
              <w:rPr>
                <w:rFonts w:hint="eastAsia"/>
                <w:sz w:val="24"/>
                <w:szCs w:val="22"/>
              </w:rPr>
              <w:t>、</w:t>
            </w:r>
            <w:r>
              <w:rPr>
                <w:rFonts w:hint="default"/>
                <w:sz w:val="24"/>
                <w:szCs w:val="22"/>
              </w:rPr>
              <w:t>0.011t/a</w:t>
            </w:r>
            <w:r>
              <w:rPr>
                <w:rFonts w:hint="eastAsia"/>
                <w:sz w:val="24"/>
                <w:szCs w:val="22"/>
              </w:rPr>
              <w:t>。</w:t>
            </w:r>
          </w:p>
          <w:p>
            <w:pPr>
              <w:pStyle w:val="21"/>
              <w:bidi w:val="0"/>
              <w:rPr>
                <w:rFonts w:hint="eastAsia"/>
                <w:b/>
                <w:bCs/>
                <w:sz w:val="24"/>
                <w:szCs w:val="22"/>
              </w:rPr>
            </w:pPr>
            <w:r>
              <w:rPr>
                <w:rFonts w:hint="eastAsia"/>
                <w:b/>
                <w:bCs/>
                <w:sz w:val="24"/>
                <w:szCs w:val="22"/>
                <w:lang w:val="en-US" w:eastAsia="zh-CN"/>
              </w:rPr>
              <w:t>3.</w:t>
            </w:r>
            <w:r>
              <w:rPr>
                <w:rFonts w:hint="eastAsia"/>
                <w:b/>
                <w:bCs/>
                <w:sz w:val="24"/>
                <w:szCs w:val="22"/>
              </w:rPr>
              <w:t>固体废物</w:t>
            </w:r>
          </w:p>
          <w:p>
            <w:pPr>
              <w:pStyle w:val="21"/>
              <w:bidi w:val="0"/>
              <w:rPr>
                <w:rFonts w:hint="eastAsia"/>
                <w:sz w:val="24"/>
                <w:szCs w:val="22"/>
              </w:rPr>
            </w:pPr>
            <w:r>
              <w:rPr>
                <w:rFonts w:hint="eastAsia"/>
                <w:sz w:val="24"/>
                <w:szCs w:val="22"/>
              </w:rPr>
              <w:t>本项目运营期固体废物产生主要有以下几方面：</w:t>
            </w:r>
          </w:p>
          <w:p>
            <w:pPr>
              <w:pStyle w:val="21"/>
              <w:bidi w:val="0"/>
              <w:rPr>
                <w:rFonts w:hint="eastAsia"/>
                <w:sz w:val="24"/>
                <w:szCs w:val="22"/>
              </w:rPr>
            </w:pPr>
            <w:r>
              <w:rPr>
                <w:rFonts w:hint="eastAsia"/>
                <w:sz w:val="24"/>
                <w:szCs w:val="22"/>
              </w:rPr>
              <w:t>⑴下脚料：切割过程中产生一定量的下脚料，类比同类行业，年产生量约为</w:t>
            </w:r>
            <w:r>
              <w:rPr>
                <w:rFonts w:hint="eastAsia"/>
                <w:sz w:val="24"/>
                <w:szCs w:val="22"/>
                <w:lang w:val="en-US" w:eastAsia="zh-CN"/>
              </w:rPr>
              <w:t>3.45</w:t>
            </w:r>
            <w:r>
              <w:rPr>
                <w:rFonts w:hint="default"/>
                <w:sz w:val="24"/>
                <w:szCs w:val="22"/>
              </w:rPr>
              <w:t>t/a</w:t>
            </w:r>
            <w:r>
              <w:rPr>
                <w:rFonts w:hint="eastAsia"/>
                <w:sz w:val="24"/>
                <w:szCs w:val="22"/>
              </w:rPr>
              <w:t>。</w:t>
            </w:r>
          </w:p>
          <w:p>
            <w:pPr>
              <w:pStyle w:val="21"/>
              <w:bidi w:val="0"/>
              <w:rPr>
                <w:rFonts w:hint="eastAsia"/>
                <w:sz w:val="24"/>
                <w:szCs w:val="22"/>
              </w:rPr>
            </w:pPr>
            <w:r>
              <w:rPr>
                <w:rFonts w:hint="eastAsia"/>
                <w:sz w:val="24"/>
                <w:szCs w:val="22"/>
              </w:rPr>
              <w:t>⑵废焊丝：焊接过程中会产生一定量的废焊丝，产生量按照焊材使用量的</w:t>
            </w:r>
            <w:r>
              <w:rPr>
                <w:rFonts w:hint="default"/>
                <w:sz w:val="24"/>
                <w:szCs w:val="22"/>
              </w:rPr>
              <w:t>1%</w:t>
            </w:r>
            <w:r>
              <w:rPr>
                <w:rFonts w:hint="eastAsia"/>
                <w:sz w:val="24"/>
                <w:szCs w:val="22"/>
              </w:rPr>
              <w:t xml:space="preserve">计 算，废焊丝产生量约为 </w:t>
            </w:r>
            <w:r>
              <w:rPr>
                <w:rFonts w:hint="default"/>
                <w:sz w:val="24"/>
                <w:szCs w:val="22"/>
              </w:rPr>
              <w:t>0.0</w:t>
            </w:r>
            <w:r>
              <w:rPr>
                <w:rFonts w:hint="eastAsia"/>
                <w:sz w:val="24"/>
                <w:szCs w:val="22"/>
                <w:lang w:val="en-US" w:eastAsia="zh-CN"/>
              </w:rPr>
              <w:t>34</w:t>
            </w:r>
            <w:r>
              <w:rPr>
                <w:rFonts w:hint="default"/>
                <w:sz w:val="24"/>
                <w:szCs w:val="22"/>
              </w:rPr>
              <w:t>t/a</w:t>
            </w:r>
            <w:r>
              <w:rPr>
                <w:rFonts w:hint="eastAsia"/>
                <w:sz w:val="24"/>
                <w:szCs w:val="22"/>
              </w:rPr>
              <w:t>。</w:t>
            </w:r>
          </w:p>
          <w:p>
            <w:pPr>
              <w:pStyle w:val="21"/>
              <w:bidi w:val="0"/>
              <w:rPr>
                <w:rFonts w:hint="eastAsia"/>
                <w:sz w:val="24"/>
                <w:szCs w:val="22"/>
              </w:rPr>
            </w:pPr>
            <w:r>
              <w:rPr>
                <w:rFonts w:hint="eastAsia"/>
                <w:sz w:val="24"/>
                <w:szCs w:val="22"/>
              </w:rPr>
              <w:t>⑶收集焊接烟尘：建议项目设置移动式焊接烟尘净化器对焊机烟尘进行收集，收 集效率取 80%，则收集粉尘 0.0</w:t>
            </w:r>
            <w:r>
              <w:rPr>
                <w:rFonts w:hint="eastAsia"/>
                <w:sz w:val="24"/>
                <w:szCs w:val="22"/>
                <w:lang w:val="en-US" w:eastAsia="zh-CN"/>
              </w:rPr>
              <w:t>19</w:t>
            </w:r>
            <w:r>
              <w:rPr>
                <w:rFonts w:hint="eastAsia"/>
                <w:sz w:val="24"/>
                <w:szCs w:val="22"/>
              </w:rPr>
              <w:t>t/a。</w:t>
            </w:r>
          </w:p>
          <w:p>
            <w:pPr>
              <w:pStyle w:val="21"/>
              <w:bidi w:val="0"/>
              <w:rPr>
                <w:rFonts w:hint="eastAsia"/>
                <w:b/>
                <w:bCs/>
                <w:sz w:val="24"/>
                <w:szCs w:val="22"/>
              </w:rPr>
            </w:pPr>
            <w:r>
              <w:rPr>
                <w:rFonts w:hint="eastAsia"/>
                <w:b/>
                <w:bCs/>
                <w:sz w:val="24"/>
                <w:szCs w:val="22"/>
                <w:lang w:val="en-US" w:eastAsia="zh-CN"/>
              </w:rPr>
              <w:t>4.</w:t>
            </w:r>
            <w:r>
              <w:rPr>
                <w:rFonts w:hint="eastAsia"/>
                <w:b/>
                <w:bCs/>
                <w:sz w:val="24"/>
                <w:szCs w:val="22"/>
              </w:rPr>
              <w:t>噪声</w:t>
            </w:r>
          </w:p>
          <w:p>
            <w:pPr>
              <w:pStyle w:val="21"/>
              <w:bidi w:val="0"/>
              <w:rPr>
                <w:rFonts w:hint="default"/>
                <w:szCs w:val="22"/>
                <w:lang w:eastAsia="zh-CN"/>
              </w:rPr>
            </w:pPr>
            <w:r>
              <w:rPr>
                <w:rFonts w:hint="eastAsia"/>
                <w:sz w:val="24"/>
                <w:szCs w:val="22"/>
              </w:rPr>
              <w:t>本项目噪声主要来源于开式可倾式压力机、调直切断机、卷簧机、点焊机、拔丝机、折弯器、倒盘架等设备运转过程噪声，噪声值范围在 70～90dB（A）</w:t>
            </w:r>
            <w:r>
              <w:rPr>
                <w:rFonts w:hint="default"/>
                <w:sz w:val="24"/>
                <w:szCs w:val="22"/>
                <w:lang w:eastAsia="zh-CN"/>
              </w:rPr>
              <w:t>。</w:t>
            </w:r>
          </w:p>
          <w:p>
            <w:pPr>
              <w:tabs>
                <w:tab w:val="left" w:pos="1280"/>
              </w:tabs>
              <w:ind w:firstLine="562" w:firstLineChars="200"/>
              <w:textAlignment w:val="baseline"/>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w:t>
            </w:r>
            <w:r>
              <w:rPr>
                <w:rFonts w:hint="eastAsia" w:cs="Times New Roman"/>
                <w:b/>
                <w:bCs/>
                <w:color w:val="auto"/>
                <w:sz w:val="28"/>
                <w:szCs w:val="28"/>
                <w:lang w:eastAsia="zh-CN"/>
              </w:rPr>
              <w:t>五</w:t>
            </w:r>
            <w:r>
              <w:rPr>
                <w:rFonts w:hint="default" w:ascii="Times New Roman" w:hAnsi="Times New Roman" w:eastAsia="宋体" w:cs="Times New Roman"/>
                <w:b/>
                <w:bCs/>
                <w:color w:val="auto"/>
                <w:sz w:val="28"/>
                <w:szCs w:val="28"/>
                <w:lang w:eastAsia="zh-CN"/>
              </w:rPr>
              <w:t>）碎石场</w:t>
            </w:r>
          </w:p>
          <w:p>
            <w:pPr>
              <w:tabs>
                <w:tab w:val="center" w:pos="4162"/>
              </w:tabs>
              <w:adjustRightInd w:val="0"/>
              <w:snapToGrid w:val="0"/>
              <w:spacing w:line="360" w:lineRule="auto"/>
              <w:ind w:firstLine="482" w:firstLineChars="200"/>
              <w:rPr>
                <w:rFonts w:hint="default" w:ascii="Times New Roman" w:hAnsi="Times New Roman" w:cs="Times New Roman" w:eastAsiaTheme="minorEastAsia"/>
                <w:sz w:val="24"/>
                <w:szCs w:val="24"/>
                <w:lang w:eastAsia="zh-CN"/>
              </w:rPr>
            </w:pPr>
            <w:r>
              <w:rPr>
                <w:rFonts w:hint="eastAsia" w:cs="Times New Roman" w:eastAsiaTheme="minorEastAsia"/>
                <w:b/>
                <w:bCs/>
                <w:sz w:val="24"/>
                <w:szCs w:val="24"/>
                <w:lang w:val="en-US" w:eastAsia="zh-CN"/>
              </w:rPr>
              <w:t>1.</w:t>
            </w:r>
            <w:r>
              <w:rPr>
                <w:rFonts w:hint="default" w:ascii="Times New Roman" w:hAnsi="Times New Roman" w:cs="Times New Roman" w:eastAsiaTheme="minorEastAsia"/>
                <w:b/>
                <w:bCs/>
                <w:sz w:val="24"/>
                <w:szCs w:val="24"/>
              </w:rPr>
              <w:t>废气</w:t>
            </w:r>
            <w:r>
              <w:rPr>
                <w:rFonts w:hint="default" w:ascii="Times New Roman" w:hAnsi="Times New Roman" w:cs="Times New Roman" w:eastAsiaTheme="minorEastAsia"/>
                <w:sz w:val="24"/>
                <w:szCs w:val="24"/>
                <w:lang w:eastAsia="zh-CN"/>
              </w:rPr>
              <w:tab/>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本项目营运期废气包括物料运输扬尘，成品落料、物料转运过程产生的扬尘，物料破碎过程产生的粉尘，以及物料筛分过程产生的粉尘</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且原料和成品的堆存全部位于全封闭料库内，可不考虑物料堆存扬尘量。</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 1 \* GB3 \* MERGEFORMAT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①</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t>运输车辆扬尘</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次项目原材料及产品均采用汽车运输。汽车运输时由于车胎卷带将产生一定量的扬尘。扬尘量的大小与车流量、道路状况、气候条件、汽车行驶速度等均有关系。根据汽车道路扬尘扩散规律，在大气干燥和地面风速低于4m/s条件下，汽车行驶时引起的路面扬尘量与汽车速度成正比，与汽车质量成正比，与道路表面扬尘量成正比，其汽车扬尘量预测经验公式为：</w:t>
            </w:r>
          </w:p>
          <w:p>
            <w:pPr>
              <w:adjustRightInd w:val="0"/>
              <w:snapToGrid w:val="0"/>
              <w:spacing w:line="360" w:lineRule="auto"/>
              <w:ind w:firstLine="480" w:firstLineChars="200"/>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Q=0.123×（V/5）（W/6.8）0.85×(P/0.5)0.72</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式中：Q：汽车行驶时的扬尘，kg/km·辆；</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      V：汽车速度，km/h，本次计算取10；</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      W：汽车载重量，吨，空车重约10t，重载车平均重约50t；</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      P：道路表面粉尘量，kg/m</w:t>
            </w:r>
            <w:r>
              <w:rPr>
                <w:rFonts w:hint="default" w:ascii="Times New Roman" w:hAnsi="Times New Roman" w:cs="Times New Roman" w:eastAsiaTheme="minorEastAsia"/>
                <w:sz w:val="24"/>
                <w:szCs w:val="24"/>
                <w:vertAlign w:val="superscript"/>
              </w:rPr>
              <w:t>2</w:t>
            </w:r>
            <w:r>
              <w:rPr>
                <w:rFonts w:hint="default" w:ascii="Times New Roman" w:hAnsi="Times New Roman" w:cs="Times New Roman" w:eastAsiaTheme="minorEastAsia"/>
                <w:sz w:val="24"/>
                <w:szCs w:val="24"/>
              </w:rPr>
              <w:t>，本次计算取0.1。</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经计算，空车扬尘为0.046kg/km·辆，重载车扬尘为0.23kg/km·辆。</w:t>
            </w:r>
          </w:p>
          <w:p>
            <w:pPr>
              <w:adjustRightInd w:val="0"/>
              <w:snapToGrid w:val="0"/>
              <w:spacing w:line="360" w:lineRule="auto"/>
              <w:ind w:firstLine="480" w:firstLineChars="20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车流量核算：项目每年产品与原料运输量为</w:t>
            </w:r>
            <w:r>
              <w:rPr>
                <w:rFonts w:hint="default" w:ascii="Times New Roman" w:hAnsi="Times New Roman" w:cs="Times New Roman" w:eastAsiaTheme="minorEastAsia"/>
                <w:sz w:val="24"/>
                <w:szCs w:val="24"/>
                <w:lang w:val="en-US" w:eastAsia="zh-CN"/>
              </w:rPr>
              <w:t>60</w:t>
            </w:r>
            <w:r>
              <w:rPr>
                <w:rFonts w:hint="default" w:ascii="Times New Roman" w:hAnsi="Times New Roman" w:cs="Times New Roman" w:eastAsiaTheme="minorEastAsia"/>
                <w:sz w:val="24"/>
                <w:szCs w:val="24"/>
              </w:rPr>
              <w:t>万t，单车每次运输量按</w:t>
            </w:r>
            <w:r>
              <w:rPr>
                <w:rFonts w:hint="default" w:ascii="Times New Roman" w:hAnsi="Times New Roman" w:cs="Times New Roman" w:eastAsiaTheme="minorEastAsia"/>
                <w:sz w:val="24"/>
                <w:szCs w:val="24"/>
                <w:lang w:val="en-US" w:eastAsia="zh-CN"/>
              </w:rPr>
              <w:t>40</w:t>
            </w:r>
            <w:r>
              <w:rPr>
                <w:rFonts w:hint="default" w:ascii="Times New Roman" w:hAnsi="Times New Roman" w:cs="Times New Roman" w:eastAsiaTheme="minorEastAsia"/>
                <w:sz w:val="24"/>
                <w:szCs w:val="24"/>
              </w:rPr>
              <w:t>t计算，项目车辆在厂区单向行驶距离平均约为30m，平均每年发车空载、重载各1</w:t>
            </w:r>
            <w:r>
              <w:rPr>
                <w:rFonts w:hint="default" w:ascii="Times New Roman" w:hAnsi="Times New Roman" w:cs="Times New Roman" w:eastAsiaTheme="minorEastAsia"/>
                <w:sz w:val="24"/>
                <w:szCs w:val="24"/>
                <w:lang w:val="en-US" w:eastAsia="zh-CN"/>
              </w:rPr>
              <w:t>5</w:t>
            </w:r>
            <w:r>
              <w:rPr>
                <w:rFonts w:hint="default" w:ascii="Times New Roman" w:hAnsi="Times New Roman" w:cs="Times New Roman" w:eastAsiaTheme="minorEastAsia"/>
                <w:sz w:val="24"/>
                <w:szCs w:val="24"/>
              </w:rPr>
              <w:t>000次；空车重约10t，重载车平均重约50t，以速度10km/h行驶，经计算，汽车在厂区内行驶过程的扬尘量为</w:t>
            </w:r>
            <w:r>
              <w:rPr>
                <w:rFonts w:hint="default" w:ascii="Times New Roman" w:hAnsi="Times New Roman" w:cs="Times New Roman" w:eastAsiaTheme="minorEastAsia"/>
                <w:sz w:val="24"/>
                <w:szCs w:val="24"/>
                <w:lang w:val="en-US" w:eastAsia="zh-CN"/>
              </w:rPr>
              <w:t>0.124</w:t>
            </w:r>
            <w:r>
              <w:rPr>
                <w:rFonts w:hint="default" w:ascii="Times New Roman" w:hAnsi="Times New Roman" w:cs="Times New Roman" w:eastAsiaTheme="minorEastAsia"/>
                <w:sz w:val="24"/>
                <w:szCs w:val="24"/>
              </w:rPr>
              <w:t>t/a。</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为了最大限度减少运输扬尘对外环境带来的不利影响，评价要求采取如下措施：厂区主出入口配备车辆高压清洗装置，进出运输车辆冲洗，冲洗废水依托施工期沉淀池沉淀后洒水抑尘；设清扫装置与厂区洒水设施，并安排专人每天对厂区进行清扫与洒水抑尘（保留清扫洒水记录）；原料与产品运输过程车辆密闭，减少物料表面颗粒物受气流影响产生扬尘。采取以上措施后，厂区内车辆运输扬尘降低90%左右，即厂区内汽车运输扬尘排放量约为0.01</w:t>
            </w:r>
            <w:r>
              <w:rPr>
                <w:rFonts w:hint="default"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t/a，0.0</w:t>
            </w:r>
            <w:r>
              <w:rPr>
                <w:rFonts w:hint="default" w:ascii="Times New Roman" w:hAnsi="Times New Roman" w:cs="Times New Roman" w:eastAsiaTheme="minorEastAsia"/>
                <w:sz w:val="24"/>
                <w:szCs w:val="24"/>
                <w:lang w:val="en-US" w:eastAsia="zh-CN"/>
              </w:rPr>
              <w:t>5</w:t>
            </w:r>
            <w:r>
              <w:rPr>
                <w:rFonts w:hint="default" w:ascii="Times New Roman" w:hAnsi="Times New Roman" w:cs="Times New Roman" w:eastAsiaTheme="minorEastAsia"/>
                <w:sz w:val="24"/>
                <w:szCs w:val="24"/>
              </w:rPr>
              <w:t>kg/h。</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 2 \* GB3 \* MERGEFORMAT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②</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t>原料装卸、投料粉尘</w:t>
            </w:r>
          </w:p>
          <w:p>
            <w:pPr>
              <w:widowControl/>
              <w:adjustRightInd w:val="0"/>
              <w:snapToGrid w:val="0"/>
              <w:ind w:firstLine="480"/>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自然状况下（物料含水率不高于6%），装车过程中扬尘产生量计算公式如下：</w:t>
            </w:r>
          </w:p>
          <w:p>
            <w:pPr>
              <w:widowControl/>
              <w:adjustRightInd w:val="0"/>
              <w:snapToGrid w:val="0"/>
              <w:spacing w:line="360" w:lineRule="auto"/>
              <w:ind w:firstLine="480"/>
              <w:jc w:val="center"/>
              <w:rPr>
                <w:rFonts w:hint="default" w:ascii="Times New Roman" w:hAnsi="Times New Roman" w:cs="Times New Roman" w:eastAsiaTheme="minorEastAsia"/>
                <w:sz w:val="24"/>
                <w:szCs w:val="24"/>
                <w:vertAlign w:val="superscript"/>
              </w:rPr>
            </w:pPr>
            <w:r>
              <w:rPr>
                <w:rFonts w:hint="default" w:ascii="Times New Roman" w:hAnsi="Times New Roman" w:cs="Times New Roman" w:eastAsiaTheme="minorEastAsia"/>
                <w:sz w:val="24"/>
                <w:szCs w:val="24"/>
              </w:rPr>
              <w:t>Q2= M·e</w:t>
            </w:r>
            <w:r>
              <w:rPr>
                <w:rFonts w:hint="default" w:ascii="Times New Roman" w:hAnsi="Times New Roman" w:cs="Times New Roman" w:eastAsiaTheme="minorEastAsia"/>
                <w:sz w:val="24"/>
                <w:szCs w:val="24"/>
                <w:vertAlign w:val="superscript"/>
              </w:rPr>
              <w:t>0.6U</w:t>
            </w:r>
            <w:r>
              <w:rPr>
                <w:rFonts w:hint="default" w:ascii="Times New Roman" w:hAnsi="Times New Roman" w:cs="Times New Roman" w:eastAsiaTheme="minorEastAsia"/>
                <w:sz w:val="24"/>
                <w:szCs w:val="24"/>
              </w:rPr>
              <w:t>· e</w:t>
            </w:r>
            <w:r>
              <w:rPr>
                <w:rFonts w:hint="default" w:ascii="Times New Roman" w:hAnsi="Times New Roman" w:cs="Times New Roman" w:eastAsiaTheme="minorEastAsia"/>
                <w:sz w:val="24"/>
                <w:szCs w:val="24"/>
                <w:vertAlign w:val="superscript"/>
              </w:rPr>
              <w:t>-0.27</w:t>
            </w:r>
            <w:r>
              <w:rPr>
                <w:rFonts w:hint="default" w:ascii="Times New Roman" w:hAnsi="Times New Roman" w:cs="Times New Roman" w:eastAsiaTheme="minorEastAsia"/>
                <w:sz w:val="24"/>
                <w:szCs w:val="24"/>
              </w:rPr>
              <w:t xml:space="preserve"> ·H</w:t>
            </w:r>
            <w:r>
              <w:rPr>
                <w:rFonts w:hint="default" w:ascii="Times New Roman" w:hAnsi="Times New Roman" w:cs="Times New Roman" w:eastAsiaTheme="minorEastAsia"/>
                <w:sz w:val="24"/>
                <w:szCs w:val="24"/>
                <w:vertAlign w:val="superscript"/>
              </w:rPr>
              <w:t>1.283</w:t>
            </w:r>
          </w:p>
          <w:p>
            <w:pPr>
              <w:widowControl/>
              <w:adjustRightInd w:val="0"/>
              <w:snapToGrid w:val="0"/>
              <w:spacing w:line="360" w:lineRule="auto"/>
              <w:ind w:firstLine="480"/>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式中：Q2—装卸扬尘，g/次；</w:t>
            </w:r>
          </w:p>
          <w:p>
            <w:pPr>
              <w:widowControl/>
              <w:adjustRightInd w:val="0"/>
              <w:snapToGrid w:val="0"/>
              <w:spacing w:line="360" w:lineRule="auto"/>
              <w:ind w:firstLine="1200" w:firstLineChars="500"/>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M—车辆吨位（30t）；</w:t>
            </w:r>
          </w:p>
          <w:p>
            <w:pPr>
              <w:widowControl/>
              <w:adjustRightInd w:val="0"/>
              <w:snapToGrid w:val="0"/>
              <w:spacing w:line="360" w:lineRule="auto"/>
              <w:ind w:firstLine="1200" w:firstLineChars="500"/>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H—装卸高度（2m）；</w:t>
            </w:r>
          </w:p>
          <w:p>
            <w:pPr>
              <w:widowControl/>
              <w:adjustRightInd w:val="0"/>
              <w:snapToGrid w:val="0"/>
              <w:spacing w:line="360" w:lineRule="auto"/>
              <w:ind w:firstLine="1200" w:firstLineChars="500"/>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U——风速（2m/s）</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根据核算，装卸扬尘产生量约为185.02g/次。本项目年消耗原料约</w:t>
            </w:r>
            <w:r>
              <w:rPr>
                <w:rFonts w:hint="default"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rPr>
              <w:t>0万吨，装卸过程中粉尘产生量约为1.</w:t>
            </w:r>
            <w:r>
              <w:rPr>
                <w:rFonts w:hint="default" w:ascii="Times New Roman" w:hAnsi="Times New Roman" w:cs="Times New Roman" w:eastAsiaTheme="minorEastAsia"/>
                <w:sz w:val="24"/>
                <w:szCs w:val="24"/>
                <w:lang w:val="en-US" w:eastAsia="zh-CN"/>
              </w:rPr>
              <w:t>85</w:t>
            </w:r>
            <w:r>
              <w:rPr>
                <w:rFonts w:hint="default" w:ascii="Times New Roman" w:hAnsi="Times New Roman" w:cs="Times New Roman" w:eastAsiaTheme="minorEastAsia"/>
                <w:sz w:val="24"/>
                <w:szCs w:val="24"/>
              </w:rPr>
              <w:t>t/a。</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原料库位于封闭车间内，可有效减少起尘量（不受环境气流影响），减少逸散至车间外的粉尘量（车间阻隔沉降）；降低物料降落落差，能够有效避免因高落差等因素造成的扬尘量增加，有效减少粉尘的产生量；在仓库内设置雾化喷头，定期对车内的物料进行洒水，增加粉尘含水率，有效抑制粉尘的产生。采取上述措施后，可削减90%的扬尘外排量，则该部分无组织粉尘排放量为0.0</w:t>
            </w:r>
            <w:r>
              <w:rPr>
                <w:rFonts w:hint="default" w:ascii="Times New Roman" w:hAnsi="Times New Roman" w:cs="Times New Roman" w:eastAsiaTheme="minorEastAsia"/>
                <w:sz w:val="24"/>
                <w:szCs w:val="24"/>
                <w:lang w:val="en-US" w:eastAsia="zh-CN"/>
              </w:rPr>
              <w:t>78</w:t>
            </w:r>
            <w:r>
              <w:rPr>
                <w:rFonts w:hint="default" w:ascii="Times New Roman" w:hAnsi="Times New Roman" w:cs="Times New Roman" w:eastAsiaTheme="minorEastAsia"/>
                <w:sz w:val="24"/>
                <w:szCs w:val="24"/>
              </w:rPr>
              <w:t>kg/h，0.1</w:t>
            </w:r>
            <w:r>
              <w:rPr>
                <w:rFonts w:hint="default" w:ascii="Times New Roman" w:hAnsi="Times New Roman" w:cs="Times New Roman" w:eastAsiaTheme="minorEastAsia"/>
                <w:sz w:val="24"/>
                <w:szCs w:val="24"/>
                <w:lang w:val="en-US" w:eastAsia="zh-CN"/>
              </w:rPr>
              <w:t>85</w:t>
            </w:r>
            <w:r>
              <w:rPr>
                <w:rFonts w:hint="default" w:ascii="Times New Roman" w:hAnsi="Times New Roman" w:cs="Times New Roman" w:eastAsiaTheme="minorEastAsia"/>
                <w:sz w:val="24"/>
                <w:szCs w:val="24"/>
              </w:rPr>
              <w:t>t/a。</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 3 \* GB3 \* MERGEFORMAT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③</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t>石材破碎粉尘</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a.一次破碎（颚式破碎）粉尘</w:t>
            </w:r>
          </w:p>
          <w:p>
            <w:pPr>
              <w:pStyle w:val="63"/>
              <w:snapToGrid w:val="0"/>
              <w:spacing w:line="360" w:lineRule="auto"/>
              <w:ind w:firstLine="480" w:firstLineChars="200"/>
              <w:jc w:val="both"/>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项目第一道破碎由颚式破碎机完成，根据项目生产线规模（</w:t>
            </w:r>
            <w:r>
              <w:rPr>
                <w:rFonts w:hint="default"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rPr>
              <w:t>0万吨/年），参考《逸散性工业粉尘控制技术》、《工业污染核算》等书，并类比调查同类行业排污数据，颚式破碎工段粉尘产生系数确定为0.15kg/t原料，破碎量按</w:t>
            </w:r>
            <w:r>
              <w:rPr>
                <w:rFonts w:hint="default"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rPr>
              <w:t>0万t/a，确定本项目颚式破碎过程中粉尘产生量约为</w:t>
            </w:r>
            <w:r>
              <w:rPr>
                <w:rFonts w:hint="default" w:ascii="Times New Roman" w:hAnsi="Times New Roman" w:cs="Times New Roman" w:eastAsiaTheme="minorEastAsia"/>
                <w:sz w:val="24"/>
                <w:szCs w:val="24"/>
                <w:lang w:val="en-US" w:eastAsia="zh-CN"/>
              </w:rPr>
              <w:t>45</w:t>
            </w:r>
            <w:r>
              <w:rPr>
                <w:rFonts w:hint="default" w:ascii="Times New Roman" w:hAnsi="Times New Roman" w:cs="Times New Roman" w:eastAsiaTheme="minorEastAsia"/>
                <w:sz w:val="24"/>
                <w:szCs w:val="24"/>
              </w:rPr>
              <w:t>t/a。</w:t>
            </w:r>
          </w:p>
          <w:p>
            <w:pPr>
              <w:pStyle w:val="63"/>
              <w:snapToGrid w:val="0"/>
              <w:spacing w:line="360" w:lineRule="auto"/>
              <w:ind w:firstLine="480" w:firstLineChars="200"/>
              <w:jc w:val="both"/>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b.二次破碎（反击式破碎）粉尘</w:t>
            </w:r>
          </w:p>
          <w:p>
            <w:pPr>
              <w:pStyle w:val="63"/>
              <w:snapToGrid w:val="0"/>
              <w:spacing w:line="360" w:lineRule="auto"/>
              <w:ind w:firstLine="480" w:firstLineChars="200"/>
              <w:jc w:val="both"/>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矿石一道破碎完毕后，进入细破进行二次破碎，一级筛分筛上物返回破碎机进行破碎。参考《逸散性工业粉尘控制技术》、《工业污染核算》等书，并类比调查同行业排污数据，该工段粉尘产生系数确定为0.25kg/t原料，破碎量按</w:t>
            </w:r>
            <w:r>
              <w:rPr>
                <w:rFonts w:hint="default" w:ascii="Times New Roman" w:hAnsi="Times New Roman" w:cs="Times New Roman" w:eastAsiaTheme="minorEastAsia"/>
                <w:sz w:val="24"/>
                <w:szCs w:val="24"/>
                <w:lang w:val="en-US" w:eastAsia="zh-CN"/>
              </w:rPr>
              <w:t>33</w:t>
            </w:r>
            <w:r>
              <w:rPr>
                <w:rFonts w:hint="default" w:ascii="Times New Roman" w:hAnsi="Times New Roman" w:cs="Times New Roman" w:eastAsiaTheme="minorEastAsia"/>
                <w:sz w:val="24"/>
                <w:szCs w:val="24"/>
              </w:rPr>
              <w:t>万t/a，确定二次破碎粉尘产生量约为</w:t>
            </w:r>
            <w:r>
              <w:rPr>
                <w:rFonts w:hint="default" w:ascii="Times New Roman" w:hAnsi="Times New Roman" w:cs="Times New Roman" w:eastAsiaTheme="minorEastAsia"/>
                <w:sz w:val="24"/>
                <w:szCs w:val="24"/>
                <w:lang w:val="en-US" w:eastAsia="zh-CN"/>
              </w:rPr>
              <w:t>82.5</w:t>
            </w:r>
            <w:r>
              <w:rPr>
                <w:rFonts w:hint="default" w:ascii="Times New Roman" w:hAnsi="Times New Roman" w:cs="Times New Roman" w:eastAsiaTheme="minorEastAsia"/>
                <w:sz w:val="24"/>
                <w:szCs w:val="24"/>
              </w:rPr>
              <w:t>t/a。</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 4 \* GB3 \* MERGEFORMAT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④</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t>筛分粉尘</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项目筛分工序包括碎石生产线振动筛筛分33万t/a和机制砂生产线滚筒筛筛分量9万t/a，</w:t>
            </w:r>
            <w:r>
              <w:rPr>
                <w:rFonts w:hint="default" w:ascii="Times New Roman" w:hAnsi="Times New Roman" w:cs="Times New Roman" w:eastAsiaTheme="minorEastAsia"/>
                <w:sz w:val="24"/>
                <w:szCs w:val="24"/>
              </w:rPr>
              <w:t>参考《逸散性工业粉尘控制技术》、《工业污染核算》等书，并类比调查同行业排污数据，筛分工段粉尘产生系数确定为0.5kg/t原料，</w:t>
            </w:r>
            <w:r>
              <w:rPr>
                <w:rFonts w:hint="default" w:ascii="Times New Roman" w:hAnsi="Times New Roman" w:cs="Times New Roman" w:eastAsiaTheme="minorEastAsia"/>
                <w:sz w:val="24"/>
                <w:szCs w:val="24"/>
                <w:lang w:val="en-US" w:eastAsia="zh-CN"/>
              </w:rPr>
              <w:t>碎石生产线</w:t>
            </w:r>
            <w:r>
              <w:rPr>
                <w:rFonts w:hint="default" w:ascii="Times New Roman" w:hAnsi="Times New Roman" w:cs="Times New Roman" w:eastAsiaTheme="minorEastAsia"/>
                <w:sz w:val="24"/>
                <w:szCs w:val="24"/>
              </w:rPr>
              <w:t>筛分过程中粉尘产生量约为</w:t>
            </w:r>
            <w:r>
              <w:rPr>
                <w:rFonts w:hint="default" w:ascii="Times New Roman" w:hAnsi="Times New Roman" w:cs="Times New Roman" w:eastAsiaTheme="minorEastAsia"/>
                <w:sz w:val="24"/>
                <w:szCs w:val="24"/>
                <w:lang w:val="en-US" w:eastAsia="zh-CN"/>
              </w:rPr>
              <w:t>165</w:t>
            </w:r>
            <w:r>
              <w:rPr>
                <w:rFonts w:hint="default" w:ascii="Times New Roman" w:hAnsi="Times New Roman" w:cs="Times New Roman" w:eastAsiaTheme="minorEastAsia"/>
                <w:sz w:val="24"/>
                <w:szCs w:val="24"/>
              </w:rPr>
              <w:t>t/a</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机制砂生产线中粉尘产生量为45t/a</w:t>
            </w:r>
            <w:r>
              <w:rPr>
                <w:rFonts w:hint="default" w:ascii="Times New Roman" w:hAnsi="Times New Roman" w:cs="Times New Roman" w:eastAsiaTheme="minorEastAsia"/>
                <w:sz w:val="24"/>
                <w:szCs w:val="24"/>
              </w:rPr>
              <w:t>。</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根据《河南省2019年工业企业无组织排放治理方案》的相关要求，评价建议：</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①鄂式破碎、反击破碎和筛分设备在封闭式车间的基础上进行二次封闭，各设备分别处于各自的密闭间内。</w:t>
            </w:r>
          </w:p>
          <w:p>
            <w:pPr>
              <w:pStyle w:val="63"/>
              <w:snapToGrid w:val="0"/>
              <w:spacing w:line="360" w:lineRule="auto"/>
              <w:ind w:firstLine="480" w:firstLineChars="200"/>
              <w:jc w:val="both"/>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②对密闭间进行整体负压收尘。对进料口、下料口进行半封闭。设备密闭间内设集气管道，通过风机将密闭间内产生的粉尘引入处理系统。</w:t>
            </w:r>
          </w:p>
          <w:p>
            <w:pPr>
              <w:pStyle w:val="63"/>
              <w:snapToGrid w:val="0"/>
              <w:spacing w:line="360" w:lineRule="auto"/>
              <w:ind w:firstLine="480" w:firstLineChars="200"/>
              <w:jc w:val="both"/>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③颚式破碎机、反击破碎和筛分设备分别配置1套袋式除尘器（除尘效率99.8%），不与其他工序共用。建议</w:t>
            </w:r>
            <w:r>
              <w:rPr>
                <w:rFonts w:hint="default" w:ascii="Times New Roman" w:hAnsi="Times New Roman" w:cs="Times New Roman" w:eastAsiaTheme="minorEastAsia"/>
                <w:sz w:val="24"/>
                <w:szCs w:val="24"/>
                <w:lang w:val="en-US" w:eastAsia="zh-CN"/>
              </w:rPr>
              <w:t>四</w:t>
            </w:r>
            <w:r>
              <w:rPr>
                <w:rFonts w:hint="default" w:ascii="Times New Roman" w:hAnsi="Times New Roman" w:cs="Times New Roman" w:eastAsiaTheme="minorEastAsia"/>
                <w:sz w:val="24"/>
                <w:szCs w:val="24"/>
              </w:rPr>
              <w:t>台设备共用1根15m高排气筒。</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项目废气产排情况见下表：</w:t>
            </w:r>
          </w:p>
          <w:p>
            <w:pPr>
              <w:adjustRightInd w:val="0"/>
              <w:snapToGrid w:val="0"/>
              <w:spacing w:line="36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表</w:t>
            </w:r>
            <w:r>
              <w:rPr>
                <w:rFonts w:hint="eastAsia" w:cs="Times New Roman" w:eastAsiaTheme="minorEastAsia"/>
                <w:b/>
                <w:bCs/>
                <w:sz w:val="21"/>
                <w:szCs w:val="21"/>
                <w:lang w:val="en-US" w:eastAsia="zh-CN"/>
              </w:rPr>
              <w:t>5.2.5-1</w:t>
            </w:r>
            <w:r>
              <w:rPr>
                <w:rFonts w:hint="default" w:ascii="Times New Roman" w:hAnsi="Times New Roman" w:cs="Times New Roman" w:eastAsiaTheme="minorEastAsia"/>
                <w:b/>
                <w:bCs/>
                <w:sz w:val="21"/>
                <w:szCs w:val="21"/>
              </w:rPr>
              <w:t xml:space="preserve"> 项目废气污染物产排情况一览表 </w:t>
            </w:r>
            <w:r>
              <w:rPr>
                <w:rFonts w:hint="eastAsia" w:ascii="Times New Roman" w:hAnsi="Times New Roman" w:cs="Times New Roman" w:eastAsiaTheme="minorEastAsia"/>
                <w:b/>
                <w:bCs/>
                <w:sz w:val="21"/>
                <w:szCs w:val="21"/>
                <w:lang w:val="en-US" w:eastAsia="zh-CN"/>
              </w:rPr>
              <w:t xml:space="preserve">  </w:t>
            </w:r>
            <w:r>
              <w:rPr>
                <w:rFonts w:hint="default" w:ascii="Times New Roman" w:hAnsi="Times New Roman" w:cs="Times New Roman" w:eastAsiaTheme="minorEastAsia"/>
                <w:b/>
                <w:bCs/>
                <w:sz w:val="21"/>
                <w:szCs w:val="21"/>
              </w:rPr>
              <w:t>单位mg/m</w:t>
            </w:r>
            <w:r>
              <w:rPr>
                <w:rFonts w:hint="default" w:ascii="Times New Roman" w:hAnsi="Times New Roman" w:cs="Times New Roman" w:eastAsiaTheme="minorEastAsia"/>
                <w:b/>
                <w:bCs/>
                <w:sz w:val="21"/>
                <w:szCs w:val="21"/>
                <w:vertAlign w:val="superscript"/>
              </w:rPr>
              <w:t>3</w:t>
            </w:r>
          </w:p>
          <w:tbl>
            <w:tblPr>
              <w:tblStyle w:val="43"/>
              <w:tblW w:w="89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541"/>
              <w:gridCol w:w="743"/>
              <w:gridCol w:w="1096"/>
              <w:gridCol w:w="1026"/>
              <w:gridCol w:w="1311"/>
              <w:gridCol w:w="647"/>
              <w:gridCol w:w="751"/>
              <w:gridCol w:w="1027"/>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1" w:hRule="atLeast"/>
                <w:jc w:val="center"/>
              </w:trPr>
              <w:tc>
                <w:tcPr>
                  <w:tcW w:w="718"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产污</w:t>
                  </w:r>
                </w:p>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单元</w:t>
                  </w:r>
                </w:p>
              </w:tc>
              <w:tc>
                <w:tcPr>
                  <w:tcW w:w="541"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排放形式</w:t>
                  </w:r>
                </w:p>
              </w:tc>
              <w:tc>
                <w:tcPr>
                  <w:tcW w:w="743"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粉尘</w:t>
                  </w:r>
                </w:p>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产生量(t/a)</w:t>
                  </w:r>
                </w:p>
              </w:tc>
              <w:tc>
                <w:tcPr>
                  <w:tcW w:w="1096"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废气量(m</w:t>
                  </w:r>
                  <w:r>
                    <w:rPr>
                      <w:rFonts w:hint="default" w:ascii="Times New Roman" w:hAnsi="Times New Roman" w:eastAsia="宋体" w:cs="Times New Roman"/>
                      <w:sz w:val="21"/>
                      <w:szCs w:val="20"/>
                      <w:vertAlign w:val="superscript"/>
                    </w:rPr>
                    <w:t>3</w:t>
                  </w:r>
                  <w:r>
                    <w:rPr>
                      <w:rFonts w:hint="default" w:ascii="Times New Roman" w:hAnsi="Times New Roman" w:eastAsia="宋体" w:cs="Times New Roman"/>
                      <w:sz w:val="21"/>
                      <w:szCs w:val="20"/>
                    </w:rPr>
                    <w:t>/a)</w:t>
                  </w:r>
                </w:p>
              </w:tc>
              <w:tc>
                <w:tcPr>
                  <w:tcW w:w="1026"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产生</w:t>
                  </w:r>
                </w:p>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浓度</w:t>
                  </w:r>
                </w:p>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(mg/m</w:t>
                  </w:r>
                  <w:r>
                    <w:rPr>
                      <w:rFonts w:hint="default" w:ascii="Times New Roman" w:hAnsi="Times New Roman" w:eastAsia="宋体" w:cs="Times New Roman"/>
                      <w:sz w:val="21"/>
                      <w:szCs w:val="20"/>
                      <w:vertAlign w:val="superscript"/>
                    </w:rPr>
                    <w:t>3</w:t>
                  </w:r>
                  <w:r>
                    <w:rPr>
                      <w:rFonts w:hint="default" w:ascii="Times New Roman" w:hAnsi="Times New Roman" w:eastAsia="宋体" w:cs="Times New Roman"/>
                      <w:sz w:val="21"/>
                      <w:szCs w:val="20"/>
                    </w:rPr>
                    <w:t>)</w:t>
                  </w:r>
                </w:p>
              </w:tc>
              <w:tc>
                <w:tcPr>
                  <w:tcW w:w="1958" w:type="dxa"/>
                  <w:gridSpan w:val="2"/>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处理措施</w:t>
                  </w:r>
                </w:p>
              </w:tc>
              <w:tc>
                <w:tcPr>
                  <w:tcW w:w="751"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排放量</w:t>
                  </w:r>
                </w:p>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(t/a)</w:t>
                  </w:r>
                </w:p>
              </w:tc>
              <w:tc>
                <w:tcPr>
                  <w:tcW w:w="1027"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浓度(mg/m</w:t>
                  </w:r>
                  <w:r>
                    <w:rPr>
                      <w:rFonts w:hint="default" w:ascii="Times New Roman" w:hAnsi="Times New Roman" w:eastAsia="宋体" w:cs="Times New Roman"/>
                      <w:sz w:val="21"/>
                      <w:szCs w:val="20"/>
                      <w:vertAlign w:val="superscript"/>
                    </w:rPr>
                    <w:t>3</w:t>
                  </w:r>
                  <w:r>
                    <w:rPr>
                      <w:rFonts w:hint="default" w:ascii="Times New Roman" w:hAnsi="Times New Roman" w:eastAsia="宋体" w:cs="Times New Roman"/>
                      <w:sz w:val="21"/>
                      <w:szCs w:val="20"/>
                    </w:rPr>
                    <w:t>)</w:t>
                  </w:r>
                </w:p>
              </w:tc>
              <w:tc>
                <w:tcPr>
                  <w:tcW w:w="1090"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一次破碎</w:t>
                  </w:r>
                </w:p>
              </w:tc>
              <w:tc>
                <w:tcPr>
                  <w:tcW w:w="541"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有组织</w:t>
                  </w:r>
                </w:p>
              </w:tc>
              <w:tc>
                <w:tcPr>
                  <w:tcW w:w="743" w:type="dxa"/>
                  <w:vAlign w:val="center"/>
                </w:tcPr>
                <w:p>
                  <w:pPr>
                    <w:adjustRightInd w:val="0"/>
                    <w:snapToGrid w:val="0"/>
                    <w:jc w:val="center"/>
                    <w:rPr>
                      <w:rFonts w:hint="default" w:ascii="Times New Roman" w:hAnsi="Times New Roman" w:eastAsia="宋体" w:cs="Times New Roman"/>
                      <w:sz w:val="21"/>
                      <w:szCs w:val="20"/>
                      <w:lang w:val="en-US" w:eastAsia="zh-CN"/>
                    </w:rPr>
                  </w:pPr>
                  <w:r>
                    <w:rPr>
                      <w:rFonts w:hint="default" w:ascii="Times New Roman" w:hAnsi="Times New Roman" w:eastAsia="宋体" w:cs="Times New Roman"/>
                      <w:sz w:val="21"/>
                      <w:szCs w:val="20"/>
                      <w:lang w:val="en-US" w:eastAsia="zh-CN"/>
                    </w:rPr>
                    <w:t>45</w:t>
                  </w:r>
                </w:p>
              </w:tc>
              <w:tc>
                <w:tcPr>
                  <w:tcW w:w="1096" w:type="dxa"/>
                  <w:vMerge w:val="restart"/>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lang w:val="en-US" w:eastAsia="zh-CN"/>
                    </w:rPr>
                    <w:t>5.76</w:t>
                  </w:r>
                  <w:r>
                    <w:rPr>
                      <w:rFonts w:hint="default" w:ascii="Times New Roman" w:hAnsi="Times New Roman" w:eastAsia="宋体" w:cs="Times New Roman"/>
                      <w:sz w:val="21"/>
                      <w:szCs w:val="20"/>
                    </w:rPr>
                    <w:t>×107</w:t>
                  </w:r>
                </w:p>
              </w:tc>
              <w:tc>
                <w:tcPr>
                  <w:tcW w:w="1026" w:type="dxa"/>
                  <w:vMerge w:val="restart"/>
                  <w:vAlign w:val="center"/>
                </w:tcPr>
                <w:p>
                  <w:pPr>
                    <w:adjustRightInd w:val="0"/>
                    <w:snapToGrid w:val="0"/>
                    <w:jc w:val="center"/>
                    <w:rPr>
                      <w:rFonts w:hint="default" w:ascii="Times New Roman" w:hAnsi="Times New Roman" w:eastAsia="宋体" w:cs="Times New Roman"/>
                      <w:sz w:val="21"/>
                      <w:szCs w:val="20"/>
                      <w:lang w:val="en-US" w:eastAsia="zh-CN"/>
                    </w:rPr>
                  </w:pPr>
                  <w:r>
                    <w:rPr>
                      <w:rFonts w:hint="default" w:ascii="Times New Roman" w:hAnsi="Times New Roman" w:eastAsia="宋体" w:cs="Times New Roman"/>
                      <w:sz w:val="21"/>
                      <w:szCs w:val="20"/>
                      <w:lang w:val="en-US" w:eastAsia="zh-CN"/>
                    </w:rPr>
                    <w:t>5859</w:t>
                  </w:r>
                </w:p>
              </w:tc>
              <w:tc>
                <w:tcPr>
                  <w:tcW w:w="1311"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设备密闭+负压收尘+1台袋式除尘器（除尘效率99.8%）</w:t>
                  </w:r>
                </w:p>
              </w:tc>
              <w:tc>
                <w:tcPr>
                  <w:tcW w:w="647" w:type="dxa"/>
                  <w:vMerge w:val="restart"/>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共用1根15m高排气筒</w:t>
                  </w:r>
                </w:p>
              </w:tc>
              <w:tc>
                <w:tcPr>
                  <w:tcW w:w="751" w:type="dxa"/>
                  <w:vMerge w:val="restart"/>
                  <w:vAlign w:val="center"/>
                </w:tcPr>
                <w:p>
                  <w:pPr>
                    <w:adjustRightInd w:val="0"/>
                    <w:snapToGrid w:val="0"/>
                    <w:jc w:val="center"/>
                    <w:rPr>
                      <w:rFonts w:hint="default" w:ascii="Times New Roman" w:hAnsi="Times New Roman" w:eastAsia="宋体" w:cs="Times New Roman"/>
                      <w:sz w:val="21"/>
                      <w:szCs w:val="20"/>
                      <w:lang w:val="en-US" w:eastAsia="zh-CN"/>
                    </w:rPr>
                  </w:pPr>
                  <w:r>
                    <w:rPr>
                      <w:rFonts w:hint="default" w:ascii="Times New Roman" w:hAnsi="Times New Roman" w:eastAsia="宋体" w:cs="Times New Roman"/>
                      <w:sz w:val="21"/>
                      <w:szCs w:val="20"/>
                      <w:lang w:val="en-US" w:eastAsia="zh-CN"/>
                    </w:rPr>
                    <w:t>0.675</w:t>
                  </w:r>
                </w:p>
              </w:tc>
              <w:tc>
                <w:tcPr>
                  <w:tcW w:w="1027" w:type="dxa"/>
                  <w:vMerge w:val="restart"/>
                  <w:vAlign w:val="center"/>
                </w:tcPr>
                <w:p>
                  <w:pPr>
                    <w:adjustRightInd w:val="0"/>
                    <w:snapToGrid w:val="0"/>
                    <w:jc w:val="center"/>
                    <w:rPr>
                      <w:rFonts w:hint="default" w:ascii="Times New Roman" w:hAnsi="Times New Roman" w:eastAsia="宋体" w:cs="Times New Roman"/>
                      <w:sz w:val="21"/>
                      <w:szCs w:val="20"/>
                      <w:lang w:val="en-US" w:eastAsia="zh-CN"/>
                    </w:rPr>
                  </w:pPr>
                  <w:r>
                    <w:rPr>
                      <w:rFonts w:hint="default" w:ascii="Times New Roman" w:hAnsi="Times New Roman" w:eastAsia="宋体" w:cs="Times New Roman"/>
                      <w:sz w:val="21"/>
                      <w:szCs w:val="20"/>
                      <w:lang w:val="en-US" w:eastAsia="zh-CN"/>
                    </w:rPr>
                    <w:t>11.7</w:t>
                  </w:r>
                </w:p>
              </w:tc>
              <w:tc>
                <w:tcPr>
                  <w:tcW w:w="1090" w:type="dxa"/>
                  <w:vMerge w:val="restart"/>
                  <w:vAlign w:val="center"/>
                </w:tcPr>
                <w:p>
                  <w:pPr>
                    <w:adjustRightInd w:val="0"/>
                    <w:snapToGrid w:val="0"/>
                    <w:jc w:val="center"/>
                    <w:rPr>
                      <w:rFonts w:hint="default" w:ascii="Times New Roman" w:hAnsi="Times New Roman" w:eastAsia="宋体" w:cs="Times New Roman"/>
                      <w:sz w:val="21"/>
                      <w:szCs w:val="20"/>
                      <w:lang w:val="en-US" w:eastAsia="zh-CN"/>
                    </w:rPr>
                  </w:pPr>
                  <w:r>
                    <w:rPr>
                      <w:rFonts w:hint="default" w:ascii="Times New Roman" w:hAnsi="Times New Roman" w:eastAsia="宋体" w:cs="Times New Roman"/>
                      <w:sz w:val="21"/>
                      <w:szCs w:val="20"/>
                      <w:lang w:val="en-US" w:eastAsia="zh-CN"/>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二次破碎</w:t>
                  </w:r>
                </w:p>
              </w:tc>
              <w:tc>
                <w:tcPr>
                  <w:tcW w:w="541"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有组织</w:t>
                  </w:r>
                </w:p>
              </w:tc>
              <w:tc>
                <w:tcPr>
                  <w:tcW w:w="743" w:type="dxa"/>
                  <w:vAlign w:val="center"/>
                </w:tcPr>
                <w:p>
                  <w:pPr>
                    <w:adjustRightInd w:val="0"/>
                    <w:snapToGrid w:val="0"/>
                    <w:jc w:val="center"/>
                    <w:rPr>
                      <w:rFonts w:hint="default" w:ascii="Times New Roman" w:hAnsi="Times New Roman" w:eastAsia="宋体" w:cs="Times New Roman"/>
                      <w:sz w:val="21"/>
                      <w:szCs w:val="20"/>
                      <w:lang w:val="en-US" w:eastAsia="zh-CN"/>
                    </w:rPr>
                  </w:pPr>
                  <w:r>
                    <w:rPr>
                      <w:rFonts w:hint="default" w:ascii="Times New Roman" w:hAnsi="Times New Roman" w:eastAsia="宋体" w:cs="Times New Roman"/>
                      <w:sz w:val="21"/>
                      <w:szCs w:val="20"/>
                      <w:lang w:val="en-US" w:eastAsia="zh-CN"/>
                    </w:rPr>
                    <w:t>82.5</w:t>
                  </w:r>
                </w:p>
              </w:tc>
              <w:tc>
                <w:tcPr>
                  <w:tcW w:w="1096"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1026"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1311"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设备密闭+负压收尘+1台袋式除尘器（除尘效率99.8%）</w:t>
                  </w:r>
                </w:p>
              </w:tc>
              <w:tc>
                <w:tcPr>
                  <w:tcW w:w="647"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751"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1027"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1090" w:type="dxa"/>
                  <w:vMerge w:val="continue"/>
                  <w:vAlign w:val="center"/>
                </w:tcPr>
                <w:p>
                  <w:pPr>
                    <w:adjustRightInd w:val="0"/>
                    <w:snapToGrid w:val="0"/>
                    <w:jc w:val="center"/>
                    <w:rPr>
                      <w:rFonts w:hint="default" w:ascii="Times New Roman"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lang w:val="en-US" w:eastAsia="zh-CN"/>
                    </w:rPr>
                    <w:t>振动筛</w:t>
                  </w:r>
                  <w:r>
                    <w:rPr>
                      <w:rFonts w:hint="default" w:ascii="Times New Roman" w:hAnsi="Times New Roman" w:eastAsia="宋体" w:cs="Times New Roman"/>
                      <w:sz w:val="21"/>
                      <w:szCs w:val="20"/>
                    </w:rPr>
                    <w:t>筛分</w:t>
                  </w:r>
                </w:p>
              </w:tc>
              <w:tc>
                <w:tcPr>
                  <w:tcW w:w="541"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有组织</w:t>
                  </w:r>
                </w:p>
              </w:tc>
              <w:tc>
                <w:tcPr>
                  <w:tcW w:w="743" w:type="dxa"/>
                  <w:vAlign w:val="center"/>
                </w:tcPr>
                <w:p>
                  <w:pPr>
                    <w:adjustRightInd w:val="0"/>
                    <w:snapToGrid w:val="0"/>
                    <w:jc w:val="center"/>
                    <w:rPr>
                      <w:rFonts w:hint="default" w:ascii="Times New Roman" w:hAnsi="Times New Roman" w:eastAsia="宋体" w:cs="Times New Roman"/>
                      <w:sz w:val="21"/>
                      <w:szCs w:val="20"/>
                      <w:lang w:val="en-US" w:eastAsia="zh-CN"/>
                    </w:rPr>
                  </w:pPr>
                  <w:r>
                    <w:rPr>
                      <w:rFonts w:hint="default" w:ascii="Times New Roman" w:hAnsi="Times New Roman" w:eastAsia="宋体" w:cs="Times New Roman"/>
                      <w:sz w:val="21"/>
                      <w:szCs w:val="20"/>
                      <w:lang w:val="en-US" w:eastAsia="zh-CN"/>
                    </w:rPr>
                    <w:t>165</w:t>
                  </w:r>
                </w:p>
              </w:tc>
              <w:tc>
                <w:tcPr>
                  <w:tcW w:w="1096"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1026"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1311"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设备密闭+负压收尘+1台袋式除尘器（除尘效率99.8%）</w:t>
                  </w:r>
                </w:p>
              </w:tc>
              <w:tc>
                <w:tcPr>
                  <w:tcW w:w="647"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751"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1027"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1090" w:type="dxa"/>
                  <w:vMerge w:val="continue"/>
                  <w:vAlign w:val="center"/>
                </w:tcPr>
                <w:p>
                  <w:pPr>
                    <w:adjustRightInd w:val="0"/>
                    <w:snapToGrid w:val="0"/>
                    <w:jc w:val="center"/>
                    <w:rPr>
                      <w:rFonts w:hint="default" w:ascii="Times New Roman"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vAlign w:val="center"/>
                </w:tcPr>
                <w:p>
                  <w:pPr>
                    <w:adjustRightInd w:val="0"/>
                    <w:snapToGrid w:val="0"/>
                    <w:jc w:val="center"/>
                    <w:rPr>
                      <w:rFonts w:hint="default" w:ascii="Times New Roman" w:hAnsi="Times New Roman" w:eastAsia="宋体" w:cs="Times New Roman"/>
                      <w:sz w:val="21"/>
                      <w:szCs w:val="20"/>
                      <w:lang w:val="en-US" w:eastAsia="zh-CN"/>
                    </w:rPr>
                  </w:pPr>
                  <w:r>
                    <w:rPr>
                      <w:rFonts w:hint="default" w:ascii="Times New Roman" w:hAnsi="Times New Roman" w:eastAsia="宋体" w:cs="Times New Roman"/>
                      <w:sz w:val="21"/>
                      <w:szCs w:val="20"/>
                      <w:lang w:val="en-US" w:eastAsia="zh-CN"/>
                    </w:rPr>
                    <w:t>滚筒筛筛分</w:t>
                  </w:r>
                </w:p>
              </w:tc>
              <w:tc>
                <w:tcPr>
                  <w:tcW w:w="541" w:type="dxa"/>
                  <w:vAlign w:val="center"/>
                </w:tcPr>
                <w:p>
                  <w:pPr>
                    <w:adjustRightInd w:val="0"/>
                    <w:snapToGrid w:val="0"/>
                    <w:jc w:val="center"/>
                    <w:rPr>
                      <w:rFonts w:hint="default" w:ascii="Times New Roman" w:hAnsi="Times New Roman" w:eastAsia="宋体" w:cs="Times New Roman"/>
                      <w:sz w:val="21"/>
                      <w:szCs w:val="20"/>
                      <w:lang w:val="en-US" w:eastAsia="zh-CN"/>
                    </w:rPr>
                  </w:pPr>
                  <w:r>
                    <w:rPr>
                      <w:rFonts w:hint="default" w:ascii="Times New Roman" w:hAnsi="Times New Roman" w:eastAsia="宋体" w:cs="Times New Roman"/>
                      <w:sz w:val="21"/>
                      <w:szCs w:val="20"/>
                      <w:lang w:val="en-US" w:eastAsia="zh-CN"/>
                    </w:rPr>
                    <w:t>有组织</w:t>
                  </w:r>
                </w:p>
              </w:tc>
              <w:tc>
                <w:tcPr>
                  <w:tcW w:w="743" w:type="dxa"/>
                  <w:vAlign w:val="center"/>
                </w:tcPr>
                <w:p>
                  <w:pPr>
                    <w:adjustRightInd w:val="0"/>
                    <w:snapToGrid w:val="0"/>
                    <w:jc w:val="center"/>
                    <w:rPr>
                      <w:rFonts w:hint="default" w:ascii="Times New Roman" w:hAnsi="Times New Roman" w:eastAsia="宋体" w:cs="Times New Roman"/>
                      <w:sz w:val="21"/>
                      <w:szCs w:val="20"/>
                      <w:lang w:val="en-US" w:eastAsia="zh-CN"/>
                    </w:rPr>
                  </w:pPr>
                  <w:r>
                    <w:rPr>
                      <w:rFonts w:hint="default" w:ascii="Times New Roman" w:hAnsi="Times New Roman" w:eastAsia="宋体" w:cs="Times New Roman"/>
                      <w:sz w:val="21"/>
                      <w:szCs w:val="20"/>
                      <w:lang w:val="en-US" w:eastAsia="zh-CN"/>
                    </w:rPr>
                    <w:t>45</w:t>
                  </w:r>
                </w:p>
              </w:tc>
              <w:tc>
                <w:tcPr>
                  <w:tcW w:w="1096"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1026"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1311"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设备密闭+负压收尘+1台袋式除尘器（除尘效率99.8%）</w:t>
                  </w:r>
                </w:p>
              </w:tc>
              <w:tc>
                <w:tcPr>
                  <w:tcW w:w="647"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751"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1027"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1090" w:type="dxa"/>
                  <w:vMerge w:val="continue"/>
                  <w:vAlign w:val="center"/>
                </w:tcPr>
                <w:p>
                  <w:pPr>
                    <w:adjustRightInd w:val="0"/>
                    <w:snapToGrid w:val="0"/>
                    <w:jc w:val="center"/>
                    <w:rPr>
                      <w:rFonts w:hint="default" w:ascii="Times New Roman"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车辆运输烟尘</w:t>
                  </w:r>
                </w:p>
              </w:tc>
              <w:tc>
                <w:tcPr>
                  <w:tcW w:w="541"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无组织</w:t>
                  </w:r>
                </w:p>
              </w:tc>
              <w:tc>
                <w:tcPr>
                  <w:tcW w:w="743" w:type="dxa"/>
                  <w:vAlign w:val="center"/>
                </w:tcPr>
                <w:p>
                  <w:pPr>
                    <w:adjustRightInd w:val="0"/>
                    <w:snapToGrid w:val="0"/>
                    <w:jc w:val="center"/>
                    <w:rPr>
                      <w:rFonts w:hint="default" w:ascii="Times New Roman" w:hAnsi="Times New Roman" w:eastAsia="宋体" w:cs="Times New Roman"/>
                      <w:sz w:val="21"/>
                      <w:szCs w:val="20"/>
                      <w:lang w:val="en-US" w:eastAsia="zh-CN"/>
                    </w:rPr>
                  </w:pPr>
                  <w:r>
                    <w:rPr>
                      <w:rFonts w:hint="default" w:ascii="Times New Roman" w:hAnsi="Times New Roman" w:eastAsia="宋体" w:cs="Times New Roman"/>
                      <w:sz w:val="21"/>
                      <w:szCs w:val="20"/>
                    </w:rPr>
                    <w:t>0.</w:t>
                  </w:r>
                  <w:r>
                    <w:rPr>
                      <w:rFonts w:hint="default" w:ascii="Times New Roman" w:hAnsi="Times New Roman" w:eastAsia="宋体" w:cs="Times New Roman"/>
                      <w:sz w:val="21"/>
                      <w:szCs w:val="20"/>
                      <w:lang w:val="en-US" w:eastAsia="zh-CN"/>
                    </w:rPr>
                    <w:t>124</w:t>
                  </w:r>
                </w:p>
              </w:tc>
              <w:tc>
                <w:tcPr>
                  <w:tcW w:w="1096"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1026"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1958" w:type="dxa"/>
                  <w:gridSpan w:val="2"/>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进出车</w:t>
                  </w:r>
                  <w:r>
                    <w:rPr>
                      <w:rFonts w:hint="eastAsia" w:ascii="Times New Roman" w:hAnsi="Times New Roman" w:eastAsia="宋体" w:cs="Times New Roman"/>
                      <w:sz w:val="21"/>
                      <w:szCs w:val="20"/>
                      <w:lang w:val="en-US" w:eastAsia="zh-CN"/>
                    </w:rPr>
                    <w:t>辆</w:t>
                  </w:r>
                  <w:r>
                    <w:rPr>
                      <w:rFonts w:hint="default" w:ascii="Times New Roman" w:hAnsi="Times New Roman" w:eastAsia="宋体" w:cs="Times New Roman"/>
                      <w:sz w:val="21"/>
                      <w:szCs w:val="20"/>
                    </w:rPr>
                    <w:t>冲洗；厂区清扫洒水</w:t>
                  </w:r>
                </w:p>
              </w:tc>
              <w:tc>
                <w:tcPr>
                  <w:tcW w:w="751" w:type="dxa"/>
                  <w:vAlign w:val="center"/>
                </w:tcPr>
                <w:p>
                  <w:pPr>
                    <w:adjustRightInd w:val="0"/>
                    <w:snapToGrid w:val="0"/>
                    <w:jc w:val="center"/>
                    <w:rPr>
                      <w:rFonts w:hint="default" w:ascii="Times New Roman" w:hAnsi="Times New Roman" w:eastAsia="宋体" w:cs="Times New Roman"/>
                      <w:sz w:val="21"/>
                      <w:szCs w:val="20"/>
                      <w:lang w:val="en-US" w:eastAsia="zh-CN"/>
                    </w:rPr>
                  </w:pPr>
                  <w:r>
                    <w:rPr>
                      <w:rFonts w:hint="default" w:ascii="Times New Roman" w:hAnsi="Times New Roman" w:eastAsia="宋体" w:cs="Times New Roman"/>
                      <w:sz w:val="21"/>
                      <w:szCs w:val="20"/>
                    </w:rPr>
                    <w:t>0.01</w:t>
                  </w:r>
                  <w:r>
                    <w:rPr>
                      <w:rFonts w:hint="default" w:ascii="Times New Roman" w:hAnsi="Times New Roman" w:eastAsia="宋体" w:cs="Times New Roman"/>
                      <w:sz w:val="21"/>
                      <w:szCs w:val="20"/>
                      <w:lang w:val="en-US" w:eastAsia="zh-CN"/>
                    </w:rPr>
                    <w:t>2</w:t>
                  </w:r>
                </w:p>
              </w:tc>
              <w:tc>
                <w:tcPr>
                  <w:tcW w:w="1027"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1090" w:type="dxa"/>
                  <w:vAlign w:val="center"/>
                </w:tcPr>
                <w:p>
                  <w:pPr>
                    <w:adjustRightInd w:val="0"/>
                    <w:snapToGrid w:val="0"/>
                    <w:jc w:val="center"/>
                    <w:rPr>
                      <w:rFonts w:hint="default" w:ascii="Times New Roman" w:hAnsi="Times New Roman" w:eastAsia="宋体" w:cs="Times New Roman"/>
                      <w:sz w:val="21"/>
                      <w:szCs w:val="20"/>
                      <w:lang w:eastAsia="zh-CN"/>
                    </w:rPr>
                  </w:pPr>
                  <w:r>
                    <w:rPr>
                      <w:rFonts w:hint="default" w:ascii="Times New Roman" w:hAnsi="Times New Roman" w:eastAsia="宋体" w:cs="Times New Roman"/>
                      <w:sz w:val="21"/>
                      <w:szCs w:val="20"/>
                    </w:rPr>
                    <w:t>0.0</w:t>
                  </w:r>
                  <w:r>
                    <w:rPr>
                      <w:rFonts w:hint="eastAsia" w:ascii="Times New Roman" w:hAnsi="Times New Roman" w:eastAsia="宋体" w:cs="Times New Roman"/>
                      <w:sz w:val="21"/>
                      <w:szCs w:val="20"/>
                      <w:lang w:val="en-US" w:eastAsia="zh-CN"/>
                    </w:rPr>
                    <w:t>0</w:t>
                  </w:r>
                  <w:r>
                    <w:rPr>
                      <w:rFonts w:hint="default" w:ascii="Times New Roman" w:hAnsi="Times New Roman" w:eastAsia="宋体" w:cs="Times New Roman"/>
                      <w:sz w:val="21"/>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落料、物料转运</w:t>
                  </w:r>
                </w:p>
              </w:tc>
              <w:tc>
                <w:tcPr>
                  <w:tcW w:w="541"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无组织</w:t>
                  </w:r>
                </w:p>
              </w:tc>
              <w:tc>
                <w:tcPr>
                  <w:tcW w:w="743" w:type="dxa"/>
                  <w:vAlign w:val="center"/>
                </w:tcPr>
                <w:p>
                  <w:pPr>
                    <w:adjustRightInd w:val="0"/>
                    <w:snapToGrid w:val="0"/>
                    <w:jc w:val="center"/>
                    <w:rPr>
                      <w:rFonts w:hint="default" w:ascii="Times New Roman" w:hAnsi="Times New Roman" w:eastAsia="宋体" w:cs="Times New Roman"/>
                      <w:sz w:val="21"/>
                      <w:szCs w:val="20"/>
                      <w:lang w:val="en-US" w:eastAsia="zh-CN"/>
                    </w:rPr>
                  </w:pPr>
                  <w:r>
                    <w:rPr>
                      <w:rFonts w:hint="default" w:ascii="Times New Roman" w:hAnsi="Times New Roman" w:eastAsia="宋体" w:cs="Times New Roman"/>
                      <w:sz w:val="21"/>
                      <w:szCs w:val="20"/>
                      <w:lang w:val="en-US" w:eastAsia="zh-CN"/>
                    </w:rPr>
                    <w:t>1.85</w:t>
                  </w:r>
                </w:p>
              </w:tc>
              <w:tc>
                <w:tcPr>
                  <w:tcW w:w="1096"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1026"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1958" w:type="dxa"/>
                  <w:gridSpan w:val="2"/>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原料库位于封闭车间内；减少转运过程物料下落高度；原料库安装雾化喷头</w:t>
                  </w:r>
                </w:p>
              </w:tc>
              <w:tc>
                <w:tcPr>
                  <w:tcW w:w="751" w:type="dxa"/>
                  <w:vAlign w:val="center"/>
                </w:tcPr>
                <w:p>
                  <w:pPr>
                    <w:adjustRightInd w:val="0"/>
                    <w:snapToGrid w:val="0"/>
                    <w:jc w:val="center"/>
                    <w:rPr>
                      <w:rFonts w:hint="default" w:ascii="Times New Roman" w:hAnsi="Times New Roman" w:eastAsia="宋体" w:cs="Times New Roman"/>
                      <w:sz w:val="21"/>
                      <w:szCs w:val="20"/>
                      <w:lang w:val="en-US" w:eastAsia="zh-CN"/>
                    </w:rPr>
                  </w:pPr>
                  <w:r>
                    <w:rPr>
                      <w:rFonts w:hint="default" w:ascii="Times New Roman" w:hAnsi="Times New Roman" w:eastAsia="宋体" w:cs="Times New Roman"/>
                      <w:sz w:val="21"/>
                      <w:szCs w:val="20"/>
                    </w:rPr>
                    <w:t>0.1</w:t>
                  </w:r>
                  <w:r>
                    <w:rPr>
                      <w:rFonts w:hint="default" w:ascii="Times New Roman" w:hAnsi="Times New Roman" w:eastAsia="宋体" w:cs="Times New Roman"/>
                      <w:sz w:val="21"/>
                      <w:szCs w:val="20"/>
                      <w:lang w:val="en-US" w:eastAsia="zh-CN"/>
                    </w:rPr>
                    <w:t>85</w:t>
                  </w:r>
                </w:p>
              </w:tc>
              <w:tc>
                <w:tcPr>
                  <w:tcW w:w="1027"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1090" w:type="dxa"/>
                  <w:vAlign w:val="center"/>
                </w:tcPr>
                <w:p>
                  <w:pPr>
                    <w:adjustRightInd w:val="0"/>
                    <w:snapToGrid w:val="0"/>
                    <w:jc w:val="center"/>
                    <w:rPr>
                      <w:rFonts w:hint="default" w:ascii="Times New Roman" w:hAnsi="Times New Roman" w:eastAsia="宋体" w:cs="Times New Roman"/>
                      <w:sz w:val="21"/>
                      <w:szCs w:val="20"/>
                      <w:lang w:val="en-US" w:eastAsia="zh-CN"/>
                    </w:rPr>
                  </w:pPr>
                  <w:r>
                    <w:rPr>
                      <w:rFonts w:hint="default" w:ascii="Times New Roman" w:hAnsi="Times New Roman" w:eastAsia="宋体" w:cs="Times New Roman"/>
                      <w:sz w:val="21"/>
                      <w:szCs w:val="20"/>
                    </w:rPr>
                    <w:t>0.0</w:t>
                  </w:r>
                  <w:r>
                    <w:rPr>
                      <w:rFonts w:hint="default" w:ascii="Times New Roman" w:hAnsi="Times New Roman" w:eastAsia="宋体" w:cs="Times New Roman"/>
                      <w:sz w:val="21"/>
                      <w:szCs w:val="20"/>
                      <w:lang w:val="en-US" w:eastAsia="zh-CN"/>
                    </w:rPr>
                    <w:t>78</w:t>
                  </w:r>
                </w:p>
              </w:tc>
            </w:tr>
          </w:tbl>
          <w:p>
            <w:pPr>
              <w:adjustRightInd w:val="0"/>
              <w:snapToGrid w:val="0"/>
              <w:spacing w:line="360" w:lineRule="auto"/>
              <w:ind w:firstLine="482" w:firstLineChars="200"/>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2、废水</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本项目用水包括职工生活用水、车辆冲洗用水与洒水抑尘用水。</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生活用水：项目拟用职工10人，均不在厂内食宿，用水量按50L/人·d计，则职工生活用水量为0.5m</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/d、150m</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/a。</w:t>
            </w:r>
            <w:r>
              <w:rPr>
                <w:rFonts w:hint="default" w:ascii="Times New Roman" w:hAnsi="Times New Roman" w:cs="Times New Roman" w:eastAsiaTheme="minorEastAsia"/>
                <w:sz w:val="24"/>
                <w:szCs w:val="24"/>
                <w:lang w:val="en-US" w:eastAsia="zh-CN"/>
              </w:rPr>
              <w:t>排污系数取0.8，</w:t>
            </w:r>
            <w:r>
              <w:rPr>
                <w:rFonts w:hint="default" w:ascii="Times New Roman" w:hAnsi="Times New Roman" w:cs="Times New Roman" w:eastAsiaTheme="minorEastAsia"/>
                <w:sz w:val="24"/>
                <w:szCs w:val="24"/>
              </w:rPr>
              <w:t>则产生量为0.4m</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/d、120m</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/a，建议生活污水经化粪池处理后，定期清理肥田，不外排。</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车辆清洗用水：原料与产品运输车辆进出厂区时进行车轮清洗与车身冲洗，平均每车次清洗用水0.1m</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，车辆运载能力按40t/辆计，则厂区年进出车辆约1</w:t>
            </w:r>
            <w:r>
              <w:rPr>
                <w:rFonts w:hint="default" w:ascii="Times New Roman" w:hAnsi="Times New Roman" w:cs="Times New Roman" w:eastAsiaTheme="minorEastAsia"/>
                <w:sz w:val="24"/>
                <w:szCs w:val="24"/>
                <w:lang w:val="en-US" w:eastAsia="zh-CN"/>
              </w:rPr>
              <w:t>5</w:t>
            </w:r>
            <w:r>
              <w:rPr>
                <w:rFonts w:hint="default" w:ascii="Times New Roman" w:hAnsi="Times New Roman" w:cs="Times New Roman" w:eastAsiaTheme="minorEastAsia"/>
                <w:sz w:val="24"/>
                <w:szCs w:val="24"/>
              </w:rPr>
              <w:t>000辆，则车辆清洗用水总量为</w:t>
            </w:r>
            <w:r>
              <w:rPr>
                <w:rFonts w:hint="default" w:ascii="Times New Roman" w:hAnsi="Times New Roman" w:cs="Times New Roman" w:eastAsiaTheme="minorEastAsia"/>
                <w:sz w:val="24"/>
                <w:szCs w:val="24"/>
                <w:lang w:val="en-US" w:eastAsia="zh-CN"/>
              </w:rPr>
              <w:t>5</w:t>
            </w:r>
            <w:r>
              <w:rPr>
                <w:rFonts w:hint="default" w:ascii="Times New Roman" w:hAnsi="Times New Roman" w:cs="Times New Roman" w:eastAsiaTheme="minorEastAsia"/>
                <w:sz w:val="24"/>
                <w:szCs w:val="24"/>
              </w:rPr>
              <w:t>m</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/d</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lang w:val="en-US" w:eastAsia="zh-CN"/>
              </w:rPr>
              <w:t>5</w:t>
            </w:r>
            <w:r>
              <w:rPr>
                <w:rFonts w:hint="default" w:ascii="Times New Roman" w:hAnsi="Times New Roman" w:cs="Times New Roman" w:eastAsiaTheme="minorEastAsia"/>
                <w:sz w:val="24"/>
                <w:szCs w:val="24"/>
              </w:rPr>
              <w:t>00m</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/a。车辆冲洗装置位于厂区</w:t>
            </w:r>
            <w:r>
              <w:rPr>
                <w:rFonts w:hint="default" w:ascii="Times New Roman" w:hAnsi="Times New Roman" w:cs="Times New Roman" w:eastAsiaTheme="minorEastAsia"/>
                <w:sz w:val="24"/>
                <w:szCs w:val="24"/>
                <w:lang w:val="en-US" w:eastAsia="zh-CN"/>
              </w:rPr>
              <w:t>西</w:t>
            </w:r>
            <w:r>
              <w:rPr>
                <w:rFonts w:hint="default" w:ascii="Times New Roman" w:hAnsi="Times New Roman" w:cs="Times New Roman" w:eastAsiaTheme="minorEastAsia"/>
                <w:sz w:val="24"/>
                <w:szCs w:val="24"/>
              </w:rPr>
              <w:t>北侧入口处，车辆清洗水经沉淀池处理后，循环使用，不外排。车辆冲洗循环水约18%随车辆带走，2%蒸发损耗，需定期补水，补水量约为</w:t>
            </w:r>
            <w:r>
              <w:rPr>
                <w:rFonts w:hint="eastAsia" w:ascii="Times New Roman" w:hAnsi="Times New Roman" w:cs="Times New Roman" w:eastAsiaTheme="minorEastAsia"/>
                <w:sz w:val="24"/>
                <w:szCs w:val="24"/>
                <w:lang w:val="en-US" w:eastAsia="zh-CN"/>
              </w:rPr>
              <w:t>1m</w:t>
            </w:r>
            <w:r>
              <w:rPr>
                <w:rFonts w:hint="eastAsia" w:ascii="Times New Roman" w:hAnsi="Times New Roman" w:cs="Times New Roman" w:eastAsiaTheme="minorEastAsia"/>
                <w:sz w:val="24"/>
                <w:szCs w:val="24"/>
                <w:vertAlign w:val="superscript"/>
                <w:lang w:val="en-US" w:eastAsia="zh-CN"/>
              </w:rPr>
              <w:t>3</w:t>
            </w:r>
            <w:r>
              <w:rPr>
                <w:rFonts w:hint="eastAsia" w:ascii="Times New Roman" w:hAnsi="Times New Roman" w:cs="Times New Roman" w:eastAsiaTheme="minorEastAsia"/>
                <w:sz w:val="24"/>
                <w:szCs w:val="24"/>
                <w:lang w:val="en-US" w:eastAsia="zh-CN"/>
              </w:rPr>
              <w:t>/d，</w:t>
            </w:r>
            <w:r>
              <w:rPr>
                <w:rFonts w:hint="default"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rPr>
              <w:t>00m</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/a。</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抑尘用水：本项目于出料皮带封闭廊道内设水喷淋装置、于物料库上方设雾化喷淋装置。根据建设单位提供资料，每生产1吨产品用水量约为0.02m</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/a，则项目抑尘用水量为</w:t>
            </w:r>
            <w:r>
              <w:rPr>
                <w:rFonts w:hint="default" w:ascii="Times New Roman" w:hAnsi="Times New Roman" w:cs="Times New Roman" w:eastAsiaTheme="minorEastAsia"/>
                <w:sz w:val="24"/>
                <w:szCs w:val="24"/>
                <w:lang w:val="en-US" w:eastAsia="zh-CN"/>
              </w:rPr>
              <w:t>20</w:t>
            </w:r>
            <w:r>
              <w:rPr>
                <w:rFonts w:hint="default" w:ascii="Times New Roman" w:hAnsi="Times New Roman" w:cs="Times New Roman" w:eastAsiaTheme="minorEastAsia"/>
                <w:sz w:val="24"/>
                <w:szCs w:val="24"/>
              </w:rPr>
              <w:t>m</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/d</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6</w:t>
            </w:r>
            <w:r>
              <w:rPr>
                <w:rFonts w:hint="default" w:ascii="Times New Roman" w:hAnsi="Times New Roman" w:cs="Times New Roman" w:eastAsiaTheme="minorEastAsia"/>
                <w:sz w:val="24"/>
                <w:szCs w:val="24"/>
              </w:rPr>
              <w:t>000m</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/a，抑尘用水中大部分（约79.5%，</w:t>
            </w:r>
            <w:r>
              <w:rPr>
                <w:rFonts w:hint="eastAsia" w:ascii="Times New Roman" w:hAnsi="Times New Roman" w:cs="Times New Roman" w:eastAsiaTheme="minorEastAsia"/>
                <w:sz w:val="24"/>
                <w:szCs w:val="24"/>
                <w:lang w:val="en-US" w:eastAsia="zh-CN"/>
              </w:rPr>
              <w:t>15.9</w:t>
            </w:r>
            <w:r>
              <w:rPr>
                <w:rFonts w:hint="default" w:ascii="Times New Roman" w:hAnsi="Times New Roman" w:cs="Times New Roman" w:eastAsiaTheme="minorEastAsia"/>
                <w:sz w:val="24"/>
                <w:szCs w:val="24"/>
              </w:rPr>
              <w:t>m</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/d</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4770</w:t>
            </w:r>
            <w:r>
              <w:rPr>
                <w:rFonts w:hint="default" w:ascii="Times New Roman" w:hAnsi="Times New Roman" w:cs="Times New Roman" w:eastAsiaTheme="minorEastAsia"/>
                <w:sz w:val="24"/>
                <w:szCs w:val="24"/>
              </w:rPr>
              <w:t>m</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/a）蒸损耗或随产品带走，少部分过量废水（约</w:t>
            </w:r>
            <w:r>
              <w:rPr>
                <w:rFonts w:hint="eastAsia" w:ascii="Times New Roman" w:hAnsi="Times New Roman" w:cs="Times New Roman" w:eastAsiaTheme="minorEastAsia"/>
                <w:sz w:val="24"/>
                <w:szCs w:val="24"/>
                <w:lang w:val="en-US" w:eastAsia="zh-CN"/>
              </w:rPr>
              <w:t>4.1</w:t>
            </w:r>
            <w:r>
              <w:rPr>
                <w:rFonts w:hint="default" w:ascii="Times New Roman" w:hAnsi="Times New Roman" w:cs="Times New Roman" w:eastAsiaTheme="minorEastAsia"/>
                <w:sz w:val="24"/>
                <w:szCs w:val="24"/>
              </w:rPr>
              <w:t>m</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/d</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1230</w:t>
            </w:r>
            <w:r>
              <w:rPr>
                <w:rFonts w:hint="default" w:ascii="Times New Roman" w:hAnsi="Times New Roman" w:cs="Times New Roman" w:eastAsiaTheme="minorEastAsia"/>
                <w:sz w:val="24"/>
                <w:szCs w:val="24"/>
              </w:rPr>
              <w:t>m</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/a）在厂区内行成地面漫流，需进行收集处理后回用。结合厂地地势条件，建议在厂区建设沉淀池一座，并在厂区内设置导流沟槽收集抑尘废水，抑尘废水经收集沉淀后循环使用，循环过程蒸发损耗约</w:t>
            </w:r>
            <w:r>
              <w:rPr>
                <w:rFonts w:hint="eastAsia" w:ascii="Times New Roman" w:hAnsi="Times New Roman" w:cs="Times New Roman" w:eastAsiaTheme="minorEastAsia"/>
                <w:sz w:val="24"/>
                <w:szCs w:val="24"/>
                <w:lang w:val="en-US" w:eastAsia="zh-CN"/>
              </w:rPr>
              <w:t>0.1</w:t>
            </w:r>
            <w:r>
              <w:rPr>
                <w:rFonts w:hint="default" w:ascii="Times New Roman" w:hAnsi="Times New Roman" w:cs="Times New Roman" w:eastAsiaTheme="minorEastAsia"/>
                <w:sz w:val="24"/>
                <w:szCs w:val="24"/>
              </w:rPr>
              <w:t>m</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/d</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rPr>
              <w:t>0m</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/a，需定期补充新鲜水，补水量为</w:t>
            </w:r>
            <w:r>
              <w:rPr>
                <w:rFonts w:hint="eastAsia" w:ascii="Times New Roman" w:hAnsi="Times New Roman" w:cs="Times New Roman" w:eastAsiaTheme="minorEastAsia"/>
                <w:sz w:val="24"/>
                <w:szCs w:val="24"/>
                <w:lang w:val="en-US" w:eastAsia="zh-CN"/>
              </w:rPr>
              <w:t>16</w:t>
            </w:r>
            <w:r>
              <w:rPr>
                <w:rFonts w:hint="default" w:ascii="Times New Roman" w:hAnsi="Times New Roman" w:cs="Times New Roman" w:eastAsiaTheme="minorEastAsia"/>
                <w:sz w:val="24"/>
                <w:szCs w:val="24"/>
              </w:rPr>
              <w:t>m</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/d</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4800</w:t>
            </w:r>
            <w:r>
              <w:rPr>
                <w:rFonts w:hint="default" w:ascii="Times New Roman" w:hAnsi="Times New Roman" w:cs="Times New Roman" w:eastAsiaTheme="minorEastAsia"/>
                <w:sz w:val="24"/>
                <w:szCs w:val="24"/>
              </w:rPr>
              <w:t>m</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/a。</w:t>
            </w:r>
          </w:p>
          <w:p>
            <w:pPr>
              <w:pStyle w:val="63"/>
              <w:snapToGrid w:val="0"/>
              <w:spacing w:line="360" w:lineRule="auto"/>
              <w:ind w:firstLine="480" w:firstLineChars="200"/>
              <w:jc w:val="both"/>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初期雨水：项目初期雨水中SS含量高，项目拟对初期雨水进行收集。初期雨水量按5mm径流厚度计，本项目厂区集雨面积约6000m</w:t>
            </w:r>
            <w:r>
              <w:rPr>
                <w:rFonts w:hint="default" w:ascii="Times New Roman" w:hAnsi="Times New Roman" w:cs="Times New Roman" w:eastAsiaTheme="minorEastAsia"/>
                <w:sz w:val="24"/>
                <w:szCs w:val="24"/>
                <w:vertAlign w:val="superscript"/>
              </w:rPr>
              <w:t>2</w:t>
            </w:r>
            <w:r>
              <w:rPr>
                <w:rFonts w:hint="default" w:ascii="Times New Roman" w:hAnsi="Times New Roman" w:cs="Times New Roman" w:eastAsiaTheme="minorEastAsia"/>
                <w:sz w:val="24"/>
                <w:szCs w:val="24"/>
              </w:rPr>
              <w:t>，则初期雨水量为30m</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/次，全年初期雨水收集次数按20次计，则初期雨水量为</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m</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/d</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600m</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/a。初期雨水经沉淀池处理后回用于厂区车辆冲洗用水和抑尘用水。</w:t>
            </w:r>
          </w:p>
          <w:p>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项目水平衡见</w:t>
            </w:r>
            <w:r>
              <w:rPr>
                <w:rFonts w:hint="eastAsia" w:asciiTheme="minorEastAsia" w:hAnsiTheme="minorEastAsia" w:eastAsiaTheme="minorEastAsia" w:cstheme="minorEastAsia"/>
                <w:sz w:val="24"/>
                <w:szCs w:val="24"/>
                <w:lang w:eastAsia="zh-CN"/>
              </w:rPr>
              <w:t>下图</w:t>
            </w:r>
            <w:r>
              <w:rPr>
                <w:rFonts w:hint="eastAsia" w:asciiTheme="minorEastAsia" w:hAnsiTheme="minorEastAsia" w:eastAsiaTheme="minorEastAsia" w:cstheme="minorEastAsia"/>
                <w:sz w:val="24"/>
                <w:szCs w:val="24"/>
              </w:rPr>
              <w:t>。</w:t>
            </w:r>
          </w:p>
          <w:p>
            <w:pPr>
              <w:jc w:val="center"/>
              <w:rPr>
                <w:rFonts w:hint="default" w:ascii="Times New Roman" w:hAnsi="Times New Roman" w:cs="Times New Roman"/>
              </w:rPr>
            </w:pPr>
            <w:r>
              <w:rPr>
                <w:rFonts w:hint="default" w:ascii="Times New Roman" w:hAnsi="Times New Roman" w:cs="Times New Roman"/>
              </w:rPr>
              <w:object>
                <v:shape id="_x0000_i1025" o:spt="75" type="#_x0000_t75" style="height:339.1pt;width:395.25pt;" o:ole="t" filled="f" o:preferrelative="t" stroked="f" coordsize="21600,21600">
                  <v:path/>
                  <v:fill on="f" focussize="0,0"/>
                  <v:stroke on="f"/>
                  <v:imagedata r:id="rId14" o:title=""/>
                  <o:lock v:ext="edit" aspectratio="f"/>
                  <w10:wrap type="none"/>
                  <w10:anchorlock/>
                </v:shape>
                <o:OLEObject Type="Embed" ProgID="Visio.Drawing.11" ShapeID="_x0000_i1025" DrawAspect="Content" ObjectID="_1468075725" r:id="rId13">
                  <o:LockedField>false</o:LockedField>
                </o:OLEObject>
              </w:object>
            </w:r>
          </w:p>
          <w:p>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图</w:t>
            </w:r>
            <w:r>
              <w:rPr>
                <w:rFonts w:hint="eastAsia" w:ascii="宋体" w:hAnsi="宋体" w:eastAsia="宋体" w:cs="宋体"/>
                <w:b/>
                <w:bCs/>
                <w:spacing w:val="-63"/>
                <w:sz w:val="21"/>
                <w:szCs w:val="21"/>
              </w:rPr>
              <w:t xml:space="preserve"> </w:t>
            </w:r>
            <w:r>
              <w:rPr>
                <w:rFonts w:hint="eastAsia" w:ascii="宋体" w:hAnsi="宋体" w:eastAsia="宋体" w:cs="宋体"/>
                <w:b/>
                <w:bCs/>
                <w:sz w:val="21"/>
                <w:szCs w:val="21"/>
                <w:lang w:val="en-US" w:eastAsia="zh-CN"/>
              </w:rPr>
              <w:t>5.2.</w:t>
            </w:r>
            <w:r>
              <w:rPr>
                <w:rFonts w:hint="eastAsia" w:ascii="宋体" w:hAnsi="宋体" w:cs="宋体"/>
                <w:b/>
                <w:bCs/>
                <w:sz w:val="21"/>
                <w:szCs w:val="21"/>
                <w:lang w:val="en-US" w:eastAsia="zh-CN"/>
              </w:rPr>
              <w:t>5</w:t>
            </w:r>
            <w:r>
              <w:rPr>
                <w:rFonts w:hint="eastAsia" w:ascii="宋体" w:hAnsi="宋体" w:eastAsia="宋体" w:cs="宋体"/>
                <w:b/>
                <w:bCs/>
                <w:sz w:val="21"/>
                <w:szCs w:val="21"/>
                <w:lang w:val="en-US" w:eastAsia="zh-CN"/>
              </w:rPr>
              <w:t>-</w:t>
            </w:r>
            <w:r>
              <w:rPr>
                <w:rFonts w:hint="eastAsia" w:asciiTheme="minorEastAsia" w:hAnsiTheme="minorEastAsia" w:eastAsiaTheme="minorEastAsia" w:cstheme="minorEastAsia"/>
                <w:b/>
                <w:bCs/>
                <w:sz w:val="21"/>
                <w:szCs w:val="21"/>
                <w:lang w:val="en-US" w:eastAsia="zh-CN"/>
              </w:rPr>
              <w:t>1</w:t>
            </w:r>
            <w:r>
              <w:rPr>
                <w:rFonts w:hint="eastAsia" w:asciiTheme="minorEastAsia" w:hAnsiTheme="minorEastAsia" w:eastAsiaTheme="minorEastAsia" w:cstheme="minorEastAsia"/>
                <w:b/>
                <w:bCs/>
                <w:sz w:val="21"/>
                <w:szCs w:val="21"/>
              </w:rPr>
              <w:t xml:space="preserve">    本项目水平衡图（m</w:t>
            </w:r>
            <w:r>
              <w:rPr>
                <w:rFonts w:hint="eastAsia" w:asciiTheme="minorEastAsia" w:hAnsiTheme="minorEastAsia" w:eastAsiaTheme="minorEastAsia" w:cstheme="minorEastAsia"/>
                <w:b/>
                <w:bCs/>
                <w:sz w:val="21"/>
                <w:szCs w:val="21"/>
                <w:vertAlign w:val="superscript"/>
              </w:rPr>
              <w:t>3</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b/>
                <w:bCs/>
                <w:sz w:val="21"/>
                <w:szCs w:val="21"/>
                <w:lang w:val="en-US" w:eastAsia="zh-CN"/>
              </w:rPr>
              <w:t>d</w:t>
            </w:r>
            <w:r>
              <w:rPr>
                <w:rFonts w:hint="eastAsia" w:asciiTheme="minorEastAsia" w:hAnsiTheme="minorEastAsia" w:eastAsiaTheme="minorEastAsia" w:cstheme="minorEastAsia"/>
                <w:b/>
                <w:bCs/>
                <w:sz w:val="21"/>
                <w:szCs w:val="21"/>
              </w:rPr>
              <w:t>）</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3、噪声</w:t>
            </w:r>
          </w:p>
          <w:p>
            <w:pPr>
              <w:autoSpaceDE w:val="0"/>
              <w:autoSpaceDN w:val="0"/>
              <w:adjustRightInd w:val="0"/>
              <w:snapToGrid w:val="0"/>
              <w:spacing w:line="360" w:lineRule="auto"/>
              <w:ind w:firstLine="420" w:firstLineChars="175"/>
              <w:rPr>
                <w:rFonts w:hint="default" w:ascii="Times New Roman" w:hAnsi="Times New Roman" w:cs="Times New Roman"/>
                <w:sz w:val="24"/>
                <w:szCs w:val="24"/>
              </w:rPr>
            </w:pPr>
            <w:r>
              <w:rPr>
                <w:rFonts w:hint="default" w:ascii="Times New Roman" w:hAnsi="Times New Roman" w:cs="Times New Roman"/>
                <w:sz w:val="24"/>
                <w:szCs w:val="24"/>
              </w:rPr>
              <w:t>项目噪声源为破碎、筛分等设备运行时产生的噪声，生产设备采取减震、隔声、风机采取软连接、隔声处理后，可削减15dB(A)。项目噪声源强度见表13。</w:t>
            </w:r>
          </w:p>
          <w:p>
            <w:pPr>
              <w:autoSpaceDE w:val="0"/>
              <w:autoSpaceDN w:val="0"/>
              <w:adjustRightInd w:val="0"/>
              <w:snapToGrid w:val="0"/>
              <w:spacing w:line="360" w:lineRule="auto"/>
              <w:jc w:val="center"/>
              <w:rPr>
                <w:rFonts w:hint="default" w:ascii="Times New Roman" w:hAnsi="Times New Roman" w:cs="Times New Roman"/>
                <w:b/>
                <w:bCs/>
                <w:sz w:val="21"/>
                <w:szCs w:val="21"/>
              </w:rPr>
            </w:pPr>
            <w:r>
              <w:rPr>
                <w:rFonts w:hint="eastAsia" w:ascii="宋体" w:hAnsi="宋体" w:eastAsia="宋体" w:cs="宋体"/>
                <w:sz w:val="21"/>
                <w:szCs w:val="21"/>
              </w:rPr>
              <w:t>表</w:t>
            </w:r>
            <w:r>
              <w:rPr>
                <w:rFonts w:hint="eastAsia" w:ascii="宋体" w:hAnsi="宋体" w:eastAsia="宋体" w:cs="宋体"/>
                <w:spacing w:val="-63"/>
                <w:sz w:val="21"/>
                <w:szCs w:val="21"/>
              </w:rPr>
              <w:t xml:space="preserve"> </w:t>
            </w:r>
            <w:r>
              <w:rPr>
                <w:rFonts w:hint="eastAsia" w:ascii="宋体" w:hAnsi="宋体" w:eastAsia="宋体" w:cs="宋体"/>
                <w:sz w:val="21"/>
                <w:szCs w:val="21"/>
                <w:lang w:val="en-US" w:eastAsia="zh-CN"/>
              </w:rPr>
              <w:t>5.2.</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default" w:ascii="Times New Roman" w:hAnsi="Times New Roman" w:cs="Times New Roman"/>
                <w:b/>
                <w:bCs/>
                <w:sz w:val="21"/>
                <w:szCs w:val="21"/>
              </w:rPr>
              <w:t xml:space="preserve">  主要高噪声设备噪声源    单位：dB(A)</w:t>
            </w:r>
          </w:p>
          <w:tbl>
            <w:tblPr>
              <w:tblStyle w:val="43"/>
              <w:tblW w:w="89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38"/>
              <w:gridCol w:w="887"/>
              <w:gridCol w:w="1155"/>
              <w:gridCol w:w="1615"/>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7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序号</w:t>
                  </w:r>
                </w:p>
              </w:tc>
              <w:tc>
                <w:tcPr>
                  <w:tcW w:w="1938"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设备名称</w:t>
                  </w:r>
                </w:p>
              </w:tc>
              <w:tc>
                <w:tcPr>
                  <w:tcW w:w="887"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数量</w:t>
                  </w:r>
                </w:p>
              </w:tc>
              <w:tc>
                <w:tcPr>
                  <w:tcW w:w="115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噪声源强</w:t>
                  </w:r>
                </w:p>
              </w:tc>
              <w:tc>
                <w:tcPr>
                  <w:tcW w:w="161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噪声治理措施</w:t>
                  </w:r>
                </w:p>
              </w:tc>
              <w:tc>
                <w:tcPr>
                  <w:tcW w:w="2481"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车间外1m处噪声源强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7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1</w:t>
                  </w:r>
                </w:p>
              </w:tc>
              <w:tc>
                <w:tcPr>
                  <w:tcW w:w="1938"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振动给料机</w:t>
                  </w:r>
                </w:p>
              </w:tc>
              <w:tc>
                <w:tcPr>
                  <w:tcW w:w="887"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1台</w:t>
                  </w:r>
                </w:p>
              </w:tc>
              <w:tc>
                <w:tcPr>
                  <w:tcW w:w="115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85</w:t>
                  </w:r>
                </w:p>
              </w:tc>
              <w:tc>
                <w:tcPr>
                  <w:tcW w:w="1615" w:type="dxa"/>
                  <w:vMerge w:val="restart"/>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基础减振、厂房隔声、风机设软连接等</w:t>
                  </w:r>
                </w:p>
              </w:tc>
              <w:tc>
                <w:tcPr>
                  <w:tcW w:w="2481"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7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2</w:t>
                  </w:r>
                </w:p>
              </w:tc>
              <w:tc>
                <w:tcPr>
                  <w:tcW w:w="1938"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颚式破碎机</w:t>
                  </w:r>
                </w:p>
              </w:tc>
              <w:tc>
                <w:tcPr>
                  <w:tcW w:w="887"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1台</w:t>
                  </w:r>
                </w:p>
              </w:tc>
              <w:tc>
                <w:tcPr>
                  <w:tcW w:w="115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90</w:t>
                  </w:r>
                </w:p>
              </w:tc>
              <w:tc>
                <w:tcPr>
                  <w:tcW w:w="1615"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2481"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7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3</w:t>
                  </w:r>
                </w:p>
              </w:tc>
              <w:tc>
                <w:tcPr>
                  <w:tcW w:w="1938"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反击式破碎机</w:t>
                  </w:r>
                </w:p>
              </w:tc>
              <w:tc>
                <w:tcPr>
                  <w:tcW w:w="887"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1台</w:t>
                  </w:r>
                </w:p>
              </w:tc>
              <w:tc>
                <w:tcPr>
                  <w:tcW w:w="115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90</w:t>
                  </w:r>
                </w:p>
              </w:tc>
              <w:tc>
                <w:tcPr>
                  <w:tcW w:w="1615"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2481"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7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4</w:t>
                  </w:r>
                </w:p>
              </w:tc>
              <w:tc>
                <w:tcPr>
                  <w:tcW w:w="1938"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振动筛</w:t>
                  </w:r>
                </w:p>
              </w:tc>
              <w:tc>
                <w:tcPr>
                  <w:tcW w:w="887"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1台</w:t>
                  </w:r>
                </w:p>
              </w:tc>
              <w:tc>
                <w:tcPr>
                  <w:tcW w:w="115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85</w:t>
                  </w:r>
                </w:p>
              </w:tc>
              <w:tc>
                <w:tcPr>
                  <w:tcW w:w="1615"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2481"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7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5</w:t>
                  </w:r>
                </w:p>
              </w:tc>
              <w:tc>
                <w:tcPr>
                  <w:tcW w:w="1938"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风机</w:t>
                  </w:r>
                </w:p>
              </w:tc>
              <w:tc>
                <w:tcPr>
                  <w:tcW w:w="887"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2台</w:t>
                  </w:r>
                </w:p>
              </w:tc>
              <w:tc>
                <w:tcPr>
                  <w:tcW w:w="115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85</w:t>
                  </w:r>
                </w:p>
              </w:tc>
              <w:tc>
                <w:tcPr>
                  <w:tcW w:w="1615"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2481"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7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6</w:t>
                  </w:r>
                </w:p>
              </w:tc>
              <w:tc>
                <w:tcPr>
                  <w:tcW w:w="1938"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滚筒筛</w:t>
                  </w:r>
                </w:p>
              </w:tc>
              <w:tc>
                <w:tcPr>
                  <w:tcW w:w="887"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1台</w:t>
                  </w:r>
                </w:p>
              </w:tc>
              <w:tc>
                <w:tcPr>
                  <w:tcW w:w="115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75</w:t>
                  </w:r>
                </w:p>
              </w:tc>
              <w:tc>
                <w:tcPr>
                  <w:tcW w:w="1615"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2481"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75" w:type="dxa"/>
                  <w:vAlign w:val="center"/>
                </w:tcPr>
                <w:p>
                  <w:pPr>
                    <w:adjustRightInd w:val="0"/>
                    <w:snapToGrid w:val="0"/>
                    <w:jc w:val="center"/>
                    <w:rPr>
                      <w:rFonts w:hint="default" w:ascii="Times New Roman" w:hAnsi="Times New Roman" w:eastAsia="宋体" w:cs="Times New Roman"/>
                      <w:sz w:val="21"/>
                      <w:szCs w:val="20"/>
                      <w:lang w:eastAsia="zh-CN"/>
                    </w:rPr>
                  </w:pPr>
                  <w:r>
                    <w:rPr>
                      <w:rFonts w:hint="default" w:ascii="Times New Roman" w:hAnsi="Times New Roman" w:eastAsia="宋体" w:cs="Times New Roman"/>
                      <w:sz w:val="21"/>
                      <w:szCs w:val="20"/>
                      <w:lang w:val="en-US" w:eastAsia="zh-CN"/>
                    </w:rPr>
                    <w:t>7</w:t>
                  </w:r>
                </w:p>
              </w:tc>
              <w:tc>
                <w:tcPr>
                  <w:tcW w:w="1938"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水泵</w:t>
                  </w:r>
                </w:p>
              </w:tc>
              <w:tc>
                <w:tcPr>
                  <w:tcW w:w="887"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lang w:val="en-US" w:eastAsia="zh-CN"/>
                    </w:rPr>
                    <w:t>1</w:t>
                  </w:r>
                  <w:r>
                    <w:rPr>
                      <w:rFonts w:hint="default" w:ascii="Times New Roman" w:hAnsi="Times New Roman" w:eastAsia="宋体" w:cs="Times New Roman"/>
                      <w:sz w:val="21"/>
                      <w:szCs w:val="20"/>
                    </w:rPr>
                    <w:t>台</w:t>
                  </w:r>
                </w:p>
              </w:tc>
              <w:tc>
                <w:tcPr>
                  <w:tcW w:w="115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75</w:t>
                  </w:r>
                </w:p>
              </w:tc>
              <w:tc>
                <w:tcPr>
                  <w:tcW w:w="1615"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2481"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60</w:t>
                  </w:r>
                </w:p>
              </w:tc>
            </w:tr>
          </w:tbl>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此外，原料及产品运输过程，运输车辆交通噪声将对沿线村镇敏感点产生影响，车辆通过上述村镇时减速慢行禁止鸣笛，可降低运输车辆的声环境影响。</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4、固废</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本项目固废包括主要为除尘器收集的粉尘、循环沉淀水池沉淀泥沙、职工生活垃圾以及生产设备废矿物油。</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循环沉淀水池沉淀泥沙：根据企业提供的数据，循环沉淀水池沉淀泥沙产生量约为</w:t>
            </w:r>
            <w:r>
              <w:rPr>
                <w:rFonts w:hint="default" w:ascii="Times New Roman" w:hAnsi="Times New Roman" w:cs="Times New Roman" w:eastAsiaTheme="minorEastAsia"/>
                <w:sz w:val="24"/>
                <w:szCs w:val="24"/>
                <w:lang w:val="en-US" w:eastAsia="zh-CN"/>
              </w:rPr>
              <w:t>400</w:t>
            </w:r>
            <w:r>
              <w:rPr>
                <w:rFonts w:hint="default" w:ascii="Times New Roman" w:hAnsi="Times New Roman" w:cs="Times New Roman" w:eastAsiaTheme="minorEastAsia"/>
                <w:sz w:val="24"/>
                <w:szCs w:val="24"/>
              </w:rPr>
              <w:t>t/a，其主要成分是</w:t>
            </w:r>
            <w:r>
              <w:rPr>
                <w:rFonts w:hint="default" w:ascii="Times New Roman" w:hAnsi="Times New Roman" w:cs="Times New Roman" w:eastAsiaTheme="minorEastAsia"/>
                <w:sz w:val="24"/>
                <w:szCs w:val="24"/>
                <w:lang w:eastAsia="zh-CN"/>
              </w:rPr>
              <w:t>石沫</w:t>
            </w:r>
            <w:r>
              <w:rPr>
                <w:rFonts w:hint="default" w:ascii="Times New Roman" w:hAnsi="Times New Roman" w:cs="Times New Roman" w:eastAsiaTheme="minorEastAsia"/>
                <w:sz w:val="24"/>
                <w:szCs w:val="24"/>
              </w:rPr>
              <w:t>和泥土。池沉淀泥沙需定期清理，建议设置10m</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泥沙储存池进行自然干化，干化后泥沙可外售作为路基或建筑填方使用，清理过程带出的水回流到循环沉淀池。</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除尘器收集的粉尘：除尘器收集的粉尘产生量为</w:t>
            </w:r>
            <w:r>
              <w:rPr>
                <w:rFonts w:hint="default" w:ascii="Times New Roman" w:hAnsi="Times New Roman" w:cs="Times New Roman" w:eastAsiaTheme="minorEastAsia"/>
                <w:sz w:val="24"/>
                <w:szCs w:val="24"/>
                <w:lang w:val="en-US" w:eastAsia="zh-CN"/>
              </w:rPr>
              <w:t>336.825</w:t>
            </w:r>
            <w:r>
              <w:rPr>
                <w:rFonts w:hint="default" w:ascii="Times New Roman" w:hAnsi="Times New Roman" w:cs="Times New Roman" w:eastAsiaTheme="minorEastAsia"/>
                <w:sz w:val="24"/>
                <w:szCs w:val="24"/>
              </w:rPr>
              <w:t>t/a，收集后直接作为建筑用粉料外售。上述粉尘可不需要修复和加工，即可直接外售，不作为固体废物管理。</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职工生活垃圾：项目拟用职工10人，垃圾产生量按每人每天平均0.</w:t>
            </w:r>
            <w:r>
              <w:rPr>
                <w:rFonts w:hint="default" w:ascii="Times New Roman" w:hAnsi="Times New Roman" w:cs="Times New Roman" w:eastAsiaTheme="minorEastAsia"/>
                <w:sz w:val="24"/>
                <w:szCs w:val="24"/>
                <w:lang w:val="en-US" w:eastAsia="zh-CN"/>
              </w:rPr>
              <w:t>5</w:t>
            </w:r>
            <w:r>
              <w:rPr>
                <w:rFonts w:hint="default" w:ascii="Times New Roman" w:hAnsi="Times New Roman" w:cs="Times New Roman" w:eastAsiaTheme="minorEastAsia"/>
                <w:sz w:val="24"/>
                <w:szCs w:val="24"/>
              </w:rPr>
              <w:t>kg计，年工作300天，则生活垃圾产生量为</w:t>
            </w:r>
            <w:r>
              <w:rPr>
                <w:rFonts w:hint="default" w:ascii="Times New Roman" w:hAnsi="Times New Roman" w:cs="Times New Roman" w:eastAsiaTheme="minorEastAsia"/>
                <w:sz w:val="24"/>
                <w:szCs w:val="24"/>
                <w:lang w:val="en-US" w:eastAsia="zh-CN"/>
              </w:rPr>
              <w:t>1.5</w:t>
            </w:r>
            <w:r>
              <w:rPr>
                <w:rFonts w:hint="default" w:ascii="Times New Roman" w:hAnsi="Times New Roman" w:cs="Times New Roman" w:eastAsiaTheme="minorEastAsia"/>
                <w:sz w:val="24"/>
                <w:szCs w:val="24"/>
              </w:rPr>
              <w:t>t/a，收集后送至当地环卫部门集中处理。</w:t>
            </w:r>
          </w:p>
          <w:p>
            <w:pPr>
              <w:adjustRightInd w:val="0"/>
              <w:snapToGrid w:val="0"/>
              <w:spacing w:line="360" w:lineRule="auto"/>
              <w:ind w:firstLine="480" w:firstLineChars="200"/>
              <w:rPr>
                <w:rFonts w:hint="eastAsia"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rPr>
              <w:t>生产设备废矿物油：设备液压部件定期（每2年）更换液压油产生废矿物油，产生量为0.05t/a。此外，生产设备需使用润滑油进行设备保养润滑，随着润滑油的损耗需定期添加新鲜润滑油。为防止机械设备润滑油的跑冒滴漏，于机械设备下方设置漏斗状托盘，以承接设备滴漏的润滑油（即废润滑油产生量为0.005t/a），托盘承接的废润滑油定期清理收集。废液压油与废润滑油均属废矿物油，为危险废物（HW08 废矿物油与含矿物油废物），收集后应暂存于危废暂存间，定期交由有资质单位处理</w:t>
            </w:r>
            <w:r>
              <w:rPr>
                <w:rFonts w:hint="eastAsia" w:cs="Times New Roman" w:eastAsiaTheme="minorEastAsia"/>
                <w:sz w:val="24"/>
                <w:szCs w:val="24"/>
                <w:lang w:eastAsia="zh-CN"/>
              </w:rPr>
              <w:t>。</w:t>
            </w:r>
          </w:p>
          <w:p>
            <w:pPr>
              <w:tabs>
                <w:tab w:val="left" w:pos="1280"/>
              </w:tabs>
              <w:ind w:firstLine="562" w:firstLineChars="200"/>
              <w:textAlignment w:val="baseline"/>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w:t>
            </w:r>
            <w:r>
              <w:rPr>
                <w:rFonts w:hint="eastAsia" w:cs="Times New Roman"/>
                <w:b/>
                <w:bCs/>
                <w:color w:val="auto"/>
                <w:sz w:val="28"/>
                <w:szCs w:val="28"/>
                <w:lang w:eastAsia="zh-CN"/>
              </w:rPr>
              <w:t>六</w:t>
            </w:r>
            <w:r>
              <w:rPr>
                <w:rFonts w:hint="default" w:ascii="Times New Roman" w:hAnsi="Times New Roman" w:eastAsia="宋体" w:cs="Times New Roman"/>
                <w:b/>
                <w:bCs/>
                <w:color w:val="auto"/>
                <w:sz w:val="28"/>
                <w:szCs w:val="28"/>
                <w:lang w:eastAsia="zh-CN"/>
              </w:rPr>
              <w:t>）沥青搅拌站</w:t>
            </w:r>
          </w:p>
          <w:p>
            <w:pPr>
              <w:pStyle w:val="24"/>
              <w:ind w:firstLine="0" w:firstLineChars="0"/>
              <w:rPr>
                <w:rFonts w:hint="default" w:ascii="Times New Roman" w:hAnsi="Times New Roman" w:eastAsia="宋体" w:cs="Times New Roman"/>
                <w:b/>
                <w:color w:val="auto"/>
                <w:sz w:val="24"/>
              </w:rPr>
            </w:pPr>
            <w:r>
              <w:rPr>
                <w:rFonts w:hint="eastAsia" w:ascii="Times New Roman" w:hAnsi="Times New Roman" w:cs="Times New Roman"/>
                <w:b/>
                <w:color w:val="auto"/>
                <w:sz w:val="24"/>
                <w:lang w:val="en-US" w:eastAsia="zh-CN"/>
              </w:rPr>
              <w:t>1.</w:t>
            </w:r>
            <w:r>
              <w:rPr>
                <w:rFonts w:hint="default" w:ascii="Times New Roman" w:hAnsi="Times New Roman" w:eastAsia="宋体" w:cs="Times New Roman"/>
                <w:b/>
                <w:color w:val="auto"/>
                <w:sz w:val="24"/>
              </w:rPr>
              <w:t>主要污染工序：</w:t>
            </w:r>
          </w:p>
          <w:p>
            <w:pPr>
              <w:pStyle w:val="24"/>
              <w:ind w:firstLine="480"/>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4"/>
              </w:rPr>
              <w:t>本项目产生的环境影响主要为：沥青烟气、粉尘，职工生活废水、生活垃圾等，详见</w:t>
            </w:r>
            <w:r>
              <w:rPr>
                <w:rFonts w:hint="eastAsia" w:ascii="Times New Roman" w:hAnsi="Times New Roman" w:cs="Times New Roman"/>
                <w:color w:val="auto"/>
                <w:sz w:val="24"/>
                <w:lang w:eastAsia="zh-CN"/>
              </w:rPr>
              <w:t>下表</w:t>
            </w:r>
            <w:r>
              <w:rPr>
                <w:rFonts w:hint="default" w:ascii="Times New Roman" w:hAnsi="Times New Roman" w:eastAsia="宋体" w:cs="Times New Roman"/>
                <w:color w:val="auto"/>
                <w:sz w:val="24"/>
              </w:rPr>
              <w:t>。</w:t>
            </w:r>
          </w:p>
          <w:p>
            <w:pPr>
              <w:spacing w:line="24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eastAsia" w:ascii="宋体" w:hAnsi="宋体" w:eastAsia="宋体" w:cs="宋体"/>
                <w:b/>
                <w:bCs/>
                <w:spacing w:val="-63"/>
                <w:sz w:val="21"/>
                <w:szCs w:val="21"/>
              </w:rPr>
              <w:t xml:space="preserve"> </w:t>
            </w:r>
            <w:r>
              <w:rPr>
                <w:rFonts w:hint="eastAsia" w:ascii="宋体" w:hAnsi="宋体" w:eastAsia="宋体" w:cs="宋体"/>
                <w:b/>
                <w:bCs/>
                <w:sz w:val="21"/>
                <w:szCs w:val="21"/>
                <w:lang w:val="en-US" w:eastAsia="zh-CN"/>
              </w:rPr>
              <w:t>5.2.</w:t>
            </w:r>
            <w:r>
              <w:rPr>
                <w:rFonts w:hint="eastAsia" w:ascii="宋体" w:hAnsi="宋体" w:cs="宋体"/>
                <w:b/>
                <w:bCs/>
                <w:sz w:val="21"/>
                <w:szCs w:val="21"/>
                <w:lang w:val="en-US" w:eastAsia="zh-CN"/>
              </w:rPr>
              <w:t>6</w:t>
            </w:r>
            <w:r>
              <w:rPr>
                <w:rFonts w:hint="eastAsia" w:ascii="宋体" w:hAnsi="宋体" w:eastAsia="宋体" w:cs="宋体"/>
                <w:b/>
                <w:bCs/>
                <w:sz w:val="21"/>
                <w:szCs w:val="21"/>
                <w:lang w:val="en-US" w:eastAsia="zh-CN"/>
              </w:rPr>
              <w:t>-</w:t>
            </w:r>
            <w:r>
              <w:rPr>
                <w:rFonts w:hint="default" w:ascii="Times New Roman" w:hAnsi="Times New Roman" w:eastAsia="宋体" w:cs="Times New Roman"/>
                <w:b/>
                <w:bCs/>
                <w:color w:val="auto"/>
                <w:sz w:val="21"/>
                <w:szCs w:val="21"/>
              </w:rPr>
              <w:t>-1  建设项目主要污染因子</w:t>
            </w:r>
          </w:p>
          <w:tbl>
            <w:tblPr>
              <w:tblStyle w:val="43"/>
              <w:tblW w:w="9148"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
            <w:tblGrid>
              <w:gridCol w:w="1263"/>
              <w:gridCol w:w="2103"/>
              <w:gridCol w:w="4048"/>
              <w:gridCol w:w="173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317" w:hRule="atLeast"/>
                <w:jc w:val="center"/>
              </w:trPr>
              <w:tc>
                <w:tcPr>
                  <w:tcW w:w="1263"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污染类别</w:t>
                  </w:r>
                </w:p>
              </w:tc>
              <w:tc>
                <w:tcPr>
                  <w:tcW w:w="2103"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来源</w:t>
                  </w:r>
                </w:p>
              </w:tc>
              <w:tc>
                <w:tcPr>
                  <w:tcW w:w="4048"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主要污染物</w:t>
                  </w:r>
                </w:p>
              </w:tc>
              <w:tc>
                <w:tcPr>
                  <w:tcW w:w="1734"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排放特征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317" w:hRule="atLeast"/>
                <w:jc w:val="center"/>
              </w:trPr>
              <w:tc>
                <w:tcPr>
                  <w:tcW w:w="1263" w:type="dxa"/>
                  <w:vMerge w:val="restart"/>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2103"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筛分</w:t>
                  </w:r>
                  <w:r>
                    <w:rPr>
                      <w:rStyle w:val="56"/>
                      <w:rFonts w:hint="default" w:ascii="Times New Roman" w:hAnsi="Times New Roman" w:eastAsia="宋体" w:cs="Times New Roman"/>
                      <w:color w:val="auto"/>
                      <w:lang w:eastAsia="zh-CN"/>
                    </w:rPr>
                    <w:t>、搅拌</w:t>
                  </w:r>
                </w:p>
              </w:tc>
              <w:tc>
                <w:tcPr>
                  <w:tcW w:w="4048"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颗粒物</w:t>
                  </w:r>
                </w:p>
              </w:tc>
              <w:tc>
                <w:tcPr>
                  <w:tcW w:w="1734"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有组织、无组织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317" w:hRule="atLeast"/>
                <w:jc w:val="center"/>
              </w:trPr>
              <w:tc>
                <w:tcPr>
                  <w:tcW w:w="1263" w:type="dxa"/>
                  <w:vMerge w:val="continue"/>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sz w:val="21"/>
                      <w:szCs w:val="21"/>
                    </w:rPr>
                  </w:pPr>
                </w:p>
              </w:tc>
              <w:tc>
                <w:tcPr>
                  <w:tcW w:w="2103"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搅拌</w:t>
                  </w:r>
                </w:p>
              </w:tc>
              <w:tc>
                <w:tcPr>
                  <w:tcW w:w="4048"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沥青烟、苯并（a）芘</w:t>
                  </w:r>
                </w:p>
              </w:tc>
              <w:tc>
                <w:tcPr>
                  <w:tcW w:w="1734"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有组织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317" w:hRule="atLeast"/>
                <w:jc w:val="center"/>
              </w:trPr>
              <w:tc>
                <w:tcPr>
                  <w:tcW w:w="1263" w:type="dxa"/>
                  <w:vMerge w:val="continue"/>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sz w:val="21"/>
                      <w:szCs w:val="21"/>
                    </w:rPr>
                  </w:pPr>
                </w:p>
              </w:tc>
              <w:tc>
                <w:tcPr>
                  <w:tcW w:w="2103"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搅拌</w:t>
                  </w:r>
                </w:p>
              </w:tc>
              <w:tc>
                <w:tcPr>
                  <w:tcW w:w="4048"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臭气浓度</w:t>
                  </w:r>
                </w:p>
              </w:tc>
              <w:tc>
                <w:tcPr>
                  <w:tcW w:w="1734"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无组织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317" w:hRule="atLeast"/>
                <w:jc w:val="center"/>
              </w:trPr>
              <w:tc>
                <w:tcPr>
                  <w:tcW w:w="1263" w:type="dxa"/>
                  <w:vMerge w:val="continue"/>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sz w:val="21"/>
                      <w:szCs w:val="21"/>
                    </w:rPr>
                  </w:pPr>
                </w:p>
              </w:tc>
              <w:tc>
                <w:tcPr>
                  <w:tcW w:w="2103"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烘干</w:t>
                  </w:r>
                </w:p>
              </w:tc>
              <w:tc>
                <w:tcPr>
                  <w:tcW w:w="4048"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颗粒物、SO</w:t>
                  </w:r>
                  <w:r>
                    <w:rPr>
                      <w:rFonts w:hint="default" w:ascii="Times New Roman" w:hAnsi="Times New Roman" w:eastAsia="宋体" w:cs="Times New Roman"/>
                      <w:color w:val="auto"/>
                      <w:szCs w:val="21"/>
                      <w:vertAlign w:val="subscript"/>
                    </w:rPr>
                    <w:t>2</w:t>
                  </w:r>
                  <w:r>
                    <w:rPr>
                      <w:rFonts w:hint="default" w:ascii="Times New Roman" w:hAnsi="Times New Roman" w:eastAsia="宋体" w:cs="Times New Roman"/>
                      <w:color w:val="auto"/>
                      <w:szCs w:val="21"/>
                    </w:rPr>
                    <w:t>、NO</w:t>
                  </w:r>
                  <w:r>
                    <w:rPr>
                      <w:rFonts w:hint="default" w:ascii="Times New Roman" w:hAnsi="Times New Roman" w:eastAsia="宋体" w:cs="Times New Roman"/>
                      <w:color w:val="auto"/>
                      <w:szCs w:val="21"/>
                      <w:vertAlign w:val="subscript"/>
                    </w:rPr>
                    <w:t>X</w:t>
                  </w:r>
                </w:p>
              </w:tc>
              <w:tc>
                <w:tcPr>
                  <w:tcW w:w="1734"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有组织、无组织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317" w:hRule="atLeast"/>
                <w:jc w:val="center"/>
              </w:trPr>
              <w:tc>
                <w:tcPr>
                  <w:tcW w:w="1263" w:type="dxa"/>
                  <w:vMerge w:val="continue"/>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color w:val="auto"/>
                      <w:sz w:val="21"/>
                      <w:szCs w:val="21"/>
                    </w:rPr>
                  </w:pPr>
                </w:p>
              </w:tc>
              <w:tc>
                <w:tcPr>
                  <w:tcW w:w="2103"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燃油</w:t>
                  </w:r>
                  <w:r>
                    <w:rPr>
                      <w:rFonts w:hint="default" w:ascii="Times New Roman" w:hAnsi="Times New Roman" w:eastAsia="宋体" w:cs="Times New Roman"/>
                      <w:color w:val="auto"/>
                      <w:szCs w:val="21"/>
                    </w:rPr>
                    <w:t>锅炉</w:t>
                  </w:r>
                </w:p>
              </w:tc>
              <w:tc>
                <w:tcPr>
                  <w:tcW w:w="4048"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烟尘、SO</w:t>
                  </w:r>
                  <w:r>
                    <w:rPr>
                      <w:rFonts w:hint="default" w:ascii="Times New Roman" w:hAnsi="Times New Roman" w:eastAsia="宋体" w:cs="Times New Roman"/>
                      <w:color w:val="auto"/>
                      <w:szCs w:val="21"/>
                      <w:vertAlign w:val="subscript"/>
                    </w:rPr>
                    <w:t>2</w:t>
                  </w:r>
                  <w:r>
                    <w:rPr>
                      <w:rFonts w:hint="default" w:ascii="Times New Roman" w:hAnsi="Times New Roman" w:eastAsia="宋体" w:cs="Times New Roman"/>
                      <w:color w:val="auto"/>
                      <w:szCs w:val="21"/>
                    </w:rPr>
                    <w:t>、NO</w:t>
                  </w:r>
                  <w:r>
                    <w:rPr>
                      <w:rFonts w:hint="default" w:ascii="Times New Roman" w:hAnsi="Times New Roman" w:eastAsia="宋体" w:cs="Times New Roman"/>
                      <w:color w:val="auto"/>
                      <w:szCs w:val="21"/>
                      <w:vertAlign w:val="subscript"/>
                    </w:rPr>
                    <w:t>X</w:t>
                  </w:r>
                </w:p>
              </w:tc>
              <w:tc>
                <w:tcPr>
                  <w:tcW w:w="1734"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有组织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317" w:hRule="atLeast"/>
                <w:jc w:val="center"/>
              </w:trPr>
              <w:tc>
                <w:tcPr>
                  <w:tcW w:w="1263"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废水</w:t>
                  </w:r>
                </w:p>
              </w:tc>
              <w:tc>
                <w:tcPr>
                  <w:tcW w:w="2103"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职工生活</w:t>
                  </w:r>
                </w:p>
              </w:tc>
              <w:tc>
                <w:tcPr>
                  <w:tcW w:w="4048"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COD</w:t>
                  </w:r>
                  <w:r>
                    <w:rPr>
                      <w:rFonts w:hint="default" w:ascii="Times New Roman" w:hAnsi="Times New Roman" w:eastAsia="宋体" w:cs="Times New Roman"/>
                      <w:color w:val="auto"/>
                      <w:szCs w:val="21"/>
                      <w:vertAlign w:val="subscript"/>
                    </w:rPr>
                    <w:t>cr</w:t>
                  </w:r>
                  <w:r>
                    <w:rPr>
                      <w:rFonts w:hint="default" w:ascii="Times New Roman" w:hAnsi="Times New Roman" w:eastAsia="宋体" w:cs="Times New Roman"/>
                      <w:color w:val="auto"/>
                      <w:szCs w:val="21"/>
                    </w:rPr>
                    <w:t>、氨氮等</w:t>
                  </w:r>
                </w:p>
              </w:tc>
              <w:tc>
                <w:tcPr>
                  <w:tcW w:w="1734"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间歇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317" w:hRule="atLeast"/>
                <w:jc w:val="center"/>
              </w:trPr>
              <w:tc>
                <w:tcPr>
                  <w:tcW w:w="1263"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噪声</w:t>
                  </w:r>
                </w:p>
              </w:tc>
              <w:tc>
                <w:tcPr>
                  <w:tcW w:w="6151" w:type="dxa"/>
                  <w:gridSpan w:val="2"/>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rPr>
                    <w:t>设备加工等噪声</w:t>
                  </w:r>
                </w:p>
              </w:tc>
              <w:tc>
                <w:tcPr>
                  <w:tcW w:w="1734"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不规则</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317" w:hRule="atLeast"/>
                <w:jc w:val="center"/>
              </w:trPr>
              <w:tc>
                <w:tcPr>
                  <w:tcW w:w="1263" w:type="dxa"/>
                  <w:vMerge w:val="restart"/>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固废</w:t>
                  </w:r>
                </w:p>
              </w:tc>
              <w:tc>
                <w:tcPr>
                  <w:tcW w:w="2103"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输送</w:t>
                  </w:r>
                </w:p>
              </w:tc>
              <w:tc>
                <w:tcPr>
                  <w:tcW w:w="4048"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掉落沥青混凝土</w:t>
                  </w:r>
                </w:p>
              </w:tc>
              <w:tc>
                <w:tcPr>
                  <w:tcW w:w="1734"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不排放</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317" w:hRule="atLeast"/>
                <w:jc w:val="center"/>
              </w:trPr>
              <w:tc>
                <w:tcPr>
                  <w:tcW w:w="1263" w:type="dxa"/>
                  <w:vMerge w:val="continue"/>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rPr>
                  </w:pPr>
                </w:p>
              </w:tc>
              <w:tc>
                <w:tcPr>
                  <w:tcW w:w="2103"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职工生活</w:t>
                  </w:r>
                </w:p>
              </w:tc>
              <w:tc>
                <w:tcPr>
                  <w:tcW w:w="4048"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生活垃圾</w:t>
                  </w:r>
                </w:p>
              </w:tc>
              <w:tc>
                <w:tcPr>
                  <w:tcW w:w="1734"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不排放</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332" w:hRule="atLeast"/>
                <w:jc w:val="center"/>
              </w:trPr>
              <w:tc>
                <w:tcPr>
                  <w:tcW w:w="1263" w:type="dxa"/>
                  <w:vMerge w:val="continue"/>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rPr>
                  </w:pPr>
                </w:p>
              </w:tc>
              <w:tc>
                <w:tcPr>
                  <w:tcW w:w="2103"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废气处理</w:t>
                  </w:r>
                </w:p>
              </w:tc>
              <w:tc>
                <w:tcPr>
                  <w:tcW w:w="4048"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活性炭、废催化剂、除尘灰</w:t>
                  </w:r>
                </w:p>
              </w:tc>
              <w:tc>
                <w:tcPr>
                  <w:tcW w:w="1734"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不排放</w:t>
                  </w:r>
                </w:p>
              </w:tc>
            </w:tr>
          </w:tbl>
          <w:p>
            <w:pPr>
              <w:pStyle w:val="24"/>
              <w:ind w:firstLine="0" w:firstLineChars="0"/>
              <w:rPr>
                <w:rFonts w:hint="default" w:ascii="Times New Roman" w:hAnsi="Times New Roman" w:eastAsia="宋体" w:cs="Times New Roman"/>
                <w:b/>
                <w:color w:val="auto"/>
                <w:sz w:val="24"/>
              </w:rPr>
            </w:pPr>
            <w:r>
              <w:rPr>
                <w:rFonts w:hint="eastAsia" w:ascii="Times New Roman" w:hAnsi="Times New Roman" w:cs="Times New Roman"/>
                <w:b/>
                <w:color w:val="auto"/>
                <w:sz w:val="24"/>
                <w:lang w:val="en-US" w:eastAsia="zh-CN"/>
              </w:rPr>
              <w:t>2.</w:t>
            </w:r>
            <w:r>
              <w:rPr>
                <w:rFonts w:hint="default" w:ascii="Times New Roman" w:hAnsi="Times New Roman" w:eastAsia="宋体" w:cs="Times New Roman"/>
                <w:b/>
                <w:color w:val="auto"/>
                <w:sz w:val="24"/>
              </w:rPr>
              <w:t>污染源源强分析</w:t>
            </w:r>
          </w:p>
          <w:p>
            <w:pPr>
              <w:pStyle w:val="24"/>
              <w:ind w:firstLine="0" w:firstLineChars="0"/>
              <w:rPr>
                <w:rFonts w:hint="default" w:ascii="Times New Roman" w:hAnsi="Times New Roman" w:eastAsia="宋体" w:cs="Times New Roman"/>
                <w:b/>
                <w:color w:val="auto"/>
                <w:sz w:val="24"/>
              </w:rPr>
            </w:pPr>
            <w:r>
              <w:rPr>
                <w:rFonts w:hint="eastAsia" w:ascii="Times New Roman" w:hAnsi="Times New Roman" w:cs="Times New Roman"/>
                <w:b/>
                <w:color w:val="auto"/>
                <w:sz w:val="24"/>
                <w:lang w:val="en-US" w:eastAsia="zh-CN"/>
              </w:rPr>
              <w:t>2.1</w:t>
            </w:r>
            <w:r>
              <w:rPr>
                <w:rFonts w:hint="default" w:ascii="Times New Roman" w:hAnsi="Times New Roman" w:eastAsia="宋体" w:cs="Times New Roman"/>
                <w:b/>
                <w:color w:val="auto"/>
                <w:sz w:val="24"/>
              </w:rPr>
              <w:t>废气污染源源强分析</w:t>
            </w:r>
          </w:p>
          <w:p>
            <w:pPr>
              <w:pStyle w:val="21"/>
              <w:bidi w:val="0"/>
              <w:rPr>
                <w:rFonts w:hint="default"/>
                <w:sz w:val="24"/>
                <w:szCs w:val="22"/>
              </w:rPr>
            </w:pPr>
            <w:r>
              <w:rPr>
                <w:rFonts w:hint="default"/>
                <w:sz w:val="24"/>
                <w:szCs w:val="22"/>
              </w:rPr>
              <w:t>（1）沥青烟气</w:t>
            </w:r>
          </w:p>
          <w:p>
            <w:pPr>
              <w:pStyle w:val="21"/>
              <w:bidi w:val="0"/>
              <w:rPr>
                <w:rFonts w:hint="default"/>
                <w:sz w:val="24"/>
                <w:szCs w:val="22"/>
              </w:rPr>
            </w:pPr>
            <w:r>
              <w:rPr>
                <w:rFonts w:hint="default"/>
                <w:sz w:val="24"/>
                <w:szCs w:val="22"/>
              </w:rPr>
              <w:t>本项目搅拌过程中会产生沥青烟气，其中主要大气污染物为沥青烟、苯并（a）芘等。类比《江苏鸿富道路工程有限公司道路修补材料生产项目》（皋行审环验{2019}62号）分析</w:t>
            </w:r>
            <w:r>
              <w:rPr>
                <w:rFonts w:hint="default"/>
                <w:sz w:val="24"/>
                <w:szCs w:val="22"/>
                <w:lang w:eastAsia="zh-CN"/>
              </w:rPr>
              <w:t>（</w:t>
            </w:r>
            <w:r>
              <w:rPr>
                <w:rFonts w:hint="default"/>
                <w:sz w:val="24"/>
                <w:szCs w:val="22"/>
              </w:rPr>
              <w:t>使用的原料、生产工艺与本项目相同，根据其监测数据，并结合工况折算后得到排放系数计算</w:t>
            </w:r>
            <w:r>
              <w:rPr>
                <w:rFonts w:hint="default"/>
                <w:sz w:val="24"/>
                <w:szCs w:val="22"/>
                <w:lang w:eastAsia="zh-CN"/>
              </w:rPr>
              <w:t>）</w:t>
            </w:r>
            <w:r>
              <w:rPr>
                <w:rFonts w:hint="default"/>
                <w:sz w:val="24"/>
                <w:szCs w:val="22"/>
              </w:rPr>
              <w:t>，沥青烟气排放系数为0.0028kg/t，本项目沥青用量为1150t，则沥青烟气的产生量为0.00322t。参考《工业生产中的有害物质手册》第一卷（化学工业出版社，1987年12朋出版）及《有机化合物污染化学》（清华大学出版社，1990年8月出版），每吨石油沥青在加热过程中产生的苯并（a）芘为0.10克—0.15克。本环评取0.15克/吨沥青，生产过程中苯并（a）芘的产生量为0.000173t/a。</w:t>
            </w:r>
          </w:p>
          <w:p>
            <w:pPr>
              <w:pStyle w:val="21"/>
              <w:bidi w:val="0"/>
              <w:rPr>
                <w:rFonts w:hint="default"/>
                <w:sz w:val="24"/>
                <w:szCs w:val="22"/>
              </w:rPr>
            </w:pPr>
            <w:r>
              <w:rPr>
                <w:rFonts w:hint="default"/>
                <w:sz w:val="24"/>
                <w:szCs w:val="22"/>
              </w:rPr>
              <w:t>（2）粉尘</w:t>
            </w:r>
          </w:p>
          <w:p>
            <w:pPr>
              <w:pStyle w:val="21"/>
              <w:bidi w:val="0"/>
              <w:rPr>
                <w:rFonts w:hint="default"/>
                <w:sz w:val="24"/>
                <w:szCs w:val="22"/>
              </w:rPr>
            </w:pPr>
            <w:r>
              <w:rPr>
                <w:rFonts w:hint="default"/>
                <w:sz w:val="24"/>
                <w:szCs w:val="22"/>
                <w:lang w:eastAsia="zh-CN"/>
              </w:rPr>
              <w:t>由于</w:t>
            </w:r>
            <w:r>
              <w:rPr>
                <w:rFonts w:hint="default"/>
                <w:sz w:val="24"/>
                <w:szCs w:val="22"/>
                <w:lang w:val="en-US" w:eastAsia="zh-CN"/>
              </w:rPr>
              <w:t>项目搅拌过程中加入沥青，产生的粉尘较小，根据类比，筛分、搅拌过程产生的粉尘量约为</w:t>
            </w:r>
            <w:r>
              <w:rPr>
                <w:rFonts w:hint="default"/>
                <w:sz w:val="24"/>
                <w:szCs w:val="22"/>
              </w:rPr>
              <w:t>0.052kg/t</w:t>
            </w:r>
            <w:r>
              <w:rPr>
                <w:rFonts w:hint="default"/>
                <w:sz w:val="24"/>
                <w:szCs w:val="22"/>
                <w:lang w:eastAsia="zh-CN"/>
              </w:rPr>
              <w:t>原料</w:t>
            </w:r>
            <w:r>
              <w:rPr>
                <w:rFonts w:hint="default"/>
                <w:sz w:val="24"/>
                <w:szCs w:val="22"/>
              </w:rPr>
              <w:t>，本项目石子用量为28300t，则投料粉尘的产生量为1.47t。</w:t>
            </w:r>
          </w:p>
          <w:p>
            <w:pPr>
              <w:pStyle w:val="21"/>
              <w:bidi w:val="0"/>
              <w:rPr>
                <w:rFonts w:hint="default"/>
                <w:sz w:val="24"/>
                <w:szCs w:val="22"/>
              </w:rPr>
            </w:pPr>
            <w:r>
              <w:rPr>
                <w:rFonts w:hint="default"/>
                <w:sz w:val="24"/>
                <w:szCs w:val="22"/>
                <w:lang w:eastAsia="zh-CN"/>
              </w:rPr>
              <w:t>（</w:t>
            </w:r>
            <w:r>
              <w:rPr>
                <w:rFonts w:hint="default"/>
                <w:sz w:val="24"/>
                <w:szCs w:val="22"/>
                <w:lang w:val="en-US" w:eastAsia="zh-CN"/>
              </w:rPr>
              <w:t>3</w:t>
            </w:r>
            <w:r>
              <w:rPr>
                <w:rFonts w:hint="default"/>
                <w:sz w:val="24"/>
                <w:szCs w:val="22"/>
                <w:lang w:eastAsia="zh-CN"/>
              </w:rPr>
              <w:t>）烘干</w:t>
            </w:r>
            <w:r>
              <w:rPr>
                <w:rFonts w:hint="default"/>
                <w:sz w:val="24"/>
                <w:szCs w:val="22"/>
              </w:rPr>
              <w:t>废气</w:t>
            </w:r>
          </w:p>
          <w:p>
            <w:pPr>
              <w:pStyle w:val="21"/>
              <w:bidi w:val="0"/>
              <w:rPr>
                <w:rFonts w:hint="default"/>
                <w:sz w:val="24"/>
                <w:szCs w:val="22"/>
                <w:lang w:eastAsia="zh-CN"/>
              </w:rPr>
            </w:pPr>
            <w:r>
              <w:rPr>
                <w:rFonts w:hint="default"/>
                <w:sz w:val="24"/>
                <w:szCs w:val="22"/>
              </w:rPr>
              <w:fldChar w:fldCharType="begin"/>
            </w:r>
            <w:r>
              <w:rPr>
                <w:rFonts w:hint="default"/>
                <w:sz w:val="24"/>
                <w:szCs w:val="22"/>
              </w:rPr>
              <w:instrText xml:space="preserve"> = 1 \* GB3 \* MERGEFORMAT </w:instrText>
            </w:r>
            <w:r>
              <w:rPr>
                <w:rFonts w:hint="default"/>
                <w:sz w:val="24"/>
                <w:szCs w:val="22"/>
              </w:rPr>
              <w:fldChar w:fldCharType="separate"/>
            </w:r>
            <w:r>
              <w:rPr>
                <w:rFonts w:hint="default"/>
                <w:sz w:val="24"/>
                <w:szCs w:val="22"/>
              </w:rPr>
              <w:t>①</w:t>
            </w:r>
            <w:r>
              <w:rPr>
                <w:rFonts w:hint="default"/>
                <w:sz w:val="24"/>
                <w:szCs w:val="22"/>
              </w:rPr>
              <w:fldChar w:fldCharType="end"/>
            </w:r>
            <w:r>
              <w:rPr>
                <w:rFonts w:hint="default"/>
                <w:sz w:val="24"/>
                <w:szCs w:val="22"/>
                <w:lang w:eastAsia="zh-CN"/>
              </w:rPr>
              <w:t>粉尘</w:t>
            </w:r>
          </w:p>
          <w:p>
            <w:pPr>
              <w:pStyle w:val="21"/>
              <w:bidi w:val="0"/>
              <w:rPr>
                <w:rFonts w:hint="default"/>
                <w:sz w:val="24"/>
                <w:szCs w:val="22"/>
                <w:lang w:val="en-US" w:eastAsia="zh-CN"/>
              </w:rPr>
            </w:pPr>
            <w:r>
              <w:rPr>
                <w:rFonts w:hint="default"/>
                <w:sz w:val="24"/>
                <w:szCs w:val="22"/>
                <w:lang w:eastAsia="zh-CN"/>
              </w:rPr>
              <w:t>为使沥青混凝土产品不至于因过快冷却而带来运输上的不便，石子需要在烘干筒内翻滚加热，此过程中会产生粉尘，根据类比，粉尘产生量为</w:t>
            </w:r>
            <w:r>
              <w:rPr>
                <w:rFonts w:hint="default"/>
                <w:sz w:val="24"/>
                <w:szCs w:val="22"/>
              </w:rPr>
              <w:t>0.052kg/t</w:t>
            </w:r>
            <w:r>
              <w:rPr>
                <w:rFonts w:hint="default"/>
                <w:sz w:val="24"/>
                <w:szCs w:val="22"/>
                <w:lang w:eastAsia="zh-CN"/>
              </w:rPr>
              <w:t>原料</w:t>
            </w:r>
            <w:r>
              <w:rPr>
                <w:rFonts w:hint="default"/>
                <w:sz w:val="24"/>
                <w:szCs w:val="22"/>
                <w:lang w:val="en-US" w:eastAsia="zh-CN"/>
              </w:rPr>
              <w:t>，则本项目烘干产生的粉尘量为</w:t>
            </w:r>
            <w:r>
              <w:rPr>
                <w:rFonts w:hint="default"/>
                <w:sz w:val="24"/>
                <w:szCs w:val="22"/>
              </w:rPr>
              <w:t>1.47</w:t>
            </w:r>
            <w:r>
              <w:rPr>
                <w:rFonts w:hint="default"/>
                <w:sz w:val="24"/>
                <w:szCs w:val="22"/>
                <w:lang w:val="en-US" w:eastAsia="zh-CN"/>
              </w:rPr>
              <w:t>t。</w:t>
            </w:r>
          </w:p>
          <w:p>
            <w:pPr>
              <w:pStyle w:val="21"/>
              <w:bidi w:val="0"/>
              <w:rPr>
                <w:rFonts w:hint="default"/>
                <w:sz w:val="24"/>
                <w:szCs w:val="22"/>
                <w:lang w:val="en-US" w:eastAsia="zh-CN"/>
              </w:rPr>
            </w:pPr>
            <w:r>
              <w:rPr>
                <w:rFonts w:hint="default"/>
                <w:sz w:val="24"/>
                <w:szCs w:val="22"/>
              </w:rPr>
              <w:fldChar w:fldCharType="begin"/>
            </w:r>
            <w:r>
              <w:rPr>
                <w:rFonts w:hint="default"/>
                <w:sz w:val="24"/>
                <w:szCs w:val="22"/>
              </w:rPr>
              <w:instrText xml:space="preserve"> = 2 \* GB3 \* MERGEFORMAT </w:instrText>
            </w:r>
            <w:r>
              <w:rPr>
                <w:rFonts w:hint="default"/>
                <w:sz w:val="24"/>
                <w:szCs w:val="22"/>
              </w:rPr>
              <w:fldChar w:fldCharType="separate"/>
            </w:r>
            <w:r>
              <w:rPr>
                <w:rFonts w:hint="default"/>
                <w:sz w:val="24"/>
                <w:szCs w:val="22"/>
              </w:rPr>
              <w:t>②</w:t>
            </w:r>
            <w:r>
              <w:rPr>
                <w:rFonts w:hint="default"/>
                <w:sz w:val="24"/>
                <w:szCs w:val="22"/>
              </w:rPr>
              <w:fldChar w:fldCharType="end"/>
            </w:r>
            <w:r>
              <w:rPr>
                <w:rFonts w:hint="default"/>
                <w:sz w:val="24"/>
                <w:szCs w:val="22"/>
                <w:lang w:val="en-US" w:eastAsia="zh-CN"/>
              </w:rPr>
              <w:t>燃油废气</w:t>
            </w:r>
          </w:p>
          <w:p>
            <w:pPr>
              <w:pStyle w:val="21"/>
              <w:bidi w:val="0"/>
              <w:rPr>
                <w:rFonts w:hint="default"/>
                <w:sz w:val="24"/>
                <w:szCs w:val="22"/>
              </w:rPr>
            </w:pPr>
            <w:r>
              <w:rPr>
                <w:rFonts w:hint="default"/>
                <w:sz w:val="24"/>
                <w:szCs w:val="22"/>
              </w:rPr>
              <w:t>项目烘干热源由喷燃器提供，喷燃器采用燃油提供热能，燃油为180#重油，燃烧产生燃油烟气经2#15m排气筒排放。根据业主提供资料，项目所用燃油含硫量≤0.3%，消耗量为300t/a，根据《第一次全国污染源普查工业污染源产污系数手册（2010修订）》（下册）“4430热力生产和供应行业（包括工业锅炉）”燃油产污系数如下。</w:t>
            </w:r>
          </w:p>
          <w:p>
            <w:pPr>
              <w:ind w:firstLine="422"/>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eastAsia" w:ascii="宋体" w:hAnsi="宋体" w:eastAsia="宋体" w:cs="宋体"/>
                <w:b/>
                <w:bCs/>
                <w:spacing w:val="-63"/>
                <w:sz w:val="21"/>
                <w:szCs w:val="21"/>
              </w:rPr>
              <w:t xml:space="preserve"> </w:t>
            </w:r>
            <w:r>
              <w:rPr>
                <w:rFonts w:hint="eastAsia" w:ascii="宋体" w:hAnsi="宋体" w:eastAsia="宋体" w:cs="宋体"/>
                <w:b/>
                <w:bCs/>
                <w:sz w:val="21"/>
                <w:szCs w:val="21"/>
                <w:lang w:val="en-US" w:eastAsia="zh-CN"/>
              </w:rPr>
              <w:t>5.2.</w:t>
            </w:r>
            <w:r>
              <w:rPr>
                <w:rFonts w:hint="eastAsia" w:ascii="宋体" w:hAnsi="宋体" w:cs="宋体"/>
                <w:b/>
                <w:bCs/>
                <w:sz w:val="21"/>
                <w:szCs w:val="21"/>
                <w:lang w:val="en-US" w:eastAsia="zh-CN"/>
              </w:rPr>
              <w:t>6</w:t>
            </w:r>
            <w:r>
              <w:rPr>
                <w:rFonts w:hint="eastAsia" w:ascii="宋体" w:hAnsi="宋体" w:eastAsia="宋体" w:cs="宋体"/>
                <w:b/>
                <w:bCs/>
                <w:sz w:val="21"/>
                <w:szCs w:val="21"/>
                <w:lang w:val="en-US" w:eastAsia="zh-CN"/>
              </w:rPr>
              <w:t>-</w:t>
            </w:r>
            <w:r>
              <w:rPr>
                <w:rFonts w:hint="default" w:ascii="Times New Roman" w:hAnsi="Times New Roman" w:eastAsia="宋体" w:cs="Times New Roman"/>
                <w:b/>
                <w:bCs/>
                <w:color w:val="auto"/>
                <w:sz w:val="21"/>
                <w:szCs w:val="21"/>
              </w:rPr>
              <w:t>-</w:t>
            </w:r>
            <w:r>
              <w:rPr>
                <w:rFonts w:hint="eastAsia" w:cs="Times New Roman"/>
                <w:b/>
                <w:bCs/>
                <w:color w:val="auto"/>
                <w:sz w:val="21"/>
                <w:szCs w:val="21"/>
                <w:lang w:val="en-US" w:eastAsia="zh-CN"/>
              </w:rPr>
              <w:t xml:space="preserve">2 </w:t>
            </w:r>
            <w:r>
              <w:rPr>
                <w:rFonts w:hint="default" w:ascii="Times New Roman" w:hAnsi="Times New Roman" w:eastAsia="宋体" w:cs="Times New Roman"/>
                <w:b/>
                <w:bCs/>
                <w:color w:val="auto"/>
                <w:sz w:val="21"/>
                <w:szCs w:val="21"/>
              </w:rPr>
              <w:t>燃油废气产生排放情况表</w:t>
            </w:r>
          </w:p>
          <w:tbl>
            <w:tblPr>
              <w:tblStyle w:val="43"/>
              <w:tblW w:w="918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2165"/>
              <w:gridCol w:w="1903"/>
              <w:gridCol w:w="1671"/>
              <w:gridCol w:w="15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926"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污染物名称</w:t>
                  </w:r>
                </w:p>
              </w:tc>
              <w:tc>
                <w:tcPr>
                  <w:tcW w:w="2165"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单位</w:t>
                  </w:r>
                </w:p>
              </w:tc>
              <w:tc>
                <w:tcPr>
                  <w:tcW w:w="1903"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产污系数</w:t>
                  </w:r>
                </w:p>
              </w:tc>
              <w:tc>
                <w:tcPr>
                  <w:tcW w:w="1671"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产生量</w:t>
                  </w:r>
                </w:p>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（t/a）</w:t>
                  </w:r>
                </w:p>
              </w:tc>
              <w:tc>
                <w:tcPr>
                  <w:tcW w:w="1520"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排放高度（米）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926"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工业废气量</w:t>
                  </w:r>
                </w:p>
              </w:tc>
              <w:tc>
                <w:tcPr>
                  <w:tcW w:w="2165"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标立方米/吨-原料</w:t>
                  </w:r>
                </w:p>
              </w:tc>
              <w:tc>
                <w:tcPr>
                  <w:tcW w:w="1903"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15366.93</w:t>
                  </w:r>
                </w:p>
              </w:tc>
              <w:tc>
                <w:tcPr>
                  <w:tcW w:w="1671"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 xml:space="preserve"> 461万标</w:t>
                  </w:r>
                </w:p>
              </w:tc>
              <w:tc>
                <w:tcPr>
                  <w:tcW w:w="1520" w:type="dxa"/>
                  <w:vMerge w:val="restart"/>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926"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二氧化硫</w:t>
                  </w:r>
                </w:p>
              </w:tc>
              <w:tc>
                <w:tcPr>
                  <w:tcW w:w="2165"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千克/吨-原料</w:t>
                  </w:r>
                </w:p>
              </w:tc>
              <w:tc>
                <w:tcPr>
                  <w:tcW w:w="1903"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19S</w:t>
                  </w:r>
                </w:p>
              </w:tc>
              <w:tc>
                <w:tcPr>
                  <w:tcW w:w="1671"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0.57</w:t>
                  </w:r>
                </w:p>
              </w:tc>
              <w:tc>
                <w:tcPr>
                  <w:tcW w:w="1520" w:type="dxa"/>
                  <w:vMerge w:val="continue"/>
                </w:tcPr>
                <w:p>
                  <w:pPr>
                    <w:adjustRightInd w:val="0"/>
                    <w:snapToGrid w:val="0"/>
                    <w:jc w:val="center"/>
                    <w:rPr>
                      <w:rFonts w:hint="default" w:ascii="Times New Roman" w:hAnsi="Times New Roman" w:eastAsia="宋体" w:cs="Times New Roman"/>
                      <w:bCs/>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926"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氮氧化物</w:t>
                  </w:r>
                </w:p>
              </w:tc>
              <w:tc>
                <w:tcPr>
                  <w:tcW w:w="2165"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千克/吨-原料</w:t>
                  </w:r>
                </w:p>
              </w:tc>
              <w:tc>
                <w:tcPr>
                  <w:tcW w:w="1903"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3.6</w:t>
                  </w:r>
                </w:p>
              </w:tc>
              <w:tc>
                <w:tcPr>
                  <w:tcW w:w="1671"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1.08</w:t>
                  </w:r>
                </w:p>
              </w:tc>
              <w:tc>
                <w:tcPr>
                  <w:tcW w:w="1520" w:type="dxa"/>
                  <w:vMerge w:val="continue"/>
                </w:tcPr>
                <w:p>
                  <w:pPr>
                    <w:adjustRightInd w:val="0"/>
                    <w:snapToGrid w:val="0"/>
                    <w:jc w:val="center"/>
                    <w:rPr>
                      <w:rFonts w:hint="default" w:ascii="Times New Roman" w:hAnsi="Times New Roman" w:eastAsia="宋体" w:cs="Times New Roman"/>
                      <w:bCs/>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926"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烟尘</w:t>
                  </w:r>
                </w:p>
              </w:tc>
              <w:tc>
                <w:tcPr>
                  <w:tcW w:w="2165"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千克/吨-原料</w:t>
                  </w:r>
                </w:p>
              </w:tc>
              <w:tc>
                <w:tcPr>
                  <w:tcW w:w="1903"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3.28</w:t>
                  </w:r>
                </w:p>
              </w:tc>
              <w:tc>
                <w:tcPr>
                  <w:tcW w:w="1671"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0.984</w:t>
                  </w:r>
                </w:p>
              </w:tc>
              <w:tc>
                <w:tcPr>
                  <w:tcW w:w="1520" w:type="dxa"/>
                  <w:vMerge w:val="continue"/>
                </w:tcPr>
                <w:p>
                  <w:pPr>
                    <w:adjustRightInd w:val="0"/>
                    <w:snapToGrid w:val="0"/>
                    <w:jc w:val="center"/>
                    <w:rPr>
                      <w:rFonts w:hint="default" w:ascii="Times New Roman" w:hAnsi="Times New Roman" w:eastAsia="宋体" w:cs="Times New Roman"/>
                      <w:bCs/>
                      <w:sz w:val="21"/>
                      <w:szCs w:val="21"/>
                    </w:rPr>
                  </w:pPr>
                </w:p>
              </w:tc>
            </w:tr>
          </w:tbl>
          <w:p>
            <w:pPr>
              <w:pStyle w:val="24"/>
              <w:ind w:firstLine="360"/>
              <w:outlineLvl w:val="0"/>
              <w:rPr>
                <w:rFonts w:hint="default" w:ascii="Times New Roman" w:hAnsi="Times New Roman" w:eastAsia="宋体" w:cs="Times New Roman"/>
                <w:color w:val="auto"/>
                <w:sz w:val="21"/>
                <w:szCs w:val="21"/>
              </w:rPr>
            </w:pPr>
            <w:bookmarkStart w:id="42" w:name="_Toc31573"/>
            <w:r>
              <w:rPr>
                <w:rFonts w:hint="default" w:ascii="Times New Roman" w:hAnsi="Times New Roman" w:eastAsia="宋体" w:cs="Times New Roman"/>
                <w:color w:val="auto"/>
                <w:sz w:val="21"/>
                <w:szCs w:val="21"/>
              </w:rPr>
              <w:t>注：含硫量（S％）是指燃油收到基硫分含量，以质量百分数的形式表示。燃料中含硫量（S％）为0.1％，则S=0.1。</w:t>
            </w:r>
            <w:bookmarkEnd w:id="42"/>
          </w:p>
          <w:p>
            <w:pPr>
              <w:pStyle w:val="21"/>
              <w:bidi w:val="0"/>
              <w:rPr>
                <w:rFonts w:hint="default"/>
                <w:sz w:val="24"/>
                <w:szCs w:val="22"/>
              </w:rPr>
            </w:pPr>
            <w:r>
              <w:rPr>
                <w:rFonts w:hint="default"/>
                <w:sz w:val="24"/>
                <w:szCs w:val="22"/>
                <w:lang w:val="en-US" w:eastAsia="zh-CN"/>
              </w:rPr>
              <w:t>本项目筛分、搅拌及烘干废气经引风机</w:t>
            </w:r>
            <w:r>
              <w:rPr>
                <w:rFonts w:hint="default"/>
                <w:sz w:val="24"/>
                <w:szCs w:val="22"/>
              </w:rPr>
              <w:t>收集后采用除尘系统进行处理后经1#15m（内径0.45m，排风量5000m3/h）排气筒排放。</w:t>
            </w:r>
          </w:p>
          <w:p>
            <w:pPr>
              <w:pStyle w:val="21"/>
              <w:bidi w:val="0"/>
              <w:rPr>
                <w:rFonts w:hint="default"/>
                <w:sz w:val="24"/>
                <w:szCs w:val="22"/>
                <w:lang w:val="en-US" w:eastAsia="zh-CN"/>
              </w:rPr>
            </w:pPr>
            <w:r>
              <w:rPr>
                <w:rFonts w:hint="default"/>
                <w:sz w:val="24"/>
                <w:szCs w:val="22"/>
                <w:lang w:val="en-US" w:eastAsia="zh-CN"/>
              </w:rPr>
              <w:t>废气</w:t>
            </w:r>
            <w:r>
              <w:rPr>
                <w:rFonts w:hint="default"/>
                <w:sz w:val="24"/>
                <w:szCs w:val="22"/>
              </w:rPr>
              <w:t>收集效率以90%计、</w:t>
            </w:r>
            <w:r>
              <w:rPr>
                <w:rFonts w:hint="default"/>
                <w:sz w:val="24"/>
                <w:szCs w:val="22"/>
                <w:lang w:val="en-US" w:eastAsia="zh-CN"/>
              </w:rPr>
              <w:t>布袋除尘器</w:t>
            </w:r>
            <w:r>
              <w:rPr>
                <w:rFonts w:hint="default"/>
                <w:sz w:val="24"/>
                <w:szCs w:val="22"/>
              </w:rPr>
              <w:t>处理效率为90%计，则粉尘</w:t>
            </w:r>
            <w:r>
              <w:rPr>
                <w:rFonts w:hint="default"/>
                <w:sz w:val="24"/>
                <w:szCs w:val="22"/>
                <w:lang w:eastAsia="zh-CN"/>
              </w:rPr>
              <w:t>（</w:t>
            </w:r>
            <w:r>
              <w:rPr>
                <w:rFonts w:hint="default"/>
                <w:sz w:val="24"/>
                <w:szCs w:val="22"/>
                <w:lang w:val="en-US" w:eastAsia="zh-CN"/>
              </w:rPr>
              <w:t>含烟尘</w:t>
            </w:r>
            <w:r>
              <w:rPr>
                <w:rFonts w:hint="default"/>
                <w:sz w:val="24"/>
                <w:szCs w:val="22"/>
                <w:lang w:eastAsia="zh-CN"/>
              </w:rPr>
              <w:t>）、</w:t>
            </w:r>
            <w:r>
              <w:rPr>
                <w:rFonts w:hint="default"/>
                <w:sz w:val="24"/>
                <w:szCs w:val="22"/>
                <w:lang w:val="en-US" w:eastAsia="zh-CN"/>
              </w:rPr>
              <w:t>二氧化硫、氮氧化物</w:t>
            </w:r>
            <w:r>
              <w:rPr>
                <w:rFonts w:hint="default"/>
                <w:sz w:val="24"/>
                <w:szCs w:val="22"/>
              </w:rPr>
              <w:t>有组织排放量为</w:t>
            </w:r>
            <w:r>
              <w:rPr>
                <w:rFonts w:hint="default"/>
                <w:sz w:val="24"/>
                <w:szCs w:val="22"/>
                <w:lang w:val="en-US" w:eastAsia="zh-CN"/>
              </w:rPr>
              <w:t>0.353</w:t>
            </w:r>
            <w:r>
              <w:rPr>
                <w:rFonts w:hint="default"/>
                <w:sz w:val="24"/>
                <w:szCs w:val="22"/>
              </w:rPr>
              <w:t>t/a</w:t>
            </w:r>
            <w:r>
              <w:rPr>
                <w:rFonts w:hint="default"/>
                <w:sz w:val="24"/>
                <w:szCs w:val="22"/>
                <w:lang w:eastAsia="zh-CN"/>
              </w:rPr>
              <w:t>、</w:t>
            </w:r>
            <w:r>
              <w:rPr>
                <w:rFonts w:hint="default"/>
                <w:sz w:val="24"/>
                <w:szCs w:val="22"/>
                <w:lang w:val="en-US" w:eastAsia="zh-CN"/>
              </w:rPr>
              <w:t>0.513</w:t>
            </w:r>
            <w:r>
              <w:rPr>
                <w:rFonts w:hint="default"/>
                <w:sz w:val="24"/>
                <w:szCs w:val="22"/>
              </w:rPr>
              <w:t>t/a</w:t>
            </w:r>
            <w:r>
              <w:rPr>
                <w:rFonts w:hint="default"/>
                <w:sz w:val="24"/>
                <w:szCs w:val="22"/>
                <w:lang w:eastAsia="zh-CN"/>
              </w:rPr>
              <w:t>、</w:t>
            </w:r>
            <w:r>
              <w:rPr>
                <w:rFonts w:hint="default"/>
                <w:sz w:val="24"/>
                <w:szCs w:val="22"/>
                <w:lang w:val="en-US" w:eastAsia="zh-CN"/>
              </w:rPr>
              <w:t>0.972</w:t>
            </w:r>
            <w:r>
              <w:rPr>
                <w:rFonts w:hint="default"/>
                <w:sz w:val="24"/>
                <w:szCs w:val="22"/>
              </w:rPr>
              <w:t>t/a，排放速率</w:t>
            </w:r>
            <w:r>
              <w:rPr>
                <w:rFonts w:hint="default"/>
                <w:sz w:val="24"/>
                <w:szCs w:val="22"/>
                <w:lang w:val="en-US" w:eastAsia="zh-CN"/>
              </w:rPr>
              <w:t>分别</w:t>
            </w:r>
            <w:r>
              <w:rPr>
                <w:rFonts w:hint="default"/>
                <w:sz w:val="24"/>
                <w:szCs w:val="22"/>
              </w:rPr>
              <w:t>为</w:t>
            </w:r>
            <w:r>
              <w:rPr>
                <w:rFonts w:hint="default"/>
                <w:sz w:val="24"/>
                <w:szCs w:val="22"/>
                <w:lang w:val="en-US" w:eastAsia="zh-CN"/>
              </w:rPr>
              <w:t>0.0491</w:t>
            </w:r>
            <w:r>
              <w:rPr>
                <w:rFonts w:hint="default"/>
                <w:sz w:val="24"/>
                <w:szCs w:val="22"/>
              </w:rPr>
              <w:t>kg/h</w:t>
            </w:r>
            <w:r>
              <w:rPr>
                <w:rFonts w:hint="default"/>
                <w:sz w:val="24"/>
                <w:szCs w:val="22"/>
                <w:lang w:eastAsia="zh-CN"/>
              </w:rPr>
              <w:t>、</w:t>
            </w:r>
            <w:r>
              <w:rPr>
                <w:rFonts w:hint="default"/>
                <w:sz w:val="24"/>
                <w:szCs w:val="22"/>
                <w:lang w:val="en-US" w:eastAsia="zh-CN"/>
              </w:rPr>
              <w:t>0.0713</w:t>
            </w:r>
            <w:r>
              <w:rPr>
                <w:rFonts w:hint="default"/>
                <w:sz w:val="24"/>
                <w:szCs w:val="22"/>
              </w:rPr>
              <w:t>kg/h</w:t>
            </w:r>
            <w:r>
              <w:rPr>
                <w:rFonts w:hint="default"/>
                <w:sz w:val="24"/>
                <w:szCs w:val="22"/>
                <w:lang w:eastAsia="zh-CN"/>
              </w:rPr>
              <w:t>、</w:t>
            </w:r>
            <w:r>
              <w:rPr>
                <w:rFonts w:hint="default"/>
                <w:sz w:val="24"/>
                <w:szCs w:val="22"/>
                <w:lang w:val="en-US" w:eastAsia="zh-CN"/>
              </w:rPr>
              <w:t>0.135</w:t>
            </w:r>
            <w:r>
              <w:rPr>
                <w:rFonts w:hint="default"/>
                <w:sz w:val="24"/>
                <w:szCs w:val="22"/>
              </w:rPr>
              <w:t>kg/h，排放浓度</w:t>
            </w:r>
            <w:r>
              <w:rPr>
                <w:rFonts w:hint="default"/>
                <w:sz w:val="24"/>
                <w:szCs w:val="22"/>
                <w:lang w:val="en-US" w:eastAsia="zh-CN"/>
              </w:rPr>
              <w:t>分别</w:t>
            </w:r>
            <w:r>
              <w:rPr>
                <w:rFonts w:hint="default"/>
                <w:sz w:val="24"/>
                <w:szCs w:val="22"/>
              </w:rPr>
              <w:t>为</w:t>
            </w:r>
            <w:r>
              <w:rPr>
                <w:rFonts w:hint="default"/>
                <w:sz w:val="24"/>
                <w:szCs w:val="22"/>
                <w:lang w:val="en-US" w:eastAsia="zh-CN"/>
              </w:rPr>
              <w:t>9.81</w:t>
            </w:r>
            <w:r>
              <w:rPr>
                <w:rFonts w:hint="default"/>
                <w:sz w:val="24"/>
                <w:szCs w:val="22"/>
              </w:rPr>
              <w:t>mg/m3</w:t>
            </w:r>
            <w:r>
              <w:rPr>
                <w:rFonts w:hint="default"/>
                <w:sz w:val="24"/>
                <w:szCs w:val="22"/>
                <w:lang w:eastAsia="zh-CN"/>
              </w:rPr>
              <w:t>、</w:t>
            </w:r>
            <w:r>
              <w:rPr>
                <w:rFonts w:hint="default"/>
                <w:sz w:val="24"/>
                <w:szCs w:val="22"/>
                <w:lang w:val="en-US" w:eastAsia="zh-CN"/>
              </w:rPr>
              <w:t>14.25</w:t>
            </w:r>
            <w:r>
              <w:rPr>
                <w:rFonts w:hint="default"/>
                <w:sz w:val="24"/>
                <w:szCs w:val="22"/>
              </w:rPr>
              <w:t>mg/m3</w:t>
            </w:r>
            <w:r>
              <w:rPr>
                <w:rFonts w:hint="default"/>
                <w:sz w:val="24"/>
                <w:szCs w:val="22"/>
                <w:lang w:eastAsia="zh-CN"/>
              </w:rPr>
              <w:t>、</w:t>
            </w:r>
            <w:r>
              <w:rPr>
                <w:rFonts w:hint="default"/>
                <w:sz w:val="24"/>
                <w:szCs w:val="22"/>
                <w:lang w:val="en-US" w:eastAsia="zh-CN"/>
              </w:rPr>
              <w:t>27</w:t>
            </w:r>
            <w:r>
              <w:rPr>
                <w:rFonts w:hint="default"/>
                <w:sz w:val="24"/>
                <w:szCs w:val="22"/>
              </w:rPr>
              <w:t>mg/m3。粉尘</w:t>
            </w:r>
            <w:r>
              <w:rPr>
                <w:rFonts w:hint="default"/>
                <w:sz w:val="24"/>
                <w:szCs w:val="22"/>
                <w:lang w:eastAsia="zh-CN"/>
              </w:rPr>
              <w:t>（</w:t>
            </w:r>
            <w:r>
              <w:rPr>
                <w:rFonts w:hint="default"/>
                <w:sz w:val="24"/>
                <w:szCs w:val="22"/>
                <w:lang w:val="en-US" w:eastAsia="zh-CN"/>
              </w:rPr>
              <w:t>含烟尘</w:t>
            </w:r>
            <w:r>
              <w:rPr>
                <w:rFonts w:hint="default"/>
                <w:sz w:val="24"/>
                <w:szCs w:val="22"/>
                <w:lang w:eastAsia="zh-CN"/>
              </w:rPr>
              <w:t>）、</w:t>
            </w:r>
            <w:r>
              <w:rPr>
                <w:rFonts w:hint="default"/>
                <w:sz w:val="24"/>
                <w:szCs w:val="22"/>
                <w:lang w:val="en-US" w:eastAsia="zh-CN"/>
              </w:rPr>
              <w:t>二氧化硫、氮氧化物</w:t>
            </w:r>
            <w:r>
              <w:rPr>
                <w:rFonts w:hint="default"/>
                <w:sz w:val="24"/>
                <w:szCs w:val="22"/>
              </w:rPr>
              <w:t>无组织排放量</w:t>
            </w:r>
            <w:r>
              <w:rPr>
                <w:rFonts w:hint="default"/>
                <w:sz w:val="24"/>
                <w:szCs w:val="22"/>
                <w:lang w:val="en-US" w:eastAsia="zh-CN"/>
              </w:rPr>
              <w:t>分别</w:t>
            </w:r>
            <w:r>
              <w:rPr>
                <w:rFonts w:hint="default"/>
                <w:sz w:val="24"/>
                <w:szCs w:val="22"/>
              </w:rPr>
              <w:t>为</w:t>
            </w:r>
            <w:r>
              <w:rPr>
                <w:rFonts w:hint="default"/>
                <w:sz w:val="24"/>
                <w:szCs w:val="22"/>
                <w:lang w:val="en-US" w:eastAsia="zh-CN"/>
              </w:rPr>
              <w:t>0.392</w:t>
            </w:r>
            <w:r>
              <w:rPr>
                <w:rFonts w:hint="default"/>
                <w:sz w:val="24"/>
                <w:szCs w:val="22"/>
              </w:rPr>
              <w:t>t/a</w:t>
            </w:r>
            <w:r>
              <w:rPr>
                <w:rFonts w:hint="default"/>
                <w:sz w:val="24"/>
                <w:szCs w:val="22"/>
                <w:lang w:eastAsia="zh-CN"/>
              </w:rPr>
              <w:t>、</w:t>
            </w:r>
            <w:r>
              <w:rPr>
                <w:rFonts w:hint="default"/>
                <w:sz w:val="24"/>
                <w:szCs w:val="22"/>
                <w:lang w:val="en-US" w:eastAsia="zh-CN"/>
              </w:rPr>
              <w:t>0.057</w:t>
            </w:r>
            <w:r>
              <w:rPr>
                <w:rFonts w:hint="default"/>
                <w:sz w:val="24"/>
                <w:szCs w:val="22"/>
              </w:rPr>
              <w:t>t/a</w:t>
            </w:r>
            <w:r>
              <w:rPr>
                <w:rFonts w:hint="default"/>
                <w:sz w:val="24"/>
                <w:szCs w:val="22"/>
                <w:lang w:eastAsia="zh-CN"/>
              </w:rPr>
              <w:t>、</w:t>
            </w:r>
            <w:r>
              <w:rPr>
                <w:rFonts w:hint="default"/>
                <w:sz w:val="24"/>
                <w:szCs w:val="22"/>
                <w:lang w:val="en-US" w:eastAsia="zh-CN"/>
              </w:rPr>
              <w:t>0.108</w:t>
            </w:r>
            <w:r>
              <w:rPr>
                <w:rFonts w:hint="default"/>
                <w:sz w:val="24"/>
                <w:szCs w:val="22"/>
              </w:rPr>
              <w:t>t/a，排放速率</w:t>
            </w:r>
            <w:r>
              <w:rPr>
                <w:rFonts w:hint="default"/>
                <w:sz w:val="24"/>
                <w:szCs w:val="22"/>
                <w:lang w:val="en-US" w:eastAsia="zh-CN"/>
              </w:rPr>
              <w:t>分别</w:t>
            </w:r>
            <w:r>
              <w:rPr>
                <w:rFonts w:hint="default"/>
                <w:sz w:val="24"/>
                <w:szCs w:val="22"/>
              </w:rPr>
              <w:t>为</w:t>
            </w:r>
            <w:r>
              <w:rPr>
                <w:rFonts w:hint="default"/>
                <w:sz w:val="24"/>
                <w:szCs w:val="22"/>
                <w:lang w:val="en-US" w:eastAsia="zh-CN"/>
              </w:rPr>
              <w:t>0.0545</w:t>
            </w:r>
            <w:r>
              <w:rPr>
                <w:rFonts w:hint="default"/>
                <w:sz w:val="24"/>
                <w:szCs w:val="22"/>
              </w:rPr>
              <w:t>kg/h</w:t>
            </w:r>
            <w:r>
              <w:rPr>
                <w:rFonts w:hint="default"/>
                <w:sz w:val="24"/>
                <w:szCs w:val="22"/>
                <w:lang w:eastAsia="zh-CN"/>
              </w:rPr>
              <w:t>、</w:t>
            </w:r>
            <w:r>
              <w:rPr>
                <w:rFonts w:hint="default"/>
                <w:sz w:val="24"/>
                <w:szCs w:val="22"/>
                <w:lang w:val="en-US" w:eastAsia="zh-CN"/>
              </w:rPr>
              <w:t>0.00792</w:t>
            </w:r>
            <w:r>
              <w:rPr>
                <w:rFonts w:hint="default"/>
                <w:sz w:val="24"/>
                <w:szCs w:val="22"/>
              </w:rPr>
              <w:t>kg/h</w:t>
            </w:r>
            <w:r>
              <w:rPr>
                <w:rFonts w:hint="default"/>
                <w:sz w:val="24"/>
                <w:szCs w:val="22"/>
                <w:lang w:eastAsia="zh-CN"/>
              </w:rPr>
              <w:t>、</w:t>
            </w:r>
            <w:r>
              <w:rPr>
                <w:rFonts w:hint="default"/>
                <w:sz w:val="24"/>
                <w:szCs w:val="22"/>
                <w:lang w:val="en-US" w:eastAsia="zh-CN"/>
              </w:rPr>
              <w:t>0.015</w:t>
            </w:r>
            <w:r>
              <w:rPr>
                <w:rFonts w:hint="default"/>
                <w:sz w:val="24"/>
                <w:szCs w:val="22"/>
              </w:rPr>
              <w:t>kg/h。</w:t>
            </w:r>
          </w:p>
          <w:p>
            <w:pPr>
              <w:pStyle w:val="21"/>
              <w:bidi w:val="0"/>
              <w:rPr>
                <w:rFonts w:hint="default"/>
                <w:sz w:val="24"/>
                <w:szCs w:val="22"/>
              </w:rPr>
            </w:pPr>
            <w:r>
              <w:rPr>
                <w:rFonts w:hint="default"/>
                <w:sz w:val="24"/>
                <w:szCs w:val="22"/>
              </w:rPr>
              <w:t>（4）锅炉废气</w:t>
            </w:r>
          </w:p>
          <w:p>
            <w:pPr>
              <w:pStyle w:val="21"/>
              <w:bidi w:val="0"/>
              <w:rPr>
                <w:rFonts w:hint="default"/>
                <w:sz w:val="24"/>
                <w:szCs w:val="22"/>
              </w:rPr>
            </w:pPr>
            <w:r>
              <w:rPr>
                <w:rFonts w:hint="default"/>
                <w:sz w:val="24"/>
                <w:szCs w:val="22"/>
              </w:rPr>
              <w:t>本项目配备一台锅炉用于沥青保温，燃烧为轻质柴油，年用量为50吨，本项目锅炉废气经</w:t>
            </w:r>
            <w:r>
              <w:rPr>
                <w:rFonts w:hint="default"/>
                <w:sz w:val="24"/>
                <w:szCs w:val="22"/>
                <w:lang w:val="en-US" w:eastAsia="zh-CN"/>
              </w:rPr>
              <w:t>2</w:t>
            </w:r>
            <w:r>
              <w:rPr>
                <w:rFonts w:hint="default"/>
                <w:sz w:val="24"/>
                <w:szCs w:val="22"/>
              </w:rPr>
              <w:t>#1</w:t>
            </w:r>
            <w:r>
              <w:rPr>
                <w:rFonts w:hint="default"/>
                <w:sz w:val="24"/>
                <w:szCs w:val="22"/>
                <w:lang w:val="en-US" w:eastAsia="zh-CN"/>
              </w:rPr>
              <w:t>2</w:t>
            </w:r>
            <w:r>
              <w:rPr>
                <w:rFonts w:hint="default"/>
                <w:sz w:val="24"/>
                <w:szCs w:val="22"/>
              </w:rPr>
              <w:t>m排气筒排放。根据《第一次全国污染源普查系数手册》资料类比分析，其大气污染物产生、排放情况如表下表所示：</w:t>
            </w:r>
          </w:p>
          <w:p>
            <w:pPr>
              <w:ind w:firstLine="422"/>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eastAsia" w:ascii="宋体" w:hAnsi="宋体" w:eastAsia="宋体" w:cs="宋体"/>
                <w:b/>
                <w:bCs/>
                <w:spacing w:val="-63"/>
                <w:sz w:val="21"/>
                <w:szCs w:val="21"/>
              </w:rPr>
              <w:t xml:space="preserve"> </w:t>
            </w:r>
            <w:r>
              <w:rPr>
                <w:rFonts w:hint="eastAsia" w:ascii="宋体" w:hAnsi="宋体" w:eastAsia="宋体" w:cs="宋体"/>
                <w:b/>
                <w:bCs/>
                <w:sz w:val="21"/>
                <w:szCs w:val="21"/>
                <w:lang w:val="en-US" w:eastAsia="zh-CN"/>
              </w:rPr>
              <w:t>5.2.</w:t>
            </w:r>
            <w:r>
              <w:rPr>
                <w:rFonts w:hint="eastAsia" w:ascii="宋体" w:hAnsi="宋体" w:cs="宋体"/>
                <w:b/>
                <w:bCs/>
                <w:sz w:val="21"/>
                <w:szCs w:val="21"/>
                <w:lang w:val="en-US" w:eastAsia="zh-CN"/>
              </w:rPr>
              <w:t>6-</w:t>
            </w:r>
            <w:r>
              <w:rPr>
                <w:rFonts w:hint="default" w:ascii="Times New Roman" w:hAnsi="Times New Roman" w:eastAsia="宋体" w:cs="Times New Roman"/>
                <w:b/>
                <w:bCs/>
                <w:color w:val="auto"/>
                <w:sz w:val="21"/>
                <w:szCs w:val="21"/>
              </w:rPr>
              <w:t>3锅炉燃烧废气产生排放情况表</w:t>
            </w:r>
          </w:p>
          <w:tbl>
            <w:tblPr>
              <w:tblStyle w:val="43"/>
              <w:tblW w:w="91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475"/>
              <w:gridCol w:w="1344"/>
              <w:gridCol w:w="1175"/>
              <w:gridCol w:w="1345"/>
              <w:gridCol w:w="1377"/>
              <w:gridCol w:w="10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314"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污染物名称</w:t>
                  </w:r>
                </w:p>
              </w:tc>
              <w:tc>
                <w:tcPr>
                  <w:tcW w:w="1475"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单位</w:t>
                  </w:r>
                </w:p>
              </w:tc>
              <w:tc>
                <w:tcPr>
                  <w:tcW w:w="1344"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产污系数</w:t>
                  </w:r>
                </w:p>
              </w:tc>
              <w:tc>
                <w:tcPr>
                  <w:tcW w:w="1175"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产生量</w:t>
                  </w:r>
                </w:p>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（t/a）</w:t>
                  </w:r>
                </w:p>
              </w:tc>
              <w:tc>
                <w:tcPr>
                  <w:tcW w:w="1345"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排放量</w:t>
                  </w:r>
                </w:p>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（t/a）</w:t>
                  </w:r>
                </w:p>
              </w:tc>
              <w:tc>
                <w:tcPr>
                  <w:tcW w:w="1377"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排放浓度（mg/m3）</w:t>
                  </w:r>
                </w:p>
              </w:tc>
              <w:tc>
                <w:tcPr>
                  <w:tcW w:w="1076"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排放高度（米）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14"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工业废气量</w:t>
                  </w:r>
                </w:p>
              </w:tc>
              <w:tc>
                <w:tcPr>
                  <w:tcW w:w="1475"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标立方米/吨-原料</w:t>
                  </w:r>
                </w:p>
              </w:tc>
              <w:tc>
                <w:tcPr>
                  <w:tcW w:w="1344"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17804.43</w:t>
                  </w:r>
                </w:p>
              </w:tc>
              <w:tc>
                <w:tcPr>
                  <w:tcW w:w="1175"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 xml:space="preserve"> 89万标</w:t>
                  </w:r>
                </w:p>
              </w:tc>
              <w:tc>
                <w:tcPr>
                  <w:tcW w:w="1345"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89万标</w:t>
                  </w:r>
                </w:p>
              </w:tc>
              <w:tc>
                <w:tcPr>
                  <w:tcW w:w="1377"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w:t>
                  </w:r>
                </w:p>
              </w:tc>
              <w:tc>
                <w:tcPr>
                  <w:tcW w:w="1076" w:type="dxa"/>
                  <w:vMerge w:val="restart"/>
                  <w:vAlign w:val="center"/>
                </w:tcPr>
                <w:p>
                  <w:pPr>
                    <w:adjustRightInd w:val="0"/>
                    <w:snapToGrid w:val="0"/>
                    <w:jc w:val="center"/>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rPr>
                    <w:t>1</w:t>
                  </w:r>
                  <w:r>
                    <w:rPr>
                      <w:rFonts w:hint="default" w:ascii="Times New Roman" w:hAnsi="Times New Roman" w:eastAsia="宋体" w:cs="Times New Roman"/>
                      <w:bCs/>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314"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二氧化硫</w:t>
                  </w:r>
                </w:p>
              </w:tc>
              <w:tc>
                <w:tcPr>
                  <w:tcW w:w="1475"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千克/吨-原料</w:t>
                  </w:r>
                </w:p>
              </w:tc>
              <w:tc>
                <w:tcPr>
                  <w:tcW w:w="1344"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19S</w:t>
                  </w:r>
                </w:p>
              </w:tc>
              <w:tc>
                <w:tcPr>
                  <w:tcW w:w="1175"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0.095</w:t>
                  </w:r>
                </w:p>
              </w:tc>
              <w:tc>
                <w:tcPr>
                  <w:tcW w:w="1345"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0.095</w:t>
                  </w:r>
                </w:p>
              </w:tc>
              <w:tc>
                <w:tcPr>
                  <w:tcW w:w="1377"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107</w:t>
                  </w:r>
                </w:p>
              </w:tc>
              <w:tc>
                <w:tcPr>
                  <w:tcW w:w="1076" w:type="dxa"/>
                  <w:vMerge w:val="continue"/>
                </w:tcPr>
                <w:p>
                  <w:pPr>
                    <w:adjustRightInd w:val="0"/>
                    <w:snapToGrid w:val="0"/>
                    <w:jc w:val="center"/>
                    <w:rPr>
                      <w:rFonts w:hint="default" w:ascii="Times New Roman" w:hAnsi="Times New Roman" w:eastAsia="宋体" w:cs="Times New Roman"/>
                      <w:bCs/>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314"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氮氧化物</w:t>
                  </w:r>
                </w:p>
              </w:tc>
              <w:tc>
                <w:tcPr>
                  <w:tcW w:w="1475"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千克/吨-原料</w:t>
                  </w:r>
                </w:p>
              </w:tc>
              <w:tc>
                <w:tcPr>
                  <w:tcW w:w="1344"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3.67</w:t>
                  </w:r>
                </w:p>
              </w:tc>
              <w:tc>
                <w:tcPr>
                  <w:tcW w:w="1175"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0.184</w:t>
                  </w:r>
                </w:p>
              </w:tc>
              <w:tc>
                <w:tcPr>
                  <w:tcW w:w="1345"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0.184</w:t>
                  </w:r>
                </w:p>
              </w:tc>
              <w:tc>
                <w:tcPr>
                  <w:tcW w:w="1377"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206</w:t>
                  </w:r>
                </w:p>
              </w:tc>
              <w:tc>
                <w:tcPr>
                  <w:tcW w:w="1076" w:type="dxa"/>
                  <w:vMerge w:val="continue"/>
                </w:tcPr>
                <w:p>
                  <w:pPr>
                    <w:adjustRightInd w:val="0"/>
                    <w:snapToGrid w:val="0"/>
                    <w:jc w:val="center"/>
                    <w:rPr>
                      <w:rFonts w:hint="default" w:ascii="Times New Roman" w:hAnsi="Times New Roman" w:eastAsia="宋体" w:cs="Times New Roman"/>
                      <w:bCs/>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314"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烟尘</w:t>
                  </w:r>
                </w:p>
              </w:tc>
              <w:tc>
                <w:tcPr>
                  <w:tcW w:w="1475"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千克/吨-原料</w:t>
                  </w:r>
                </w:p>
              </w:tc>
              <w:tc>
                <w:tcPr>
                  <w:tcW w:w="1344"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0.26</w:t>
                  </w:r>
                </w:p>
              </w:tc>
              <w:tc>
                <w:tcPr>
                  <w:tcW w:w="1175"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0.013</w:t>
                  </w:r>
                </w:p>
              </w:tc>
              <w:tc>
                <w:tcPr>
                  <w:tcW w:w="1345"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0.013</w:t>
                  </w:r>
                </w:p>
              </w:tc>
              <w:tc>
                <w:tcPr>
                  <w:tcW w:w="1377"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15</w:t>
                  </w:r>
                </w:p>
              </w:tc>
              <w:tc>
                <w:tcPr>
                  <w:tcW w:w="1076" w:type="dxa"/>
                  <w:vMerge w:val="continue"/>
                </w:tcPr>
                <w:p>
                  <w:pPr>
                    <w:adjustRightInd w:val="0"/>
                    <w:snapToGrid w:val="0"/>
                    <w:jc w:val="center"/>
                    <w:rPr>
                      <w:rFonts w:hint="default" w:ascii="Times New Roman" w:hAnsi="Times New Roman" w:eastAsia="宋体" w:cs="Times New Roman"/>
                      <w:bCs/>
                      <w:sz w:val="21"/>
                      <w:szCs w:val="21"/>
                    </w:rPr>
                  </w:pPr>
                </w:p>
              </w:tc>
            </w:tr>
          </w:tbl>
          <w:p>
            <w:pPr>
              <w:pStyle w:val="24"/>
              <w:ind w:firstLine="360"/>
              <w:outlineLvl w:val="0"/>
              <w:rPr>
                <w:rFonts w:hint="default" w:ascii="Times New Roman" w:hAnsi="Times New Roman" w:eastAsia="宋体" w:cs="Times New Roman"/>
                <w:color w:val="auto"/>
                <w:sz w:val="21"/>
                <w:szCs w:val="21"/>
              </w:rPr>
            </w:pPr>
            <w:bookmarkStart w:id="43" w:name="_Toc31053"/>
            <w:r>
              <w:rPr>
                <w:rFonts w:hint="default" w:ascii="Times New Roman" w:hAnsi="Times New Roman" w:eastAsia="宋体" w:cs="Times New Roman"/>
                <w:color w:val="auto"/>
                <w:sz w:val="21"/>
                <w:szCs w:val="21"/>
              </w:rPr>
              <w:t>注：含硫量（S％）是指燃油收到基硫分含量，以质量百分数的形式表示。燃料中含硫量（S％）为0.1％，则S=0.1。</w:t>
            </w:r>
            <w:bookmarkEnd w:id="43"/>
          </w:p>
          <w:p>
            <w:pPr>
              <w:pStyle w:val="219"/>
              <w:numPr>
                <w:ilvl w:val="0"/>
                <w:numId w:val="7"/>
              </w:numP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臭气浓度</w:t>
            </w:r>
          </w:p>
          <w:p>
            <w:pPr>
              <w:pStyle w:val="21"/>
              <w:bidi w:val="0"/>
              <w:rPr>
                <w:rFonts w:hint="default"/>
                <w:sz w:val="24"/>
                <w:szCs w:val="22"/>
                <w:lang w:val="en-US" w:eastAsia="zh-CN"/>
              </w:rPr>
            </w:pPr>
            <w:r>
              <w:rPr>
                <w:rFonts w:hint="default"/>
                <w:sz w:val="24"/>
                <w:szCs w:val="22"/>
                <w:lang w:val="en-US" w:eastAsia="zh-CN"/>
              </w:rPr>
              <w:t>本项目所用原料之一为石油沥青，石油沥青是石油化工厂热裂解石油原料时得到的副产品，本项目沥青储存在储罐中，并使用导热油炉使其温度在120℃左右，生产时使用沥青泵输送至拌和楼进行搅拌。根据相关资料调查，当温度达到80℃左右时，沥青便会发出异味，因此，本项目沥青混凝土出口处会散发出一定量的沥青恶臭。</w:t>
            </w:r>
          </w:p>
          <w:p>
            <w:pPr>
              <w:pStyle w:val="21"/>
              <w:bidi w:val="0"/>
              <w:rPr>
                <w:rFonts w:hint="default"/>
                <w:sz w:val="24"/>
                <w:szCs w:val="22"/>
                <w:lang w:val="en-US" w:eastAsia="zh-CN"/>
              </w:rPr>
            </w:pPr>
            <w:r>
              <w:rPr>
                <w:rFonts w:hint="default"/>
                <w:sz w:val="24"/>
                <w:szCs w:val="22"/>
                <w:lang w:val="en-US" w:eastAsia="zh-CN"/>
              </w:rPr>
              <w:t>根据类比及恶臭强度分级标准，沥青臭气强度定为2级。参照美国在这方面的实验结果，臭气强度为2级时的臭气若要稀释到无臭，稀释倍数为10-12，而根据同类项目调查结果，在拌合楼下风向80m处感觉不到臭味，本项目200m范围内无敏感点，因此沥青恶臭对周围敏感点基本无影响。</w:t>
            </w:r>
          </w:p>
          <w:p>
            <w:pPr>
              <w:pStyle w:val="21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呼吸废气</w:t>
            </w:r>
          </w:p>
          <w:p>
            <w:pPr>
              <w:pStyle w:val="21"/>
              <w:bidi w:val="0"/>
              <w:rPr>
                <w:rFonts w:hint="default"/>
                <w:sz w:val="24"/>
                <w:szCs w:val="22"/>
              </w:rPr>
            </w:pPr>
            <w:r>
              <w:rPr>
                <w:rFonts w:hint="default"/>
                <w:sz w:val="24"/>
                <w:szCs w:val="22"/>
                <w:lang w:val="zh-CN"/>
              </w:rPr>
              <w:t>本项目</w:t>
            </w:r>
            <w:r>
              <w:rPr>
                <w:rFonts w:hint="default"/>
                <w:sz w:val="24"/>
                <w:szCs w:val="22"/>
              </w:rPr>
              <w:t>石油沥青</w:t>
            </w:r>
            <w:r>
              <w:rPr>
                <w:rFonts w:hint="default"/>
                <w:sz w:val="24"/>
                <w:szCs w:val="22"/>
                <w:lang w:val="zh-CN"/>
              </w:rPr>
              <w:t>储罐</w:t>
            </w:r>
            <w:r>
              <w:rPr>
                <w:rFonts w:hint="default"/>
                <w:sz w:val="24"/>
                <w:szCs w:val="22"/>
              </w:rPr>
              <w:t>5</w:t>
            </w:r>
            <w:r>
              <w:rPr>
                <w:rFonts w:hint="default"/>
                <w:sz w:val="24"/>
                <w:szCs w:val="22"/>
                <w:lang w:val="zh-CN"/>
              </w:rPr>
              <w:t>只，</w:t>
            </w:r>
            <w:r>
              <w:rPr>
                <w:rFonts w:hint="default"/>
                <w:sz w:val="24"/>
                <w:szCs w:val="22"/>
              </w:rPr>
              <w:t>均为固定顶贮罐，其大小呼吸废气产生量计算如下。</w:t>
            </w:r>
          </w:p>
          <w:p>
            <w:pPr>
              <w:pStyle w:val="21"/>
              <w:bidi w:val="0"/>
              <w:rPr>
                <w:rFonts w:hint="default"/>
                <w:sz w:val="24"/>
                <w:szCs w:val="22"/>
              </w:rPr>
            </w:pPr>
            <w:r>
              <w:rPr>
                <w:rFonts w:hint="default"/>
                <w:sz w:val="24"/>
                <w:szCs w:val="22"/>
              </w:rPr>
              <w:t>① 小呼吸排放量</w:t>
            </w:r>
          </w:p>
          <w:p>
            <w:pPr>
              <w:pStyle w:val="21"/>
              <w:bidi w:val="0"/>
              <w:rPr>
                <w:rFonts w:hint="default"/>
                <w:sz w:val="24"/>
                <w:szCs w:val="22"/>
              </w:rPr>
            </w:pPr>
            <w:r>
              <w:rPr>
                <w:rFonts w:hint="default"/>
                <w:sz w:val="24"/>
                <w:szCs w:val="22"/>
              </w:rPr>
              <w:t>小呼吸排放是由于温度和大气压力的变化引起蒸气的膨胀和收缩而产生的蒸气排出，它出现在罐内液面无任何变化的情况，是非人为干扰的自然排放方式。</w:t>
            </w:r>
          </w:p>
          <w:p>
            <w:pPr>
              <w:pStyle w:val="21"/>
              <w:bidi w:val="0"/>
              <w:rPr>
                <w:rFonts w:hint="default"/>
                <w:sz w:val="24"/>
                <w:szCs w:val="22"/>
              </w:rPr>
            </w:pPr>
            <w:r>
              <w:rPr>
                <w:rFonts w:hint="default"/>
                <w:sz w:val="24"/>
                <w:szCs w:val="22"/>
              </w:rPr>
              <w:t>固定顶罐的呼吸排放可用下式估算其污染物的排放量：</w:t>
            </w:r>
          </w:p>
          <w:p>
            <w:pPr>
              <w:pStyle w:val="21"/>
              <w:bidi w:val="0"/>
              <w:rPr>
                <w:rFonts w:hint="default"/>
                <w:sz w:val="24"/>
                <w:szCs w:val="22"/>
              </w:rPr>
            </w:pPr>
            <w:r>
              <w:rPr>
                <w:rFonts w:hint="default"/>
                <w:sz w:val="24"/>
                <w:szCs w:val="22"/>
              </w:rPr>
              <w:t>LB = 0.191×M(P/(100910-P))0.68×D1.73×H0.51×△T0.45×FP×C×KC</w:t>
            </w:r>
          </w:p>
          <w:p>
            <w:pPr>
              <w:pStyle w:val="21"/>
              <w:bidi w:val="0"/>
              <w:rPr>
                <w:rFonts w:hint="default"/>
                <w:sz w:val="24"/>
                <w:szCs w:val="22"/>
              </w:rPr>
            </w:pPr>
            <w:r>
              <w:rPr>
                <w:rFonts w:hint="default"/>
                <w:sz w:val="24"/>
                <w:szCs w:val="22"/>
              </w:rPr>
              <w:t>式中：LB — 固定顶罐的呼吸排放量（Kg/a）；</w:t>
            </w:r>
          </w:p>
          <w:p>
            <w:pPr>
              <w:pStyle w:val="21"/>
              <w:bidi w:val="0"/>
              <w:rPr>
                <w:rFonts w:hint="default"/>
                <w:sz w:val="24"/>
                <w:szCs w:val="22"/>
              </w:rPr>
            </w:pPr>
            <w:r>
              <w:rPr>
                <w:rFonts w:hint="default"/>
                <w:sz w:val="24"/>
                <w:szCs w:val="22"/>
              </w:rPr>
              <w:t>M — 储罐内蒸气的分子量；</w:t>
            </w:r>
          </w:p>
          <w:p>
            <w:pPr>
              <w:pStyle w:val="21"/>
              <w:bidi w:val="0"/>
              <w:rPr>
                <w:rFonts w:hint="default"/>
                <w:sz w:val="24"/>
                <w:szCs w:val="22"/>
              </w:rPr>
            </w:pPr>
            <w:r>
              <w:rPr>
                <w:rFonts w:hint="default"/>
                <w:sz w:val="24"/>
                <w:szCs w:val="22"/>
              </w:rPr>
              <w:t>P — 在大量液体状态下，真实的蒸气压力（Pa）；</w:t>
            </w:r>
          </w:p>
          <w:p>
            <w:pPr>
              <w:pStyle w:val="21"/>
              <w:bidi w:val="0"/>
              <w:rPr>
                <w:rFonts w:hint="default"/>
                <w:sz w:val="24"/>
                <w:szCs w:val="22"/>
              </w:rPr>
            </w:pPr>
            <w:r>
              <w:rPr>
                <w:rFonts w:hint="default"/>
                <w:sz w:val="24"/>
                <w:szCs w:val="22"/>
              </w:rPr>
              <w:t>D — 罐的直径（m）；</w:t>
            </w:r>
          </w:p>
          <w:p>
            <w:pPr>
              <w:pStyle w:val="21"/>
              <w:bidi w:val="0"/>
              <w:rPr>
                <w:rFonts w:hint="default"/>
                <w:sz w:val="24"/>
                <w:szCs w:val="22"/>
              </w:rPr>
            </w:pPr>
            <w:r>
              <w:rPr>
                <w:rFonts w:hint="default"/>
                <w:sz w:val="24"/>
                <w:szCs w:val="22"/>
              </w:rPr>
              <w:t>H — 平均蒸气空间高度（m）；</w:t>
            </w:r>
          </w:p>
          <w:p>
            <w:pPr>
              <w:pStyle w:val="21"/>
              <w:bidi w:val="0"/>
              <w:rPr>
                <w:rFonts w:hint="default"/>
                <w:sz w:val="24"/>
                <w:szCs w:val="22"/>
              </w:rPr>
            </w:pPr>
            <w:r>
              <w:rPr>
                <w:rFonts w:hint="default"/>
                <w:sz w:val="24"/>
                <w:szCs w:val="22"/>
              </w:rPr>
              <w:t>△T — 一天之内的平均温度差（℃）；</w:t>
            </w:r>
          </w:p>
          <w:p>
            <w:pPr>
              <w:pStyle w:val="21"/>
              <w:bidi w:val="0"/>
              <w:rPr>
                <w:rFonts w:hint="default"/>
                <w:sz w:val="24"/>
                <w:szCs w:val="22"/>
              </w:rPr>
            </w:pPr>
            <w:r>
              <w:rPr>
                <w:rFonts w:hint="default"/>
                <w:sz w:val="24"/>
                <w:szCs w:val="22"/>
              </w:rPr>
              <w:t>FP — 涂层因子（无量纲），根据油漆状况取值在1~1.5之间；</w:t>
            </w:r>
          </w:p>
          <w:p>
            <w:pPr>
              <w:pStyle w:val="21"/>
              <w:bidi w:val="0"/>
              <w:rPr>
                <w:rFonts w:hint="default"/>
                <w:sz w:val="24"/>
                <w:szCs w:val="22"/>
              </w:rPr>
            </w:pPr>
            <w:r>
              <w:rPr>
                <w:rFonts w:hint="default"/>
                <w:sz w:val="24"/>
                <w:szCs w:val="22"/>
              </w:rPr>
              <w:t>C — 用于小直径罐的调节因子（无量纲）；直径在0~9m之间的罐体，C = 1 - 0.0123(D-9)2；罐径大于9m的C = 1；</w:t>
            </w:r>
          </w:p>
          <w:p>
            <w:pPr>
              <w:pStyle w:val="21"/>
              <w:bidi w:val="0"/>
              <w:rPr>
                <w:rFonts w:hint="default" w:ascii="Times New Roman" w:hAnsi="Times New Roman" w:eastAsia="宋体" w:cs="Times New Roman"/>
                <w:snapToGrid w:val="0"/>
                <w:color w:val="auto"/>
                <w:kern w:val="18"/>
                <w:szCs w:val="24"/>
              </w:rPr>
            </w:pPr>
            <w:r>
              <w:rPr>
                <w:rFonts w:hint="default"/>
                <w:sz w:val="24"/>
                <w:szCs w:val="22"/>
              </w:rPr>
              <w:t>KC — 产品因子（石油原油KC取0.65，其他的有机液体取1.0）</w:t>
            </w:r>
          </w:p>
          <w:p>
            <w:pPr>
              <w:pStyle w:val="21"/>
              <w:bidi w:val="0"/>
              <w:rPr>
                <w:rFonts w:hint="default"/>
                <w:sz w:val="24"/>
                <w:szCs w:val="22"/>
              </w:rPr>
            </w:pPr>
            <w:r>
              <w:rPr>
                <w:rFonts w:hint="default"/>
                <w:sz w:val="24"/>
                <w:szCs w:val="22"/>
              </w:rPr>
              <w:t>② 大呼吸排放量</w:t>
            </w:r>
          </w:p>
          <w:p>
            <w:pPr>
              <w:pStyle w:val="21"/>
              <w:bidi w:val="0"/>
              <w:rPr>
                <w:rFonts w:hint="default"/>
                <w:sz w:val="24"/>
                <w:szCs w:val="22"/>
              </w:rPr>
            </w:pPr>
            <w:r>
              <w:rPr>
                <w:rFonts w:hint="default"/>
                <w:sz w:val="24"/>
                <w:szCs w:val="22"/>
              </w:rPr>
              <w:t>大呼吸排放是由于人为的装料与卸料而产生的损失。因装料的结果，罐内压力超过释放压力时，蒸气从罐内压出；而卸料损失发生于液面排出，空气被抽入罐体内，因空气变成有机蒸气饱和的气体而膨胀，因而超过蒸气空间容纳的能力。</w:t>
            </w:r>
          </w:p>
          <w:p>
            <w:pPr>
              <w:pStyle w:val="21"/>
              <w:bidi w:val="0"/>
              <w:rPr>
                <w:rFonts w:hint="default"/>
                <w:sz w:val="24"/>
                <w:szCs w:val="22"/>
              </w:rPr>
            </w:pPr>
            <w:r>
              <w:rPr>
                <w:rFonts w:hint="default"/>
                <w:sz w:val="24"/>
                <w:szCs w:val="22"/>
              </w:rPr>
              <w:t>可由下式估算固定顶罐的工作排放：</w:t>
            </w:r>
          </w:p>
          <w:p>
            <w:pPr>
              <w:pStyle w:val="21"/>
              <w:bidi w:val="0"/>
              <w:rPr>
                <w:rFonts w:hint="default"/>
                <w:sz w:val="24"/>
                <w:szCs w:val="22"/>
              </w:rPr>
            </w:pPr>
            <w:r>
              <w:rPr>
                <w:rFonts w:hint="default"/>
                <w:sz w:val="24"/>
                <w:szCs w:val="22"/>
              </w:rPr>
              <w:t>LW = 4.188 × 10-7 × M × P × KN × KC</w:t>
            </w:r>
          </w:p>
          <w:p>
            <w:pPr>
              <w:pStyle w:val="21"/>
              <w:bidi w:val="0"/>
              <w:rPr>
                <w:rFonts w:hint="default"/>
                <w:sz w:val="24"/>
                <w:szCs w:val="22"/>
              </w:rPr>
            </w:pPr>
            <w:r>
              <w:rPr>
                <w:rFonts w:hint="default"/>
                <w:sz w:val="24"/>
                <w:szCs w:val="22"/>
              </w:rPr>
              <w:t>式中：LW — 固定顶罐的工作损失（Kg/m3投入量）</w:t>
            </w:r>
          </w:p>
          <w:p>
            <w:pPr>
              <w:pStyle w:val="21"/>
              <w:bidi w:val="0"/>
              <w:rPr>
                <w:rFonts w:hint="default"/>
                <w:sz w:val="24"/>
                <w:szCs w:val="22"/>
              </w:rPr>
            </w:pPr>
            <w:r>
              <w:rPr>
                <w:rFonts w:hint="default"/>
                <w:sz w:val="24"/>
                <w:szCs w:val="22"/>
              </w:rPr>
              <w:t>KN — 周转因子（无量纲），取值按年周转次数（K）确定。</w:t>
            </w:r>
          </w:p>
          <w:p>
            <w:pPr>
              <w:pStyle w:val="21"/>
              <w:bidi w:val="0"/>
              <w:rPr>
                <w:rFonts w:hint="default"/>
                <w:sz w:val="24"/>
                <w:szCs w:val="22"/>
              </w:rPr>
            </w:pPr>
            <w:r>
              <w:rPr>
                <w:rFonts w:hint="default"/>
                <w:sz w:val="24"/>
                <w:szCs w:val="22"/>
              </w:rPr>
              <w:t>K ≤ 36，KN = 1</w:t>
            </w:r>
          </w:p>
          <w:p>
            <w:pPr>
              <w:pStyle w:val="21"/>
              <w:bidi w:val="0"/>
              <w:rPr>
                <w:rFonts w:hint="default"/>
                <w:sz w:val="24"/>
                <w:szCs w:val="22"/>
              </w:rPr>
            </w:pPr>
            <w:r>
              <w:rPr>
                <w:rFonts w:hint="default"/>
                <w:sz w:val="24"/>
                <w:szCs w:val="22"/>
              </w:rPr>
              <w:t>36 &lt; K ≤ 220，KN = 11.467×K-0.7026</w:t>
            </w:r>
          </w:p>
          <w:p>
            <w:pPr>
              <w:pStyle w:val="21"/>
              <w:bidi w:val="0"/>
              <w:rPr>
                <w:rFonts w:hint="default"/>
                <w:sz w:val="24"/>
                <w:szCs w:val="22"/>
              </w:rPr>
            </w:pPr>
            <w:r>
              <w:rPr>
                <w:rFonts w:hint="default"/>
                <w:sz w:val="24"/>
                <w:szCs w:val="22"/>
              </w:rPr>
              <w:t>K &gt; 220，KN = 0.26</w:t>
            </w:r>
          </w:p>
          <w:p>
            <w:pPr>
              <w:pStyle w:val="21"/>
              <w:bidi w:val="0"/>
              <w:rPr>
                <w:rFonts w:hint="default"/>
                <w:sz w:val="24"/>
                <w:szCs w:val="22"/>
              </w:rPr>
            </w:pPr>
            <w:r>
              <w:rPr>
                <w:rFonts w:hint="default"/>
                <w:sz w:val="24"/>
                <w:szCs w:val="22"/>
              </w:rPr>
              <w:t>其他的同上。</w:t>
            </w:r>
          </w:p>
          <w:p>
            <w:pPr>
              <w:pStyle w:val="21"/>
              <w:bidi w:val="0"/>
              <w:rPr>
                <w:rFonts w:hint="default"/>
                <w:sz w:val="24"/>
                <w:szCs w:val="22"/>
              </w:rPr>
            </w:pPr>
            <w:r>
              <w:rPr>
                <w:rFonts w:hint="default"/>
                <w:sz w:val="24"/>
                <w:szCs w:val="22"/>
              </w:rPr>
              <w:t>③ 本项目排放总量</w:t>
            </w:r>
          </w:p>
          <w:tbl>
            <w:tblPr>
              <w:tblStyle w:val="43"/>
              <w:tblpPr w:leftFromText="180" w:rightFromText="180" w:vertAnchor="text" w:horzAnchor="page" w:tblpX="104" w:tblpY="1039"/>
              <w:tblOverlap w:val="never"/>
              <w:tblW w:w="896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84"/>
              <w:gridCol w:w="784"/>
              <w:gridCol w:w="854"/>
              <w:gridCol w:w="854"/>
              <w:gridCol w:w="745"/>
              <w:gridCol w:w="753"/>
              <w:gridCol w:w="878"/>
              <w:gridCol w:w="808"/>
              <w:gridCol w:w="889"/>
              <w:gridCol w:w="784"/>
              <w:gridCol w:w="8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784"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序号</w:t>
                  </w:r>
                </w:p>
              </w:tc>
              <w:tc>
                <w:tcPr>
                  <w:tcW w:w="784"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项目</w:t>
                  </w:r>
                </w:p>
              </w:tc>
              <w:tc>
                <w:tcPr>
                  <w:tcW w:w="854"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M</w:t>
                  </w:r>
                </w:p>
              </w:tc>
              <w:tc>
                <w:tcPr>
                  <w:tcW w:w="854"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P</w:t>
                  </w:r>
                </w:p>
              </w:tc>
              <w:tc>
                <w:tcPr>
                  <w:tcW w:w="745"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D</w:t>
                  </w:r>
                </w:p>
              </w:tc>
              <w:tc>
                <w:tcPr>
                  <w:tcW w:w="753"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H</w:t>
                  </w:r>
                </w:p>
              </w:tc>
              <w:tc>
                <w:tcPr>
                  <w:tcW w:w="878"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△T</w:t>
                  </w:r>
                </w:p>
              </w:tc>
              <w:tc>
                <w:tcPr>
                  <w:tcW w:w="808"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Fp</w:t>
                  </w:r>
                </w:p>
              </w:tc>
              <w:tc>
                <w:tcPr>
                  <w:tcW w:w="889"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Kc</w:t>
                  </w:r>
                </w:p>
              </w:tc>
              <w:tc>
                <w:tcPr>
                  <w:tcW w:w="784"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K</w:t>
                  </w:r>
                </w:p>
              </w:tc>
              <w:tc>
                <w:tcPr>
                  <w:tcW w:w="832"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Kn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84" w:hRule="exact"/>
              </w:trPr>
              <w:tc>
                <w:tcPr>
                  <w:tcW w:w="784"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w:t>
                  </w:r>
                </w:p>
              </w:tc>
              <w:tc>
                <w:tcPr>
                  <w:tcW w:w="784"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沥青烟</w:t>
                  </w:r>
                </w:p>
              </w:tc>
              <w:tc>
                <w:tcPr>
                  <w:tcW w:w="854"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300</w:t>
                  </w:r>
                </w:p>
              </w:tc>
              <w:tc>
                <w:tcPr>
                  <w:tcW w:w="854"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300</w:t>
                  </w:r>
                </w:p>
              </w:tc>
              <w:tc>
                <w:tcPr>
                  <w:tcW w:w="745"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w:t>
                  </w:r>
                </w:p>
              </w:tc>
              <w:tc>
                <w:tcPr>
                  <w:tcW w:w="753"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w:t>
                  </w:r>
                </w:p>
              </w:tc>
              <w:tc>
                <w:tcPr>
                  <w:tcW w:w="878"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12</w:t>
                  </w:r>
                </w:p>
              </w:tc>
              <w:tc>
                <w:tcPr>
                  <w:tcW w:w="808"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w:t>
                  </w:r>
                </w:p>
              </w:tc>
              <w:tc>
                <w:tcPr>
                  <w:tcW w:w="889"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0.65</w:t>
                  </w:r>
                </w:p>
              </w:tc>
              <w:tc>
                <w:tcPr>
                  <w:tcW w:w="784"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14</w:t>
                  </w:r>
                </w:p>
              </w:tc>
              <w:tc>
                <w:tcPr>
                  <w:tcW w:w="832"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w:t>
                  </w:r>
                </w:p>
              </w:tc>
            </w:tr>
          </w:tbl>
          <w:p>
            <w:pPr>
              <w:bidi w:val="0"/>
              <w:rPr>
                <w:rFonts w:hint="default"/>
                <w:sz w:val="24"/>
                <w:szCs w:val="21"/>
              </w:rPr>
            </w:pPr>
            <w:r>
              <w:rPr>
                <w:rFonts w:hint="default"/>
                <w:sz w:val="24"/>
                <w:szCs w:val="20"/>
              </w:rPr>
              <w:t>具体大小呼吸量</w:t>
            </w:r>
            <w:r>
              <w:rPr>
                <w:rFonts w:hint="default"/>
                <w:sz w:val="24"/>
                <w:szCs w:val="20"/>
              </w:rPr>
              <w:fldChar w:fldCharType="begin"/>
            </w:r>
            <w:r>
              <w:rPr>
                <w:rFonts w:hint="default"/>
                <w:sz w:val="24"/>
                <w:szCs w:val="20"/>
              </w:rPr>
              <w:instrText xml:space="preserve"> HYPERLINK "http://wenku.baidu.com/view/084cf676ddccda38376baf83.html" \l "##" </w:instrText>
            </w:r>
            <w:r>
              <w:rPr>
                <w:rFonts w:hint="default"/>
                <w:sz w:val="24"/>
                <w:szCs w:val="20"/>
              </w:rPr>
              <w:fldChar w:fldCharType="separate"/>
            </w:r>
            <w:r>
              <w:rPr>
                <w:rFonts w:hint="default"/>
                <w:sz w:val="24"/>
                <w:szCs w:val="20"/>
              </w:rPr>
              <w:fldChar w:fldCharType="end"/>
            </w:r>
            <w:r>
              <w:rPr>
                <w:rFonts w:hint="default"/>
                <w:sz w:val="24"/>
                <w:szCs w:val="20"/>
              </w:rPr>
              <w:t>计算参数如下表：</w:t>
            </w:r>
          </w:p>
          <w:p>
            <w:pPr>
              <w:ind w:firstLine="422"/>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default" w:ascii="Times New Roman" w:hAnsi="Times New Roman" w:eastAsia="宋体" w:cs="Times New Roman"/>
                <w:b/>
                <w:bCs/>
                <w:spacing w:val="-63"/>
                <w:sz w:val="21"/>
                <w:szCs w:val="21"/>
              </w:rPr>
              <w:t xml:space="preserve"> </w:t>
            </w:r>
            <w:r>
              <w:rPr>
                <w:rFonts w:hint="default" w:ascii="Times New Roman" w:hAnsi="Times New Roman" w:eastAsia="宋体" w:cs="Times New Roman"/>
                <w:b/>
                <w:bCs/>
                <w:sz w:val="21"/>
                <w:szCs w:val="21"/>
                <w:lang w:val="en-US" w:eastAsia="zh-CN"/>
              </w:rPr>
              <w:t>5.2.6-</w:t>
            </w:r>
            <w:r>
              <w:rPr>
                <w:rFonts w:hint="default" w:ascii="Times New Roman" w:hAnsi="Times New Roman" w:eastAsia="宋体" w:cs="Times New Roman"/>
                <w:b/>
                <w:bCs/>
                <w:color w:val="auto"/>
                <w:sz w:val="21"/>
                <w:szCs w:val="21"/>
              </w:rPr>
              <w:t>-4本项目无组织排放计算参数一览表</w:t>
            </w:r>
          </w:p>
          <w:p>
            <w:pPr>
              <w:ind w:firstLine="480"/>
              <w:rPr>
                <w:rFonts w:hint="default" w:ascii="Times New Roman" w:hAnsi="Times New Roman" w:eastAsia="宋体" w:cs="Times New Roman"/>
                <w:snapToGrid w:val="0"/>
                <w:color w:val="auto"/>
                <w:kern w:val="18"/>
                <w:sz w:val="24"/>
                <w:szCs w:val="24"/>
              </w:rPr>
            </w:pPr>
            <w:r>
              <w:rPr>
                <w:rFonts w:hint="default" w:ascii="Times New Roman" w:hAnsi="Times New Roman" w:eastAsia="宋体" w:cs="Times New Roman"/>
                <w:snapToGrid w:val="0"/>
                <w:color w:val="auto"/>
                <w:kern w:val="18"/>
                <w:sz w:val="24"/>
                <w:szCs w:val="24"/>
              </w:rPr>
              <w:t>由上表可得本项目储罐区无组织排放的大小呼吸废气情况，详见表5-5。</w:t>
            </w:r>
          </w:p>
          <w:p>
            <w:pPr>
              <w:spacing w:line="300" w:lineRule="auto"/>
              <w:ind w:firstLine="422"/>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bCs/>
                <w:color w:val="auto"/>
                <w:sz w:val="21"/>
                <w:szCs w:val="21"/>
              </w:rPr>
              <w:t>表</w:t>
            </w:r>
            <w:r>
              <w:rPr>
                <w:rFonts w:hint="default" w:ascii="Times New Roman" w:hAnsi="Times New Roman" w:eastAsia="宋体" w:cs="Times New Roman"/>
                <w:b/>
                <w:bCs/>
                <w:spacing w:val="-63"/>
                <w:sz w:val="21"/>
                <w:szCs w:val="21"/>
              </w:rPr>
              <w:t xml:space="preserve"> </w:t>
            </w:r>
            <w:r>
              <w:rPr>
                <w:rFonts w:hint="default" w:ascii="Times New Roman" w:hAnsi="Times New Roman" w:eastAsia="宋体" w:cs="Times New Roman"/>
                <w:b/>
                <w:bCs/>
                <w:sz w:val="21"/>
                <w:szCs w:val="21"/>
                <w:lang w:val="en-US" w:eastAsia="zh-CN"/>
              </w:rPr>
              <w:t>5.2.6-</w:t>
            </w:r>
            <w:r>
              <w:rPr>
                <w:rFonts w:hint="default" w:ascii="Times New Roman" w:hAnsi="Times New Roman" w:eastAsia="宋体" w:cs="Times New Roman"/>
                <w:b/>
                <w:bCs/>
                <w:color w:val="auto"/>
                <w:sz w:val="21"/>
                <w:szCs w:val="21"/>
              </w:rPr>
              <w:t>5罐区废气产生情况一览表</w:t>
            </w:r>
          </w:p>
          <w:tbl>
            <w:tblPr>
              <w:tblStyle w:val="43"/>
              <w:tblW w:w="9185"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240"/>
              <w:gridCol w:w="1610"/>
              <w:gridCol w:w="2049"/>
              <w:gridCol w:w="2039"/>
              <w:gridCol w:w="224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565" w:hRule="atLeast"/>
                <w:jc w:val="center"/>
              </w:trPr>
              <w:tc>
                <w:tcPr>
                  <w:tcW w:w="1240"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序号</w:t>
                  </w:r>
                </w:p>
              </w:tc>
              <w:tc>
                <w:tcPr>
                  <w:tcW w:w="1610"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污染物名称</w:t>
                  </w:r>
                </w:p>
              </w:tc>
              <w:tc>
                <w:tcPr>
                  <w:tcW w:w="2049"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小呼吸排放量</w:t>
                  </w:r>
                </w:p>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（kg/a）</w:t>
                  </w:r>
                </w:p>
              </w:tc>
              <w:tc>
                <w:tcPr>
                  <w:tcW w:w="2039"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大呼吸排放量</w:t>
                  </w:r>
                </w:p>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（kg/a）</w:t>
                  </w:r>
                </w:p>
              </w:tc>
              <w:tc>
                <w:tcPr>
                  <w:tcW w:w="2247"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污染物产生量</w:t>
                  </w:r>
                </w:p>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5" w:hRule="exact"/>
                <w:jc w:val="center"/>
              </w:trPr>
              <w:tc>
                <w:tcPr>
                  <w:tcW w:w="1240"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w:t>
                  </w:r>
                </w:p>
              </w:tc>
              <w:tc>
                <w:tcPr>
                  <w:tcW w:w="1610"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沥青烟</w:t>
                  </w:r>
                </w:p>
              </w:tc>
              <w:tc>
                <w:tcPr>
                  <w:tcW w:w="2049"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14.4</w:t>
                  </w:r>
                </w:p>
              </w:tc>
              <w:tc>
                <w:tcPr>
                  <w:tcW w:w="2039"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294</w:t>
                  </w:r>
                </w:p>
              </w:tc>
              <w:tc>
                <w:tcPr>
                  <w:tcW w:w="2247" w:type="dxa"/>
                  <w:vAlign w:val="center"/>
                </w:tcPr>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0.3084</w:t>
                  </w:r>
                </w:p>
              </w:tc>
            </w:tr>
          </w:tbl>
          <w:p>
            <w:pPr>
              <w:spacing w:line="240" w:lineRule="auto"/>
              <w:ind w:firstLine="360"/>
              <w:rPr>
                <w:rFonts w:hint="default" w:ascii="Times New Roman" w:hAnsi="Times New Roman" w:eastAsia="宋体" w:cs="Times New Roman"/>
                <w:b/>
                <w:color w:val="auto"/>
                <w:sz w:val="21"/>
                <w:szCs w:val="21"/>
              </w:rPr>
            </w:pPr>
            <w:r>
              <w:rPr>
                <w:rFonts w:hint="default" w:ascii="Times New Roman" w:hAnsi="Times New Roman" w:eastAsia="宋体" w:cs="Times New Roman"/>
                <w:bCs/>
                <w:color w:val="auto"/>
                <w:sz w:val="21"/>
                <w:szCs w:val="21"/>
              </w:rPr>
              <w:t>注：石油沥青在储罐内只需用蒸汽保温120℃，因苯并[a]芘的熔点179℃，大小呼吸废气中污染物，故不会有苯并[a]芘产生。</w:t>
            </w:r>
          </w:p>
          <w:p>
            <w:pPr>
              <w:pStyle w:val="21"/>
              <w:bidi w:val="0"/>
              <w:rPr>
                <w:rFonts w:hint="default"/>
                <w:sz w:val="24"/>
                <w:szCs w:val="22"/>
              </w:rPr>
            </w:pPr>
            <w:r>
              <w:rPr>
                <w:rFonts w:hint="default"/>
                <w:sz w:val="24"/>
                <w:szCs w:val="22"/>
              </w:rPr>
              <w:t>根据《吸附法工业有机废气治理工程技术规范》中治理工程建设应按国家相关的基本建设程序或技术改造审批程序进行。吸附装置的净化效率不得低于90%，进入吸附装置的废气温度宜低于40℃，废气收集应确定集气罩的吸气口位置、结构和风速时，应使罩口呈微负压状态，且罩内负压均匀。预处理时，当废气中颗粒物含量超过1mg/m3时，应先采用过滤或洗涤等方式进行预处理。建设方拟将生产过程中排放的工艺废气和石油沥青罐区大小呼吸废气收集后，由密闭管道</w:t>
            </w:r>
            <w:r>
              <w:rPr>
                <w:rFonts w:hint="default" w:eastAsia="宋体"/>
                <w:sz w:val="24"/>
                <w:szCs w:val="22"/>
              </w:rPr>
              <w:t>引至</w:t>
            </w:r>
            <w:r>
              <w:rPr>
                <w:rFonts w:hint="eastAsia" w:eastAsia="宋体"/>
                <w:sz w:val="24"/>
                <w:szCs w:val="22"/>
                <w:lang w:val="en-US" w:eastAsia="zh-CN"/>
              </w:rPr>
              <w:t>布袋除尘器+过滤棉+活性炭吸附箱</w:t>
            </w:r>
            <w:r>
              <w:rPr>
                <w:rFonts w:hint="default" w:eastAsia="宋体"/>
                <w:sz w:val="24"/>
                <w:szCs w:val="22"/>
              </w:rPr>
              <w:t>吸附处理后由</w:t>
            </w:r>
            <w:r>
              <w:rPr>
                <w:rFonts w:hint="default" w:eastAsia="宋体"/>
                <w:sz w:val="24"/>
                <w:szCs w:val="22"/>
                <w:lang w:val="en-US" w:eastAsia="zh-CN"/>
              </w:rPr>
              <w:t>3</w:t>
            </w:r>
            <w:r>
              <w:rPr>
                <w:rFonts w:hint="default" w:eastAsia="宋体"/>
                <w:sz w:val="24"/>
                <w:szCs w:val="22"/>
              </w:rPr>
              <w:t>#15m排气筒排放。有机污染物去除效</w:t>
            </w:r>
            <w:r>
              <w:rPr>
                <w:rFonts w:hint="default"/>
                <w:sz w:val="24"/>
                <w:szCs w:val="22"/>
              </w:rPr>
              <w:t>率按照 95%计，风量为1000立方米/小时，本项目年排放时间为2400小时，由于沥青保温设备为密闭化设备烟气捕集率以100%计，处理后沥青烟、苯并[a]芘有组织排放量分别为0.0156t/a、8.65*10-6t/a，最大排放速率为0.0065kg/h、3.6*10-6kg/h，排放浓度为6.5mg/m</w:t>
            </w:r>
            <w:r>
              <w:rPr>
                <w:rFonts w:hint="default"/>
                <w:sz w:val="24"/>
                <w:szCs w:val="22"/>
                <w:vertAlign w:val="superscript"/>
              </w:rPr>
              <w:t>3</w:t>
            </w:r>
            <w:r>
              <w:rPr>
                <w:rFonts w:hint="default"/>
                <w:sz w:val="24"/>
                <w:szCs w:val="22"/>
              </w:rPr>
              <w:t>、0.0036mg/m</w:t>
            </w:r>
            <w:r>
              <w:rPr>
                <w:rFonts w:hint="default"/>
                <w:sz w:val="24"/>
                <w:szCs w:val="22"/>
                <w:vertAlign w:val="superscript"/>
              </w:rPr>
              <w:t>3</w:t>
            </w:r>
            <w:r>
              <w:rPr>
                <w:rFonts w:hint="default"/>
                <w:sz w:val="24"/>
                <w:szCs w:val="22"/>
              </w:rPr>
              <w:t>。</w:t>
            </w:r>
          </w:p>
          <w:p>
            <w:pPr>
              <w:pStyle w:val="21"/>
              <w:bidi w:val="0"/>
              <w:rPr>
                <w:rFonts w:hint="default"/>
                <w:sz w:val="24"/>
                <w:szCs w:val="22"/>
              </w:rPr>
            </w:pPr>
            <w:r>
              <w:rPr>
                <w:rFonts w:hint="default"/>
                <w:sz w:val="24"/>
                <w:szCs w:val="22"/>
              </w:rPr>
              <w:t>本项目沥青储罐区、沥青保温设备产生的工艺废气均收集处理，装卸沥青时采用气相平衡管，基本上杜绝工艺废气的无组织排放。但在实际生产过程中会有微量的沥青烟气从物料转移接口、管道法兰处泄漏，物料挥发耗损约占</w:t>
            </w:r>
            <w:r>
              <w:rPr>
                <w:rFonts w:hint="default"/>
                <w:sz w:val="24"/>
                <w:szCs w:val="22"/>
                <w:lang w:val="en-US" w:eastAsia="zh-CN"/>
              </w:rPr>
              <w:t>总量</w:t>
            </w:r>
            <w:r>
              <w:rPr>
                <w:rFonts w:hint="default"/>
                <w:sz w:val="24"/>
                <w:szCs w:val="22"/>
              </w:rPr>
              <w:t>的0.1%，</w:t>
            </w:r>
            <w:r>
              <w:rPr>
                <w:rFonts w:hint="default"/>
                <w:sz w:val="24"/>
                <w:szCs w:val="22"/>
                <w:lang w:val="en-US" w:eastAsia="zh-CN"/>
              </w:rPr>
              <w:t>则</w:t>
            </w:r>
            <w:r>
              <w:rPr>
                <w:rFonts w:hint="default"/>
                <w:sz w:val="24"/>
                <w:szCs w:val="22"/>
              </w:rPr>
              <w:t>本项目</w:t>
            </w:r>
            <w:r>
              <w:rPr>
                <w:rFonts w:hint="default"/>
                <w:sz w:val="24"/>
                <w:szCs w:val="22"/>
                <w:lang w:val="en-US" w:eastAsia="zh-CN"/>
              </w:rPr>
              <w:t>沥青烟</w:t>
            </w:r>
            <w:r>
              <w:rPr>
                <w:rFonts w:hint="default"/>
                <w:sz w:val="24"/>
                <w:szCs w:val="22"/>
              </w:rPr>
              <w:t>、苯并[a]芘无组织排放量分别为</w:t>
            </w:r>
            <w:r>
              <w:rPr>
                <w:rFonts w:hint="default"/>
                <w:sz w:val="24"/>
                <w:szCs w:val="22"/>
                <w:lang w:val="en-US" w:eastAsia="zh-CN"/>
              </w:rPr>
              <w:t>0.000312</w:t>
            </w:r>
            <w:r>
              <w:rPr>
                <w:rFonts w:hint="default"/>
                <w:sz w:val="24"/>
                <w:szCs w:val="22"/>
              </w:rPr>
              <w:t>t/a、</w:t>
            </w:r>
            <w:r>
              <w:rPr>
                <w:rFonts w:hint="default"/>
                <w:sz w:val="24"/>
                <w:szCs w:val="22"/>
                <w:lang w:val="en-US" w:eastAsia="zh-CN"/>
              </w:rPr>
              <w:t>1.73</w:t>
            </w:r>
            <w:r>
              <w:rPr>
                <w:rFonts w:hint="default"/>
                <w:sz w:val="24"/>
                <w:szCs w:val="22"/>
              </w:rPr>
              <w:t>*10-</w:t>
            </w:r>
            <w:r>
              <w:rPr>
                <w:rFonts w:hint="default"/>
                <w:sz w:val="24"/>
                <w:szCs w:val="22"/>
                <w:lang w:val="en-US" w:eastAsia="zh-CN"/>
              </w:rPr>
              <w:t>7</w:t>
            </w:r>
            <w:r>
              <w:rPr>
                <w:rFonts w:hint="default"/>
                <w:sz w:val="24"/>
                <w:szCs w:val="22"/>
              </w:rPr>
              <w:t>t/a，最大排放速率为</w:t>
            </w:r>
            <w:r>
              <w:rPr>
                <w:rFonts w:hint="default"/>
                <w:sz w:val="24"/>
                <w:szCs w:val="22"/>
                <w:lang w:val="en-US" w:eastAsia="zh-CN"/>
              </w:rPr>
              <w:t>0.00013</w:t>
            </w:r>
            <w:r>
              <w:rPr>
                <w:rFonts w:hint="default"/>
                <w:sz w:val="24"/>
                <w:szCs w:val="22"/>
              </w:rPr>
              <w:t>kg/h、</w:t>
            </w:r>
            <w:r>
              <w:rPr>
                <w:rFonts w:hint="default"/>
                <w:sz w:val="24"/>
                <w:szCs w:val="22"/>
                <w:lang w:val="en-US" w:eastAsia="zh-CN"/>
              </w:rPr>
              <w:t>7.21</w:t>
            </w:r>
            <w:r>
              <w:rPr>
                <w:rFonts w:hint="default"/>
                <w:sz w:val="24"/>
                <w:szCs w:val="22"/>
              </w:rPr>
              <w:t>*10-</w:t>
            </w:r>
            <w:r>
              <w:rPr>
                <w:rFonts w:hint="default"/>
                <w:sz w:val="24"/>
                <w:szCs w:val="22"/>
                <w:lang w:val="en-US" w:eastAsia="zh-CN"/>
              </w:rPr>
              <w:t>8</w:t>
            </w:r>
            <w:r>
              <w:rPr>
                <w:rFonts w:hint="default"/>
                <w:sz w:val="24"/>
                <w:szCs w:val="22"/>
              </w:rPr>
              <w:t>kg/h。</w:t>
            </w:r>
          </w:p>
          <w:p>
            <w:pPr>
              <w:pStyle w:val="21"/>
              <w:bidi w:val="0"/>
              <w:rPr>
                <w:rFonts w:hint="default" w:ascii="Times New Roman" w:hAnsi="Times New Roman" w:eastAsia="宋体" w:cs="Times New Roman"/>
                <w:color w:val="auto"/>
                <w:szCs w:val="24"/>
              </w:rPr>
            </w:pPr>
            <w:r>
              <w:rPr>
                <w:rFonts w:hint="default"/>
                <w:sz w:val="24"/>
                <w:szCs w:val="22"/>
              </w:rPr>
              <w:t>建设项目有组织废气产生及排放状况见</w:t>
            </w:r>
            <w:r>
              <w:rPr>
                <w:rFonts w:hint="eastAsia"/>
                <w:sz w:val="24"/>
                <w:szCs w:val="22"/>
                <w:lang w:eastAsia="zh-CN"/>
              </w:rPr>
              <w:t>下表</w:t>
            </w:r>
            <w:r>
              <w:rPr>
                <w:rFonts w:hint="default"/>
                <w:sz w:val="24"/>
                <w:szCs w:val="22"/>
              </w:rPr>
              <w:t>，无组织废气产生及排放情况见</w:t>
            </w:r>
            <w:r>
              <w:rPr>
                <w:rFonts w:hint="eastAsia"/>
                <w:sz w:val="24"/>
                <w:szCs w:val="22"/>
                <w:lang w:eastAsia="zh-CN"/>
              </w:rPr>
              <w:t>下表</w:t>
            </w:r>
            <w:r>
              <w:rPr>
                <w:rFonts w:hint="default"/>
                <w:sz w:val="24"/>
                <w:szCs w:val="22"/>
              </w:rPr>
              <w:t>。</w:t>
            </w:r>
          </w:p>
          <w:p>
            <w:pPr>
              <w:pStyle w:val="228"/>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表</w:t>
            </w:r>
            <w:r>
              <w:rPr>
                <w:rFonts w:hint="default" w:ascii="Times New Roman" w:hAnsi="Times New Roman" w:eastAsia="宋体" w:cs="Times New Roman"/>
                <w:spacing w:val="-63"/>
                <w:sz w:val="21"/>
                <w:szCs w:val="21"/>
              </w:rPr>
              <w:t xml:space="preserve"> </w:t>
            </w:r>
            <w:r>
              <w:rPr>
                <w:rFonts w:hint="default" w:ascii="Times New Roman" w:hAnsi="Times New Roman" w:eastAsia="宋体" w:cs="Times New Roman"/>
                <w:sz w:val="21"/>
                <w:szCs w:val="21"/>
                <w:lang w:val="en-US" w:eastAsia="zh-CN"/>
              </w:rPr>
              <w:t>5.2.6-</w:t>
            </w:r>
            <w:r>
              <w:rPr>
                <w:rFonts w:hint="default" w:ascii="Times New Roman" w:hAnsi="Times New Roman" w:eastAsia="宋体" w:cs="Times New Roman"/>
                <w:color w:val="auto"/>
                <w:sz w:val="21"/>
                <w:szCs w:val="21"/>
              </w:rPr>
              <w:t xml:space="preserve">6 </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建设项目有组织废气产生及排放情况</w:t>
            </w:r>
          </w:p>
          <w:tbl>
            <w:tblPr>
              <w:tblStyle w:val="43"/>
              <w:tblW w:w="9185"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59"/>
              <w:gridCol w:w="575"/>
              <w:gridCol w:w="563"/>
              <w:gridCol w:w="655"/>
              <w:gridCol w:w="698"/>
              <w:gridCol w:w="924"/>
              <w:gridCol w:w="996"/>
              <w:gridCol w:w="828"/>
              <w:gridCol w:w="14"/>
              <w:gridCol w:w="722"/>
              <w:gridCol w:w="702"/>
              <w:gridCol w:w="961"/>
              <w:gridCol w:w="98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23" w:hRule="atLeast"/>
                <w:jc w:val="center"/>
              </w:trPr>
              <w:tc>
                <w:tcPr>
                  <w:tcW w:w="559" w:type="dxa"/>
                  <w:vMerge w:val="restart"/>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排气筒编号</w:t>
                  </w:r>
                </w:p>
              </w:tc>
              <w:tc>
                <w:tcPr>
                  <w:tcW w:w="575" w:type="dxa"/>
                  <w:vMerge w:val="restart"/>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污染源</w:t>
                  </w:r>
                </w:p>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名称</w:t>
                  </w:r>
                </w:p>
              </w:tc>
              <w:tc>
                <w:tcPr>
                  <w:tcW w:w="563" w:type="dxa"/>
                  <w:vMerge w:val="restart"/>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排气量</w:t>
                  </w:r>
                </w:p>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（m3 /h）</w:t>
                  </w:r>
                </w:p>
              </w:tc>
              <w:tc>
                <w:tcPr>
                  <w:tcW w:w="655" w:type="dxa"/>
                  <w:vMerge w:val="restart"/>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污染物</w:t>
                  </w:r>
                </w:p>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名称</w:t>
                  </w:r>
                </w:p>
              </w:tc>
              <w:tc>
                <w:tcPr>
                  <w:tcW w:w="2618" w:type="dxa"/>
                  <w:gridSpan w:val="3"/>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产生状况</w:t>
                  </w:r>
                </w:p>
              </w:tc>
              <w:tc>
                <w:tcPr>
                  <w:tcW w:w="828" w:type="dxa"/>
                  <w:vMerge w:val="restart"/>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治理措施</w:t>
                  </w:r>
                </w:p>
              </w:tc>
              <w:tc>
                <w:tcPr>
                  <w:tcW w:w="736" w:type="dxa"/>
                  <w:gridSpan w:val="2"/>
                  <w:vMerge w:val="restart"/>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去除率（％）</w:t>
                  </w:r>
                </w:p>
              </w:tc>
              <w:tc>
                <w:tcPr>
                  <w:tcW w:w="2651" w:type="dxa"/>
                  <w:gridSpan w:val="3"/>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排放状况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2" w:hRule="atLeast"/>
                <w:jc w:val="center"/>
              </w:trPr>
              <w:tc>
                <w:tcPr>
                  <w:tcW w:w="559" w:type="dxa"/>
                  <w:vMerge w:val="continue"/>
                  <w:vAlign w:val="center"/>
                </w:tcPr>
                <w:p>
                  <w:pPr>
                    <w:adjustRightInd w:val="0"/>
                    <w:snapToGrid w:val="0"/>
                    <w:jc w:val="center"/>
                    <w:rPr>
                      <w:rFonts w:hint="default" w:ascii="Times New Roman" w:hAnsi="Times New Roman" w:eastAsia="宋体" w:cs="Times New Roman"/>
                      <w:bCs/>
                      <w:sz w:val="21"/>
                      <w:szCs w:val="21"/>
                    </w:rPr>
                  </w:pPr>
                </w:p>
              </w:tc>
              <w:tc>
                <w:tcPr>
                  <w:tcW w:w="575" w:type="dxa"/>
                  <w:vMerge w:val="continue"/>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p>
              </w:tc>
              <w:tc>
                <w:tcPr>
                  <w:tcW w:w="563" w:type="dxa"/>
                  <w:vMerge w:val="continue"/>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p>
              </w:tc>
              <w:tc>
                <w:tcPr>
                  <w:tcW w:w="655" w:type="dxa"/>
                  <w:vMerge w:val="continue"/>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p>
              </w:tc>
              <w:tc>
                <w:tcPr>
                  <w:tcW w:w="698"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浓度</w:t>
                  </w:r>
                </w:p>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(mg/ m3)</w:t>
                  </w:r>
                </w:p>
              </w:tc>
              <w:tc>
                <w:tcPr>
                  <w:tcW w:w="924"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速率</w:t>
                  </w:r>
                </w:p>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(kg/h)</w:t>
                  </w:r>
                </w:p>
              </w:tc>
              <w:tc>
                <w:tcPr>
                  <w:tcW w:w="996"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年产</w:t>
                  </w:r>
                </w:p>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生量（t/a）</w:t>
                  </w:r>
                </w:p>
              </w:tc>
              <w:tc>
                <w:tcPr>
                  <w:tcW w:w="828" w:type="dxa"/>
                  <w:vMerge w:val="continue"/>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p>
              </w:tc>
              <w:tc>
                <w:tcPr>
                  <w:tcW w:w="736" w:type="dxa"/>
                  <w:gridSpan w:val="2"/>
                  <w:vMerge w:val="continue"/>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p>
              </w:tc>
              <w:tc>
                <w:tcPr>
                  <w:tcW w:w="702"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浓度</w:t>
                  </w:r>
                </w:p>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(mg/ m3)</w:t>
                  </w:r>
                </w:p>
              </w:tc>
              <w:tc>
                <w:tcPr>
                  <w:tcW w:w="961"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速率</w:t>
                  </w:r>
                </w:p>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(kg/h)</w:t>
                  </w:r>
                </w:p>
              </w:tc>
              <w:tc>
                <w:tcPr>
                  <w:tcW w:w="988"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年排</w:t>
                  </w:r>
                </w:p>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放量</w:t>
                  </w:r>
                </w:p>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559" w:type="dxa"/>
                  <w:vMerge w:val="restart"/>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w:t>
                  </w:r>
                </w:p>
              </w:tc>
              <w:tc>
                <w:tcPr>
                  <w:tcW w:w="575" w:type="dxa"/>
                  <w:vMerge w:val="restart"/>
                  <w:tcMar>
                    <w:left w:w="0" w:type="dxa"/>
                    <w:right w:w="0"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筛分、搅拌、烘干废气</w:t>
                  </w:r>
                </w:p>
              </w:tc>
              <w:tc>
                <w:tcPr>
                  <w:tcW w:w="563" w:type="dxa"/>
                  <w:vMerge w:val="restart"/>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5000</w:t>
                  </w:r>
                </w:p>
              </w:tc>
              <w:tc>
                <w:tcPr>
                  <w:tcW w:w="655"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颗粒物</w:t>
                  </w:r>
                </w:p>
              </w:tc>
              <w:tc>
                <w:tcPr>
                  <w:tcW w:w="698"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98.1</w:t>
                  </w:r>
                </w:p>
              </w:tc>
              <w:tc>
                <w:tcPr>
                  <w:tcW w:w="924"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0.491</w:t>
                  </w:r>
                </w:p>
              </w:tc>
              <w:tc>
                <w:tcPr>
                  <w:tcW w:w="996"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3.53</w:t>
                  </w:r>
                </w:p>
              </w:tc>
              <w:tc>
                <w:tcPr>
                  <w:tcW w:w="828" w:type="dxa"/>
                  <w:vMerge w:val="restart"/>
                  <w:tcMar>
                    <w:left w:w="0" w:type="dxa"/>
                    <w:right w:w="0"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布袋除尘器</w:t>
                  </w:r>
                </w:p>
              </w:tc>
              <w:tc>
                <w:tcPr>
                  <w:tcW w:w="736" w:type="dxa"/>
                  <w:gridSpan w:val="2"/>
                  <w:tcMar>
                    <w:left w:w="0" w:type="dxa"/>
                    <w:right w:w="0"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90%</w:t>
                  </w:r>
                </w:p>
              </w:tc>
              <w:tc>
                <w:tcPr>
                  <w:tcW w:w="702"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9.81</w:t>
                  </w:r>
                </w:p>
              </w:tc>
              <w:tc>
                <w:tcPr>
                  <w:tcW w:w="961"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0.0491</w:t>
                  </w:r>
                </w:p>
              </w:tc>
              <w:tc>
                <w:tcPr>
                  <w:tcW w:w="988"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0.353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559" w:type="dxa"/>
                  <w:vMerge w:val="continue"/>
                  <w:vAlign w:val="center"/>
                </w:tcPr>
                <w:p>
                  <w:pPr>
                    <w:adjustRightInd w:val="0"/>
                    <w:snapToGrid w:val="0"/>
                    <w:jc w:val="center"/>
                    <w:rPr>
                      <w:rFonts w:hint="default" w:ascii="Times New Roman" w:hAnsi="Times New Roman" w:eastAsia="宋体" w:cs="Times New Roman"/>
                      <w:bCs/>
                      <w:sz w:val="21"/>
                      <w:szCs w:val="21"/>
                    </w:rPr>
                  </w:pPr>
                </w:p>
              </w:tc>
              <w:tc>
                <w:tcPr>
                  <w:tcW w:w="575" w:type="dxa"/>
                  <w:vMerge w:val="continue"/>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p>
              </w:tc>
              <w:tc>
                <w:tcPr>
                  <w:tcW w:w="563" w:type="dxa"/>
                  <w:vMerge w:val="continue"/>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p>
              </w:tc>
              <w:tc>
                <w:tcPr>
                  <w:tcW w:w="655"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SO2</w:t>
                  </w:r>
                </w:p>
              </w:tc>
              <w:tc>
                <w:tcPr>
                  <w:tcW w:w="698"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14.25</w:t>
                  </w:r>
                </w:p>
              </w:tc>
              <w:tc>
                <w:tcPr>
                  <w:tcW w:w="924"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0.0713</w:t>
                  </w:r>
                </w:p>
              </w:tc>
              <w:tc>
                <w:tcPr>
                  <w:tcW w:w="996"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0.513</w:t>
                  </w:r>
                </w:p>
              </w:tc>
              <w:tc>
                <w:tcPr>
                  <w:tcW w:w="828" w:type="dxa"/>
                  <w:vMerge w:val="continue"/>
                  <w:tcMar>
                    <w:left w:w="0" w:type="dxa"/>
                    <w:right w:w="0" w:type="dxa"/>
                  </w:tcMar>
                  <w:vAlign w:val="center"/>
                </w:tcPr>
                <w:p>
                  <w:pPr>
                    <w:adjustRightInd w:val="0"/>
                    <w:snapToGrid w:val="0"/>
                    <w:jc w:val="center"/>
                    <w:rPr>
                      <w:rFonts w:hint="default" w:ascii="Times New Roman" w:hAnsi="Times New Roman" w:eastAsia="宋体" w:cs="Times New Roman"/>
                      <w:bCs/>
                      <w:sz w:val="21"/>
                      <w:szCs w:val="21"/>
                      <w:lang w:val="en-US" w:eastAsia="zh-CN"/>
                    </w:rPr>
                  </w:pPr>
                </w:p>
              </w:tc>
              <w:tc>
                <w:tcPr>
                  <w:tcW w:w="736" w:type="dxa"/>
                  <w:gridSpan w:val="2"/>
                  <w:tcMar>
                    <w:left w:w="0" w:type="dxa"/>
                    <w:right w:w="0"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0</w:t>
                  </w:r>
                </w:p>
              </w:tc>
              <w:tc>
                <w:tcPr>
                  <w:tcW w:w="702"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14.25</w:t>
                  </w:r>
                </w:p>
              </w:tc>
              <w:tc>
                <w:tcPr>
                  <w:tcW w:w="961"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0.0713</w:t>
                  </w:r>
                </w:p>
              </w:tc>
              <w:tc>
                <w:tcPr>
                  <w:tcW w:w="988"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0.513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559" w:type="dxa"/>
                  <w:vMerge w:val="continue"/>
                  <w:vAlign w:val="center"/>
                </w:tcPr>
                <w:p>
                  <w:pPr>
                    <w:adjustRightInd w:val="0"/>
                    <w:snapToGrid w:val="0"/>
                    <w:jc w:val="center"/>
                    <w:rPr>
                      <w:rFonts w:hint="default" w:ascii="Times New Roman" w:hAnsi="Times New Roman" w:eastAsia="宋体" w:cs="Times New Roman"/>
                      <w:bCs/>
                      <w:sz w:val="21"/>
                      <w:szCs w:val="21"/>
                    </w:rPr>
                  </w:pPr>
                </w:p>
              </w:tc>
              <w:tc>
                <w:tcPr>
                  <w:tcW w:w="575" w:type="dxa"/>
                  <w:vMerge w:val="continue"/>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p>
              </w:tc>
              <w:tc>
                <w:tcPr>
                  <w:tcW w:w="563" w:type="dxa"/>
                  <w:vMerge w:val="continue"/>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p>
              </w:tc>
              <w:tc>
                <w:tcPr>
                  <w:tcW w:w="655"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NOX</w:t>
                  </w:r>
                </w:p>
              </w:tc>
              <w:tc>
                <w:tcPr>
                  <w:tcW w:w="698"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27</w:t>
                  </w:r>
                </w:p>
              </w:tc>
              <w:tc>
                <w:tcPr>
                  <w:tcW w:w="924"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0.135</w:t>
                  </w:r>
                </w:p>
              </w:tc>
              <w:tc>
                <w:tcPr>
                  <w:tcW w:w="996"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0.972</w:t>
                  </w:r>
                </w:p>
              </w:tc>
              <w:tc>
                <w:tcPr>
                  <w:tcW w:w="828" w:type="dxa"/>
                  <w:vMerge w:val="continue"/>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p>
              </w:tc>
              <w:tc>
                <w:tcPr>
                  <w:tcW w:w="736" w:type="dxa"/>
                  <w:gridSpan w:val="2"/>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0</w:t>
                  </w:r>
                </w:p>
              </w:tc>
              <w:tc>
                <w:tcPr>
                  <w:tcW w:w="702"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27</w:t>
                  </w:r>
                </w:p>
              </w:tc>
              <w:tc>
                <w:tcPr>
                  <w:tcW w:w="961"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0.135</w:t>
                  </w:r>
                </w:p>
              </w:tc>
              <w:tc>
                <w:tcPr>
                  <w:tcW w:w="988"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0.972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559" w:type="dxa"/>
                  <w:vMerge w:val="restart"/>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w:t>
                  </w:r>
                </w:p>
              </w:tc>
              <w:tc>
                <w:tcPr>
                  <w:tcW w:w="575" w:type="dxa"/>
                  <w:vMerge w:val="restart"/>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锅炉废气</w:t>
                  </w:r>
                </w:p>
              </w:tc>
              <w:tc>
                <w:tcPr>
                  <w:tcW w:w="563" w:type="dxa"/>
                  <w:vMerge w:val="restart"/>
                  <w:tcMar>
                    <w:left w:w="0" w:type="dxa"/>
                    <w:right w:w="0"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247</w:t>
                  </w:r>
                </w:p>
              </w:tc>
              <w:tc>
                <w:tcPr>
                  <w:tcW w:w="655"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SO2</w:t>
                  </w:r>
                </w:p>
              </w:tc>
              <w:tc>
                <w:tcPr>
                  <w:tcW w:w="698"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107</w:t>
                  </w:r>
                </w:p>
              </w:tc>
              <w:tc>
                <w:tcPr>
                  <w:tcW w:w="924"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rPr>
                    <w:t>0.0</w:t>
                  </w:r>
                  <w:r>
                    <w:rPr>
                      <w:rFonts w:hint="default" w:ascii="Times New Roman" w:hAnsi="Times New Roman" w:eastAsia="宋体" w:cs="Times New Roman"/>
                      <w:bCs/>
                      <w:sz w:val="21"/>
                      <w:szCs w:val="21"/>
                      <w:lang w:val="en-US" w:eastAsia="zh-CN"/>
                    </w:rPr>
                    <w:t>264</w:t>
                  </w:r>
                </w:p>
              </w:tc>
              <w:tc>
                <w:tcPr>
                  <w:tcW w:w="996"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0.095</w:t>
                  </w:r>
                </w:p>
              </w:tc>
              <w:tc>
                <w:tcPr>
                  <w:tcW w:w="1564" w:type="dxa"/>
                  <w:gridSpan w:val="3"/>
                  <w:vMerge w:val="restart"/>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w:t>
                  </w:r>
                </w:p>
              </w:tc>
              <w:tc>
                <w:tcPr>
                  <w:tcW w:w="702"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107</w:t>
                  </w:r>
                </w:p>
              </w:tc>
              <w:tc>
                <w:tcPr>
                  <w:tcW w:w="961"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0.0</w:t>
                  </w:r>
                  <w:r>
                    <w:rPr>
                      <w:rFonts w:hint="default" w:ascii="Times New Roman" w:hAnsi="Times New Roman" w:eastAsia="宋体" w:cs="Times New Roman"/>
                      <w:bCs/>
                      <w:sz w:val="21"/>
                      <w:szCs w:val="21"/>
                      <w:lang w:val="en-US" w:eastAsia="zh-CN"/>
                    </w:rPr>
                    <w:t>264</w:t>
                  </w:r>
                </w:p>
              </w:tc>
              <w:tc>
                <w:tcPr>
                  <w:tcW w:w="988"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0.095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559" w:type="dxa"/>
                  <w:vMerge w:val="continue"/>
                  <w:vAlign w:val="center"/>
                </w:tcPr>
                <w:p>
                  <w:pPr>
                    <w:adjustRightInd w:val="0"/>
                    <w:snapToGrid w:val="0"/>
                    <w:jc w:val="center"/>
                    <w:rPr>
                      <w:rFonts w:hint="default" w:ascii="Times New Roman" w:hAnsi="Times New Roman" w:eastAsia="宋体" w:cs="Times New Roman"/>
                      <w:bCs/>
                      <w:sz w:val="21"/>
                      <w:szCs w:val="21"/>
                    </w:rPr>
                  </w:pPr>
                </w:p>
              </w:tc>
              <w:tc>
                <w:tcPr>
                  <w:tcW w:w="575" w:type="dxa"/>
                  <w:vMerge w:val="continue"/>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p>
              </w:tc>
              <w:tc>
                <w:tcPr>
                  <w:tcW w:w="563" w:type="dxa"/>
                  <w:vMerge w:val="continue"/>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p>
              </w:tc>
              <w:tc>
                <w:tcPr>
                  <w:tcW w:w="655"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NOX</w:t>
                  </w:r>
                </w:p>
              </w:tc>
              <w:tc>
                <w:tcPr>
                  <w:tcW w:w="698"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206</w:t>
                  </w:r>
                </w:p>
              </w:tc>
              <w:tc>
                <w:tcPr>
                  <w:tcW w:w="924"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rPr>
                    <w:t>0.0</w:t>
                  </w:r>
                  <w:r>
                    <w:rPr>
                      <w:rFonts w:hint="default" w:ascii="Times New Roman" w:hAnsi="Times New Roman" w:eastAsia="宋体" w:cs="Times New Roman"/>
                      <w:bCs/>
                      <w:sz w:val="21"/>
                      <w:szCs w:val="21"/>
                      <w:lang w:val="en-US" w:eastAsia="zh-CN"/>
                    </w:rPr>
                    <w:t>511</w:t>
                  </w:r>
                </w:p>
              </w:tc>
              <w:tc>
                <w:tcPr>
                  <w:tcW w:w="996"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0.184</w:t>
                  </w:r>
                </w:p>
              </w:tc>
              <w:tc>
                <w:tcPr>
                  <w:tcW w:w="1564" w:type="dxa"/>
                  <w:gridSpan w:val="3"/>
                  <w:vMerge w:val="continue"/>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p>
              </w:tc>
              <w:tc>
                <w:tcPr>
                  <w:tcW w:w="702"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206</w:t>
                  </w:r>
                </w:p>
              </w:tc>
              <w:tc>
                <w:tcPr>
                  <w:tcW w:w="961"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0.0</w:t>
                  </w:r>
                  <w:r>
                    <w:rPr>
                      <w:rFonts w:hint="default" w:ascii="Times New Roman" w:hAnsi="Times New Roman" w:eastAsia="宋体" w:cs="Times New Roman"/>
                      <w:bCs/>
                      <w:sz w:val="21"/>
                      <w:szCs w:val="21"/>
                      <w:lang w:val="en-US" w:eastAsia="zh-CN"/>
                    </w:rPr>
                    <w:t>511</w:t>
                  </w:r>
                </w:p>
              </w:tc>
              <w:tc>
                <w:tcPr>
                  <w:tcW w:w="988"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0.184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559" w:type="dxa"/>
                  <w:vMerge w:val="continue"/>
                  <w:vAlign w:val="center"/>
                </w:tcPr>
                <w:p>
                  <w:pPr>
                    <w:adjustRightInd w:val="0"/>
                    <w:snapToGrid w:val="0"/>
                    <w:jc w:val="center"/>
                    <w:rPr>
                      <w:rFonts w:hint="default" w:ascii="Times New Roman" w:hAnsi="Times New Roman" w:eastAsia="宋体" w:cs="Times New Roman"/>
                      <w:bCs/>
                      <w:sz w:val="21"/>
                      <w:szCs w:val="21"/>
                    </w:rPr>
                  </w:pPr>
                </w:p>
              </w:tc>
              <w:tc>
                <w:tcPr>
                  <w:tcW w:w="575" w:type="dxa"/>
                  <w:vMerge w:val="continue"/>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p>
              </w:tc>
              <w:tc>
                <w:tcPr>
                  <w:tcW w:w="563" w:type="dxa"/>
                  <w:vMerge w:val="continue"/>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p>
              </w:tc>
              <w:tc>
                <w:tcPr>
                  <w:tcW w:w="655"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烟尘</w:t>
                  </w:r>
                </w:p>
              </w:tc>
              <w:tc>
                <w:tcPr>
                  <w:tcW w:w="698"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15</w:t>
                  </w:r>
                </w:p>
              </w:tc>
              <w:tc>
                <w:tcPr>
                  <w:tcW w:w="924"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rPr>
                    <w:t>0.00</w:t>
                  </w:r>
                  <w:r>
                    <w:rPr>
                      <w:rFonts w:hint="default" w:ascii="Times New Roman" w:hAnsi="Times New Roman" w:eastAsia="宋体" w:cs="Times New Roman"/>
                      <w:bCs/>
                      <w:sz w:val="21"/>
                      <w:szCs w:val="21"/>
                      <w:lang w:val="en-US" w:eastAsia="zh-CN"/>
                    </w:rPr>
                    <w:t>361</w:t>
                  </w:r>
                </w:p>
              </w:tc>
              <w:tc>
                <w:tcPr>
                  <w:tcW w:w="996"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0.013</w:t>
                  </w:r>
                </w:p>
              </w:tc>
              <w:tc>
                <w:tcPr>
                  <w:tcW w:w="1564" w:type="dxa"/>
                  <w:gridSpan w:val="3"/>
                  <w:vMerge w:val="continue"/>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p>
              </w:tc>
              <w:tc>
                <w:tcPr>
                  <w:tcW w:w="702"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15</w:t>
                  </w:r>
                </w:p>
              </w:tc>
              <w:tc>
                <w:tcPr>
                  <w:tcW w:w="961"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0.00</w:t>
                  </w:r>
                  <w:r>
                    <w:rPr>
                      <w:rFonts w:hint="default" w:ascii="Times New Roman" w:hAnsi="Times New Roman" w:eastAsia="宋体" w:cs="Times New Roman"/>
                      <w:bCs/>
                      <w:sz w:val="21"/>
                      <w:szCs w:val="21"/>
                      <w:lang w:val="en-US" w:eastAsia="zh-CN"/>
                    </w:rPr>
                    <w:t>361</w:t>
                  </w:r>
                </w:p>
              </w:tc>
              <w:tc>
                <w:tcPr>
                  <w:tcW w:w="988"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0.013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559" w:type="dxa"/>
                  <w:vMerge w:val="restart"/>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w:t>
                  </w:r>
                </w:p>
              </w:tc>
              <w:tc>
                <w:tcPr>
                  <w:tcW w:w="575" w:type="dxa"/>
                  <w:vMerge w:val="restart"/>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沥青烟气、沥青储罐区呼吸废气</w:t>
                  </w:r>
                </w:p>
              </w:tc>
              <w:tc>
                <w:tcPr>
                  <w:tcW w:w="563" w:type="dxa"/>
                  <w:vMerge w:val="restart"/>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1000</w:t>
                  </w:r>
                </w:p>
              </w:tc>
              <w:tc>
                <w:tcPr>
                  <w:tcW w:w="655"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沥青烟</w:t>
                  </w:r>
                </w:p>
              </w:tc>
              <w:tc>
                <w:tcPr>
                  <w:tcW w:w="698"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130</w:t>
                  </w:r>
                </w:p>
              </w:tc>
              <w:tc>
                <w:tcPr>
                  <w:tcW w:w="924"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0.13</w:t>
                  </w:r>
                </w:p>
              </w:tc>
              <w:tc>
                <w:tcPr>
                  <w:tcW w:w="996"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0.312</w:t>
                  </w:r>
                </w:p>
              </w:tc>
              <w:tc>
                <w:tcPr>
                  <w:tcW w:w="842" w:type="dxa"/>
                  <w:gridSpan w:val="2"/>
                  <w:vMerge w:val="restart"/>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eastAsia" w:ascii="Times New Roman" w:hAnsi="Times New Roman" w:eastAsia="宋体" w:cs="Times New Roman"/>
                      <w:kern w:val="2"/>
                      <w:sz w:val="21"/>
                      <w:szCs w:val="21"/>
                      <w:lang w:val="en-US" w:eastAsia="zh-CN" w:bidi="ar-SA"/>
                    </w:rPr>
                    <w:t>集气罩+</w:t>
                  </w:r>
                  <w:r>
                    <w:rPr>
                      <w:rFonts w:hint="eastAsia" w:eastAsia="宋体" w:cs="Times New Roman"/>
                      <w:kern w:val="2"/>
                      <w:sz w:val="21"/>
                      <w:szCs w:val="21"/>
                      <w:lang w:val="en-US" w:eastAsia="zh-CN" w:bidi="ar-SA"/>
                    </w:rPr>
                    <w:t>布袋</w:t>
                  </w:r>
                  <w:r>
                    <w:rPr>
                      <w:rFonts w:hint="eastAsia" w:ascii="Times New Roman" w:hAnsi="Times New Roman" w:eastAsia="宋体" w:cs="Times New Roman"/>
                      <w:kern w:val="2"/>
                      <w:sz w:val="21"/>
                      <w:szCs w:val="21"/>
                      <w:lang w:val="en-US" w:eastAsia="zh-CN" w:bidi="ar-SA"/>
                    </w:rPr>
                    <w:t>除尘器</w:t>
                  </w:r>
                  <w:r>
                    <w:rPr>
                      <w:rFonts w:hint="eastAsia" w:eastAsia="宋体" w:cs="Times New Roman"/>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过滤棉+活性炭吸附箱+15m高排气筒</w:t>
                  </w:r>
                </w:p>
              </w:tc>
              <w:tc>
                <w:tcPr>
                  <w:tcW w:w="722" w:type="dxa"/>
                  <w:vMerge w:val="restart"/>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95</w:t>
                  </w:r>
                </w:p>
              </w:tc>
              <w:tc>
                <w:tcPr>
                  <w:tcW w:w="702"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6.5</w:t>
                  </w:r>
                </w:p>
              </w:tc>
              <w:tc>
                <w:tcPr>
                  <w:tcW w:w="961"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0.0065</w:t>
                  </w:r>
                </w:p>
              </w:tc>
              <w:tc>
                <w:tcPr>
                  <w:tcW w:w="988"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0.0156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559" w:type="dxa"/>
                  <w:vMerge w:val="continue"/>
                  <w:vAlign w:val="center"/>
                </w:tcPr>
                <w:p>
                  <w:pPr>
                    <w:adjustRightInd w:val="0"/>
                    <w:snapToGrid w:val="0"/>
                    <w:jc w:val="center"/>
                    <w:rPr>
                      <w:rFonts w:hint="default" w:ascii="Times New Roman" w:hAnsi="Times New Roman" w:eastAsia="宋体" w:cs="Times New Roman"/>
                      <w:bCs/>
                      <w:sz w:val="21"/>
                      <w:szCs w:val="21"/>
                    </w:rPr>
                  </w:pPr>
                </w:p>
              </w:tc>
              <w:tc>
                <w:tcPr>
                  <w:tcW w:w="575" w:type="dxa"/>
                  <w:vMerge w:val="continue"/>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p>
              </w:tc>
              <w:tc>
                <w:tcPr>
                  <w:tcW w:w="563" w:type="dxa"/>
                  <w:vMerge w:val="continue"/>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p>
              </w:tc>
              <w:tc>
                <w:tcPr>
                  <w:tcW w:w="655"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苯并[a]芘</w:t>
                  </w:r>
                </w:p>
              </w:tc>
              <w:tc>
                <w:tcPr>
                  <w:tcW w:w="698"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0.072</w:t>
                  </w:r>
                </w:p>
              </w:tc>
              <w:tc>
                <w:tcPr>
                  <w:tcW w:w="924"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0.000072</w:t>
                  </w:r>
                </w:p>
              </w:tc>
              <w:tc>
                <w:tcPr>
                  <w:tcW w:w="996"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1.73*10-4</w:t>
                  </w:r>
                </w:p>
              </w:tc>
              <w:tc>
                <w:tcPr>
                  <w:tcW w:w="842" w:type="dxa"/>
                  <w:gridSpan w:val="2"/>
                  <w:vMerge w:val="continue"/>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p>
              </w:tc>
              <w:tc>
                <w:tcPr>
                  <w:tcW w:w="722" w:type="dxa"/>
                  <w:vMerge w:val="continue"/>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p>
              </w:tc>
              <w:tc>
                <w:tcPr>
                  <w:tcW w:w="702"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0.0036</w:t>
                  </w:r>
                </w:p>
              </w:tc>
              <w:tc>
                <w:tcPr>
                  <w:tcW w:w="961"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3.6*10-6</w:t>
                  </w:r>
                </w:p>
              </w:tc>
              <w:tc>
                <w:tcPr>
                  <w:tcW w:w="988" w:type="dxa"/>
                  <w:tcMar>
                    <w:left w:w="0" w:type="dxa"/>
                    <w:right w:w="0" w:type="dxa"/>
                  </w:tcMar>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8.65*10-6</w:t>
                  </w:r>
                </w:p>
              </w:tc>
            </w:tr>
          </w:tbl>
          <w:p>
            <w:pPr>
              <w:spacing w:line="240" w:lineRule="auto"/>
              <w:ind w:firstLine="0" w:firstLineChars="0"/>
              <w:jc w:val="center"/>
              <w:rPr>
                <w:rFonts w:hint="default" w:ascii="Times New Roman" w:hAnsi="Times New Roman" w:eastAsia="宋体" w:cs="Times New Roman"/>
                <w:b/>
                <w:bCs/>
                <w:color w:val="auto"/>
                <w:sz w:val="24"/>
                <w:szCs w:val="24"/>
              </w:rPr>
            </w:pPr>
          </w:p>
          <w:p>
            <w:pPr>
              <w:spacing w:line="24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表5</w:t>
            </w:r>
            <w:r>
              <w:rPr>
                <w:rFonts w:hint="eastAsia" w:cs="Times New Roman"/>
                <w:b/>
                <w:bCs/>
                <w:color w:val="auto"/>
                <w:sz w:val="21"/>
                <w:szCs w:val="21"/>
                <w:lang w:val="en-US" w:eastAsia="zh-CN"/>
              </w:rPr>
              <w:t>.2.6</w:t>
            </w:r>
            <w:r>
              <w:rPr>
                <w:rFonts w:hint="default" w:ascii="Times New Roman" w:hAnsi="Times New Roman" w:eastAsia="宋体" w:cs="Times New Roman"/>
                <w:b/>
                <w:bCs/>
                <w:color w:val="auto"/>
                <w:sz w:val="21"/>
                <w:szCs w:val="21"/>
              </w:rPr>
              <w:t>-7  建设项目无组织废气产生及排放情况</w:t>
            </w:r>
          </w:p>
          <w:tbl>
            <w:tblPr>
              <w:tblStyle w:val="43"/>
              <w:tblW w:w="9185"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
            <w:tblGrid>
              <w:gridCol w:w="1428"/>
              <w:gridCol w:w="1337"/>
              <w:gridCol w:w="1473"/>
              <w:gridCol w:w="1733"/>
              <w:gridCol w:w="1133"/>
              <w:gridCol w:w="1042"/>
              <w:gridCol w:w="103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23" w:hRule="atLeast"/>
                <w:jc w:val="center"/>
              </w:trPr>
              <w:tc>
                <w:tcPr>
                  <w:tcW w:w="1428" w:type="dxa"/>
                  <w:vAlign w:val="center"/>
                </w:tcPr>
                <w:p>
                  <w:pPr>
                    <w:pStyle w:val="24"/>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污染源位置</w:t>
                  </w:r>
                </w:p>
              </w:tc>
              <w:tc>
                <w:tcPr>
                  <w:tcW w:w="1337" w:type="dxa"/>
                  <w:vAlign w:val="center"/>
                </w:tcPr>
                <w:p>
                  <w:pPr>
                    <w:pStyle w:val="24"/>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污染物名称</w:t>
                  </w:r>
                </w:p>
              </w:tc>
              <w:tc>
                <w:tcPr>
                  <w:tcW w:w="1473" w:type="dxa"/>
                  <w:vAlign w:val="center"/>
                </w:tcPr>
                <w:p>
                  <w:pPr>
                    <w:pStyle w:val="24"/>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污染物产生量（t/a）</w:t>
                  </w:r>
                </w:p>
              </w:tc>
              <w:tc>
                <w:tcPr>
                  <w:tcW w:w="1733" w:type="dxa"/>
                  <w:vAlign w:val="center"/>
                </w:tcPr>
                <w:p>
                  <w:pPr>
                    <w:pStyle w:val="24"/>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污染物排放速率(kg/h)</w:t>
                  </w:r>
                </w:p>
              </w:tc>
              <w:tc>
                <w:tcPr>
                  <w:tcW w:w="1133" w:type="dxa"/>
                  <w:vAlign w:val="center"/>
                </w:tcPr>
                <w:p>
                  <w:pPr>
                    <w:pStyle w:val="24"/>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面源长度（m）</w:t>
                  </w:r>
                </w:p>
              </w:tc>
              <w:tc>
                <w:tcPr>
                  <w:tcW w:w="1042" w:type="dxa"/>
                  <w:vAlign w:val="center"/>
                </w:tcPr>
                <w:p>
                  <w:pPr>
                    <w:pStyle w:val="24"/>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面源宽度</w:t>
                  </w:r>
                </w:p>
                <w:p>
                  <w:pPr>
                    <w:pStyle w:val="24"/>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（m）</w:t>
                  </w:r>
                </w:p>
              </w:tc>
              <w:tc>
                <w:tcPr>
                  <w:tcW w:w="1039" w:type="dxa"/>
                  <w:vAlign w:val="center"/>
                </w:tcPr>
                <w:p>
                  <w:pPr>
                    <w:pStyle w:val="24"/>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面源高度</w:t>
                  </w:r>
                </w:p>
                <w:p>
                  <w:pPr>
                    <w:pStyle w:val="24"/>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23" w:hRule="atLeast"/>
                <w:jc w:val="center"/>
              </w:trPr>
              <w:tc>
                <w:tcPr>
                  <w:tcW w:w="1428" w:type="dxa"/>
                  <w:vMerge w:val="restart"/>
                  <w:vAlign w:val="center"/>
                </w:tcPr>
                <w:p>
                  <w:pPr>
                    <w:pStyle w:val="15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生产区</w:t>
                  </w:r>
                </w:p>
              </w:tc>
              <w:tc>
                <w:tcPr>
                  <w:tcW w:w="1337" w:type="dxa"/>
                  <w:vAlign w:val="center"/>
                </w:tcPr>
                <w:p>
                  <w:pPr>
                    <w:pStyle w:val="2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颗粒物</w:t>
                  </w:r>
                </w:p>
              </w:tc>
              <w:tc>
                <w:tcPr>
                  <w:tcW w:w="1473" w:type="dxa"/>
                  <w:vAlign w:val="center"/>
                </w:tcPr>
                <w:p>
                  <w:pPr>
                    <w:pStyle w:val="151"/>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0.392</w:t>
                  </w:r>
                </w:p>
              </w:tc>
              <w:tc>
                <w:tcPr>
                  <w:tcW w:w="1733" w:type="dxa"/>
                  <w:vAlign w:val="center"/>
                </w:tcPr>
                <w:p>
                  <w:pPr>
                    <w:pStyle w:val="151"/>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0.0545</w:t>
                  </w:r>
                </w:p>
              </w:tc>
              <w:tc>
                <w:tcPr>
                  <w:tcW w:w="1133" w:type="dxa"/>
                  <w:vMerge w:val="restart"/>
                  <w:vAlign w:val="center"/>
                </w:tcPr>
                <w:p>
                  <w:pPr>
                    <w:pStyle w:val="24"/>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w:t>
                  </w:r>
                </w:p>
              </w:tc>
              <w:tc>
                <w:tcPr>
                  <w:tcW w:w="1042" w:type="dxa"/>
                  <w:vMerge w:val="restart"/>
                  <w:vAlign w:val="center"/>
                </w:tcPr>
                <w:p>
                  <w:pPr>
                    <w:pStyle w:val="24"/>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1039" w:type="dxa"/>
                  <w:vMerge w:val="restart"/>
                  <w:vAlign w:val="center"/>
                </w:tcPr>
                <w:p>
                  <w:pPr>
                    <w:pStyle w:val="24"/>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23" w:hRule="atLeast"/>
                <w:jc w:val="center"/>
              </w:trPr>
              <w:tc>
                <w:tcPr>
                  <w:tcW w:w="1428" w:type="dxa"/>
                  <w:vMerge w:val="continue"/>
                  <w:vAlign w:val="center"/>
                </w:tcPr>
                <w:p>
                  <w:pPr>
                    <w:pStyle w:val="151"/>
                    <w:rPr>
                      <w:rFonts w:hint="default" w:ascii="Times New Roman" w:hAnsi="Times New Roman" w:eastAsia="宋体" w:cs="Times New Roman"/>
                      <w:color w:val="auto"/>
                      <w:sz w:val="21"/>
                      <w:szCs w:val="21"/>
                    </w:rPr>
                  </w:pPr>
                </w:p>
              </w:tc>
              <w:tc>
                <w:tcPr>
                  <w:tcW w:w="1337" w:type="dxa"/>
                  <w:vAlign w:val="center"/>
                </w:tcPr>
                <w:p>
                  <w:pPr>
                    <w:pStyle w:val="220"/>
                    <w:spacing w:line="32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1473" w:type="dxa"/>
                  <w:vAlign w:val="center"/>
                </w:tcPr>
                <w:p>
                  <w:pPr>
                    <w:pStyle w:val="151"/>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0.057</w:t>
                  </w:r>
                </w:p>
              </w:tc>
              <w:tc>
                <w:tcPr>
                  <w:tcW w:w="1733" w:type="dxa"/>
                  <w:vAlign w:val="center"/>
                </w:tcPr>
                <w:p>
                  <w:pPr>
                    <w:pStyle w:val="151"/>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0.00792</w:t>
                  </w:r>
                </w:p>
              </w:tc>
              <w:tc>
                <w:tcPr>
                  <w:tcW w:w="1133" w:type="dxa"/>
                  <w:vMerge w:val="continue"/>
                  <w:vAlign w:val="center"/>
                </w:tcPr>
                <w:p>
                  <w:pPr>
                    <w:pStyle w:val="24"/>
                    <w:spacing w:line="240" w:lineRule="auto"/>
                    <w:ind w:firstLine="0" w:firstLineChars="0"/>
                    <w:jc w:val="center"/>
                    <w:rPr>
                      <w:rFonts w:hint="default" w:ascii="Times New Roman" w:hAnsi="Times New Roman" w:eastAsia="宋体" w:cs="Times New Roman"/>
                      <w:color w:val="auto"/>
                      <w:sz w:val="21"/>
                      <w:szCs w:val="21"/>
                    </w:rPr>
                  </w:pPr>
                </w:p>
              </w:tc>
              <w:tc>
                <w:tcPr>
                  <w:tcW w:w="1042" w:type="dxa"/>
                  <w:vMerge w:val="continue"/>
                  <w:vAlign w:val="center"/>
                </w:tcPr>
                <w:p>
                  <w:pPr>
                    <w:pStyle w:val="24"/>
                    <w:spacing w:line="240" w:lineRule="auto"/>
                    <w:ind w:firstLine="0" w:firstLineChars="0"/>
                    <w:jc w:val="center"/>
                    <w:rPr>
                      <w:rFonts w:hint="default" w:ascii="Times New Roman" w:hAnsi="Times New Roman" w:eastAsia="宋体" w:cs="Times New Roman"/>
                      <w:color w:val="auto"/>
                      <w:sz w:val="21"/>
                      <w:szCs w:val="21"/>
                    </w:rPr>
                  </w:pPr>
                </w:p>
              </w:tc>
              <w:tc>
                <w:tcPr>
                  <w:tcW w:w="1039" w:type="dxa"/>
                  <w:vMerge w:val="continue"/>
                  <w:vAlign w:val="center"/>
                </w:tcPr>
                <w:p>
                  <w:pPr>
                    <w:pStyle w:val="24"/>
                    <w:spacing w:line="240" w:lineRule="auto"/>
                    <w:ind w:firstLine="0" w:firstLineChars="0"/>
                    <w:jc w:val="center"/>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23" w:hRule="atLeast"/>
                <w:jc w:val="center"/>
              </w:trPr>
              <w:tc>
                <w:tcPr>
                  <w:tcW w:w="1428" w:type="dxa"/>
                  <w:vMerge w:val="continue"/>
                  <w:vAlign w:val="center"/>
                </w:tcPr>
                <w:p>
                  <w:pPr>
                    <w:pStyle w:val="151"/>
                    <w:rPr>
                      <w:rFonts w:hint="default" w:ascii="Times New Roman" w:hAnsi="Times New Roman" w:eastAsia="宋体" w:cs="Times New Roman"/>
                      <w:color w:val="auto"/>
                      <w:sz w:val="21"/>
                      <w:szCs w:val="21"/>
                    </w:rPr>
                  </w:pPr>
                </w:p>
              </w:tc>
              <w:tc>
                <w:tcPr>
                  <w:tcW w:w="1337" w:type="dxa"/>
                  <w:vAlign w:val="center"/>
                </w:tcPr>
                <w:p>
                  <w:pPr>
                    <w:pStyle w:val="220"/>
                    <w:spacing w:line="32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X</w:t>
                  </w:r>
                </w:p>
              </w:tc>
              <w:tc>
                <w:tcPr>
                  <w:tcW w:w="1473" w:type="dxa"/>
                  <w:vAlign w:val="center"/>
                </w:tcPr>
                <w:p>
                  <w:pPr>
                    <w:pStyle w:val="151"/>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0.108</w:t>
                  </w:r>
                </w:p>
              </w:tc>
              <w:tc>
                <w:tcPr>
                  <w:tcW w:w="1733" w:type="dxa"/>
                  <w:vAlign w:val="center"/>
                </w:tcPr>
                <w:p>
                  <w:pPr>
                    <w:pStyle w:val="151"/>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0.015</w:t>
                  </w:r>
                </w:p>
              </w:tc>
              <w:tc>
                <w:tcPr>
                  <w:tcW w:w="1133" w:type="dxa"/>
                  <w:vMerge w:val="continue"/>
                  <w:vAlign w:val="center"/>
                </w:tcPr>
                <w:p>
                  <w:pPr>
                    <w:pStyle w:val="24"/>
                    <w:spacing w:line="240" w:lineRule="auto"/>
                    <w:ind w:firstLine="0" w:firstLineChars="0"/>
                    <w:jc w:val="center"/>
                    <w:rPr>
                      <w:rFonts w:hint="default" w:ascii="Times New Roman" w:hAnsi="Times New Roman" w:eastAsia="宋体" w:cs="Times New Roman"/>
                      <w:color w:val="auto"/>
                      <w:sz w:val="21"/>
                      <w:szCs w:val="21"/>
                    </w:rPr>
                  </w:pPr>
                </w:p>
              </w:tc>
              <w:tc>
                <w:tcPr>
                  <w:tcW w:w="1042" w:type="dxa"/>
                  <w:vMerge w:val="continue"/>
                  <w:vAlign w:val="center"/>
                </w:tcPr>
                <w:p>
                  <w:pPr>
                    <w:pStyle w:val="24"/>
                    <w:spacing w:line="240" w:lineRule="auto"/>
                    <w:ind w:firstLine="0" w:firstLineChars="0"/>
                    <w:jc w:val="center"/>
                    <w:rPr>
                      <w:rFonts w:hint="default" w:ascii="Times New Roman" w:hAnsi="Times New Roman" w:eastAsia="宋体" w:cs="Times New Roman"/>
                      <w:color w:val="auto"/>
                      <w:sz w:val="21"/>
                      <w:szCs w:val="21"/>
                    </w:rPr>
                  </w:pPr>
                </w:p>
              </w:tc>
              <w:tc>
                <w:tcPr>
                  <w:tcW w:w="1039" w:type="dxa"/>
                  <w:vMerge w:val="continue"/>
                  <w:vAlign w:val="center"/>
                </w:tcPr>
                <w:p>
                  <w:pPr>
                    <w:pStyle w:val="24"/>
                    <w:spacing w:line="240" w:lineRule="auto"/>
                    <w:ind w:firstLine="0" w:firstLineChars="0"/>
                    <w:jc w:val="center"/>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PrEx>
              <w:trPr>
                <w:trHeight w:val="23" w:hRule="atLeast"/>
                <w:jc w:val="center"/>
              </w:trPr>
              <w:tc>
                <w:tcPr>
                  <w:tcW w:w="1428" w:type="dxa"/>
                  <w:vMerge w:val="continue"/>
                  <w:vAlign w:val="center"/>
                </w:tcPr>
                <w:p>
                  <w:pPr>
                    <w:pStyle w:val="151"/>
                    <w:rPr>
                      <w:rFonts w:hint="default" w:ascii="Times New Roman" w:hAnsi="Times New Roman" w:eastAsia="宋体" w:cs="Times New Roman"/>
                      <w:color w:val="auto"/>
                      <w:sz w:val="21"/>
                      <w:szCs w:val="21"/>
                    </w:rPr>
                  </w:pPr>
                </w:p>
              </w:tc>
              <w:tc>
                <w:tcPr>
                  <w:tcW w:w="1337" w:type="dxa"/>
                  <w:vAlign w:val="center"/>
                </w:tcPr>
                <w:p>
                  <w:pPr>
                    <w:pStyle w:val="220"/>
                    <w:spacing w:line="32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
                      <w:sz w:val="21"/>
                      <w:szCs w:val="21"/>
                    </w:rPr>
                    <w:t>沥青烟</w:t>
                  </w:r>
                </w:p>
              </w:tc>
              <w:tc>
                <w:tcPr>
                  <w:tcW w:w="1473" w:type="dxa"/>
                  <w:vAlign w:val="center"/>
                </w:tcPr>
                <w:p>
                  <w:pPr>
                    <w:pStyle w:val="24"/>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0.000312</w:t>
                  </w:r>
                </w:p>
              </w:tc>
              <w:tc>
                <w:tcPr>
                  <w:tcW w:w="1733" w:type="dxa"/>
                  <w:vAlign w:val="center"/>
                </w:tcPr>
                <w:p>
                  <w:pPr>
                    <w:pStyle w:val="24"/>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0.00013</w:t>
                  </w:r>
                </w:p>
              </w:tc>
              <w:tc>
                <w:tcPr>
                  <w:tcW w:w="1133" w:type="dxa"/>
                  <w:vMerge w:val="continue"/>
                  <w:vAlign w:val="center"/>
                </w:tcPr>
                <w:p>
                  <w:pPr>
                    <w:pStyle w:val="24"/>
                    <w:spacing w:line="240" w:lineRule="auto"/>
                    <w:ind w:firstLine="0" w:firstLineChars="0"/>
                    <w:jc w:val="center"/>
                    <w:rPr>
                      <w:rFonts w:hint="default" w:ascii="Times New Roman" w:hAnsi="Times New Roman" w:eastAsia="宋体" w:cs="Times New Roman"/>
                      <w:color w:val="auto"/>
                      <w:sz w:val="21"/>
                      <w:szCs w:val="21"/>
                    </w:rPr>
                  </w:pPr>
                </w:p>
              </w:tc>
              <w:tc>
                <w:tcPr>
                  <w:tcW w:w="1042" w:type="dxa"/>
                  <w:vMerge w:val="continue"/>
                  <w:vAlign w:val="center"/>
                </w:tcPr>
                <w:p>
                  <w:pPr>
                    <w:pStyle w:val="24"/>
                    <w:spacing w:line="240" w:lineRule="auto"/>
                    <w:ind w:firstLine="0" w:firstLineChars="0"/>
                    <w:jc w:val="center"/>
                    <w:rPr>
                      <w:rFonts w:hint="default" w:ascii="Times New Roman" w:hAnsi="Times New Roman" w:eastAsia="宋体" w:cs="Times New Roman"/>
                      <w:color w:val="auto"/>
                      <w:sz w:val="21"/>
                      <w:szCs w:val="21"/>
                    </w:rPr>
                  </w:pPr>
                </w:p>
              </w:tc>
              <w:tc>
                <w:tcPr>
                  <w:tcW w:w="1039" w:type="dxa"/>
                  <w:vMerge w:val="continue"/>
                  <w:vAlign w:val="center"/>
                </w:tcPr>
                <w:p>
                  <w:pPr>
                    <w:pStyle w:val="24"/>
                    <w:spacing w:line="240" w:lineRule="auto"/>
                    <w:ind w:firstLine="0" w:firstLineChars="0"/>
                    <w:jc w:val="center"/>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23" w:hRule="atLeast"/>
                <w:jc w:val="center"/>
              </w:trPr>
              <w:tc>
                <w:tcPr>
                  <w:tcW w:w="1428" w:type="dxa"/>
                  <w:vMerge w:val="continue"/>
                  <w:vAlign w:val="center"/>
                </w:tcPr>
                <w:p>
                  <w:pPr>
                    <w:pStyle w:val="151"/>
                    <w:rPr>
                      <w:rFonts w:hint="default" w:ascii="Times New Roman" w:hAnsi="Times New Roman" w:eastAsia="宋体" w:cs="Times New Roman"/>
                      <w:color w:val="auto"/>
                      <w:sz w:val="21"/>
                      <w:szCs w:val="21"/>
                    </w:rPr>
                  </w:pPr>
                </w:p>
              </w:tc>
              <w:tc>
                <w:tcPr>
                  <w:tcW w:w="1337" w:type="dxa"/>
                  <w:vAlign w:val="center"/>
                </w:tcPr>
                <w:p>
                  <w:pPr>
                    <w:pStyle w:val="220"/>
                    <w:spacing w:line="32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
                      <w:sz w:val="21"/>
                      <w:szCs w:val="21"/>
                    </w:rPr>
                    <w:t>苯并[a]芘</w:t>
                  </w:r>
                </w:p>
              </w:tc>
              <w:tc>
                <w:tcPr>
                  <w:tcW w:w="1473" w:type="dxa"/>
                  <w:vAlign w:val="center"/>
                </w:tcPr>
                <w:p>
                  <w:pPr>
                    <w:pStyle w:val="24"/>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1.73</w:t>
                  </w:r>
                  <w:r>
                    <w:rPr>
                      <w:rFonts w:hint="default" w:ascii="Times New Roman" w:hAnsi="Times New Roman" w:eastAsia="宋体" w:cs="Times New Roman"/>
                      <w:color w:val="auto"/>
                      <w:sz w:val="21"/>
                      <w:szCs w:val="21"/>
                    </w:rPr>
                    <w:t>*10</w:t>
                  </w:r>
                  <w:r>
                    <w:rPr>
                      <w:rFonts w:hint="default" w:ascii="Times New Roman" w:hAnsi="Times New Roman" w:eastAsia="宋体" w:cs="Times New Roman"/>
                      <w:color w:val="auto"/>
                      <w:sz w:val="21"/>
                      <w:szCs w:val="21"/>
                      <w:vertAlign w:val="superscript"/>
                    </w:rPr>
                    <w:t>-</w:t>
                  </w:r>
                  <w:r>
                    <w:rPr>
                      <w:rFonts w:hint="default" w:ascii="Times New Roman" w:hAnsi="Times New Roman" w:eastAsia="宋体" w:cs="Times New Roman"/>
                      <w:color w:val="auto"/>
                      <w:sz w:val="21"/>
                      <w:szCs w:val="21"/>
                      <w:vertAlign w:val="superscript"/>
                      <w:lang w:val="en-US" w:eastAsia="zh-CN"/>
                    </w:rPr>
                    <w:t>7</w:t>
                  </w:r>
                </w:p>
              </w:tc>
              <w:tc>
                <w:tcPr>
                  <w:tcW w:w="1733" w:type="dxa"/>
                  <w:vAlign w:val="center"/>
                </w:tcPr>
                <w:p>
                  <w:pPr>
                    <w:pStyle w:val="24"/>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7.21</w:t>
                  </w:r>
                  <w:r>
                    <w:rPr>
                      <w:rFonts w:hint="default" w:ascii="Times New Roman" w:hAnsi="Times New Roman" w:eastAsia="宋体" w:cs="Times New Roman"/>
                      <w:color w:val="auto"/>
                      <w:sz w:val="21"/>
                      <w:szCs w:val="21"/>
                    </w:rPr>
                    <w:t>*10</w:t>
                  </w:r>
                  <w:r>
                    <w:rPr>
                      <w:rFonts w:hint="default" w:ascii="Times New Roman" w:hAnsi="Times New Roman" w:eastAsia="宋体" w:cs="Times New Roman"/>
                      <w:color w:val="auto"/>
                      <w:sz w:val="21"/>
                      <w:szCs w:val="21"/>
                      <w:vertAlign w:val="superscript"/>
                    </w:rPr>
                    <w:t>-</w:t>
                  </w:r>
                  <w:r>
                    <w:rPr>
                      <w:rFonts w:hint="default" w:ascii="Times New Roman" w:hAnsi="Times New Roman" w:eastAsia="宋体" w:cs="Times New Roman"/>
                      <w:color w:val="auto"/>
                      <w:sz w:val="21"/>
                      <w:szCs w:val="21"/>
                      <w:vertAlign w:val="superscript"/>
                      <w:lang w:val="en-US" w:eastAsia="zh-CN"/>
                    </w:rPr>
                    <w:t>8</w:t>
                  </w:r>
                </w:p>
              </w:tc>
              <w:tc>
                <w:tcPr>
                  <w:tcW w:w="1133" w:type="dxa"/>
                  <w:vMerge w:val="continue"/>
                  <w:vAlign w:val="center"/>
                </w:tcPr>
                <w:p>
                  <w:pPr>
                    <w:pStyle w:val="24"/>
                    <w:spacing w:line="240" w:lineRule="auto"/>
                    <w:ind w:firstLine="0" w:firstLineChars="0"/>
                    <w:jc w:val="center"/>
                    <w:rPr>
                      <w:rFonts w:hint="default" w:ascii="Times New Roman" w:hAnsi="Times New Roman" w:eastAsia="宋体" w:cs="Times New Roman"/>
                      <w:color w:val="auto"/>
                      <w:sz w:val="21"/>
                      <w:szCs w:val="21"/>
                    </w:rPr>
                  </w:pPr>
                </w:p>
              </w:tc>
              <w:tc>
                <w:tcPr>
                  <w:tcW w:w="1042" w:type="dxa"/>
                  <w:vMerge w:val="continue"/>
                  <w:vAlign w:val="center"/>
                </w:tcPr>
                <w:p>
                  <w:pPr>
                    <w:pStyle w:val="24"/>
                    <w:spacing w:line="240" w:lineRule="auto"/>
                    <w:ind w:firstLine="0" w:firstLineChars="0"/>
                    <w:jc w:val="center"/>
                    <w:rPr>
                      <w:rFonts w:hint="default" w:ascii="Times New Roman" w:hAnsi="Times New Roman" w:eastAsia="宋体" w:cs="Times New Roman"/>
                      <w:color w:val="auto"/>
                      <w:sz w:val="21"/>
                      <w:szCs w:val="21"/>
                    </w:rPr>
                  </w:pPr>
                </w:p>
              </w:tc>
              <w:tc>
                <w:tcPr>
                  <w:tcW w:w="1039" w:type="dxa"/>
                  <w:vMerge w:val="continue"/>
                  <w:vAlign w:val="center"/>
                </w:tcPr>
                <w:p>
                  <w:pPr>
                    <w:pStyle w:val="24"/>
                    <w:spacing w:line="240" w:lineRule="auto"/>
                    <w:ind w:firstLine="0" w:firstLineChars="0"/>
                    <w:jc w:val="center"/>
                    <w:rPr>
                      <w:rFonts w:hint="default" w:ascii="Times New Roman" w:hAnsi="Times New Roman" w:eastAsia="宋体" w:cs="Times New Roman"/>
                      <w:color w:val="auto"/>
                      <w:sz w:val="21"/>
                      <w:szCs w:val="21"/>
                    </w:rPr>
                  </w:pPr>
                </w:p>
              </w:tc>
            </w:tr>
          </w:tbl>
          <w:p>
            <w:pPr>
              <w:pStyle w:val="151"/>
              <w:jc w:val="both"/>
              <w:rPr>
                <w:rFonts w:hint="default" w:ascii="Times New Roman" w:hAnsi="Times New Roman" w:eastAsia="宋体" w:cs="Times New Roman"/>
                <w:color w:val="auto"/>
                <w:sz w:val="24"/>
                <w:szCs w:val="24"/>
              </w:rPr>
            </w:pPr>
          </w:p>
          <w:p>
            <w:pPr>
              <w:ind w:firstLine="480"/>
              <w:rPr>
                <w:rFonts w:hint="default" w:ascii="Times New Roman" w:hAnsi="Times New Roman" w:eastAsia="宋体" w:cs="Times New Roman"/>
                <w:color w:val="auto"/>
              </w:rPr>
            </w:pPr>
            <w:r>
              <w:rPr>
                <w:rFonts w:hint="default" w:ascii="Times New Roman" w:hAnsi="Times New Roman" w:eastAsia="宋体" w:cs="Times New Roman"/>
                <w:color w:val="auto"/>
                <w:sz w:val="24"/>
                <w:szCs w:val="24"/>
              </w:rPr>
              <w:t>有组织排放量核算见表5</w:t>
            </w:r>
            <w:r>
              <w:rPr>
                <w:rFonts w:hint="eastAsia" w:cs="Times New Roman"/>
                <w:color w:val="auto"/>
                <w:sz w:val="24"/>
                <w:szCs w:val="24"/>
                <w:lang w:val="en-US" w:eastAsia="zh-CN"/>
              </w:rPr>
              <w:t>.2.6</w:t>
            </w:r>
            <w:r>
              <w:rPr>
                <w:rFonts w:hint="default" w:ascii="Times New Roman" w:hAnsi="Times New Roman" w:eastAsia="宋体" w:cs="Times New Roman"/>
                <w:color w:val="auto"/>
                <w:sz w:val="24"/>
                <w:szCs w:val="24"/>
              </w:rPr>
              <w:t>-8，无组织排放量核算见表5</w:t>
            </w:r>
            <w:r>
              <w:rPr>
                <w:rFonts w:hint="eastAsia" w:cs="Times New Roman"/>
                <w:color w:val="auto"/>
                <w:sz w:val="24"/>
                <w:szCs w:val="24"/>
                <w:lang w:val="en-US" w:eastAsia="zh-CN"/>
              </w:rPr>
              <w:t>.2.6</w:t>
            </w:r>
            <w:r>
              <w:rPr>
                <w:rFonts w:hint="default" w:ascii="Times New Roman" w:hAnsi="Times New Roman" w:eastAsia="宋体" w:cs="Times New Roman"/>
                <w:color w:val="auto"/>
                <w:sz w:val="24"/>
                <w:szCs w:val="24"/>
              </w:rPr>
              <w:t>-9。</w:t>
            </w:r>
          </w:p>
          <w:p>
            <w:pPr>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表5</w:t>
            </w:r>
            <w:r>
              <w:rPr>
                <w:rFonts w:hint="eastAsia" w:cs="Times New Roman"/>
                <w:b/>
                <w:color w:val="auto"/>
                <w:sz w:val="21"/>
                <w:szCs w:val="21"/>
                <w:lang w:val="en-US" w:eastAsia="zh-CN"/>
              </w:rPr>
              <w:t>.2.6</w:t>
            </w:r>
            <w:r>
              <w:rPr>
                <w:rFonts w:hint="default" w:ascii="Times New Roman" w:hAnsi="Times New Roman" w:eastAsia="宋体" w:cs="Times New Roman"/>
                <w:b/>
                <w:color w:val="auto"/>
                <w:sz w:val="21"/>
                <w:szCs w:val="21"/>
              </w:rPr>
              <w:t>-8大气污染物有组织排放量核算表</w:t>
            </w:r>
          </w:p>
          <w:tbl>
            <w:tblPr>
              <w:tblStyle w:val="43"/>
              <w:tblW w:w="9185"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441"/>
              <w:gridCol w:w="1749"/>
              <w:gridCol w:w="1604"/>
              <w:gridCol w:w="2331"/>
              <w:gridCol w:w="1532"/>
              <w:gridCol w:w="152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441" w:type="dxa"/>
                  <w:vAlign w:val="center"/>
                </w:tcPr>
                <w:p>
                  <w:pPr>
                    <w:adjustRightInd w:val="0"/>
                    <w:snapToGrid w:val="0"/>
                    <w:jc w:val="center"/>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序号</w:t>
                  </w:r>
                </w:p>
              </w:tc>
              <w:tc>
                <w:tcPr>
                  <w:tcW w:w="1749" w:type="dxa"/>
                  <w:vAlign w:val="center"/>
                </w:tcPr>
                <w:p>
                  <w:pPr>
                    <w:adjustRightInd w:val="0"/>
                    <w:snapToGrid w:val="0"/>
                    <w:jc w:val="center"/>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排放口编号</w:t>
                  </w:r>
                </w:p>
              </w:tc>
              <w:tc>
                <w:tcPr>
                  <w:tcW w:w="1604" w:type="dxa"/>
                  <w:vAlign w:val="center"/>
                </w:tcPr>
                <w:p>
                  <w:pPr>
                    <w:adjustRightInd w:val="0"/>
                    <w:snapToGrid w:val="0"/>
                    <w:jc w:val="center"/>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污染物</w:t>
                  </w:r>
                </w:p>
              </w:tc>
              <w:tc>
                <w:tcPr>
                  <w:tcW w:w="2331" w:type="dxa"/>
                  <w:vAlign w:val="center"/>
                </w:tcPr>
                <w:p>
                  <w:pPr>
                    <w:adjustRightInd w:val="0"/>
                    <w:snapToGrid w:val="0"/>
                    <w:jc w:val="center"/>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核算排放浓度（mg/ m3）</w:t>
                  </w:r>
                </w:p>
              </w:tc>
              <w:tc>
                <w:tcPr>
                  <w:tcW w:w="1532" w:type="dxa"/>
                  <w:vAlign w:val="center"/>
                </w:tcPr>
                <w:p>
                  <w:pPr>
                    <w:adjustRightInd w:val="0"/>
                    <w:snapToGrid w:val="0"/>
                    <w:jc w:val="center"/>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核算排放速率（kg/h）</w:t>
                  </w:r>
                </w:p>
              </w:tc>
              <w:tc>
                <w:tcPr>
                  <w:tcW w:w="1528" w:type="dxa"/>
                  <w:vAlign w:val="center"/>
                </w:tcPr>
                <w:p>
                  <w:pPr>
                    <w:adjustRightInd w:val="0"/>
                    <w:snapToGrid w:val="0"/>
                    <w:jc w:val="center"/>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核算年排放量（t/a）</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9185" w:type="dxa"/>
                  <w:gridSpan w:val="6"/>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一般排放口</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441" w:type="dxa"/>
                  <w:vMerge w:val="restart"/>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w:t>
                  </w:r>
                </w:p>
              </w:tc>
              <w:tc>
                <w:tcPr>
                  <w:tcW w:w="1749" w:type="dxa"/>
                  <w:vMerge w:val="restart"/>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1#排气筒</w:t>
                  </w:r>
                </w:p>
              </w:tc>
              <w:tc>
                <w:tcPr>
                  <w:tcW w:w="1604"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颗粒物</w:t>
                  </w:r>
                </w:p>
              </w:tc>
              <w:tc>
                <w:tcPr>
                  <w:tcW w:w="2331"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9.81</w:t>
                  </w:r>
                </w:p>
              </w:tc>
              <w:tc>
                <w:tcPr>
                  <w:tcW w:w="1532"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0.0491</w:t>
                  </w:r>
                </w:p>
              </w:tc>
              <w:tc>
                <w:tcPr>
                  <w:tcW w:w="1528"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0.353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441" w:type="dxa"/>
                  <w:vMerge w:val="continue"/>
                  <w:vAlign w:val="center"/>
                </w:tcPr>
                <w:p>
                  <w:pPr>
                    <w:adjustRightInd w:val="0"/>
                    <w:snapToGrid w:val="0"/>
                    <w:jc w:val="center"/>
                    <w:rPr>
                      <w:rFonts w:hint="default" w:ascii="Times New Roman" w:hAnsi="Times New Roman" w:eastAsia="宋体" w:cs="Times New Roman"/>
                      <w:bCs/>
                      <w:sz w:val="21"/>
                      <w:szCs w:val="21"/>
                    </w:rPr>
                  </w:pPr>
                </w:p>
              </w:tc>
              <w:tc>
                <w:tcPr>
                  <w:tcW w:w="1749" w:type="dxa"/>
                  <w:vMerge w:val="continue"/>
                  <w:vAlign w:val="center"/>
                </w:tcPr>
                <w:p>
                  <w:pPr>
                    <w:adjustRightInd w:val="0"/>
                    <w:snapToGrid w:val="0"/>
                    <w:jc w:val="center"/>
                    <w:rPr>
                      <w:rFonts w:hint="default" w:ascii="Times New Roman" w:hAnsi="Times New Roman" w:eastAsia="宋体" w:cs="Times New Roman"/>
                      <w:bCs/>
                      <w:sz w:val="21"/>
                      <w:szCs w:val="21"/>
                    </w:rPr>
                  </w:pPr>
                </w:p>
              </w:tc>
              <w:tc>
                <w:tcPr>
                  <w:tcW w:w="1604"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SO</w:t>
                  </w:r>
                  <w:r>
                    <w:rPr>
                      <w:rFonts w:hint="default" w:ascii="Times New Roman" w:hAnsi="Times New Roman" w:eastAsia="宋体" w:cs="Times New Roman"/>
                      <w:bCs/>
                      <w:sz w:val="21"/>
                      <w:szCs w:val="21"/>
                      <w:vertAlign w:val="subscript"/>
                    </w:rPr>
                    <w:t>2</w:t>
                  </w:r>
                </w:p>
              </w:tc>
              <w:tc>
                <w:tcPr>
                  <w:tcW w:w="2331"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14.25</w:t>
                  </w:r>
                </w:p>
              </w:tc>
              <w:tc>
                <w:tcPr>
                  <w:tcW w:w="1532"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0.0713</w:t>
                  </w:r>
                </w:p>
              </w:tc>
              <w:tc>
                <w:tcPr>
                  <w:tcW w:w="1528"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0.513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441" w:type="dxa"/>
                  <w:vMerge w:val="continue"/>
                  <w:vAlign w:val="center"/>
                </w:tcPr>
                <w:p>
                  <w:pPr>
                    <w:adjustRightInd w:val="0"/>
                    <w:snapToGrid w:val="0"/>
                    <w:jc w:val="center"/>
                    <w:rPr>
                      <w:rFonts w:hint="default" w:ascii="Times New Roman" w:hAnsi="Times New Roman" w:eastAsia="宋体" w:cs="Times New Roman"/>
                      <w:bCs/>
                      <w:sz w:val="21"/>
                      <w:szCs w:val="21"/>
                    </w:rPr>
                  </w:pPr>
                </w:p>
              </w:tc>
              <w:tc>
                <w:tcPr>
                  <w:tcW w:w="1749" w:type="dxa"/>
                  <w:vMerge w:val="continue"/>
                  <w:vAlign w:val="center"/>
                </w:tcPr>
                <w:p>
                  <w:pPr>
                    <w:adjustRightInd w:val="0"/>
                    <w:snapToGrid w:val="0"/>
                    <w:jc w:val="center"/>
                    <w:rPr>
                      <w:rFonts w:hint="default" w:ascii="Times New Roman" w:hAnsi="Times New Roman" w:eastAsia="宋体" w:cs="Times New Roman"/>
                      <w:bCs/>
                      <w:sz w:val="21"/>
                      <w:szCs w:val="21"/>
                    </w:rPr>
                  </w:pPr>
                </w:p>
              </w:tc>
              <w:tc>
                <w:tcPr>
                  <w:tcW w:w="1604"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NO</w:t>
                  </w:r>
                  <w:r>
                    <w:rPr>
                      <w:rFonts w:hint="default" w:ascii="Times New Roman" w:hAnsi="Times New Roman" w:eastAsia="宋体" w:cs="Times New Roman"/>
                      <w:bCs/>
                      <w:sz w:val="21"/>
                      <w:szCs w:val="21"/>
                      <w:vertAlign w:val="subscript"/>
                    </w:rPr>
                    <w:t>X</w:t>
                  </w:r>
                </w:p>
              </w:tc>
              <w:tc>
                <w:tcPr>
                  <w:tcW w:w="2331"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27</w:t>
                  </w:r>
                </w:p>
              </w:tc>
              <w:tc>
                <w:tcPr>
                  <w:tcW w:w="1532"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0.135</w:t>
                  </w:r>
                </w:p>
              </w:tc>
              <w:tc>
                <w:tcPr>
                  <w:tcW w:w="1528"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0.972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95" w:hRule="atLeast"/>
              </w:trPr>
              <w:tc>
                <w:tcPr>
                  <w:tcW w:w="441" w:type="dxa"/>
                  <w:vMerge w:val="restart"/>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w:t>
                  </w:r>
                </w:p>
              </w:tc>
              <w:tc>
                <w:tcPr>
                  <w:tcW w:w="1749" w:type="dxa"/>
                  <w:vMerge w:val="restart"/>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2#排气筒</w:t>
                  </w:r>
                </w:p>
              </w:tc>
              <w:tc>
                <w:tcPr>
                  <w:tcW w:w="1604"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SO</w:t>
                  </w:r>
                  <w:r>
                    <w:rPr>
                      <w:rFonts w:hint="default" w:ascii="Times New Roman" w:hAnsi="Times New Roman" w:eastAsia="宋体" w:cs="Times New Roman"/>
                      <w:bCs/>
                      <w:sz w:val="21"/>
                      <w:szCs w:val="21"/>
                      <w:vertAlign w:val="subscript"/>
                    </w:rPr>
                    <w:t>2</w:t>
                  </w:r>
                </w:p>
              </w:tc>
              <w:tc>
                <w:tcPr>
                  <w:tcW w:w="2331"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107</w:t>
                  </w:r>
                </w:p>
              </w:tc>
              <w:tc>
                <w:tcPr>
                  <w:tcW w:w="1532"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0.0</w:t>
                  </w:r>
                  <w:r>
                    <w:rPr>
                      <w:rFonts w:hint="default" w:ascii="Times New Roman" w:hAnsi="Times New Roman" w:eastAsia="宋体" w:cs="Times New Roman"/>
                      <w:bCs/>
                      <w:sz w:val="21"/>
                      <w:szCs w:val="21"/>
                      <w:lang w:val="en-US" w:eastAsia="zh-CN"/>
                    </w:rPr>
                    <w:t>264</w:t>
                  </w:r>
                </w:p>
              </w:tc>
              <w:tc>
                <w:tcPr>
                  <w:tcW w:w="1528"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0.095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441" w:type="dxa"/>
                  <w:vMerge w:val="continue"/>
                  <w:vAlign w:val="center"/>
                </w:tcPr>
                <w:p>
                  <w:pPr>
                    <w:adjustRightInd w:val="0"/>
                    <w:snapToGrid w:val="0"/>
                    <w:jc w:val="center"/>
                    <w:rPr>
                      <w:rFonts w:hint="default" w:ascii="Times New Roman" w:hAnsi="Times New Roman" w:eastAsia="宋体" w:cs="Times New Roman"/>
                      <w:bCs/>
                      <w:sz w:val="21"/>
                      <w:szCs w:val="21"/>
                    </w:rPr>
                  </w:pPr>
                </w:p>
              </w:tc>
              <w:tc>
                <w:tcPr>
                  <w:tcW w:w="1749" w:type="dxa"/>
                  <w:vMerge w:val="continue"/>
                  <w:vAlign w:val="center"/>
                </w:tcPr>
                <w:p>
                  <w:pPr>
                    <w:adjustRightInd w:val="0"/>
                    <w:snapToGrid w:val="0"/>
                    <w:jc w:val="center"/>
                    <w:rPr>
                      <w:rFonts w:hint="default" w:ascii="Times New Roman" w:hAnsi="Times New Roman" w:eastAsia="宋体" w:cs="Times New Roman"/>
                      <w:bCs/>
                      <w:sz w:val="21"/>
                      <w:szCs w:val="21"/>
                    </w:rPr>
                  </w:pPr>
                </w:p>
              </w:tc>
              <w:tc>
                <w:tcPr>
                  <w:tcW w:w="1604"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NO</w:t>
                  </w:r>
                  <w:r>
                    <w:rPr>
                      <w:rFonts w:hint="default" w:ascii="Times New Roman" w:hAnsi="Times New Roman" w:eastAsia="宋体" w:cs="Times New Roman"/>
                      <w:bCs/>
                      <w:sz w:val="21"/>
                      <w:szCs w:val="21"/>
                      <w:vertAlign w:val="subscript"/>
                    </w:rPr>
                    <w:t>X</w:t>
                  </w:r>
                </w:p>
              </w:tc>
              <w:tc>
                <w:tcPr>
                  <w:tcW w:w="2331"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206</w:t>
                  </w:r>
                </w:p>
              </w:tc>
              <w:tc>
                <w:tcPr>
                  <w:tcW w:w="1532"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0.0</w:t>
                  </w:r>
                  <w:r>
                    <w:rPr>
                      <w:rFonts w:hint="default" w:ascii="Times New Roman" w:hAnsi="Times New Roman" w:eastAsia="宋体" w:cs="Times New Roman"/>
                      <w:bCs/>
                      <w:sz w:val="21"/>
                      <w:szCs w:val="21"/>
                      <w:lang w:val="en-US" w:eastAsia="zh-CN"/>
                    </w:rPr>
                    <w:t>511</w:t>
                  </w:r>
                </w:p>
              </w:tc>
              <w:tc>
                <w:tcPr>
                  <w:tcW w:w="1528"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0.184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441" w:type="dxa"/>
                  <w:vMerge w:val="continue"/>
                  <w:vAlign w:val="center"/>
                </w:tcPr>
                <w:p>
                  <w:pPr>
                    <w:adjustRightInd w:val="0"/>
                    <w:snapToGrid w:val="0"/>
                    <w:jc w:val="center"/>
                    <w:rPr>
                      <w:rFonts w:hint="default" w:ascii="Times New Roman" w:hAnsi="Times New Roman" w:eastAsia="宋体" w:cs="Times New Roman"/>
                      <w:bCs/>
                      <w:sz w:val="21"/>
                      <w:szCs w:val="21"/>
                    </w:rPr>
                  </w:pPr>
                </w:p>
              </w:tc>
              <w:tc>
                <w:tcPr>
                  <w:tcW w:w="1749" w:type="dxa"/>
                  <w:vMerge w:val="continue"/>
                  <w:vAlign w:val="center"/>
                </w:tcPr>
                <w:p>
                  <w:pPr>
                    <w:adjustRightInd w:val="0"/>
                    <w:snapToGrid w:val="0"/>
                    <w:jc w:val="center"/>
                    <w:rPr>
                      <w:rFonts w:hint="default" w:ascii="Times New Roman" w:hAnsi="Times New Roman" w:eastAsia="宋体" w:cs="Times New Roman"/>
                      <w:bCs/>
                      <w:sz w:val="21"/>
                      <w:szCs w:val="21"/>
                    </w:rPr>
                  </w:pPr>
                </w:p>
              </w:tc>
              <w:tc>
                <w:tcPr>
                  <w:tcW w:w="1604"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烟尘</w:t>
                  </w:r>
                </w:p>
              </w:tc>
              <w:tc>
                <w:tcPr>
                  <w:tcW w:w="2331"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15</w:t>
                  </w:r>
                </w:p>
              </w:tc>
              <w:tc>
                <w:tcPr>
                  <w:tcW w:w="1532"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0.00</w:t>
                  </w:r>
                  <w:r>
                    <w:rPr>
                      <w:rFonts w:hint="default" w:ascii="Times New Roman" w:hAnsi="Times New Roman" w:eastAsia="宋体" w:cs="Times New Roman"/>
                      <w:bCs/>
                      <w:sz w:val="21"/>
                      <w:szCs w:val="21"/>
                      <w:lang w:val="en-US" w:eastAsia="zh-CN"/>
                    </w:rPr>
                    <w:t>361</w:t>
                  </w:r>
                </w:p>
              </w:tc>
              <w:tc>
                <w:tcPr>
                  <w:tcW w:w="1528"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0.013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25" w:hRule="atLeast"/>
              </w:trPr>
              <w:tc>
                <w:tcPr>
                  <w:tcW w:w="441" w:type="dxa"/>
                  <w:vMerge w:val="restart"/>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w:t>
                  </w:r>
                </w:p>
              </w:tc>
              <w:tc>
                <w:tcPr>
                  <w:tcW w:w="1749" w:type="dxa"/>
                  <w:vMerge w:val="restart"/>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3#排气筒</w:t>
                  </w:r>
                </w:p>
              </w:tc>
              <w:tc>
                <w:tcPr>
                  <w:tcW w:w="1604"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沥青烟</w:t>
                  </w:r>
                </w:p>
              </w:tc>
              <w:tc>
                <w:tcPr>
                  <w:tcW w:w="2331"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6.5</w:t>
                  </w:r>
                </w:p>
              </w:tc>
              <w:tc>
                <w:tcPr>
                  <w:tcW w:w="1532"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0.0065</w:t>
                  </w:r>
                </w:p>
              </w:tc>
              <w:tc>
                <w:tcPr>
                  <w:tcW w:w="1528"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0.0156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441" w:type="dxa"/>
                  <w:vMerge w:val="continue"/>
                  <w:vAlign w:val="center"/>
                </w:tcPr>
                <w:p>
                  <w:pPr>
                    <w:adjustRightInd w:val="0"/>
                    <w:snapToGrid w:val="0"/>
                    <w:jc w:val="center"/>
                    <w:rPr>
                      <w:rFonts w:hint="default" w:ascii="Times New Roman" w:hAnsi="Times New Roman" w:eastAsia="宋体" w:cs="Times New Roman"/>
                      <w:bCs/>
                      <w:sz w:val="21"/>
                      <w:szCs w:val="21"/>
                    </w:rPr>
                  </w:pPr>
                </w:p>
              </w:tc>
              <w:tc>
                <w:tcPr>
                  <w:tcW w:w="1749" w:type="dxa"/>
                  <w:vMerge w:val="continue"/>
                  <w:vAlign w:val="center"/>
                </w:tcPr>
                <w:p>
                  <w:pPr>
                    <w:adjustRightInd w:val="0"/>
                    <w:snapToGrid w:val="0"/>
                    <w:jc w:val="center"/>
                    <w:rPr>
                      <w:rFonts w:hint="default" w:ascii="Times New Roman" w:hAnsi="Times New Roman" w:eastAsia="宋体" w:cs="Times New Roman"/>
                      <w:bCs/>
                      <w:sz w:val="21"/>
                      <w:szCs w:val="21"/>
                    </w:rPr>
                  </w:pPr>
                </w:p>
              </w:tc>
              <w:tc>
                <w:tcPr>
                  <w:tcW w:w="1604"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苯并[a]芘</w:t>
                  </w:r>
                </w:p>
              </w:tc>
              <w:tc>
                <w:tcPr>
                  <w:tcW w:w="2331"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0.0036</w:t>
                  </w:r>
                </w:p>
              </w:tc>
              <w:tc>
                <w:tcPr>
                  <w:tcW w:w="1532"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3.6*10-6</w:t>
                  </w:r>
                </w:p>
              </w:tc>
              <w:tc>
                <w:tcPr>
                  <w:tcW w:w="1528"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8.65*10-6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2190" w:type="dxa"/>
                  <w:gridSpan w:val="2"/>
                  <w:vMerge w:val="restart"/>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有组织排放总计</w:t>
                  </w:r>
                </w:p>
              </w:tc>
              <w:tc>
                <w:tcPr>
                  <w:tcW w:w="5467" w:type="dxa"/>
                  <w:gridSpan w:val="3"/>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颗粒物</w:t>
                  </w:r>
                </w:p>
              </w:tc>
              <w:tc>
                <w:tcPr>
                  <w:tcW w:w="1528" w:type="dxa"/>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0.353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2190" w:type="dxa"/>
                  <w:gridSpan w:val="2"/>
                  <w:vMerge w:val="continue"/>
                  <w:vAlign w:val="center"/>
                </w:tcPr>
                <w:p>
                  <w:pPr>
                    <w:adjustRightInd w:val="0"/>
                    <w:snapToGrid w:val="0"/>
                    <w:jc w:val="center"/>
                    <w:rPr>
                      <w:rFonts w:hint="default" w:ascii="Times New Roman" w:hAnsi="Times New Roman" w:eastAsia="宋体" w:cs="Times New Roman"/>
                      <w:bCs/>
                      <w:sz w:val="21"/>
                      <w:szCs w:val="21"/>
                    </w:rPr>
                  </w:pPr>
                </w:p>
              </w:tc>
              <w:tc>
                <w:tcPr>
                  <w:tcW w:w="5467" w:type="dxa"/>
                  <w:gridSpan w:val="3"/>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SO2</w:t>
                  </w:r>
                </w:p>
              </w:tc>
              <w:tc>
                <w:tcPr>
                  <w:tcW w:w="1528"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0.513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2190" w:type="dxa"/>
                  <w:gridSpan w:val="2"/>
                  <w:vMerge w:val="continue"/>
                  <w:vAlign w:val="center"/>
                </w:tcPr>
                <w:p>
                  <w:pPr>
                    <w:adjustRightInd w:val="0"/>
                    <w:snapToGrid w:val="0"/>
                    <w:jc w:val="center"/>
                    <w:rPr>
                      <w:rFonts w:hint="default" w:ascii="Times New Roman" w:hAnsi="Times New Roman" w:eastAsia="宋体" w:cs="Times New Roman"/>
                      <w:bCs/>
                      <w:sz w:val="21"/>
                      <w:szCs w:val="21"/>
                    </w:rPr>
                  </w:pPr>
                </w:p>
              </w:tc>
              <w:tc>
                <w:tcPr>
                  <w:tcW w:w="5467" w:type="dxa"/>
                  <w:gridSpan w:val="3"/>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NOX</w:t>
                  </w:r>
                </w:p>
              </w:tc>
              <w:tc>
                <w:tcPr>
                  <w:tcW w:w="1528"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0.972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2190" w:type="dxa"/>
                  <w:gridSpan w:val="2"/>
                  <w:vMerge w:val="continue"/>
                </w:tcPr>
                <w:p>
                  <w:pPr>
                    <w:adjustRightInd w:val="0"/>
                    <w:snapToGrid w:val="0"/>
                    <w:jc w:val="center"/>
                    <w:rPr>
                      <w:rFonts w:hint="default" w:ascii="Times New Roman" w:hAnsi="Times New Roman" w:eastAsia="宋体" w:cs="Times New Roman"/>
                      <w:bCs/>
                      <w:sz w:val="21"/>
                      <w:szCs w:val="21"/>
                    </w:rPr>
                  </w:pPr>
                </w:p>
              </w:tc>
              <w:tc>
                <w:tcPr>
                  <w:tcW w:w="5467" w:type="dxa"/>
                  <w:gridSpan w:val="3"/>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沥青烟</w:t>
                  </w:r>
                </w:p>
              </w:tc>
              <w:tc>
                <w:tcPr>
                  <w:tcW w:w="1528"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0.0156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2190" w:type="dxa"/>
                  <w:gridSpan w:val="2"/>
                  <w:vMerge w:val="continue"/>
                </w:tcPr>
                <w:p>
                  <w:pPr>
                    <w:adjustRightInd w:val="0"/>
                    <w:snapToGrid w:val="0"/>
                    <w:jc w:val="center"/>
                    <w:rPr>
                      <w:rFonts w:hint="default" w:ascii="Times New Roman" w:hAnsi="Times New Roman" w:eastAsia="宋体" w:cs="Times New Roman"/>
                      <w:bCs/>
                      <w:sz w:val="21"/>
                      <w:szCs w:val="21"/>
                    </w:rPr>
                  </w:pPr>
                </w:p>
              </w:tc>
              <w:tc>
                <w:tcPr>
                  <w:tcW w:w="5467" w:type="dxa"/>
                  <w:gridSpan w:val="3"/>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苯并[a]芘</w:t>
                  </w:r>
                </w:p>
              </w:tc>
              <w:tc>
                <w:tcPr>
                  <w:tcW w:w="1528" w:type="dxa"/>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8.65*10-6</w:t>
                  </w:r>
                </w:p>
              </w:tc>
            </w:tr>
          </w:tbl>
          <w:p>
            <w:pPr>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表5</w:t>
            </w:r>
            <w:r>
              <w:rPr>
                <w:rFonts w:hint="eastAsia" w:cs="Times New Roman"/>
                <w:b/>
                <w:color w:val="auto"/>
                <w:sz w:val="21"/>
                <w:szCs w:val="21"/>
                <w:lang w:val="en-US" w:eastAsia="zh-CN"/>
              </w:rPr>
              <w:t>.2.6</w:t>
            </w:r>
            <w:r>
              <w:rPr>
                <w:rFonts w:hint="default" w:ascii="Times New Roman" w:hAnsi="Times New Roman" w:eastAsia="宋体" w:cs="Times New Roman"/>
                <w:b/>
                <w:color w:val="auto"/>
                <w:sz w:val="21"/>
                <w:szCs w:val="21"/>
              </w:rPr>
              <w:t>-9大气污染物无组织排放量核算表</w:t>
            </w:r>
          </w:p>
          <w:tbl>
            <w:tblPr>
              <w:tblStyle w:val="43"/>
              <w:tblW w:w="9185"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689"/>
              <w:gridCol w:w="868"/>
              <w:gridCol w:w="253"/>
              <w:gridCol w:w="1173"/>
              <w:gridCol w:w="1839"/>
              <w:gridCol w:w="1195"/>
              <w:gridCol w:w="678"/>
              <w:gridCol w:w="1431"/>
              <w:gridCol w:w="105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689" w:type="dxa"/>
                  <w:vMerge w:val="restart"/>
                  <w:tcBorders>
                    <w:tl2br w:val="nil"/>
                    <w:tr2bl w:val="nil"/>
                  </w:tcBorders>
                  <w:vAlign w:val="center"/>
                </w:tcPr>
                <w:p>
                  <w:pPr>
                    <w:pStyle w:val="220"/>
                    <w:rPr>
                      <w:rFonts w:hint="default" w:ascii="Times New Roman" w:hAnsi="Times New Roman" w:eastAsia="宋体" w:cs="Times New Roman"/>
                      <w:b/>
                      <w:color w:val="auto"/>
                      <w:kern w:val="2"/>
                    </w:rPr>
                  </w:pPr>
                  <w:r>
                    <w:rPr>
                      <w:rFonts w:hint="default" w:ascii="Times New Roman" w:hAnsi="Times New Roman" w:eastAsia="宋体" w:cs="Times New Roman"/>
                      <w:b/>
                      <w:color w:val="auto"/>
                      <w:kern w:val="2"/>
                    </w:rPr>
                    <w:t>序号</w:t>
                  </w:r>
                </w:p>
              </w:tc>
              <w:tc>
                <w:tcPr>
                  <w:tcW w:w="1121" w:type="dxa"/>
                  <w:gridSpan w:val="2"/>
                  <w:vMerge w:val="restart"/>
                  <w:tcBorders>
                    <w:tl2br w:val="nil"/>
                    <w:tr2bl w:val="nil"/>
                  </w:tcBorders>
                  <w:vAlign w:val="center"/>
                </w:tcPr>
                <w:p>
                  <w:pPr>
                    <w:pStyle w:val="220"/>
                    <w:rPr>
                      <w:rFonts w:hint="default" w:ascii="Times New Roman" w:hAnsi="Times New Roman" w:eastAsia="宋体" w:cs="Times New Roman"/>
                      <w:b/>
                      <w:color w:val="auto"/>
                      <w:kern w:val="2"/>
                    </w:rPr>
                  </w:pPr>
                  <w:r>
                    <w:rPr>
                      <w:rFonts w:hint="default" w:ascii="Times New Roman" w:hAnsi="Times New Roman" w:eastAsia="宋体" w:cs="Times New Roman"/>
                      <w:b/>
                      <w:color w:val="auto"/>
                      <w:kern w:val="2"/>
                    </w:rPr>
                    <w:t>产污环节</w:t>
                  </w:r>
                </w:p>
              </w:tc>
              <w:tc>
                <w:tcPr>
                  <w:tcW w:w="1173" w:type="dxa"/>
                  <w:vMerge w:val="restart"/>
                  <w:tcBorders>
                    <w:tl2br w:val="nil"/>
                    <w:tr2bl w:val="nil"/>
                  </w:tcBorders>
                  <w:vAlign w:val="center"/>
                </w:tcPr>
                <w:p>
                  <w:pPr>
                    <w:pStyle w:val="220"/>
                    <w:rPr>
                      <w:rFonts w:hint="default" w:ascii="Times New Roman" w:hAnsi="Times New Roman" w:eastAsia="宋体" w:cs="Times New Roman"/>
                      <w:b/>
                      <w:color w:val="auto"/>
                      <w:kern w:val="2"/>
                    </w:rPr>
                  </w:pPr>
                  <w:r>
                    <w:rPr>
                      <w:rFonts w:hint="default" w:ascii="Times New Roman" w:hAnsi="Times New Roman" w:eastAsia="宋体" w:cs="Times New Roman"/>
                      <w:b/>
                      <w:color w:val="auto"/>
                      <w:kern w:val="2"/>
                    </w:rPr>
                    <w:t>污染物</w:t>
                  </w:r>
                </w:p>
              </w:tc>
              <w:tc>
                <w:tcPr>
                  <w:tcW w:w="1839" w:type="dxa"/>
                  <w:vMerge w:val="restart"/>
                  <w:tcBorders>
                    <w:tl2br w:val="nil"/>
                    <w:tr2bl w:val="nil"/>
                  </w:tcBorders>
                  <w:vAlign w:val="center"/>
                </w:tcPr>
                <w:p>
                  <w:pPr>
                    <w:pStyle w:val="220"/>
                    <w:rPr>
                      <w:rFonts w:hint="default" w:ascii="Times New Roman" w:hAnsi="Times New Roman" w:eastAsia="宋体" w:cs="Times New Roman"/>
                      <w:b/>
                      <w:color w:val="auto"/>
                      <w:kern w:val="2"/>
                    </w:rPr>
                  </w:pPr>
                  <w:r>
                    <w:rPr>
                      <w:rFonts w:hint="default" w:ascii="Times New Roman" w:hAnsi="Times New Roman" w:eastAsia="宋体" w:cs="Times New Roman"/>
                      <w:b/>
                      <w:color w:val="auto"/>
                      <w:kern w:val="2"/>
                    </w:rPr>
                    <w:t>主要污染防治措施</w:t>
                  </w:r>
                </w:p>
              </w:tc>
              <w:tc>
                <w:tcPr>
                  <w:tcW w:w="3304" w:type="dxa"/>
                  <w:gridSpan w:val="3"/>
                  <w:tcBorders>
                    <w:tl2br w:val="nil"/>
                    <w:tr2bl w:val="nil"/>
                  </w:tcBorders>
                  <w:vAlign w:val="center"/>
                </w:tcPr>
                <w:p>
                  <w:pPr>
                    <w:pStyle w:val="220"/>
                    <w:rPr>
                      <w:rFonts w:hint="default" w:ascii="Times New Roman" w:hAnsi="Times New Roman" w:eastAsia="宋体" w:cs="Times New Roman"/>
                      <w:b/>
                      <w:color w:val="auto"/>
                      <w:kern w:val="2"/>
                    </w:rPr>
                  </w:pPr>
                  <w:r>
                    <w:rPr>
                      <w:rFonts w:hint="default" w:ascii="Times New Roman" w:hAnsi="Times New Roman" w:eastAsia="宋体" w:cs="Times New Roman"/>
                      <w:b/>
                      <w:color w:val="auto"/>
                      <w:kern w:val="2"/>
                    </w:rPr>
                    <w:t>国家或地方污染物排放标准</w:t>
                  </w:r>
                </w:p>
              </w:tc>
              <w:tc>
                <w:tcPr>
                  <w:tcW w:w="1059" w:type="dxa"/>
                  <w:vMerge w:val="restart"/>
                  <w:tcBorders>
                    <w:tl2br w:val="nil"/>
                    <w:tr2bl w:val="nil"/>
                  </w:tcBorders>
                  <w:vAlign w:val="center"/>
                </w:tcPr>
                <w:p>
                  <w:pPr>
                    <w:pStyle w:val="220"/>
                    <w:rPr>
                      <w:rFonts w:hint="default" w:ascii="Times New Roman" w:hAnsi="Times New Roman" w:eastAsia="宋体" w:cs="Times New Roman"/>
                      <w:b/>
                      <w:color w:val="auto"/>
                      <w:kern w:val="2"/>
                    </w:rPr>
                  </w:pPr>
                  <w:r>
                    <w:rPr>
                      <w:rFonts w:hint="default" w:ascii="Times New Roman" w:hAnsi="Times New Roman" w:eastAsia="宋体" w:cs="Times New Roman"/>
                      <w:b/>
                      <w:color w:val="auto"/>
                      <w:kern w:val="2"/>
                    </w:rPr>
                    <w:t>年排放量（t/a）</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689" w:type="dxa"/>
                  <w:vMerge w:val="continue"/>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b/>
                      <w:color w:val="auto"/>
                      <w:sz w:val="21"/>
                      <w:szCs w:val="21"/>
                    </w:rPr>
                  </w:pPr>
                </w:p>
              </w:tc>
              <w:tc>
                <w:tcPr>
                  <w:tcW w:w="1121" w:type="dxa"/>
                  <w:gridSpan w:val="2"/>
                  <w:vMerge w:val="continue"/>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b/>
                      <w:color w:val="auto"/>
                      <w:sz w:val="21"/>
                      <w:szCs w:val="21"/>
                    </w:rPr>
                  </w:pPr>
                </w:p>
              </w:tc>
              <w:tc>
                <w:tcPr>
                  <w:tcW w:w="1173" w:type="dxa"/>
                  <w:vMerge w:val="continue"/>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b/>
                      <w:color w:val="auto"/>
                      <w:sz w:val="21"/>
                      <w:szCs w:val="21"/>
                    </w:rPr>
                  </w:pPr>
                </w:p>
              </w:tc>
              <w:tc>
                <w:tcPr>
                  <w:tcW w:w="1839" w:type="dxa"/>
                  <w:vMerge w:val="continue"/>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b/>
                      <w:color w:val="auto"/>
                      <w:sz w:val="21"/>
                      <w:szCs w:val="21"/>
                    </w:rPr>
                  </w:pPr>
                </w:p>
              </w:tc>
              <w:tc>
                <w:tcPr>
                  <w:tcW w:w="1873" w:type="dxa"/>
                  <w:gridSpan w:val="2"/>
                  <w:tcBorders>
                    <w:tl2br w:val="nil"/>
                    <w:tr2bl w:val="nil"/>
                  </w:tcBorders>
                  <w:vAlign w:val="center"/>
                </w:tcPr>
                <w:p>
                  <w:pPr>
                    <w:pStyle w:val="220"/>
                    <w:rPr>
                      <w:rFonts w:hint="default" w:ascii="Times New Roman" w:hAnsi="Times New Roman" w:eastAsia="宋体" w:cs="Times New Roman"/>
                      <w:b/>
                      <w:color w:val="auto"/>
                      <w:kern w:val="2"/>
                    </w:rPr>
                  </w:pPr>
                  <w:r>
                    <w:rPr>
                      <w:rFonts w:hint="default" w:ascii="Times New Roman" w:hAnsi="Times New Roman" w:eastAsia="宋体" w:cs="Times New Roman"/>
                      <w:b/>
                      <w:color w:val="auto"/>
                      <w:kern w:val="2"/>
                    </w:rPr>
                    <w:t>标准名称</w:t>
                  </w:r>
                </w:p>
              </w:tc>
              <w:tc>
                <w:tcPr>
                  <w:tcW w:w="1431" w:type="dxa"/>
                  <w:tcBorders>
                    <w:tl2br w:val="nil"/>
                    <w:tr2bl w:val="nil"/>
                  </w:tcBorders>
                  <w:vAlign w:val="center"/>
                </w:tcPr>
                <w:p>
                  <w:pPr>
                    <w:pStyle w:val="220"/>
                    <w:rPr>
                      <w:rFonts w:hint="default" w:ascii="Times New Roman" w:hAnsi="Times New Roman" w:eastAsia="宋体" w:cs="Times New Roman"/>
                      <w:b/>
                      <w:color w:val="auto"/>
                      <w:kern w:val="2"/>
                    </w:rPr>
                  </w:pPr>
                  <w:r>
                    <w:rPr>
                      <w:rFonts w:hint="default" w:ascii="Times New Roman" w:hAnsi="Times New Roman" w:eastAsia="宋体" w:cs="Times New Roman"/>
                      <w:b/>
                      <w:color w:val="auto"/>
                      <w:kern w:val="2"/>
                    </w:rPr>
                    <w:t>浓度(mg/ m</w:t>
                  </w:r>
                  <w:r>
                    <w:rPr>
                      <w:rFonts w:hint="default" w:ascii="Times New Roman" w:hAnsi="Times New Roman" w:eastAsia="宋体" w:cs="Times New Roman"/>
                      <w:b/>
                      <w:color w:val="auto"/>
                      <w:kern w:val="2"/>
                      <w:vertAlign w:val="superscript"/>
                    </w:rPr>
                    <w:t>3</w:t>
                  </w:r>
                  <w:r>
                    <w:rPr>
                      <w:rFonts w:hint="default" w:ascii="Times New Roman" w:hAnsi="Times New Roman" w:eastAsia="宋体" w:cs="Times New Roman"/>
                      <w:b/>
                      <w:color w:val="auto"/>
                      <w:kern w:val="2"/>
                    </w:rPr>
                    <w:t>)</w:t>
                  </w:r>
                </w:p>
              </w:tc>
              <w:tc>
                <w:tcPr>
                  <w:tcW w:w="1059" w:type="dxa"/>
                  <w:vMerge w:val="continue"/>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b/>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689" w:type="dxa"/>
                  <w:tcBorders>
                    <w:tl2br w:val="nil"/>
                    <w:tr2bl w:val="nil"/>
                  </w:tcBorders>
                  <w:vAlign w:val="center"/>
                </w:tcPr>
                <w:p>
                  <w:pPr>
                    <w:pStyle w:val="22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1</w:t>
                  </w:r>
                </w:p>
              </w:tc>
              <w:tc>
                <w:tcPr>
                  <w:tcW w:w="1121" w:type="dxa"/>
                  <w:gridSpan w:val="2"/>
                  <w:vMerge w:val="restart"/>
                  <w:tcBorders>
                    <w:tl2br w:val="nil"/>
                    <w:tr2bl w:val="nil"/>
                  </w:tcBorders>
                  <w:vAlign w:val="center"/>
                </w:tcPr>
                <w:p>
                  <w:pPr>
                    <w:pStyle w:val="151"/>
                    <w:ind w:left="0" w:leftChars="0" w:firstLine="0" w:firstLineChars="0"/>
                    <w:jc w:val="center"/>
                    <w:rPr>
                      <w:rFonts w:hint="default" w:ascii="Times New Roman" w:hAnsi="Times New Roman" w:eastAsia="宋体" w:cs="Times New Roman"/>
                      <w:color w:val="auto"/>
                      <w:kern w:val="2"/>
                    </w:rPr>
                  </w:pPr>
                  <w:r>
                    <w:rPr>
                      <w:rFonts w:hint="default" w:ascii="Times New Roman" w:hAnsi="Times New Roman" w:eastAsia="宋体" w:cs="Times New Roman"/>
                      <w:color w:val="auto"/>
                      <w:sz w:val="21"/>
                      <w:szCs w:val="21"/>
                    </w:rPr>
                    <w:t>生产区</w:t>
                  </w:r>
                </w:p>
              </w:tc>
              <w:tc>
                <w:tcPr>
                  <w:tcW w:w="1173" w:type="dxa"/>
                  <w:tcBorders>
                    <w:tl2br w:val="nil"/>
                    <w:tr2bl w:val="nil"/>
                  </w:tcBorders>
                  <w:vAlign w:val="center"/>
                </w:tcPr>
                <w:p>
                  <w:pPr>
                    <w:pStyle w:val="220"/>
                    <w:rPr>
                      <w:rFonts w:hint="default" w:ascii="Times New Roman" w:hAnsi="Times New Roman" w:eastAsia="宋体" w:cs="Times New Roman"/>
                      <w:color w:val="auto"/>
                      <w:kern w:val="2"/>
                    </w:rPr>
                  </w:pPr>
                  <w:r>
                    <w:rPr>
                      <w:rFonts w:hint="default" w:ascii="Times New Roman" w:hAnsi="Times New Roman" w:eastAsia="宋体" w:cs="Times New Roman"/>
                      <w:color w:val="auto"/>
                    </w:rPr>
                    <w:t>颗粒物</w:t>
                  </w:r>
                </w:p>
              </w:tc>
              <w:tc>
                <w:tcPr>
                  <w:tcW w:w="1839" w:type="dxa"/>
                  <w:vMerge w:val="restart"/>
                  <w:tcBorders>
                    <w:tl2br w:val="nil"/>
                    <w:tr2bl w:val="nil"/>
                  </w:tcBorders>
                  <w:vAlign w:val="center"/>
                </w:tcPr>
                <w:p>
                  <w:pPr>
                    <w:pStyle w:val="22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布袋除尘器</w:t>
                  </w:r>
                </w:p>
              </w:tc>
              <w:tc>
                <w:tcPr>
                  <w:tcW w:w="1873" w:type="dxa"/>
                  <w:gridSpan w:val="2"/>
                  <w:vMerge w:val="restart"/>
                  <w:tcBorders>
                    <w:tl2br w:val="nil"/>
                    <w:tr2bl w:val="nil"/>
                  </w:tcBorders>
                  <w:vAlign w:val="center"/>
                </w:tcPr>
                <w:p>
                  <w:pPr>
                    <w:pStyle w:val="220"/>
                    <w:rPr>
                      <w:rFonts w:hint="default" w:ascii="Times New Roman" w:hAnsi="Times New Roman" w:eastAsia="宋体" w:cs="Times New Roman"/>
                      <w:color w:val="auto"/>
                      <w:kern w:val="2"/>
                      <w:lang w:eastAsia="zh-CN"/>
                    </w:rPr>
                  </w:pPr>
                  <w:r>
                    <w:rPr>
                      <w:rFonts w:hint="default" w:ascii="Times New Roman" w:hAnsi="Times New Roman" w:eastAsia="宋体" w:cs="Times New Roman"/>
                      <w:color w:val="auto"/>
                      <w:kern w:val="2"/>
                    </w:rPr>
                    <w:t>《大气污染物综合排放标准》(GB16297-1996)</w:t>
                  </w:r>
                  <w:r>
                    <w:rPr>
                      <w:rFonts w:hint="default" w:ascii="Times New Roman" w:hAnsi="Times New Roman" w:eastAsia="宋体" w:cs="Times New Roman"/>
                      <w:color w:val="auto"/>
                      <w:kern w:val="2"/>
                      <w:lang w:eastAsia="zh-CN"/>
                    </w:rPr>
                    <w:t>、</w:t>
                  </w:r>
                  <w:r>
                    <w:rPr>
                      <w:rFonts w:hint="default" w:ascii="Times New Roman" w:hAnsi="Times New Roman" w:eastAsia="宋体" w:cs="Times New Roman"/>
                      <w:color w:val="auto"/>
                    </w:rPr>
                    <w:t>《工业炉窑大气污染综合治理方案》</w:t>
                  </w:r>
                </w:p>
              </w:tc>
              <w:tc>
                <w:tcPr>
                  <w:tcW w:w="1431" w:type="dxa"/>
                  <w:tcBorders>
                    <w:tl2br w:val="nil"/>
                    <w:tr2bl w:val="nil"/>
                  </w:tcBorders>
                  <w:vAlign w:val="center"/>
                </w:tcPr>
                <w:p>
                  <w:pPr>
                    <w:pStyle w:val="22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1.0</w:t>
                  </w:r>
                </w:p>
              </w:tc>
              <w:tc>
                <w:tcPr>
                  <w:tcW w:w="1059" w:type="dxa"/>
                  <w:tcBorders>
                    <w:tl2br w:val="nil"/>
                    <w:tr2bl w:val="nil"/>
                  </w:tcBorders>
                  <w:vAlign w:val="center"/>
                </w:tcPr>
                <w:p>
                  <w:pPr>
                    <w:pStyle w:val="151"/>
                    <w:ind w:firstLine="0" w:firstLineChars="0"/>
                    <w:rPr>
                      <w:rFonts w:hint="default" w:ascii="Times New Roman" w:hAnsi="Times New Roman" w:eastAsia="宋体" w:cs="Times New Roman"/>
                      <w:color w:val="auto"/>
                      <w:kern w:val="2"/>
                    </w:rPr>
                  </w:pPr>
                  <w:r>
                    <w:rPr>
                      <w:rFonts w:hint="default" w:ascii="Times New Roman" w:hAnsi="Times New Roman" w:eastAsia="宋体" w:cs="Times New Roman"/>
                      <w:color w:val="auto"/>
                      <w:sz w:val="21"/>
                      <w:szCs w:val="21"/>
                      <w:lang w:val="en-US" w:eastAsia="zh-CN"/>
                    </w:rPr>
                    <w:t>0.392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689" w:type="dxa"/>
                  <w:tcBorders>
                    <w:tl2br w:val="nil"/>
                    <w:tr2bl w:val="nil"/>
                  </w:tcBorders>
                  <w:vAlign w:val="center"/>
                </w:tcPr>
                <w:p>
                  <w:pPr>
                    <w:pStyle w:val="220"/>
                    <w:rPr>
                      <w:rFonts w:hint="default" w:ascii="Times New Roman" w:hAnsi="Times New Roman" w:eastAsia="宋体" w:cs="Times New Roman"/>
                      <w:color w:val="auto"/>
                      <w:kern w:val="2"/>
                      <w:lang w:val="en-US" w:eastAsia="zh-CN"/>
                    </w:rPr>
                  </w:pPr>
                  <w:r>
                    <w:rPr>
                      <w:rFonts w:hint="default" w:ascii="Times New Roman" w:hAnsi="Times New Roman" w:eastAsia="宋体" w:cs="Times New Roman"/>
                      <w:color w:val="auto"/>
                      <w:kern w:val="2"/>
                      <w:lang w:val="en-US" w:eastAsia="zh-CN"/>
                    </w:rPr>
                    <w:t>2</w:t>
                  </w:r>
                </w:p>
              </w:tc>
              <w:tc>
                <w:tcPr>
                  <w:tcW w:w="1121" w:type="dxa"/>
                  <w:gridSpan w:val="2"/>
                  <w:vMerge w:val="continue"/>
                  <w:tcBorders>
                    <w:tl2br w:val="nil"/>
                    <w:tr2bl w:val="nil"/>
                  </w:tcBorders>
                  <w:vAlign w:val="center"/>
                </w:tcPr>
                <w:p>
                  <w:pPr>
                    <w:pStyle w:val="151"/>
                    <w:rPr>
                      <w:rFonts w:hint="default" w:ascii="Times New Roman" w:hAnsi="Times New Roman" w:eastAsia="宋体" w:cs="Times New Roman"/>
                      <w:color w:val="auto"/>
                      <w:sz w:val="21"/>
                      <w:szCs w:val="21"/>
                    </w:rPr>
                  </w:pPr>
                </w:p>
              </w:tc>
              <w:tc>
                <w:tcPr>
                  <w:tcW w:w="1173" w:type="dxa"/>
                  <w:tcBorders>
                    <w:tl2br w:val="nil"/>
                    <w:tr2bl w:val="nil"/>
                  </w:tcBorders>
                  <w:vAlign w:val="center"/>
                </w:tcPr>
                <w:p>
                  <w:pPr>
                    <w:pStyle w:val="220"/>
                    <w:spacing w:line="320" w:lineRule="exact"/>
                    <w:ind w:firstLine="0" w:firstLineChars="0"/>
                    <w:rPr>
                      <w:rFonts w:hint="default" w:ascii="Times New Roman" w:hAnsi="Times New Roman" w:eastAsia="宋体" w:cs="Times New Roman"/>
                      <w:color w:val="auto"/>
                    </w:rPr>
                  </w:pPr>
                  <w:r>
                    <w:rPr>
                      <w:rFonts w:hint="default" w:ascii="Times New Roman" w:hAnsi="Times New Roman" w:eastAsia="宋体" w:cs="Times New Roman"/>
                      <w:color w:val="auto"/>
                    </w:rPr>
                    <w:t>SO</w:t>
                  </w:r>
                  <w:r>
                    <w:rPr>
                      <w:rFonts w:hint="default" w:ascii="Times New Roman" w:hAnsi="Times New Roman" w:eastAsia="宋体" w:cs="Times New Roman"/>
                      <w:color w:val="auto"/>
                      <w:vertAlign w:val="subscript"/>
                    </w:rPr>
                    <w:t>2</w:t>
                  </w:r>
                </w:p>
              </w:tc>
              <w:tc>
                <w:tcPr>
                  <w:tcW w:w="1839" w:type="dxa"/>
                  <w:vMerge w:val="continue"/>
                  <w:tcBorders>
                    <w:tl2br w:val="nil"/>
                    <w:tr2bl w:val="nil"/>
                  </w:tcBorders>
                  <w:vAlign w:val="center"/>
                </w:tcPr>
                <w:p>
                  <w:pPr>
                    <w:pStyle w:val="220"/>
                    <w:rPr>
                      <w:rFonts w:hint="default" w:ascii="Times New Roman" w:hAnsi="Times New Roman" w:eastAsia="宋体" w:cs="Times New Roman"/>
                      <w:color w:val="auto"/>
                      <w:kern w:val="2"/>
                    </w:rPr>
                  </w:pPr>
                </w:p>
              </w:tc>
              <w:tc>
                <w:tcPr>
                  <w:tcW w:w="1873" w:type="dxa"/>
                  <w:gridSpan w:val="2"/>
                  <w:vMerge w:val="continue"/>
                  <w:tcBorders>
                    <w:tl2br w:val="nil"/>
                    <w:tr2bl w:val="nil"/>
                  </w:tcBorders>
                  <w:vAlign w:val="center"/>
                </w:tcPr>
                <w:p>
                  <w:pPr>
                    <w:pStyle w:val="220"/>
                    <w:rPr>
                      <w:rFonts w:hint="default" w:ascii="Times New Roman" w:hAnsi="Times New Roman" w:eastAsia="宋体" w:cs="Times New Roman"/>
                      <w:color w:val="auto"/>
                      <w:kern w:val="2"/>
                    </w:rPr>
                  </w:pPr>
                </w:p>
              </w:tc>
              <w:tc>
                <w:tcPr>
                  <w:tcW w:w="1431" w:type="dxa"/>
                  <w:tcBorders>
                    <w:tl2br w:val="nil"/>
                    <w:tr2bl w:val="nil"/>
                  </w:tcBorders>
                  <w:vAlign w:val="center"/>
                </w:tcPr>
                <w:p>
                  <w:pPr>
                    <w:adjustRightInd w:val="0"/>
                    <w:snapToGrid w:val="0"/>
                    <w:spacing w:line="240" w:lineRule="auto"/>
                    <w:ind w:firstLine="0" w:firstLineChars="0"/>
                    <w:jc w:val="center"/>
                    <w:rPr>
                      <w:rFonts w:hint="default" w:ascii="Times New Roman" w:hAnsi="Times New Roman" w:eastAsia="宋体" w:cs="Times New Roman"/>
                      <w:color w:val="auto"/>
                      <w:kern w:val="2"/>
                    </w:rPr>
                  </w:pPr>
                  <w:r>
                    <w:rPr>
                      <w:rFonts w:hint="default" w:ascii="Times New Roman" w:hAnsi="Times New Roman" w:eastAsia="宋体" w:cs="Times New Roman"/>
                      <w:color w:val="auto"/>
                      <w:sz w:val="21"/>
                      <w:szCs w:val="21"/>
                    </w:rPr>
                    <w:t>200</w:t>
                  </w:r>
                </w:p>
              </w:tc>
              <w:tc>
                <w:tcPr>
                  <w:tcW w:w="1059" w:type="dxa"/>
                  <w:tcBorders>
                    <w:tl2br w:val="nil"/>
                    <w:tr2bl w:val="nil"/>
                  </w:tcBorders>
                  <w:vAlign w:val="center"/>
                </w:tcPr>
                <w:p>
                  <w:pPr>
                    <w:pStyle w:val="151"/>
                    <w:ind w:firstLine="0" w:firstLineChars="0"/>
                    <w:rPr>
                      <w:rFonts w:hint="default" w:ascii="Times New Roman" w:hAnsi="Times New Roman" w:eastAsia="宋体" w:cs="Times New Roman"/>
                      <w:color w:val="auto"/>
                      <w:szCs w:val="21"/>
                    </w:rPr>
                  </w:pPr>
                  <w:r>
                    <w:rPr>
                      <w:rFonts w:hint="default" w:ascii="Times New Roman" w:hAnsi="Times New Roman" w:eastAsia="宋体" w:cs="Times New Roman"/>
                      <w:color w:val="auto"/>
                      <w:sz w:val="21"/>
                      <w:szCs w:val="21"/>
                      <w:lang w:val="en-US" w:eastAsia="zh-CN"/>
                    </w:rPr>
                    <w:t>0.057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689" w:type="dxa"/>
                  <w:tcBorders>
                    <w:tl2br w:val="nil"/>
                    <w:tr2bl w:val="nil"/>
                  </w:tcBorders>
                  <w:vAlign w:val="center"/>
                </w:tcPr>
                <w:p>
                  <w:pPr>
                    <w:pStyle w:val="220"/>
                    <w:rPr>
                      <w:rFonts w:hint="default" w:ascii="Times New Roman" w:hAnsi="Times New Roman" w:eastAsia="宋体" w:cs="Times New Roman"/>
                      <w:color w:val="auto"/>
                      <w:kern w:val="2"/>
                      <w:lang w:val="en-US" w:eastAsia="zh-CN"/>
                    </w:rPr>
                  </w:pPr>
                  <w:r>
                    <w:rPr>
                      <w:rFonts w:hint="default" w:ascii="Times New Roman" w:hAnsi="Times New Roman" w:eastAsia="宋体" w:cs="Times New Roman"/>
                      <w:color w:val="auto"/>
                      <w:kern w:val="2"/>
                      <w:lang w:val="en-US" w:eastAsia="zh-CN"/>
                    </w:rPr>
                    <w:t>3</w:t>
                  </w:r>
                </w:p>
              </w:tc>
              <w:tc>
                <w:tcPr>
                  <w:tcW w:w="1121" w:type="dxa"/>
                  <w:gridSpan w:val="2"/>
                  <w:vMerge w:val="continue"/>
                  <w:tcBorders>
                    <w:tl2br w:val="nil"/>
                    <w:tr2bl w:val="nil"/>
                  </w:tcBorders>
                  <w:vAlign w:val="center"/>
                </w:tcPr>
                <w:p>
                  <w:pPr>
                    <w:pStyle w:val="151"/>
                    <w:rPr>
                      <w:rFonts w:hint="default" w:ascii="Times New Roman" w:hAnsi="Times New Roman" w:eastAsia="宋体" w:cs="Times New Roman"/>
                      <w:color w:val="auto"/>
                      <w:sz w:val="21"/>
                      <w:szCs w:val="21"/>
                    </w:rPr>
                  </w:pPr>
                </w:p>
              </w:tc>
              <w:tc>
                <w:tcPr>
                  <w:tcW w:w="1173" w:type="dxa"/>
                  <w:tcBorders>
                    <w:tl2br w:val="nil"/>
                    <w:tr2bl w:val="nil"/>
                  </w:tcBorders>
                  <w:vAlign w:val="center"/>
                </w:tcPr>
                <w:p>
                  <w:pPr>
                    <w:pStyle w:val="220"/>
                    <w:spacing w:line="320" w:lineRule="exact"/>
                    <w:ind w:firstLine="0" w:firstLineChars="0"/>
                    <w:rPr>
                      <w:rFonts w:hint="default" w:ascii="Times New Roman" w:hAnsi="Times New Roman" w:eastAsia="宋体" w:cs="Times New Roman"/>
                      <w:color w:val="auto"/>
                    </w:rPr>
                  </w:pPr>
                  <w:r>
                    <w:rPr>
                      <w:rFonts w:hint="default" w:ascii="Times New Roman" w:hAnsi="Times New Roman" w:eastAsia="宋体" w:cs="Times New Roman"/>
                      <w:color w:val="auto"/>
                    </w:rPr>
                    <w:t>NO</w:t>
                  </w:r>
                  <w:r>
                    <w:rPr>
                      <w:rFonts w:hint="default" w:ascii="Times New Roman" w:hAnsi="Times New Roman" w:eastAsia="宋体" w:cs="Times New Roman"/>
                      <w:color w:val="auto"/>
                      <w:vertAlign w:val="subscript"/>
                    </w:rPr>
                    <w:t>X</w:t>
                  </w:r>
                </w:p>
              </w:tc>
              <w:tc>
                <w:tcPr>
                  <w:tcW w:w="1839" w:type="dxa"/>
                  <w:vMerge w:val="continue"/>
                  <w:tcBorders>
                    <w:tl2br w:val="nil"/>
                    <w:tr2bl w:val="nil"/>
                  </w:tcBorders>
                  <w:vAlign w:val="center"/>
                </w:tcPr>
                <w:p>
                  <w:pPr>
                    <w:pStyle w:val="220"/>
                    <w:rPr>
                      <w:rFonts w:hint="default" w:ascii="Times New Roman" w:hAnsi="Times New Roman" w:eastAsia="宋体" w:cs="Times New Roman"/>
                      <w:color w:val="auto"/>
                      <w:kern w:val="2"/>
                    </w:rPr>
                  </w:pPr>
                </w:p>
              </w:tc>
              <w:tc>
                <w:tcPr>
                  <w:tcW w:w="1873" w:type="dxa"/>
                  <w:gridSpan w:val="2"/>
                  <w:vMerge w:val="continue"/>
                  <w:tcBorders>
                    <w:tl2br w:val="nil"/>
                    <w:tr2bl w:val="nil"/>
                  </w:tcBorders>
                  <w:vAlign w:val="center"/>
                </w:tcPr>
                <w:p>
                  <w:pPr>
                    <w:pStyle w:val="220"/>
                    <w:rPr>
                      <w:rFonts w:hint="default" w:ascii="Times New Roman" w:hAnsi="Times New Roman" w:eastAsia="宋体" w:cs="Times New Roman"/>
                      <w:color w:val="auto"/>
                      <w:kern w:val="2"/>
                    </w:rPr>
                  </w:pPr>
                </w:p>
              </w:tc>
              <w:tc>
                <w:tcPr>
                  <w:tcW w:w="1431" w:type="dxa"/>
                  <w:tcBorders>
                    <w:tl2br w:val="nil"/>
                    <w:tr2bl w:val="nil"/>
                  </w:tcBorders>
                  <w:vAlign w:val="center"/>
                </w:tcPr>
                <w:p>
                  <w:pPr>
                    <w:adjustRightInd w:val="0"/>
                    <w:snapToGrid w:val="0"/>
                    <w:spacing w:line="240" w:lineRule="auto"/>
                    <w:ind w:firstLine="0" w:firstLineChars="0"/>
                    <w:jc w:val="center"/>
                    <w:rPr>
                      <w:rFonts w:hint="default" w:ascii="Times New Roman" w:hAnsi="Times New Roman" w:eastAsia="宋体" w:cs="Times New Roman"/>
                      <w:color w:val="auto"/>
                      <w:kern w:val="2"/>
                    </w:rPr>
                  </w:pPr>
                  <w:r>
                    <w:rPr>
                      <w:rFonts w:hint="default" w:ascii="Times New Roman" w:hAnsi="Times New Roman" w:eastAsia="宋体" w:cs="Times New Roman"/>
                      <w:color w:val="auto"/>
                      <w:sz w:val="21"/>
                      <w:szCs w:val="21"/>
                    </w:rPr>
                    <w:t>300</w:t>
                  </w:r>
                </w:p>
              </w:tc>
              <w:tc>
                <w:tcPr>
                  <w:tcW w:w="1059" w:type="dxa"/>
                  <w:tcBorders>
                    <w:tl2br w:val="nil"/>
                    <w:tr2bl w:val="nil"/>
                  </w:tcBorders>
                  <w:vAlign w:val="center"/>
                </w:tcPr>
                <w:p>
                  <w:pPr>
                    <w:pStyle w:val="151"/>
                    <w:ind w:firstLine="0" w:firstLineChars="0"/>
                    <w:rPr>
                      <w:rFonts w:hint="default" w:ascii="Times New Roman" w:hAnsi="Times New Roman" w:eastAsia="宋体" w:cs="Times New Roman"/>
                      <w:color w:val="auto"/>
                      <w:szCs w:val="21"/>
                    </w:rPr>
                  </w:pPr>
                  <w:r>
                    <w:rPr>
                      <w:rFonts w:hint="default" w:ascii="Times New Roman" w:hAnsi="Times New Roman" w:eastAsia="宋体" w:cs="Times New Roman"/>
                      <w:color w:val="auto"/>
                      <w:sz w:val="21"/>
                      <w:szCs w:val="21"/>
                      <w:lang w:val="en-US" w:eastAsia="zh-CN"/>
                    </w:rPr>
                    <w:t>0.108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689" w:type="dxa"/>
                  <w:tcBorders>
                    <w:tl2br w:val="nil"/>
                    <w:tr2bl w:val="nil"/>
                  </w:tcBorders>
                  <w:vAlign w:val="center"/>
                </w:tcPr>
                <w:p>
                  <w:pPr>
                    <w:pStyle w:val="220"/>
                    <w:rPr>
                      <w:rFonts w:hint="default" w:ascii="Times New Roman" w:hAnsi="Times New Roman" w:eastAsia="宋体" w:cs="Times New Roman"/>
                      <w:color w:val="auto"/>
                      <w:kern w:val="2"/>
                      <w:lang w:val="en-US" w:eastAsia="zh-CN"/>
                    </w:rPr>
                  </w:pPr>
                  <w:r>
                    <w:rPr>
                      <w:rFonts w:hint="default" w:ascii="Times New Roman" w:hAnsi="Times New Roman" w:eastAsia="宋体" w:cs="Times New Roman"/>
                      <w:color w:val="auto"/>
                      <w:kern w:val="2"/>
                      <w:lang w:val="en-US" w:eastAsia="zh-CN"/>
                    </w:rPr>
                    <w:t>4</w:t>
                  </w:r>
                </w:p>
              </w:tc>
              <w:tc>
                <w:tcPr>
                  <w:tcW w:w="1121" w:type="dxa"/>
                  <w:gridSpan w:val="2"/>
                  <w:vMerge w:val="continue"/>
                  <w:tcBorders>
                    <w:tl2br w:val="nil"/>
                    <w:tr2bl w:val="nil"/>
                  </w:tcBorders>
                  <w:vAlign w:val="center"/>
                </w:tcPr>
                <w:p>
                  <w:pPr>
                    <w:pStyle w:val="151"/>
                    <w:rPr>
                      <w:rFonts w:hint="default" w:ascii="Times New Roman" w:hAnsi="Times New Roman" w:eastAsia="宋体" w:cs="Times New Roman"/>
                      <w:color w:val="auto"/>
                      <w:sz w:val="21"/>
                      <w:szCs w:val="21"/>
                    </w:rPr>
                  </w:pPr>
                </w:p>
              </w:tc>
              <w:tc>
                <w:tcPr>
                  <w:tcW w:w="1173" w:type="dxa"/>
                  <w:tcBorders>
                    <w:tl2br w:val="nil"/>
                    <w:tr2bl w:val="nil"/>
                  </w:tcBorders>
                  <w:vAlign w:val="center"/>
                </w:tcPr>
                <w:p>
                  <w:pPr>
                    <w:pStyle w:val="220"/>
                    <w:spacing w:line="320" w:lineRule="exact"/>
                    <w:ind w:firstLine="0" w:firstLineChars="0"/>
                    <w:rPr>
                      <w:rFonts w:hint="default" w:ascii="Times New Roman" w:hAnsi="Times New Roman" w:eastAsia="宋体" w:cs="Times New Roman"/>
                      <w:color w:val="auto"/>
                    </w:rPr>
                  </w:pPr>
                  <w:r>
                    <w:rPr>
                      <w:rFonts w:hint="default" w:ascii="Times New Roman" w:hAnsi="Times New Roman" w:eastAsia="宋体" w:cs="Times New Roman"/>
                      <w:color w:val="auto"/>
                      <w:kern w:val="2"/>
                    </w:rPr>
                    <w:t>沥青烟</w:t>
                  </w:r>
                </w:p>
              </w:tc>
              <w:tc>
                <w:tcPr>
                  <w:tcW w:w="1839" w:type="dxa"/>
                  <w:vMerge w:val="restart"/>
                  <w:tcBorders>
                    <w:tl2br w:val="nil"/>
                    <w:tr2bl w:val="nil"/>
                  </w:tcBorders>
                  <w:vAlign w:val="center"/>
                </w:tcPr>
                <w:p>
                  <w:pPr>
                    <w:pStyle w:val="220"/>
                    <w:rPr>
                      <w:rFonts w:hint="default" w:ascii="Times New Roman" w:hAnsi="Times New Roman" w:eastAsia="宋体" w:cs="Times New Roman"/>
                      <w:color w:val="auto"/>
                      <w:kern w:val="2"/>
                    </w:rPr>
                  </w:pPr>
                  <w:r>
                    <w:rPr>
                      <w:rFonts w:hint="eastAsia" w:ascii="Times New Roman" w:hAnsi="Times New Roman" w:eastAsia="宋体" w:cs="Times New Roman"/>
                      <w:kern w:val="2"/>
                      <w:sz w:val="21"/>
                      <w:szCs w:val="21"/>
                      <w:lang w:val="en-US" w:eastAsia="zh-CN" w:bidi="ar-SA"/>
                    </w:rPr>
                    <w:t>集气罩+</w:t>
                  </w:r>
                  <w:r>
                    <w:rPr>
                      <w:rFonts w:hint="eastAsia" w:eastAsia="宋体" w:cs="Times New Roman"/>
                      <w:kern w:val="2"/>
                      <w:sz w:val="21"/>
                      <w:szCs w:val="21"/>
                      <w:lang w:val="en-US" w:eastAsia="zh-CN" w:bidi="ar-SA"/>
                    </w:rPr>
                    <w:t>布袋</w:t>
                  </w:r>
                  <w:r>
                    <w:rPr>
                      <w:rFonts w:hint="eastAsia" w:ascii="Times New Roman" w:hAnsi="Times New Roman" w:eastAsia="宋体" w:cs="Times New Roman"/>
                      <w:kern w:val="2"/>
                      <w:sz w:val="21"/>
                      <w:szCs w:val="21"/>
                      <w:lang w:val="en-US" w:eastAsia="zh-CN" w:bidi="ar-SA"/>
                    </w:rPr>
                    <w:t>除尘器</w:t>
                  </w:r>
                  <w:r>
                    <w:rPr>
                      <w:rFonts w:hint="eastAsia" w:eastAsia="宋体" w:cs="Times New Roman"/>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过滤棉+活性炭吸附箱+15m高排气筒</w:t>
                  </w:r>
                </w:p>
              </w:tc>
              <w:tc>
                <w:tcPr>
                  <w:tcW w:w="1873" w:type="dxa"/>
                  <w:gridSpan w:val="2"/>
                  <w:vMerge w:val="continue"/>
                  <w:tcBorders>
                    <w:tl2br w:val="nil"/>
                    <w:tr2bl w:val="nil"/>
                  </w:tcBorders>
                  <w:vAlign w:val="center"/>
                </w:tcPr>
                <w:p>
                  <w:pPr>
                    <w:pStyle w:val="220"/>
                    <w:rPr>
                      <w:rFonts w:hint="default" w:ascii="Times New Roman" w:hAnsi="Times New Roman" w:eastAsia="宋体" w:cs="Times New Roman"/>
                      <w:color w:val="auto"/>
                      <w:kern w:val="2"/>
                    </w:rPr>
                  </w:pPr>
                </w:p>
              </w:tc>
              <w:tc>
                <w:tcPr>
                  <w:tcW w:w="1431" w:type="dxa"/>
                  <w:tcBorders>
                    <w:tl2br w:val="nil"/>
                    <w:tr2bl w:val="nil"/>
                  </w:tcBorders>
                  <w:vAlign w:val="center"/>
                </w:tcPr>
                <w:p>
                  <w:pPr>
                    <w:adjustRightInd w:val="0"/>
                    <w:snapToGrid w:val="0"/>
                    <w:spacing w:line="240" w:lineRule="auto"/>
                    <w:ind w:firstLine="0" w:firstLineChars="0"/>
                    <w:jc w:val="center"/>
                    <w:rPr>
                      <w:rFonts w:hint="default" w:ascii="Times New Roman" w:hAnsi="Times New Roman" w:eastAsia="宋体" w:cs="Times New Roman"/>
                      <w:color w:val="auto"/>
                      <w:kern w:val="2"/>
                    </w:rPr>
                  </w:pPr>
                  <w:r>
                    <w:rPr>
                      <w:rFonts w:hint="default" w:ascii="Times New Roman" w:hAnsi="Times New Roman" w:eastAsia="宋体" w:cs="Times New Roman"/>
                      <w:color w:val="auto"/>
                      <w:sz w:val="21"/>
                      <w:szCs w:val="21"/>
                    </w:rPr>
                    <w:t>生产设备不得有明显的无组织排放存在</w:t>
                  </w:r>
                </w:p>
              </w:tc>
              <w:tc>
                <w:tcPr>
                  <w:tcW w:w="1059"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0.000312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689" w:type="dxa"/>
                  <w:tcBorders>
                    <w:tl2br w:val="nil"/>
                    <w:tr2bl w:val="nil"/>
                  </w:tcBorders>
                  <w:vAlign w:val="center"/>
                </w:tcPr>
                <w:p>
                  <w:pPr>
                    <w:pStyle w:val="220"/>
                    <w:rPr>
                      <w:rFonts w:hint="default" w:ascii="Times New Roman" w:hAnsi="Times New Roman" w:eastAsia="宋体" w:cs="Times New Roman"/>
                      <w:color w:val="auto"/>
                      <w:kern w:val="2"/>
                      <w:lang w:val="en-US" w:eastAsia="zh-CN"/>
                    </w:rPr>
                  </w:pPr>
                  <w:r>
                    <w:rPr>
                      <w:rFonts w:hint="default" w:ascii="Times New Roman" w:hAnsi="Times New Roman" w:eastAsia="宋体" w:cs="Times New Roman"/>
                      <w:color w:val="auto"/>
                      <w:kern w:val="2"/>
                      <w:lang w:val="en-US" w:eastAsia="zh-CN"/>
                    </w:rPr>
                    <w:t>5</w:t>
                  </w:r>
                </w:p>
              </w:tc>
              <w:tc>
                <w:tcPr>
                  <w:tcW w:w="1121" w:type="dxa"/>
                  <w:gridSpan w:val="2"/>
                  <w:vMerge w:val="continue"/>
                  <w:tcBorders>
                    <w:tl2br w:val="nil"/>
                    <w:tr2bl w:val="nil"/>
                  </w:tcBorders>
                  <w:vAlign w:val="center"/>
                </w:tcPr>
                <w:p>
                  <w:pPr>
                    <w:pStyle w:val="151"/>
                    <w:rPr>
                      <w:rFonts w:hint="default" w:ascii="Times New Roman" w:hAnsi="Times New Roman" w:eastAsia="宋体" w:cs="Times New Roman"/>
                      <w:color w:val="auto"/>
                      <w:sz w:val="21"/>
                      <w:szCs w:val="21"/>
                    </w:rPr>
                  </w:pPr>
                </w:p>
              </w:tc>
              <w:tc>
                <w:tcPr>
                  <w:tcW w:w="1173" w:type="dxa"/>
                  <w:tcBorders>
                    <w:tl2br w:val="nil"/>
                    <w:tr2bl w:val="nil"/>
                  </w:tcBorders>
                  <w:vAlign w:val="center"/>
                </w:tcPr>
                <w:p>
                  <w:pPr>
                    <w:pStyle w:val="220"/>
                    <w:spacing w:line="320" w:lineRule="exact"/>
                    <w:ind w:firstLine="0" w:firstLineChars="0"/>
                    <w:rPr>
                      <w:rFonts w:hint="default" w:ascii="Times New Roman" w:hAnsi="Times New Roman" w:eastAsia="宋体" w:cs="Times New Roman"/>
                      <w:color w:val="auto"/>
                    </w:rPr>
                  </w:pPr>
                  <w:r>
                    <w:rPr>
                      <w:rFonts w:hint="default" w:ascii="Times New Roman" w:hAnsi="Times New Roman" w:eastAsia="宋体" w:cs="Times New Roman"/>
                      <w:color w:val="auto"/>
                      <w:kern w:val="2"/>
                    </w:rPr>
                    <w:t>苯并[a]芘</w:t>
                  </w:r>
                </w:p>
              </w:tc>
              <w:tc>
                <w:tcPr>
                  <w:tcW w:w="1839" w:type="dxa"/>
                  <w:vMerge w:val="continue"/>
                  <w:tcBorders>
                    <w:tl2br w:val="nil"/>
                    <w:tr2bl w:val="nil"/>
                  </w:tcBorders>
                  <w:vAlign w:val="center"/>
                </w:tcPr>
                <w:p>
                  <w:pPr>
                    <w:pStyle w:val="220"/>
                    <w:rPr>
                      <w:rFonts w:hint="default" w:ascii="Times New Roman" w:hAnsi="Times New Roman" w:eastAsia="宋体" w:cs="Times New Roman"/>
                      <w:color w:val="auto"/>
                      <w:kern w:val="2"/>
                    </w:rPr>
                  </w:pPr>
                </w:p>
              </w:tc>
              <w:tc>
                <w:tcPr>
                  <w:tcW w:w="1873" w:type="dxa"/>
                  <w:gridSpan w:val="2"/>
                  <w:vMerge w:val="continue"/>
                  <w:tcBorders>
                    <w:tl2br w:val="nil"/>
                    <w:tr2bl w:val="nil"/>
                  </w:tcBorders>
                  <w:vAlign w:val="center"/>
                </w:tcPr>
                <w:p>
                  <w:pPr>
                    <w:pStyle w:val="220"/>
                    <w:rPr>
                      <w:rFonts w:hint="default" w:ascii="Times New Roman" w:hAnsi="Times New Roman" w:eastAsia="宋体" w:cs="Times New Roman"/>
                      <w:color w:val="auto"/>
                      <w:kern w:val="2"/>
                    </w:rPr>
                  </w:pPr>
                </w:p>
              </w:tc>
              <w:tc>
                <w:tcPr>
                  <w:tcW w:w="1431" w:type="dxa"/>
                  <w:tcBorders>
                    <w:tl2br w:val="nil"/>
                    <w:tr2bl w:val="nil"/>
                  </w:tcBorders>
                  <w:vAlign w:val="center"/>
                </w:tcPr>
                <w:p>
                  <w:pPr>
                    <w:adjustRightInd w:val="0"/>
                    <w:snapToGrid w:val="0"/>
                    <w:spacing w:line="240" w:lineRule="auto"/>
                    <w:ind w:firstLine="0" w:firstLineChars="0"/>
                    <w:rPr>
                      <w:rFonts w:hint="default" w:ascii="Times New Roman" w:hAnsi="Times New Roman" w:eastAsia="宋体" w:cs="Times New Roman"/>
                      <w:color w:val="auto"/>
                      <w:kern w:val="2"/>
                    </w:rPr>
                  </w:pPr>
                  <w:r>
                    <w:rPr>
                      <w:rFonts w:hint="default" w:ascii="Times New Roman" w:hAnsi="Times New Roman" w:eastAsia="宋体" w:cs="Times New Roman"/>
                      <w:color w:val="auto"/>
                      <w:sz w:val="21"/>
                      <w:szCs w:val="21"/>
                    </w:rPr>
                    <w:t>0.008×10</w:t>
                  </w:r>
                  <w:r>
                    <w:rPr>
                      <w:rFonts w:hint="default" w:ascii="Times New Roman" w:hAnsi="Times New Roman" w:eastAsia="宋体" w:cs="Times New Roman"/>
                      <w:color w:val="auto"/>
                      <w:sz w:val="21"/>
                      <w:szCs w:val="21"/>
                      <w:vertAlign w:val="superscript"/>
                    </w:rPr>
                    <w:t>-3</w:t>
                  </w:r>
                </w:p>
              </w:tc>
              <w:tc>
                <w:tcPr>
                  <w:tcW w:w="1059" w:type="dxa"/>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1.73</w:t>
                  </w:r>
                  <w:r>
                    <w:rPr>
                      <w:rFonts w:hint="default" w:ascii="Times New Roman" w:hAnsi="Times New Roman" w:eastAsia="宋体" w:cs="Times New Roman"/>
                      <w:color w:val="auto"/>
                    </w:rPr>
                    <w:t>*10</w:t>
                  </w:r>
                  <w:r>
                    <w:rPr>
                      <w:rFonts w:hint="default" w:ascii="Times New Roman" w:hAnsi="Times New Roman" w:eastAsia="宋体" w:cs="Times New Roman"/>
                      <w:color w:val="auto"/>
                      <w:vertAlign w:val="superscript"/>
                    </w:rPr>
                    <w:t>-</w:t>
                  </w:r>
                  <w:r>
                    <w:rPr>
                      <w:rFonts w:hint="default" w:ascii="Times New Roman" w:hAnsi="Times New Roman" w:eastAsia="宋体" w:cs="Times New Roman"/>
                      <w:color w:val="auto"/>
                      <w:vertAlign w:val="superscript"/>
                      <w:lang w:val="en-US" w:eastAsia="zh-CN"/>
                    </w:rPr>
                    <w:t>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9185" w:type="dxa"/>
                  <w:gridSpan w:val="9"/>
                  <w:tcBorders>
                    <w:tl2br w:val="nil"/>
                    <w:tr2bl w:val="nil"/>
                  </w:tcBorders>
                  <w:vAlign w:val="center"/>
                </w:tcPr>
                <w:p>
                  <w:pPr>
                    <w:pStyle w:val="22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无组织排放总计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1557" w:type="dxa"/>
                  <w:gridSpan w:val="2"/>
                  <w:vMerge w:val="restart"/>
                  <w:tcBorders>
                    <w:tl2br w:val="nil"/>
                    <w:tr2bl w:val="nil"/>
                  </w:tcBorders>
                  <w:vAlign w:val="center"/>
                </w:tcPr>
                <w:p>
                  <w:pPr>
                    <w:pStyle w:val="22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无组织排放总计</w:t>
                  </w:r>
                </w:p>
              </w:tc>
              <w:tc>
                <w:tcPr>
                  <w:tcW w:w="4460" w:type="dxa"/>
                  <w:gridSpan w:val="4"/>
                  <w:tcBorders>
                    <w:tl2br w:val="nil"/>
                    <w:tr2bl w:val="nil"/>
                  </w:tcBorders>
                  <w:vAlign w:val="center"/>
                </w:tcPr>
                <w:p>
                  <w:pPr>
                    <w:pStyle w:val="220"/>
                    <w:ind w:firstLine="0" w:firstLineChars="0"/>
                    <w:rPr>
                      <w:rFonts w:hint="default" w:ascii="Times New Roman" w:hAnsi="Times New Roman" w:eastAsia="宋体" w:cs="Times New Roman"/>
                      <w:color w:val="auto"/>
                      <w:kern w:val="2"/>
                    </w:rPr>
                  </w:pPr>
                  <w:r>
                    <w:rPr>
                      <w:rFonts w:hint="default" w:ascii="Times New Roman" w:hAnsi="Times New Roman" w:eastAsia="宋体" w:cs="Times New Roman"/>
                      <w:color w:val="auto"/>
                    </w:rPr>
                    <w:t>颗粒物</w:t>
                  </w:r>
                </w:p>
              </w:tc>
              <w:tc>
                <w:tcPr>
                  <w:tcW w:w="3168" w:type="dxa"/>
                  <w:gridSpan w:val="3"/>
                  <w:tcBorders>
                    <w:tl2br w:val="nil"/>
                    <w:tr2bl w:val="nil"/>
                  </w:tcBorders>
                  <w:vAlign w:val="center"/>
                </w:tcPr>
                <w:p>
                  <w:pPr>
                    <w:pStyle w:val="151"/>
                    <w:ind w:firstLine="0" w:firstLineChars="0"/>
                    <w:rPr>
                      <w:rFonts w:hint="default" w:ascii="Times New Roman" w:hAnsi="Times New Roman" w:eastAsia="宋体" w:cs="Times New Roman"/>
                      <w:color w:val="auto"/>
                      <w:kern w:val="2"/>
                    </w:rPr>
                  </w:pPr>
                  <w:r>
                    <w:rPr>
                      <w:rFonts w:hint="default" w:ascii="Times New Roman" w:hAnsi="Times New Roman" w:eastAsia="宋体" w:cs="Times New Roman"/>
                      <w:color w:val="auto"/>
                      <w:sz w:val="21"/>
                      <w:szCs w:val="21"/>
                      <w:lang w:val="en-US" w:eastAsia="zh-CN"/>
                    </w:rPr>
                    <w:t>0.392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1557" w:type="dxa"/>
                  <w:gridSpan w:val="2"/>
                  <w:vMerge w:val="continue"/>
                  <w:tcBorders>
                    <w:tl2br w:val="nil"/>
                    <w:tr2bl w:val="nil"/>
                  </w:tcBorders>
                  <w:vAlign w:val="center"/>
                </w:tcPr>
                <w:p>
                  <w:pPr>
                    <w:pStyle w:val="220"/>
                    <w:rPr>
                      <w:rFonts w:hint="default" w:ascii="Times New Roman" w:hAnsi="Times New Roman" w:eastAsia="宋体" w:cs="Times New Roman"/>
                      <w:color w:val="auto"/>
                      <w:kern w:val="2"/>
                    </w:rPr>
                  </w:pPr>
                </w:p>
              </w:tc>
              <w:tc>
                <w:tcPr>
                  <w:tcW w:w="4460" w:type="dxa"/>
                  <w:gridSpan w:val="4"/>
                  <w:tcBorders>
                    <w:tl2br w:val="nil"/>
                    <w:tr2bl w:val="nil"/>
                  </w:tcBorders>
                  <w:vAlign w:val="center"/>
                </w:tcPr>
                <w:p>
                  <w:pPr>
                    <w:pStyle w:val="220"/>
                    <w:spacing w:line="320" w:lineRule="exact"/>
                    <w:ind w:firstLine="0" w:firstLineChars="0"/>
                    <w:rPr>
                      <w:rFonts w:hint="default" w:ascii="Times New Roman" w:hAnsi="Times New Roman" w:eastAsia="宋体" w:cs="Times New Roman"/>
                      <w:color w:val="auto"/>
                      <w:kern w:val="2"/>
                    </w:rPr>
                  </w:pPr>
                  <w:r>
                    <w:rPr>
                      <w:rFonts w:hint="default" w:ascii="Times New Roman" w:hAnsi="Times New Roman" w:eastAsia="宋体" w:cs="Times New Roman"/>
                      <w:color w:val="auto"/>
                    </w:rPr>
                    <w:t>SO</w:t>
                  </w:r>
                  <w:r>
                    <w:rPr>
                      <w:rFonts w:hint="default" w:ascii="Times New Roman" w:hAnsi="Times New Roman" w:eastAsia="宋体" w:cs="Times New Roman"/>
                      <w:color w:val="auto"/>
                      <w:vertAlign w:val="subscript"/>
                    </w:rPr>
                    <w:t>2</w:t>
                  </w:r>
                </w:p>
              </w:tc>
              <w:tc>
                <w:tcPr>
                  <w:tcW w:w="3168" w:type="dxa"/>
                  <w:gridSpan w:val="3"/>
                  <w:tcBorders>
                    <w:tl2br w:val="nil"/>
                    <w:tr2bl w:val="nil"/>
                  </w:tcBorders>
                  <w:vAlign w:val="center"/>
                </w:tcPr>
                <w:p>
                  <w:pPr>
                    <w:pStyle w:val="151"/>
                    <w:ind w:firstLine="0" w:firstLine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0.057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1557" w:type="dxa"/>
                  <w:gridSpan w:val="2"/>
                  <w:vMerge w:val="continue"/>
                  <w:tcBorders>
                    <w:tl2br w:val="nil"/>
                    <w:tr2bl w:val="nil"/>
                  </w:tcBorders>
                  <w:vAlign w:val="center"/>
                </w:tcPr>
                <w:p>
                  <w:pPr>
                    <w:pStyle w:val="220"/>
                    <w:rPr>
                      <w:rFonts w:hint="default" w:ascii="Times New Roman" w:hAnsi="Times New Roman" w:eastAsia="宋体" w:cs="Times New Roman"/>
                      <w:color w:val="auto"/>
                      <w:kern w:val="2"/>
                    </w:rPr>
                  </w:pPr>
                </w:p>
              </w:tc>
              <w:tc>
                <w:tcPr>
                  <w:tcW w:w="4460" w:type="dxa"/>
                  <w:gridSpan w:val="4"/>
                  <w:tcBorders>
                    <w:tl2br w:val="nil"/>
                    <w:tr2bl w:val="nil"/>
                  </w:tcBorders>
                  <w:vAlign w:val="center"/>
                </w:tcPr>
                <w:p>
                  <w:pPr>
                    <w:pStyle w:val="220"/>
                    <w:spacing w:line="320" w:lineRule="exact"/>
                    <w:ind w:firstLine="0" w:firstLineChars="0"/>
                    <w:rPr>
                      <w:rFonts w:hint="default" w:ascii="Times New Roman" w:hAnsi="Times New Roman" w:eastAsia="宋体" w:cs="Times New Roman"/>
                      <w:color w:val="auto"/>
                      <w:kern w:val="2"/>
                    </w:rPr>
                  </w:pPr>
                  <w:r>
                    <w:rPr>
                      <w:rFonts w:hint="default" w:ascii="Times New Roman" w:hAnsi="Times New Roman" w:eastAsia="宋体" w:cs="Times New Roman"/>
                      <w:color w:val="auto"/>
                    </w:rPr>
                    <w:t>NO</w:t>
                  </w:r>
                  <w:r>
                    <w:rPr>
                      <w:rFonts w:hint="default" w:ascii="Times New Roman" w:hAnsi="Times New Roman" w:eastAsia="宋体" w:cs="Times New Roman"/>
                      <w:color w:val="auto"/>
                      <w:vertAlign w:val="subscript"/>
                    </w:rPr>
                    <w:t>X</w:t>
                  </w:r>
                </w:p>
              </w:tc>
              <w:tc>
                <w:tcPr>
                  <w:tcW w:w="3168" w:type="dxa"/>
                  <w:gridSpan w:val="3"/>
                  <w:tcBorders>
                    <w:tl2br w:val="nil"/>
                    <w:tr2bl w:val="nil"/>
                  </w:tcBorders>
                  <w:vAlign w:val="center"/>
                </w:tcPr>
                <w:p>
                  <w:pPr>
                    <w:pStyle w:val="151"/>
                    <w:ind w:firstLine="0" w:firstLine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0.108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1557" w:type="dxa"/>
                  <w:gridSpan w:val="2"/>
                  <w:vMerge w:val="continue"/>
                  <w:tcBorders>
                    <w:tl2br w:val="nil"/>
                    <w:tr2bl w:val="nil"/>
                  </w:tcBorders>
                  <w:vAlign w:val="center"/>
                </w:tcPr>
                <w:p>
                  <w:pPr>
                    <w:pStyle w:val="220"/>
                    <w:rPr>
                      <w:rFonts w:hint="default" w:ascii="Times New Roman" w:hAnsi="Times New Roman" w:eastAsia="宋体" w:cs="Times New Roman"/>
                      <w:color w:val="auto"/>
                      <w:kern w:val="2"/>
                    </w:rPr>
                  </w:pPr>
                </w:p>
              </w:tc>
              <w:tc>
                <w:tcPr>
                  <w:tcW w:w="4460" w:type="dxa"/>
                  <w:gridSpan w:val="4"/>
                  <w:tcBorders>
                    <w:tl2br w:val="nil"/>
                    <w:tr2bl w:val="nil"/>
                  </w:tcBorders>
                  <w:vAlign w:val="center"/>
                </w:tcPr>
                <w:p>
                  <w:pPr>
                    <w:pStyle w:val="220"/>
                    <w:spacing w:line="320" w:lineRule="exact"/>
                    <w:ind w:firstLine="0" w:firstLineChars="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沥青烟</w:t>
                  </w:r>
                </w:p>
              </w:tc>
              <w:tc>
                <w:tcPr>
                  <w:tcW w:w="3168" w:type="dxa"/>
                  <w:gridSpan w:val="3"/>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0.000312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1557" w:type="dxa"/>
                  <w:gridSpan w:val="2"/>
                  <w:vMerge w:val="continue"/>
                  <w:tcBorders>
                    <w:tl2br w:val="nil"/>
                    <w:tr2bl w:val="nil"/>
                  </w:tcBorders>
                  <w:vAlign w:val="center"/>
                </w:tcPr>
                <w:p>
                  <w:pPr>
                    <w:pStyle w:val="220"/>
                    <w:rPr>
                      <w:rFonts w:hint="default" w:ascii="Times New Roman" w:hAnsi="Times New Roman" w:eastAsia="宋体" w:cs="Times New Roman"/>
                      <w:color w:val="auto"/>
                      <w:kern w:val="2"/>
                    </w:rPr>
                  </w:pPr>
                </w:p>
              </w:tc>
              <w:tc>
                <w:tcPr>
                  <w:tcW w:w="4460" w:type="dxa"/>
                  <w:gridSpan w:val="4"/>
                  <w:tcBorders>
                    <w:tl2br w:val="nil"/>
                    <w:tr2bl w:val="nil"/>
                  </w:tcBorders>
                  <w:vAlign w:val="center"/>
                </w:tcPr>
                <w:p>
                  <w:pPr>
                    <w:pStyle w:val="220"/>
                    <w:spacing w:line="320" w:lineRule="exact"/>
                    <w:ind w:firstLine="0" w:firstLineChars="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苯并[a]芘</w:t>
                  </w:r>
                </w:p>
              </w:tc>
              <w:tc>
                <w:tcPr>
                  <w:tcW w:w="3168" w:type="dxa"/>
                  <w:gridSpan w:val="3"/>
                  <w:tcBorders>
                    <w:tl2br w:val="nil"/>
                    <w:tr2bl w:val="nil"/>
                  </w:tcBorders>
                  <w:vAlign w:val="center"/>
                </w:tcPr>
                <w:p>
                  <w:pPr>
                    <w:pStyle w:val="24"/>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1.73</w:t>
                  </w:r>
                  <w:r>
                    <w:rPr>
                      <w:rFonts w:hint="default" w:ascii="Times New Roman" w:hAnsi="Times New Roman" w:eastAsia="宋体" w:cs="Times New Roman"/>
                      <w:color w:val="auto"/>
                    </w:rPr>
                    <w:t>*10</w:t>
                  </w:r>
                  <w:r>
                    <w:rPr>
                      <w:rFonts w:hint="default" w:ascii="Times New Roman" w:hAnsi="Times New Roman" w:eastAsia="宋体" w:cs="Times New Roman"/>
                      <w:color w:val="auto"/>
                      <w:vertAlign w:val="superscript"/>
                    </w:rPr>
                    <w:t>-</w:t>
                  </w:r>
                  <w:r>
                    <w:rPr>
                      <w:rFonts w:hint="default" w:ascii="Times New Roman" w:hAnsi="Times New Roman" w:eastAsia="宋体" w:cs="Times New Roman"/>
                      <w:color w:val="auto"/>
                      <w:vertAlign w:val="superscript"/>
                      <w:lang w:val="en-US" w:eastAsia="zh-CN"/>
                    </w:rPr>
                    <w:t>7</w:t>
                  </w:r>
                </w:p>
              </w:tc>
            </w:tr>
          </w:tbl>
          <w:p>
            <w:pPr>
              <w:ind w:firstLine="480"/>
              <w:rPr>
                <w:rFonts w:hint="default" w:ascii="Times New Roman" w:hAnsi="Times New Roman" w:eastAsia="宋体" w:cs="Times New Roman"/>
                <w:color w:val="auto"/>
                <w:sz w:val="24"/>
                <w:szCs w:val="24"/>
              </w:rPr>
            </w:pPr>
          </w:p>
          <w:p>
            <w:pPr>
              <w:ind w:firstLine="480"/>
              <w:rPr>
                <w:rFonts w:hint="default" w:ascii="Times New Roman" w:hAnsi="Times New Roman" w:eastAsia="宋体" w:cs="Times New Roman"/>
                <w:b/>
                <w:bCs/>
                <w:color w:val="auto"/>
                <w:sz w:val="24"/>
                <w:szCs w:val="24"/>
              </w:rPr>
            </w:pPr>
            <w:r>
              <w:rPr>
                <w:rFonts w:hint="default" w:ascii="Times New Roman" w:hAnsi="Times New Roman" w:eastAsia="宋体" w:cs="Times New Roman"/>
                <w:color w:val="auto"/>
                <w:sz w:val="24"/>
                <w:szCs w:val="24"/>
              </w:rPr>
              <w:t>建设项目废气产生及排放情况见表5</w:t>
            </w:r>
            <w:r>
              <w:rPr>
                <w:rFonts w:hint="eastAsia" w:cs="Times New Roman"/>
                <w:color w:val="auto"/>
                <w:sz w:val="24"/>
                <w:szCs w:val="24"/>
                <w:lang w:val="en-US" w:eastAsia="zh-CN"/>
              </w:rPr>
              <w:t>.2.6</w:t>
            </w:r>
            <w:r>
              <w:rPr>
                <w:rFonts w:hint="default" w:ascii="Times New Roman" w:hAnsi="Times New Roman" w:eastAsia="宋体" w:cs="Times New Roman"/>
                <w:color w:val="auto"/>
                <w:sz w:val="24"/>
                <w:szCs w:val="24"/>
              </w:rPr>
              <w:t>-10。</w:t>
            </w:r>
          </w:p>
          <w:p>
            <w:pPr>
              <w:spacing w:line="24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表5</w:t>
            </w:r>
            <w:r>
              <w:rPr>
                <w:rFonts w:hint="eastAsia" w:cs="Times New Roman"/>
                <w:b/>
                <w:bCs/>
                <w:color w:val="auto"/>
                <w:sz w:val="21"/>
                <w:szCs w:val="21"/>
                <w:lang w:val="en-US" w:eastAsia="zh-CN"/>
              </w:rPr>
              <w:t>.2.6</w:t>
            </w:r>
            <w:r>
              <w:rPr>
                <w:rFonts w:hint="default" w:ascii="Times New Roman" w:hAnsi="Times New Roman" w:eastAsia="宋体" w:cs="Times New Roman"/>
                <w:b/>
                <w:bCs/>
                <w:color w:val="auto"/>
                <w:sz w:val="21"/>
                <w:szCs w:val="21"/>
              </w:rPr>
              <w:t>-10  建设项目废气产生及排放情况</w:t>
            </w:r>
          </w:p>
          <w:tbl>
            <w:tblPr>
              <w:tblStyle w:val="43"/>
              <w:tblW w:w="8963"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
            <w:tblGrid>
              <w:gridCol w:w="2645"/>
              <w:gridCol w:w="3544"/>
              <w:gridCol w:w="277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23" w:hRule="atLeast"/>
                <w:jc w:val="center"/>
              </w:trPr>
              <w:tc>
                <w:tcPr>
                  <w:tcW w:w="2645" w:type="dxa"/>
                  <w:vAlign w:val="center"/>
                </w:tcPr>
                <w:p>
                  <w:pPr>
                    <w:pStyle w:val="24"/>
                    <w:spacing w:line="240" w:lineRule="auto"/>
                    <w:ind w:firstLine="0" w:firstLineChars="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污染源位置</w:t>
                  </w:r>
                </w:p>
              </w:tc>
              <w:tc>
                <w:tcPr>
                  <w:tcW w:w="3544" w:type="dxa"/>
                  <w:vAlign w:val="center"/>
                </w:tcPr>
                <w:p>
                  <w:pPr>
                    <w:pStyle w:val="24"/>
                    <w:spacing w:line="240" w:lineRule="auto"/>
                    <w:ind w:firstLine="0" w:firstLineChars="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污染物名称</w:t>
                  </w:r>
                </w:p>
              </w:tc>
              <w:tc>
                <w:tcPr>
                  <w:tcW w:w="2774" w:type="dxa"/>
                  <w:vAlign w:val="center"/>
                </w:tcPr>
                <w:p>
                  <w:pPr>
                    <w:pStyle w:val="24"/>
                    <w:spacing w:line="240" w:lineRule="auto"/>
                    <w:ind w:firstLine="0" w:firstLineChars="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污染物排放量（t/a）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291" w:hRule="atLeast"/>
                <w:jc w:val="center"/>
              </w:trPr>
              <w:tc>
                <w:tcPr>
                  <w:tcW w:w="2645" w:type="dxa"/>
                  <w:vMerge w:val="restart"/>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生产区</w:t>
                  </w:r>
                </w:p>
              </w:tc>
              <w:tc>
                <w:tcPr>
                  <w:tcW w:w="3544" w:type="dxa"/>
                  <w:vAlign w:val="center"/>
                </w:tcPr>
                <w:p>
                  <w:pPr>
                    <w:pStyle w:val="220"/>
                    <w:spacing w:line="320" w:lineRule="exact"/>
                    <w:jc w:val="center"/>
                    <w:rPr>
                      <w:rFonts w:hint="default" w:ascii="Times New Roman" w:hAnsi="Times New Roman" w:eastAsia="宋体" w:cs="Times New Roman"/>
                      <w:color w:val="auto"/>
                      <w:kern w:val="2"/>
                    </w:rPr>
                  </w:pPr>
                  <w:r>
                    <w:rPr>
                      <w:rFonts w:hint="default" w:ascii="Times New Roman" w:hAnsi="Times New Roman" w:eastAsia="宋体" w:cs="Times New Roman"/>
                      <w:color w:val="auto"/>
                    </w:rPr>
                    <w:t>颗粒物</w:t>
                  </w:r>
                </w:p>
              </w:tc>
              <w:tc>
                <w:tcPr>
                  <w:tcW w:w="2774" w:type="dxa"/>
                  <w:vAlign w:val="center"/>
                </w:tcPr>
                <w:p>
                  <w:pPr>
                    <w:pStyle w:val="22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0.745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23" w:hRule="atLeast"/>
                <w:jc w:val="center"/>
              </w:trPr>
              <w:tc>
                <w:tcPr>
                  <w:tcW w:w="2645" w:type="dxa"/>
                  <w:vMerge w:val="continue"/>
                  <w:vAlign w:val="center"/>
                </w:tcPr>
                <w:p>
                  <w:pPr>
                    <w:pStyle w:val="24"/>
                    <w:spacing w:line="240" w:lineRule="auto"/>
                    <w:ind w:firstLine="0" w:firstLineChars="0"/>
                    <w:jc w:val="center"/>
                    <w:rPr>
                      <w:rFonts w:hint="default" w:ascii="Times New Roman" w:hAnsi="Times New Roman" w:eastAsia="宋体" w:cs="Times New Roman"/>
                      <w:color w:val="auto"/>
                      <w:szCs w:val="21"/>
                    </w:rPr>
                  </w:pPr>
                </w:p>
              </w:tc>
              <w:tc>
                <w:tcPr>
                  <w:tcW w:w="3544" w:type="dxa"/>
                  <w:vAlign w:val="center"/>
                </w:tcPr>
                <w:p>
                  <w:pPr>
                    <w:pStyle w:val="220"/>
                    <w:spacing w:line="32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SO</w:t>
                  </w:r>
                  <w:r>
                    <w:rPr>
                      <w:rFonts w:hint="default" w:ascii="Times New Roman" w:hAnsi="Times New Roman" w:eastAsia="宋体" w:cs="Times New Roman"/>
                      <w:color w:val="auto"/>
                      <w:vertAlign w:val="subscript"/>
                    </w:rPr>
                    <w:t>2</w:t>
                  </w:r>
                </w:p>
              </w:tc>
              <w:tc>
                <w:tcPr>
                  <w:tcW w:w="2774" w:type="dxa"/>
                  <w:vAlign w:val="center"/>
                </w:tcPr>
                <w:p>
                  <w:pPr>
                    <w:pStyle w:val="151"/>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 w:val="21"/>
                      <w:szCs w:val="21"/>
                      <w:lang w:val="en-US" w:eastAsia="zh-CN"/>
                    </w:rPr>
                    <w:t>0.57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23" w:hRule="atLeast"/>
                <w:jc w:val="center"/>
              </w:trPr>
              <w:tc>
                <w:tcPr>
                  <w:tcW w:w="2645" w:type="dxa"/>
                  <w:vMerge w:val="continue"/>
                  <w:vAlign w:val="center"/>
                </w:tcPr>
                <w:p>
                  <w:pPr>
                    <w:pStyle w:val="24"/>
                    <w:spacing w:line="240" w:lineRule="auto"/>
                    <w:ind w:firstLine="0" w:firstLineChars="0"/>
                    <w:jc w:val="center"/>
                    <w:rPr>
                      <w:rFonts w:hint="default" w:ascii="Times New Roman" w:hAnsi="Times New Roman" w:eastAsia="宋体" w:cs="Times New Roman"/>
                      <w:color w:val="auto"/>
                      <w:szCs w:val="21"/>
                    </w:rPr>
                  </w:pPr>
                </w:p>
              </w:tc>
              <w:tc>
                <w:tcPr>
                  <w:tcW w:w="3544" w:type="dxa"/>
                  <w:vAlign w:val="center"/>
                </w:tcPr>
                <w:p>
                  <w:pPr>
                    <w:pStyle w:val="220"/>
                    <w:spacing w:line="32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NO</w:t>
                  </w:r>
                  <w:r>
                    <w:rPr>
                      <w:rFonts w:hint="default" w:ascii="Times New Roman" w:hAnsi="Times New Roman" w:eastAsia="宋体" w:cs="Times New Roman"/>
                      <w:color w:val="auto"/>
                      <w:vertAlign w:val="subscript"/>
                    </w:rPr>
                    <w:t>X</w:t>
                  </w:r>
                </w:p>
              </w:tc>
              <w:tc>
                <w:tcPr>
                  <w:tcW w:w="2774" w:type="dxa"/>
                  <w:vAlign w:val="center"/>
                </w:tcPr>
                <w:p>
                  <w:pPr>
                    <w:pStyle w:val="151"/>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1"/>
                      <w:szCs w:val="21"/>
                      <w:lang w:val="en-US" w:eastAsia="zh-CN"/>
                    </w:rPr>
                    <w:t>1.08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23" w:hRule="atLeast"/>
                <w:jc w:val="center"/>
              </w:trPr>
              <w:tc>
                <w:tcPr>
                  <w:tcW w:w="2645" w:type="dxa"/>
                  <w:vMerge w:val="continue"/>
                  <w:vAlign w:val="center"/>
                </w:tcPr>
                <w:p>
                  <w:pPr>
                    <w:pStyle w:val="24"/>
                    <w:spacing w:line="240" w:lineRule="auto"/>
                    <w:ind w:firstLine="0" w:firstLineChars="0"/>
                    <w:jc w:val="center"/>
                    <w:rPr>
                      <w:rFonts w:hint="default" w:ascii="Times New Roman" w:hAnsi="Times New Roman" w:eastAsia="宋体" w:cs="Times New Roman"/>
                      <w:color w:val="auto"/>
                      <w:szCs w:val="21"/>
                    </w:rPr>
                  </w:pPr>
                </w:p>
              </w:tc>
              <w:tc>
                <w:tcPr>
                  <w:tcW w:w="3544" w:type="dxa"/>
                  <w:vAlign w:val="center"/>
                </w:tcPr>
                <w:p>
                  <w:pPr>
                    <w:pStyle w:val="220"/>
                    <w:spacing w:line="32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2"/>
                    </w:rPr>
                    <w:t>沥青烟</w:t>
                  </w:r>
                </w:p>
              </w:tc>
              <w:tc>
                <w:tcPr>
                  <w:tcW w:w="2774" w:type="dxa"/>
                  <w:vAlign w:val="center"/>
                </w:tcPr>
                <w:p>
                  <w:pPr>
                    <w:widowControl/>
                    <w:ind w:firstLine="0" w:firstLineChars="0"/>
                    <w:jc w:val="center"/>
                    <w:textAlignment w:val="center"/>
                    <w:rPr>
                      <w:rFonts w:hint="default" w:ascii="Times New Roman" w:hAnsi="Times New Roman" w:eastAsia="宋体" w:cs="Times New Roman"/>
                      <w:color w:val="auto"/>
                      <w:lang w:eastAsia="zh-CN"/>
                    </w:rPr>
                  </w:pPr>
                  <w:r>
                    <w:rPr>
                      <w:rFonts w:hint="default" w:ascii="Times New Roman" w:hAnsi="Times New Roman" w:eastAsia="宋体" w:cs="Times New Roman"/>
                      <w:color w:val="auto"/>
                      <w:kern w:val="0"/>
                      <w:sz w:val="21"/>
                      <w:szCs w:val="21"/>
                    </w:rPr>
                    <w:t>0.015</w:t>
                  </w:r>
                  <w:r>
                    <w:rPr>
                      <w:rFonts w:hint="default" w:ascii="Times New Roman" w:hAnsi="Times New Roman" w:eastAsia="宋体" w:cs="Times New Roman"/>
                      <w:color w:val="auto"/>
                      <w:kern w:val="0"/>
                      <w:sz w:val="21"/>
                      <w:szCs w:val="21"/>
                      <w:lang w:val="en-US" w:eastAsia="zh-CN"/>
                    </w:rPr>
                    <w:t>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23" w:hRule="atLeast"/>
                <w:jc w:val="center"/>
              </w:trPr>
              <w:tc>
                <w:tcPr>
                  <w:tcW w:w="2645" w:type="dxa"/>
                  <w:vMerge w:val="continue"/>
                  <w:vAlign w:val="center"/>
                </w:tcPr>
                <w:p>
                  <w:pPr>
                    <w:pStyle w:val="24"/>
                    <w:spacing w:line="240" w:lineRule="auto"/>
                    <w:ind w:firstLine="0" w:firstLineChars="0"/>
                    <w:jc w:val="center"/>
                    <w:rPr>
                      <w:rFonts w:hint="default" w:ascii="Times New Roman" w:hAnsi="Times New Roman" w:eastAsia="宋体" w:cs="Times New Roman"/>
                      <w:color w:val="auto"/>
                      <w:szCs w:val="21"/>
                    </w:rPr>
                  </w:pPr>
                </w:p>
              </w:tc>
              <w:tc>
                <w:tcPr>
                  <w:tcW w:w="3544" w:type="dxa"/>
                  <w:vAlign w:val="center"/>
                </w:tcPr>
                <w:p>
                  <w:pPr>
                    <w:pStyle w:val="220"/>
                    <w:spacing w:line="32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2"/>
                    </w:rPr>
                    <w:t>苯并[a]芘</w:t>
                  </w:r>
                </w:p>
              </w:tc>
              <w:tc>
                <w:tcPr>
                  <w:tcW w:w="2774" w:type="dxa"/>
                  <w:vAlign w:val="center"/>
                </w:tcPr>
                <w:p>
                  <w:pPr>
                    <w:widowControl/>
                    <w:ind w:firstLine="0" w:firstLineChars="0"/>
                    <w:jc w:val="center"/>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kern w:val="0"/>
                      <w:sz w:val="21"/>
                      <w:szCs w:val="21"/>
                      <w:lang w:val="en-US" w:eastAsia="zh-CN"/>
                    </w:rPr>
                    <w:t>8.823</w:t>
                  </w:r>
                  <w:r>
                    <w:rPr>
                      <w:rFonts w:hint="default" w:ascii="Times New Roman" w:hAnsi="Times New Roman" w:eastAsia="宋体" w:cs="Times New Roman"/>
                      <w:color w:val="auto"/>
                      <w:sz w:val="21"/>
                      <w:szCs w:val="21"/>
                    </w:rPr>
                    <w:t>*10</w:t>
                  </w:r>
                  <w:r>
                    <w:rPr>
                      <w:rFonts w:hint="default" w:ascii="Times New Roman" w:hAnsi="Times New Roman" w:eastAsia="宋体" w:cs="Times New Roman"/>
                      <w:color w:val="auto"/>
                      <w:sz w:val="21"/>
                      <w:szCs w:val="21"/>
                      <w:vertAlign w:val="superscript"/>
                    </w:rPr>
                    <w:t>-6</w:t>
                  </w:r>
                </w:p>
              </w:tc>
            </w:tr>
          </w:tbl>
          <w:p>
            <w:pPr>
              <w:pStyle w:val="24"/>
              <w:ind w:firstLine="472" w:firstLineChars="196"/>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2</w:t>
            </w:r>
            <w:r>
              <w:rPr>
                <w:rFonts w:hint="eastAsia" w:ascii="Times New Roman" w:hAnsi="Times New Roman" w:cs="Times New Roman"/>
                <w:b/>
                <w:color w:val="auto"/>
                <w:sz w:val="24"/>
                <w:lang w:eastAsia="zh-CN"/>
              </w:rPr>
              <w:t>.</w:t>
            </w:r>
            <w:r>
              <w:rPr>
                <w:rFonts w:hint="eastAsia" w:ascii="Times New Roman" w:hAnsi="Times New Roman" w:cs="Times New Roman"/>
                <w:b/>
                <w:color w:val="auto"/>
                <w:sz w:val="24"/>
                <w:lang w:val="en-US" w:eastAsia="zh-CN"/>
              </w:rPr>
              <w:t>2</w:t>
            </w:r>
            <w:r>
              <w:rPr>
                <w:rFonts w:hint="default" w:ascii="Times New Roman" w:hAnsi="Times New Roman" w:eastAsia="宋体" w:cs="Times New Roman"/>
                <w:b/>
                <w:color w:val="auto"/>
                <w:sz w:val="24"/>
              </w:rPr>
              <w:t>废水污染源源强分析</w:t>
            </w:r>
          </w:p>
          <w:p>
            <w:pPr>
              <w:pStyle w:val="2"/>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本项目实行“雨污分流”制，</w:t>
            </w:r>
            <w:r>
              <w:rPr>
                <w:rFonts w:hint="default" w:ascii="Times New Roman" w:hAnsi="Times New Roman" w:eastAsia="宋体" w:cs="Times New Roman"/>
                <w:color w:val="auto"/>
                <w:sz w:val="24"/>
                <w:szCs w:val="24"/>
                <w:lang w:eastAsia="zh-CN"/>
              </w:rPr>
              <w:t>后期雨水排入雨水管网，最终汇入</w:t>
            </w:r>
            <w:r>
              <w:rPr>
                <w:rFonts w:hint="eastAsia" w:cs="Times New Roman"/>
                <w:color w:val="auto"/>
                <w:sz w:val="24"/>
                <w:szCs w:val="24"/>
                <w:lang w:eastAsia="zh-CN"/>
              </w:rPr>
              <w:t>湘江</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生产用水进入产品中，不排放。建设项目用水主要为生产用水和职工生活用水，废水主要为职工生活污水、</w:t>
            </w:r>
            <w:r>
              <w:rPr>
                <w:rFonts w:hint="default" w:ascii="Times New Roman" w:hAnsi="Times New Roman" w:eastAsia="宋体" w:cs="Times New Roman"/>
                <w:color w:val="auto"/>
                <w:sz w:val="24"/>
                <w:szCs w:val="24"/>
                <w:lang w:eastAsia="zh-CN"/>
              </w:rPr>
              <w:t>喷淋废水</w:t>
            </w:r>
            <w:r>
              <w:rPr>
                <w:rFonts w:hint="default" w:ascii="Times New Roman" w:hAnsi="Times New Roman" w:eastAsia="宋体" w:cs="Times New Roman"/>
                <w:color w:val="auto"/>
                <w:sz w:val="24"/>
                <w:szCs w:val="24"/>
              </w:rPr>
              <w:t>及初期雨水。</w:t>
            </w:r>
          </w:p>
          <w:p>
            <w:pPr>
              <w:numPr>
                <w:ilvl w:val="0"/>
                <w:numId w:val="8"/>
              </w:num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生产用水</w:t>
            </w:r>
          </w:p>
          <w:p>
            <w:pPr>
              <w:pStyle w:val="2"/>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项目乳化沥青生产过程中需要添加水进行搅拌，用水量约13t/a，其中约12t进入产品中，1t在生产过程中通过挥发消耗。</w:t>
            </w:r>
          </w:p>
          <w:p>
            <w:pPr>
              <w:numPr>
                <w:ilvl w:val="0"/>
                <w:numId w:val="8"/>
              </w:num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喷淋废水</w:t>
            </w:r>
          </w:p>
          <w:p>
            <w:p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本项目沥青烟气喷淋水经隔油处理后循环使用，喷淋用水量约为350吨/年，循环一段时间后水中污染物浓度上升，会堵塞喷嘴需定期排放部分喷淋水，</w:t>
            </w:r>
            <w:r>
              <w:rPr>
                <w:rFonts w:hint="default" w:ascii="Times New Roman" w:hAnsi="Times New Roman" w:eastAsia="宋体" w:cs="Times New Roman"/>
                <w:color w:val="auto"/>
                <w:sz w:val="24"/>
                <w:szCs w:val="24"/>
                <w:lang w:eastAsia="zh-CN"/>
              </w:rPr>
              <w:t>喷淋废水</w:t>
            </w:r>
            <w:r>
              <w:rPr>
                <w:rFonts w:hint="default" w:ascii="Times New Roman" w:hAnsi="Times New Roman" w:eastAsia="宋体" w:cs="Times New Roman"/>
                <w:color w:val="auto"/>
                <w:sz w:val="24"/>
                <w:szCs w:val="24"/>
              </w:rPr>
              <w:t>量约为1吨/天。废水主要污染因子为</w:t>
            </w:r>
            <w:r>
              <w:rPr>
                <w:rFonts w:hint="default" w:ascii="Times New Roman" w:hAnsi="Times New Roman" w:eastAsia="宋体" w:cs="Times New Roman"/>
                <w:color w:val="auto"/>
                <w:kern w:val="0"/>
                <w:sz w:val="24"/>
                <w:szCs w:val="24"/>
              </w:rPr>
              <w:t>pH</w:t>
            </w:r>
            <w:r>
              <w:rPr>
                <w:rFonts w:hint="default" w:ascii="Times New Roman" w:hAnsi="Times New Roman" w:eastAsia="宋体" w:cs="Times New Roman"/>
                <w:color w:val="auto"/>
                <w:sz w:val="24"/>
                <w:szCs w:val="24"/>
              </w:rPr>
              <w:t>、COD、氨氮、石油类、SS，</w:t>
            </w:r>
            <w:r>
              <w:rPr>
                <w:rFonts w:hint="default" w:ascii="Times New Roman" w:hAnsi="Times New Roman" w:eastAsia="宋体" w:cs="Times New Roman"/>
                <w:color w:val="auto"/>
                <w:sz w:val="24"/>
                <w:szCs w:val="24"/>
                <w:lang w:val="en-US" w:eastAsia="zh-CN"/>
              </w:rPr>
              <w:t>根据</w:t>
            </w:r>
            <w:r>
              <w:rPr>
                <w:rFonts w:hint="default" w:ascii="Times New Roman" w:hAnsi="Times New Roman" w:eastAsia="宋体" w:cs="Times New Roman"/>
                <w:color w:val="auto"/>
                <w:sz w:val="24"/>
                <w:szCs w:val="24"/>
              </w:rPr>
              <w:t>《江苏鸿富道路工程有限公司道路修补材料生产项目》（皋行审环验{2019}62号）分析</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污染物浓度分别约为6-9（无量纲）、800-1200mg/L、5-15mg/L 、200-400mg/L、300-400 mg/L。</w:t>
            </w:r>
          </w:p>
          <w:p>
            <w:pPr>
              <w:numPr>
                <w:ilvl w:val="0"/>
                <w:numId w:val="8"/>
              </w:num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初期雨水</w:t>
            </w:r>
          </w:p>
          <w:p>
            <w:p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根据降雨历时15min计算雨水排水设计流量Q（L/s）。计算公式如下：</w:t>
            </w:r>
          </w:p>
          <w:p>
            <w:pPr>
              <w:ind w:firstLine="48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Q=Ψ·q·F （L/s）</w:t>
            </w:r>
          </w:p>
          <w:p>
            <w:p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式中：Ψ—径流系数，按地面覆盖确定，综合径流系数为0.70；</w:t>
            </w:r>
          </w:p>
          <w:p>
            <w:p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F—雨水汇水面积（公顷），本项目取0.1</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公顷。</w:t>
            </w:r>
          </w:p>
          <w:p>
            <w:pPr>
              <w:ind w:firstLine="480"/>
              <w:rPr>
                <w:rFonts w:hint="default" w:ascii="Times New Roman" w:hAnsi="Times New Roman" w:eastAsia="宋体" w:cs="Times New Roman"/>
                <w:color w:val="auto"/>
                <w:sz w:val="24"/>
                <w:szCs w:val="24"/>
                <w:lang w:eastAsia="en-US"/>
              </w:rPr>
            </w:pPr>
            <w:r>
              <w:rPr>
                <w:rFonts w:hint="default" w:ascii="Times New Roman" w:hAnsi="Times New Roman" w:eastAsia="宋体" w:cs="Times New Roman"/>
                <w:color w:val="auto"/>
                <w:sz w:val="24"/>
                <w:szCs w:val="24"/>
              </w:rPr>
              <w:t>q—设计暴雨强度（L/s •万m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），采用南通市暴雨强度公式：</w:t>
            </w:r>
          </w:p>
          <w:p>
            <w:pPr>
              <w:ind w:firstLine="48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q=2007.34(1+0.752lgP)/(t +17.9)</w:t>
            </w:r>
            <w:r>
              <w:rPr>
                <w:rFonts w:hint="default" w:ascii="Times New Roman" w:hAnsi="Times New Roman" w:eastAsia="宋体" w:cs="Times New Roman"/>
                <w:color w:val="auto"/>
                <w:sz w:val="24"/>
                <w:szCs w:val="24"/>
                <w:vertAlign w:val="superscript"/>
              </w:rPr>
              <w:t>0.71</w:t>
            </w:r>
          </w:p>
          <w:p>
            <w:p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式中：P—重现期，采用2年；</w:t>
            </w:r>
          </w:p>
          <w:p>
            <w:p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t—降雨地面集水历时，取15分钟，</w:t>
            </w:r>
          </w:p>
          <w:p>
            <w:p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计算得设计暴雨强度q=205.955L/s•万m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，雨水流量Q=1</w:t>
            </w:r>
            <w:r>
              <w:rPr>
                <w:rFonts w:hint="default" w:ascii="Times New Roman" w:hAnsi="Times New Roman" w:eastAsia="宋体" w:cs="Times New Roman"/>
                <w:color w:val="auto"/>
                <w:sz w:val="24"/>
                <w:szCs w:val="24"/>
                <w:lang w:val="en-US" w:eastAsia="zh-CN"/>
              </w:rPr>
              <w:t>7.3</w:t>
            </w:r>
            <w:r>
              <w:rPr>
                <w:rFonts w:hint="default" w:ascii="Times New Roman" w:hAnsi="Times New Roman" w:eastAsia="宋体" w:cs="Times New Roman"/>
                <w:color w:val="auto"/>
                <w:sz w:val="24"/>
                <w:szCs w:val="24"/>
              </w:rPr>
              <w:t>L/s，则雨水量为</w:t>
            </w:r>
            <w:r>
              <w:rPr>
                <w:rFonts w:hint="default" w:ascii="Times New Roman" w:hAnsi="Times New Roman" w:eastAsia="宋体" w:cs="Times New Roman"/>
                <w:color w:val="auto"/>
                <w:sz w:val="24"/>
                <w:szCs w:val="24"/>
                <w:lang w:val="en-US" w:eastAsia="zh-CN"/>
              </w:rPr>
              <w:t>15.57</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/次。厂区内拟新建20m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的沉淀池，建成后可满足要求。</w:t>
            </w:r>
          </w:p>
          <w:p>
            <w:p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全年间歇降雨频次按18次/年计，则项目受污初期雨水收集量为</w:t>
            </w:r>
            <w:r>
              <w:rPr>
                <w:rFonts w:hint="default" w:ascii="Times New Roman" w:hAnsi="Times New Roman" w:eastAsia="宋体" w:cs="Times New Roman"/>
                <w:color w:val="auto"/>
                <w:sz w:val="24"/>
                <w:szCs w:val="24"/>
                <w:lang w:val="en-US" w:eastAsia="zh-CN"/>
              </w:rPr>
              <w:t>280.3</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kern w:val="0"/>
                <w:sz w:val="24"/>
                <w:szCs w:val="24"/>
                <w:lang w:bidi="ar"/>
              </w:rPr>
              <w:t>由沉淀池沉淀后回用于</w:t>
            </w:r>
            <w:r>
              <w:rPr>
                <w:rFonts w:hint="default" w:ascii="Times New Roman" w:hAnsi="Times New Roman" w:eastAsia="宋体" w:cs="Times New Roman"/>
                <w:color w:val="auto"/>
                <w:sz w:val="24"/>
                <w:szCs w:val="24"/>
              </w:rPr>
              <w:t>喷雾抑尘</w:t>
            </w:r>
            <w:r>
              <w:rPr>
                <w:rFonts w:hint="default" w:ascii="Times New Roman" w:hAnsi="Times New Roman" w:eastAsia="宋体" w:cs="Times New Roman"/>
                <w:color w:val="auto"/>
                <w:kern w:val="0"/>
                <w:sz w:val="24"/>
                <w:szCs w:val="24"/>
                <w:lang w:bidi="ar"/>
              </w:rPr>
              <w:t>。</w:t>
            </w:r>
            <w:r>
              <w:rPr>
                <w:rFonts w:hint="default" w:ascii="Times New Roman" w:hAnsi="Times New Roman" w:eastAsia="宋体" w:cs="Times New Roman"/>
                <w:color w:val="auto"/>
                <w:sz w:val="24"/>
                <w:szCs w:val="24"/>
              </w:rPr>
              <w:t>类比同类项目，初期雨水中主要污染物为COD和SS。</w:t>
            </w:r>
          </w:p>
          <w:p>
            <w:pPr>
              <w:numPr>
                <w:ilvl w:val="0"/>
                <w:numId w:val="8"/>
              </w:num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职工生活用水</w:t>
            </w:r>
          </w:p>
          <w:p>
            <w:p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建设项目职工人数为16人，工作时间为三班制，每班8小时，一年工作300天。厂区设食宿，人均用水按150L/d计，废水产生量以90%计，则建设项目职工生活用水量为720t/a，生活污水产生量为648t/a，污染物浓度为COD</w:t>
            </w:r>
            <w:r>
              <w:rPr>
                <w:rFonts w:hint="default" w:ascii="Times New Roman" w:hAnsi="Times New Roman" w:eastAsia="宋体" w:cs="Times New Roman"/>
                <w:color w:val="auto"/>
                <w:sz w:val="24"/>
                <w:szCs w:val="24"/>
                <w:vertAlign w:val="subscript"/>
              </w:rPr>
              <w:t>cr</w:t>
            </w:r>
            <w:r>
              <w:rPr>
                <w:rFonts w:hint="default" w:ascii="Times New Roman" w:hAnsi="Times New Roman" w:eastAsia="宋体" w:cs="Times New Roman"/>
                <w:color w:val="auto"/>
                <w:sz w:val="24"/>
                <w:szCs w:val="24"/>
              </w:rPr>
              <w:t>450mg/L、NH</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-N 40mg/L、SS 250mg/L、TP 5mg/L，则污染物产生量为COD</w:t>
            </w:r>
            <w:r>
              <w:rPr>
                <w:rFonts w:hint="default" w:ascii="Times New Roman" w:hAnsi="Times New Roman" w:eastAsia="宋体" w:cs="Times New Roman"/>
                <w:color w:val="auto"/>
                <w:sz w:val="24"/>
                <w:szCs w:val="24"/>
                <w:vertAlign w:val="subscript"/>
              </w:rPr>
              <w:t>cr</w:t>
            </w:r>
            <w:r>
              <w:rPr>
                <w:rFonts w:hint="default" w:ascii="Times New Roman" w:hAnsi="Times New Roman" w:eastAsia="宋体" w:cs="Times New Roman"/>
                <w:color w:val="auto"/>
                <w:sz w:val="24"/>
                <w:szCs w:val="24"/>
              </w:rPr>
              <w:t>：1.53t/a、NH</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-N：0.136t/a、SS：0.851t/a、TP：0.0170t/a。</w:t>
            </w:r>
          </w:p>
          <w:p>
            <w:pPr>
              <w:ind w:firstLine="480"/>
              <w:rPr>
                <w:rFonts w:hint="default" w:ascii="Times New Roman" w:hAnsi="Times New Roman" w:eastAsia="宋体" w:cs="Times New Roman"/>
                <w:color w:val="auto"/>
              </w:rPr>
            </w:pPr>
            <w:r>
              <w:rPr>
                <w:rFonts w:hint="default" w:ascii="Times New Roman" w:hAnsi="Times New Roman" w:eastAsia="宋体" w:cs="Times New Roman"/>
                <w:color w:val="auto"/>
                <w:sz w:val="24"/>
                <w:szCs w:val="24"/>
              </w:rPr>
              <w:t>建设项目水污染物产生及排放情况见表5</w:t>
            </w:r>
            <w:r>
              <w:rPr>
                <w:rFonts w:hint="eastAsia" w:cs="Times New Roman"/>
                <w:color w:val="auto"/>
                <w:sz w:val="24"/>
                <w:szCs w:val="24"/>
                <w:lang w:val="en-US" w:eastAsia="zh-CN"/>
              </w:rPr>
              <w:t>.2.6</w:t>
            </w:r>
            <w:r>
              <w:rPr>
                <w:rFonts w:hint="default" w:ascii="Times New Roman" w:hAnsi="Times New Roman" w:eastAsia="宋体" w:cs="Times New Roman"/>
                <w:color w:val="auto"/>
                <w:sz w:val="24"/>
                <w:szCs w:val="24"/>
              </w:rPr>
              <w:t>-11。</w:t>
            </w:r>
          </w:p>
          <w:p>
            <w:pPr>
              <w:spacing w:beforeLines="50" w:line="240" w:lineRule="auto"/>
              <w:ind w:firstLine="422"/>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表5</w:t>
            </w:r>
            <w:r>
              <w:rPr>
                <w:rFonts w:hint="eastAsia" w:cs="Times New Roman"/>
                <w:b/>
                <w:color w:val="auto"/>
                <w:sz w:val="21"/>
                <w:szCs w:val="21"/>
                <w:lang w:val="en-US" w:eastAsia="zh-CN"/>
              </w:rPr>
              <w:t>.2.6</w:t>
            </w:r>
            <w:r>
              <w:rPr>
                <w:rFonts w:hint="default" w:ascii="Times New Roman" w:hAnsi="Times New Roman" w:eastAsia="宋体" w:cs="Times New Roman"/>
                <w:b/>
                <w:color w:val="auto"/>
                <w:sz w:val="21"/>
                <w:szCs w:val="21"/>
              </w:rPr>
              <w:t>-11水污染物产生及排放情况一览表</w:t>
            </w:r>
          </w:p>
          <w:tbl>
            <w:tblPr>
              <w:tblStyle w:val="43"/>
              <w:tblW w:w="896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2"/>
              <w:gridCol w:w="732"/>
              <w:gridCol w:w="1083"/>
              <w:gridCol w:w="735"/>
              <w:gridCol w:w="1006"/>
              <w:gridCol w:w="658"/>
              <w:gridCol w:w="818"/>
              <w:gridCol w:w="1056"/>
              <w:gridCol w:w="995"/>
              <w:gridCol w:w="9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02" w:type="dxa"/>
                  <w:vMerge w:val="restart"/>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污染源</w:t>
                  </w:r>
                </w:p>
              </w:tc>
              <w:tc>
                <w:tcPr>
                  <w:tcW w:w="732" w:type="dxa"/>
                  <w:vMerge w:val="restart"/>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废水量m3/a</w:t>
                  </w:r>
                </w:p>
              </w:tc>
              <w:tc>
                <w:tcPr>
                  <w:tcW w:w="1083" w:type="dxa"/>
                  <w:vMerge w:val="restart"/>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污染物名称</w:t>
                  </w:r>
                </w:p>
              </w:tc>
              <w:tc>
                <w:tcPr>
                  <w:tcW w:w="1741" w:type="dxa"/>
                  <w:gridSpan w:val="2"/>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污染物产生情况</w:t>
                  </w:r>
                </w:p>
              </w:tc>
              <w:tc>
                <w:tcPr>
                  <w:tcW w:w="658" w:type="dxa"/>
                  <w:vMerge w:val="restart"/>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治理措施</w:t>
                  </w:r>
                </w:p>
              </w:tc>
              <w:tc>
                <w:tcPr>
                  <w:tcW w:w="1874" w:type="dxa"/>
                  <w:gridSpan w:val="2"/>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污染物排放情况</w:t>
                  </w:r>
                </w:p>
              </w:tc>
              <w:tc>
                <w:tcPr>
                  <w:tcW w:w="995" w:type="dxa"/>
                  <w:vMerge w:val="restart"/>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标准浓度限值mg/L</w:t>
                  </w:r>
                </w:p>
              </w:tc>
              <w:tc>
                <w:tcPr>
                  <w:tcW w:w="975" w:type="dxa"/>
                  <w:vMerge w:val="restart"/>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排放</w:t>
                  </w:r>
                </w:p>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02"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732"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1083"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73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浓度</w:t>
                  </w:r>
                </w:p>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mg/L</w:t>
                  </w:r>
                </w:p>
              </w:tc>
              <w:tc>
                <w:tcPr>
                  <w:tcW w:w="1006"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产生量</w:t>
                  </w:r>
                </w:p>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（t/a）</w:t>
                  </w:r>
                </w:p>
              </w:tc>
              <w:tc>
                <w:tcPr>
                  <w:tcW w:w="658"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818"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浓度mg/L</w:t>
                  </w:r>
                </w:p>
              </w:tc>
              <w:tc>
                <w:tcPr>
                  <w:tcW w:w="1056"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接管量（t/a）</w:t>
                  </w:r>
                </w:p>
              </w:tc>
              <w:tc>
                <w:tcPr>
                  <w:tcW w:w="995"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975" w:type="dxa"/>
                  <w:vMerge w:val="continue"/>
                  <w:vAlign w:val="center"/>
                </w:tcPr>
                <w:p>
                  <w:pPr>
                    <w:adjustRightInd w:val="0"/>
                    <w:snapToGrid w:val="0"/>
                    <w:jc w:val="center"/>
                    <w:rPr>
                      <w:rFonts w:hint="default" w:ascii="Times New Roman" w:hAnsi="Times New Roman" w:eastAsia="宋体" w:cs="Times New Roman"/>
                      <w:sz w:val="21"/>
                      <w:szCs w:val="2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02" w:type="dxa"/>
                  <w:vMerge w:val="restart"/>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喷淋废水</w:t>
                  </w:r>
                </w:p>
              </w:tc>
              <w:tc>
                <w:tcPr>
                  <w:tcW w:w="732" w:type="dxa"/>
                  <w:vMerge w:val="restart"/>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300</w:t>
                  </w:r>
                </w:p>
              </w:tc>
              <w:tc>
                <w:tcPr>
                  <w:tcW w:w="1083"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pH</w:t>
                  </w:r>
                </w:p>
              </w:tc>
              <w:tc>
                <w:tcPr>
                  <w:tcW w:w="73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6-9</w:t>
                  </w:r>
                </w:p>
              </w:tc>
              <w:tc>
                <w:tcPr>
                  <w:tcW w:w="1006"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658" w:type="dxa"/>
                  <w:vMerge w:val="restart"/>
                  <w:vAlign w:val="center"/>
                </w:tcPr>
                <w:p>
                  <w:pPr>
                    <w:adjustRightInd w:val="0"/>
                    <w:snapToGrid w:val="0"/>
                    <w:jc w:val="center"/>
                    <w:rPr>
                      <w:rFonts w:hint="eastAsia" w:ascii="Times New Roman" w:hAnsi="Times New Roman" w:eastAsia="宋体" w:cs="Times New Roman"/>
                      <w:sz w:val="21"/>
                      <w:szCs w:val="20"/>
                      <w:lang w:eastAsia="zh-CN"/>
                    </w:rPr>
                  </w:pPr>
                  <w:r>
                    <w:rPr>
                      <w:rFonts w:hint="eastAsia" w:cs="Times New Roman"/>
                      <w:sz w:val="21"/>
                      <w:szCs w:val="20"/>
                      <w:lang w:eastAsia="zh-CN"/>
                    </w:rPr>
                    <w:t>三级沉淀池</w:t>
                  </w:r>
                </w:p>
              </w:tc>
              <w:tc>
                <w:tcPr>
                  <w:tcW w:w="818"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1056"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99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975" w:type="dxa"/>
                  <w:vMerge w:val="restart"/>
                  <w:vAlign w:val="center"/>
                </w:tcPr>
                <w:p>
                  <w:pPr>
                    <w:adjustRightInd w:val="0"/>
                    <w:snapToGrid w:val="0"/>
                    <w:jc w:val="center"/>
                    <w:rPr>
                      <w:rFonts w:hint="eastAsia" w:ascii="Times New Roman" w:hAnsi="Times New Roman" w:eastAsia="宋体" w:cs="Times New Roman"/>
                      <w:sz w:val="21"/>
                      <w:szCs w:val="20"/>
                      <w:lang w:eastAsia="zh-CN"/>
                    </w:rPr>
                  </w:pPr>
                  <w:r>
                    <w:rPr>
                      <w:rFonts w:hint="eastAsia" w:ascii="Times New Roman" w:hAnsi="Times New Roman" w:eastAsia="宋体" w:cs="Times New Roman"/>
                      <w:sz w:val="21"/>
                      <w:szCs w:val="20"/>
                      <w:lang w:eastAsia="zh-CN"/>
                    </w:rPr>
                    <w:t>回用于生产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02"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732"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1083"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COD</w:t>
                  </w:r>
                </w:p>
              </w:tc>
              <w:tc>
                <w:tcPr>
                  <w:tcW w:w="73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1000</w:t>
                  </w:r>
                </w:p>
              </w:tc>
              <w:tc>
                <w:tcPr>
                  <w:tcW w:w="1006"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0.3</w:t>
                  </w:r>
                </w:p>
              </w:tc>
              <w:tc>
                <w:tcPr>
                  <w:tcW w:w="658"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818"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1056"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99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975" w:type="dxa"/>
                  <w:vMerge w:val="continue"/>
                  <w:vAlign w:val="center"/>
                </w:tcPr>
                <w:p>
                  <w:pPr>
                    <w:adjustRightInd w:val="0"/>
                    <w:snapToGrid w:val="0"/>
                    <w:jc w:val="center"/>
                    <w:rPr>
                      <w:rFonts w:hint="default" w:ascii="Times New Roman" w:hAnsi="Times New Roman" w:eastAsia="宋体" w:cs="Times New Roman"/>
                      <w:sz w:val="21"/>
                      <w:szCs w:val="2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02"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732"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1083"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NH3-N</w:t>
                  </w:r>
                </w:p>
              </w:tc>
              <w:tc>
                <w:tcPr>
                  <w:tcW w:w="73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10</w:t>
                  </w:r>
                </w:p>
              </w:tc>
              <w:tc>
                <w:tcPr>
                  <w:tcW w:w="1006"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0.003</w:t>
                  </w:r>
                </w:p>
              </w:tc>
              <w:tc>
                <w:tcPr>
                  <w:tcW w:w="658"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818"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1056"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99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975" w:type="dxa"/>
                  <w:vMerge w:val="continue"/>
                  <w:vAlign w:val="center"/>
                </w:tcPr>
                <w:p>
                  <w:pPr>
                    <w:adjustRightInd w:val="0"/>
                    <w:snapToGrid w:val="0"/>
                    <w:jc w:val="center"/>
                    <w:rPr>
                      <w:rFonts w:hint="default" w:ascii="Times New Roman" w:hAnsi="Times New Roman" w:eastAsia="宋体" w:cs="Times New Roman"/>
                      <w:sz w:val="21"/>
                      <w:szCs w:val="2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02"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732"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1083"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石油类</w:t>
                  </w:r>
                </w:p>
              </w:tc>
              <w:tc>
                <w:tcPr>
                  <w:tcW w:w="73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300</w:t>
                  </w:r>
                </w:p>
              </w:tc>
              <w:tc>
                <w:tcPr>
                  <w:tcW w:w="1006"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0.09</w:t>
                  </w:r>
                </w:p>
              </w:tc>
              <w:tc>
                <w:tcPr>
                  <w:tcW w:w="658"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818"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1056"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99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975" w:type="dxa"/>
                  <w:vMerge w:val="continue"/>
                  <w:vAlign w:val="center"/>
                </w:tcPr>
                <w:p>
                  <w:pPr>
                    <w:adjustRightInd w:val="0"/>
                    <w:snapToGrid w:val="0"/>
                    <w:jc w:val="center"/>
                    <w:rPr>
                      <w:rFonts w:hint="default" w:ascii="Times New Roman" w:hAnsi="Times New Roman" w:eastAsia="宋体" w:cs="Times New Roman"/>
                      <w:sz w:val="21"/>
                      <w:szCs w:val="2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02"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732"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1083"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SS</w:t>
                  </w:r>
                </w:p>
              </w:tc>
              <w:tc>
                <w:tcPr>
                  <w:tcW w:w="73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350</w:t>
                  </w:r>
                </w:p>
              </w:tc>
              <w:tc>
                <w:tcPr>
                  <w:tcW w:w="1006"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0.105</w:t>
                  </w:r>
                </w:p>
              </w:tc>
              <w:tc>
                <w:tcPr>
                  <w:tcW w:w="658"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818"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1056"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99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975" w:type="dxa"/>
                  <w:vMerge w:val="continue"/>
                  <w:vAlign w:val="center"/>
                </w:tcPr>
                <w:p>
                  <w:pPr>
                    <w:adjustRightInd w:val="0"/>
                    <w:snapToGrid w:val="0"/>
                    <w:jc w:val="center"/>
                    <w:rPr>
                      <w:rFonts w:hint="default" w:ascii="Times New Roman" w:hAnsi="Times New Roman" w:eastAsia="宋体" w:cs="Times New Roman"/>
                      <w:sz w:val="21"/>
                      <w:szCs w:val="2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02" w:type="dxa"/>
                  <w:vMerge w:val="restart"/>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初期雨水</w:t>
                  </w:r>
                </w:p>
              </w:tc>
              <w:tc>
                <w:tcPr>
                  <w:tcW w:w="732" w:type="dxa"/>
                  <w:vMerge w:val="restart"/>
                  <w:vAlign w:val="center"/>
                </w:tcPr>
                <w:p>
                  <w:pPr>
                    <w:adjustRightInd w:val="0"/>
                    <w:snapToGrid w:val="0"/>
                    <w:jc w:val="center"/>
                    <w:rPr>
                      <w:rFonts w:hint="default" w:ascii="Times New Roman" w:hAnsi="Times New Roman" w:eastAsia="宋体" w:cs="Times New Roman"/>
                      <w:sz w:val="21"/>
                      <w:szCs w:val="20"/>
                      <w:lang w:val="en-US" w:eastAsia="zh-CN"/>
                    </w:rPr>
                  </w:pPr>
                  <w:r>
                    <w:rPr>
                      <w:rFonts w:hint="default" w:ascii="Times New Roman" w:hAnsi="Times New Roman" w:eastAsia="宋体" w:cs="Times New Roman"/>
                      <w:sz w:val="21"/>
                      <w:szCs w:val="20"/>
                      <w:lang w:val="en-US" w:eastAsia="zh-CN"/>
                    </w:rPr>
                    <w:t>280.3</w:t>
                  </w:r>
                </w:p>
              </w:tc>
              <w:tc>
                <w:tcPr>
                  <w:tcW w:w="1083"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COD</w:t>
                  </w:r>
                </w:p>
              </w:tc>
              <w:tc>
                <w:tcPr>
                  <w:tcW w:w="73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100</w:t>
                  </w:r>
                </w:p>
              </w:tc>
              <w:tc>
                <w:tcPr>
                  <w:tcW w:w="1006" w:type="dxa"/>
                  <w:vAlign w:val="center"/>
                </w:tcPr>
                <w:p>
                  <w:pPr>
                    <w:adjustRightInd w:val="0"/>
                    <w:snapToGrid w:val="0"/>
                    <w:jc w:val="center"/>
                    <w:rPr>
                      <w:rFonts w:hint="default" w:ascii="Times New Roman" w:hAnsi="Times New Roman" w:eastAsia="宋体" w:cs="Times New Roman"/>
                      <w:sz w:val="21"/>
                      <w:szCs w:val="20"/>
                      <w:lang w:val="en-US" w:eastAsia="zh-CN"/>
                    </w:rPr>
                  </w:pPr>
                  <w:r>
                    <w:rPr>
                      <w:rFonts w:hint="default" w:ascii="Times New Roman" w:hAnsi="Times New Roman" w:eastAsia="宋体" w:cs="Times New Roman"/>
                      <w:sz w:val="21"/>
                      <w:szCs w:val="20"/>
                    </w:rPr>
                    <w:t>0.0</w:t>
                  </w:r>
                  <w:r>
                    <w:rPr>
                      <w:rFonts w:hint="default" w:ascii="Times New Roman" w:hAnsi="Times New Roman" w:eastAsia="宋体" w:cs="Times New Roman"/>
                      <w:sz w:val="21"/>
                      <w:szCs w:val="20"/>
                      <w:lang w:val="en-US" w:eastAsia="zh-CN"/>
                    </w:rPr>
                    <w:t>28</w:t>
                  </w:r>
                </w:p>
              </w:tc>
              <w:tc>
                <w:tcPr>
                  <w:tcW w:w="658" w:type="dxa"/>
                  <w:vMerge w:val="restart"/>
                  <w:vAlign w:val="center"/>
                </w:tcPr>
                <w:p>
                  <w:pPr>
                    <w:adjustRightInd w:val="0"/>
                    <w:snapToGrid w:val="0"/>
                    <w:jc w:val="center"/>
                    <w:rPr>
                      <w:rFonts w:hint="default" w:ascii="Times New Roman" w:hAnsi="Times New Roman" w:eastAsia="宋体" w:cs="Times New Roman"/>
                      <w:sz w:val="21"/>
                      <w:szCs w:val="20"/>
                    </w:rPr>
                  </w:pPr>
                  <w:r>
                    <w:rPr>
                      <w:rFonts w:hint="eastAsia" w:cs="Times New Roman"/>
                      <w:sz w:val="21"/>
                      <w:szCs w:val="20"/>
                      <w:lang w:eastAsia="zh-CN"/>
                    </w:rPr>
                    <w:t>三级沉淀池</w:t>
                  </w:r>
                </w:p>
              </w:tc>
              <w:tc>
                <w:tcPr>
                  <w:tcW w:w="818"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1056"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99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975" w:type="dxa"/>
                  <w:vMerge w:val="continue"/>
                  <w:vAlign w:val="center"/>
                </w:tcPr>
                <w:p>
                  <w:pPr>
                    <w:adjustRightInd w:val="0"/>
                    <w:snapToGrid w:val="0"/>
                    <w:jc w:val="center"/>
                    <w:rPr>
                      <w:rFonts w:hint="default" w:ascii="Times New Roman" w:hAnsi="Times New Roman" w:eastAsia="宋体" w:cs="Times New Roman"/>
                      <w:sz w:val="21"/>
                      <w:szCs w:val="2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02"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732"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1083"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SS</w:t>
                  </w:r>
                </w:p>
              </w:tc>
              <w:tc>
                <w:tcPr>
                  <w:tcW w:w="73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200</w:t>
                  </w:r>
                </w:p>
              </w:tc>
              <w:tc>
                <w:tcPr>
                  <w:tcW w:w="1006" w:type="dxa"/>
                  <w:vAlign w:val="center"/>
                </w:tcPr>
                <w:p>
                  <w:pPr>
                    <w:adjustRightInd w:val="0"/>
                    <w:snapToGrid w:val="0"/>
                    <w:jc w:val="center"/>
                    <w:rPr>
                      <w:rFonts w:hint="default" w:ascii="Times New Roman" w:hAnsi="Times New Roman" w:eastAsia="宋体" w:cs="Times New Roman"/>
                      <w:sz w:val="21"/>
                      <w:szCs w:val="20"/>
                      <w:lang w:val="en-US" w:eastAsia="zh-CN"/>
                    </w:rPr>
                  </w:pPr>
                  <w:r>
                    <w:rPr>
                      <w:rFonts w:hint="default" w:ascii="Times New Roman" w:hAnsi="Times New Roman" w:eastAsia="宋体" w:cs="Times New Roman"/>
                      <w:sz w:val="21"/>
                      <w:szCs w:val="20"/>
                    </w:rPr>
                    <w:t>0.0</w:t>
                  </w:r>
                  <w:r>
                    <w:rPr>
                      <w:rFonts w:hint="default" w:ascii="Times New Roman" w:hAnsi="Times New Roman" w:eastAsia="宋体" w:cs="Times New Roman"/>
                      <w:sz w:val="21"/>
                      <w:szCs w:val="20"/>
                      <w:lang w:val="en-US" w:eastAsia="zh-CN"/>
                    </w:rPr>
                    <w:t>56</w:t>
                  </w:r>
                </w:p>
              </w:tc>
              <w:tc>
                <w:tcPr>
                  <w:tcW w:w="658" w:type="dxa"/>
                  <w:vMerge w:val="continue"/>
                  <w:vAlign w:val="center"/>
                </w:tcPr>
                <w:p>
                  <w:pPr>
                    <w:adjustRightInd w:val="0"/>
                    <w:snapToGrid w:val="0"/>
                    <w:jc w:val="center"/>
                    <w:rPr>
                      <w:rFonts w:hint="default" w:ascii="Times New Roman" w:hAnsi="Times New Roman" w:eastAsia="宋体" w:cs="Times New Roman"/>
                      <w:sz w:val="21"/>
                      <w:szCs w:val="20"/>
                    </w:rPr>
                  </w:pPr>
                </w:p>
              </w:tc>
              <w:tc>
                <w:tcPr>
                  <w:tcW w:w="818"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1056"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995" w:type="dxa"/>
                  <w:vAlign w:val="center"/>
                </w:tcPr>
                <w:p>
                  <w:pPr>
                    <w:adjustRightInd w:val="0"/>
                    <w:snapToGrid w:val="0"/>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c>
                <w:tcPr>
                  <w:tcW w:w="975" w:type="dxa"/>
                  <w:vMerge w:val="continue"/>
                  <w:vAlign w:val="center"/>
                </w:tcPr>
                <w:p>
                  <w:pPr>
                    <w:adjustRightInd w:val="0"/>
                    <w:snapToGrid w:val="0"/>
                    <w:jc w:val="center"/>
                    <w:rPr>
                      <w:rFonts w:hint="default" w:ascii="Times New Roman" w:hAnsi="Times New Roman" w:eastAsia="宋体" w:cs="Times New Roman"/>
                      <w:sz w:val="21"/>
                      <w:szCs w:val="20"/>
                    </w:rPr>
                  </w:pPr>
                </w:p>
              </w:tc>
            </w:tr>
          </w:tbl>
          <w:p>
            <w:p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建设项目水平衡图见图5</w:t>
            </w:r>
            <w:r>
              <w:rPr>
                <w:rFonts w:hint="eastAsia" w:cs="Times New Roman"/>
                <w:color w:val="auto"/>
                <w:sz w:val="24"/>
                <w:szCs w:val="24"/>
                <w:lang w:val="en-US" w:eastAsia="zh-CN"/>
              </w:rPr>
              <w:t>.2.6</w:t>
            </w: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1</w:t>
            </w:r>
            <w:r>
              <w:rPr>
                <w:rFonts w:hint="default" w:ascii="Times New Roman" w:hAnsi="Times New Roman" w:eastAsia="宋体" w:cs="Times New Roman"/>
                <w:color w:val="auto"/>
                <w:sz w:val="24"/>
                <w:szCs w:val="24"/>
              </w:rPr>
              <w:t>。</w:t>
            </w:r>
          </w:p>
          <w:p>
            <w:pPr>
              <w:pStyle w:val="228"/>
              <w:jc w:val="center"/>
              <w:rPr>
                <w:rFonts w:hint="default" w:ascii="Times New Roman" w:hAnsi="Times New Roman" w:eastAsia="宋体" w:cs="Times New Roman"/>
                <w:b/>
                <w:color w:val="auto"/>
                <w:szCs w:val="24"/>
              </w:rPr>
            </w:pPr>
            <w:r>
              <w:rPr>
                <w:rFonts w:hint="default" w:ascii="Times New Roman" w:hAnsi="Times New Roman" w:eastAsia="宋体" w:cs="Times New Roman"/>
                <w:color w:val="auto"/>
                <w:sz w:val="30"/>
                <w:szCs w:val="30"/>
              </w:rPr>
              <mc:AlternateContent>
                <mc:Choice Requires="wpc">
                  <w:drawing>
                    <wp:anchor distT="0" distB="0" distL="114300" distR="114300" simplePos="0" relativeHeight="251821056" behindDoc="0" locked="0" layoutInCell="1" allowOverlap="1">
                      <wp:simplePos x="0" y="0"/>
                      <wp:positionH relativeFrom="column">
                        <wp:posOffset>10795</wp:posOffset>
                      </wp:positionH>
                      <wp:positionV relativeFrom="paragraph">
                        <wp:posOffset>166370</wp:posOffset>
                      </wp:positionV>
                      <wp:extent cx="5574030" cy="3653155"/>
                      <wp:effectExtent l="0" t="0" r="0" b="0"/>
                      <wp:wrapTopAndBottom/>
                      <wp:docPr id="364" name="画布 3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5" name="文本框 319"/>
                              <wps:cNvSpPr txBox="1"/>
                              <wps:spPr>
                                <a:xfrm>
                                  <a:off x="1247707" y="3195348"/>
                                  <a:ext cx="795704" cy="21520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宋体" w:hAnsi="宋体"/>
                                        <w:sz w:val="21"/>
                                        <w:szCs w:val="21"/>
                                      </w:rPr>
                                    </w:pPr>
                                    <w:r>
                                      <w:rPr>
                                        <w:rFonts w:hint="eastAsia" w:ascii="宋体" w:hAnsi="宋体"/>
                                        <w:sz w:val="21"/>
                                        <w:szCs w:val="21"/>
                                      </w:rPr>
                                      <w:t>生产</w:t>
                                    </w:r>
                                    <w:r>
                                      <w:rPr>
                                        <w:rFonts w:ascii="宋体" w:hAnsi="宋体"/>
                                        <w:sz w:val="21"/>
                                        <w:szCs w:val="21"/>
                                      </w:rPr>
                                      <w:t>用水</w:t>
                                    </w:r>
                                  </w:p>
                                </w:txbxContent>
                              </wps:txbx>
                              <wps:bodyPr lIns="0" tIns="0" rIns="0" bIns="0" upright="1"/>
                            </wps:wsp>
                            <wps:wsp>
                              <wps:cNvPr id="36" name="曲线连接符 320"/>
                              <wps:cNvCnPr/>
                              <wps:spPr>
                                <a:xfrm flipV="1">
                                  <a:off x="1263007" y="3011845"/>
                                  <a:ext cx="278101" cy="163802"/>
                                </a:xfrm>
                                <a:prstGeom prst="curvedConnector3">
                                  <a:avLst>
                                    <a:gd name="adj1" fmla="val 50000"/>
                                  </a:avLst>
                                </a:prstGeom>
                                <a:ln w="12700" cap="flat" cmpd="sng">
                                  <a:solidFill>
                                    <a:srgbClr val="000000"/>
                                  </a:solidFill>
                                  <a:prstDash val="solid"/>
                                  <a:headEnd type="none" w="med" len="med"/>
                                  <a:tailEnd type="triangle" w="med" len="med"/>
                                </a:ln>
                              </wps:spPr>
                              <wps:bodyPr/>
                            </wps:wsp>
                            <wps:wsp>
                              <wps:cNvPr id="37" name="直接箭头连接符 321"/>
                              <wps:cNvCnPr/>
                              <wps:spPr>
                                <a:xfrm>
                                  <a:off x="2005311" y="2512038"/>
                                  <a:ext cx="438102" cy="600"/>
                                </a:xfrm>
                                <a:prstGeom prst="straightConnector1">
                                  <a:avLst/>
                                </a:prstGeom>
                                <a:ln w="9525" cap="flat" cmpd="sng">
                                  <a:solidFill>
                                    <a:srgbClr val="000000"/>
                                  </a:solidFill>
                                  <a:prstDash val="solid"/>
                                  <a:headEnd type="none" w="med" len="med"/>
                                  <a:tailEnd type="triangle" w="med" len="med"/>
                                </a:ln>
                              </wps:spPr>
                              <wps:bodyPr/>
                            </wps:wsp>
                            <wps:wsp>
                              <wps:cNvPr id="38" name="文本框 322"/>
                              <wps:cNvSpPr txBox="1"/>
                              <wps:spPr>
                                <a:xfrm>
                                  <a:off x="2437713" y="2404136"/>
                                  <a:ext cx="791904" cy="21590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宋体" w:hAnsi="宋体"/>
                                        <w:sz w:val="21"/>
                                        <w:szCs w:val="21"/>
                                      </w:rPr>
                                    </w:pPr>
                                    <w:r>
                                      <w:rPr>
                                        <w:rFonts w:ascii="宋体" w:hAnsi="宋体"/>
                                        <w:sz w:val="21"/>
                                        <w:szCs w:val="21"/>
                                      </w:rPr>
                                      <w:t>化粪池</w:t>
                                    </w:r>
                                  </w:p>
                                </w:txbxContent>
                              </wps:txbx>
                              <wps:bodyPr lIns="0" tIns="0" rIns="0" bIns="0" upright="1"/>
                            </wps:wsp>
                            <wps:wsp>
                              <wps:cNvPr id="39" name="文本框 323"/>
                              <wps:cNvSpPr txBox="1"/>
                              <wps:spPr>
                                <a:xfrm>
                                  <a:off x="2091011" y="2345035"/>
                                  <a:ext cx="292102" cy="151802"/>
                                </a:xfrm>
                                <a:prstGeom prst="rect">
                                  <a:avLst/>
                                </a:prstGeom>
                                <a:solidFill>
                                  <a:srgbClr val="FFFFFF">
                                    <a:alpha val="0"/>
                                  </a:srgbClr>
                                </a:solidFill>
                                <a:ln>
                                  <a:noFill/>
                                </a:ln>
                              </wps:spPr>
                              <wps:txbx>
                                <w:txbxContent>
                                  <w:p>
                                    <w:pPr>
                                      <w:ind w:firstLine="0" w:firstLineChars="0"/>
                                      <w:rPr>
                                        <w:rFonts w:eastAsia="仿宋_GB2312"/>
                                        <w:sz w:val="21"/>
                                        <w:szCs w:val="21"/>
                                      </w:rPr>
                                    </w:pPr>
                                    <w:r>
                                      <w:rPr>
                                        <w:rFonts w:hint="eastAsia" w:eastAsia="仿宋_GB2312"/>
                                        <w:sz w:val="21"/>
                                        <w:szCs w:val="21"/>
                                      </w:rPr>
                                      <w:t>648</w:t>
                                    </w:r>
                                  </w:p>
                                </w:txbxContent>
                              </wps:txbx>
                              <wps:bodyPr lIns="0" tIns="0" rIns="0" bIns="0" upright="1"/>
                            </wps:wsp>
                            <wps:wsp>
                              <wps:cNvPr id="40" name="文本框 324"/>
                              <wps:cNvSpPr txBox="1"/>
                              <wps:spPr>
                                <a:xfrm>
                                  <a:off x="3297518" y="2256734"/>
                                  <a:ext cx="269901" cy="154302"/>
                                </a:xfrm>
                                <a:prstGeom prst="rect">
                                  <a:avLst/>
                                </a:prstGeom>
                                <a:solidFill>
                                  <a:srgbClr val="FFFFFF">
                                    <a:alpha val="0"/>
                                  </a:srgbClr>
                                </a:solidFill>
                                <a:ln>
                                  <a:noFill/>
                                </a:ln>
                              </wps:spPr>
                              <wps:txbx>
                                <w:txbxContent>
                                  <w:p>
                                    <w:pPr>
                                      <w:ind w:firstLine="0" w:firstLineChars="0"/>
                                      <w:rPr>
                                        <w:rFonts w:eastAsia="仿宋_GB2312"/>
                                        <w:sz w:val="21"/>
                                        <w:szCs w:val="21"/>
                                      </w:rPr>
                                    </w:pPr>
                                    <w:r>
                                      <w:rPr>
                                        <w:rFonts w:hint="eastAsia" w:eastAsia="仿宋_GB2312"/>
                                        <w:sz w:val="21"/>
                                        <w:szCs w:val="21"/>
                                      </w:rPr>
                                      <w:t>648</w:t>
                                    </w:r>
                                  </w:p>
                                </w:txbxContent>
                              </wps:txbx>
                              <wps:bodyPr lIns="0" tIns="0" rIns="0" bIns="0" upright="1"/>
                            </wps:wsp>
                            <wps:wsp>
                              <wps:cNvPr id="41" name="文本框 325"/>
                              <wps:cNvSpPr txBox="1"/>
                              <wps:spPr>
                                <a:xfrm>
                                  <a:off x="1539808" y="2893044"/>
                                  <a:ext cx="530903" cy="157502"/>
                                </a:xfrm>
                                <a:prstGeom prst="rect">
                                  <a:avLst/>
                                </a:prstGeom>
                                <a:solidFill>
                                  <a:srgbClr val="FFFFFF">
                                    <a:alpha val="0"/>
                                  </a:srgbClr>
                                </a:solidFill>
                                <a:ln>
                                  <a:noFill/>
                                </a:ln>
                              </wps:spPr>
                              <wps:txbx>
                                <w:txbxContent>
                                  <w:p>
                                    <w:pPr>
                                      <w:ind w:firstLine="0" w:firstLineChars="0"/>
                                      <w:rPr>
                                        <w:sz w:val="21"/>
                                        <w:szCs w:val="21"/>
                                      </w:rPr>
                                    </w:pPr>
                                    <w:r>
                                      <w:rPr>
                                        <w:rFonts w:hint="eastAsia" w:ascii="宋体" w:hAnsi="宋体"/>
                                        <w:sz w:val="21"/>
                                        <w:szCs w:val="21"/>
                                      </w:rPr>
                                      <w:t>损耗</w:t>
                                    </w:r>
                                    <w:r>
                                      <w:rPr>
                                        <w:rFonts w:hint="eastAsia"/>
                                        <w:sz w:val="21"/>
                                        <w:szCs w:val="21"/>
                                      </w:rPr>
                                      <w:t>1</w:t>
                                    </w:r>
                                  </w:p>
                                </w:txbxContent>
                              </wps:txbx>
                              <wps:bodyPr lIns="0" tIns="0" rIns="0" bIns="0" upright="1"/>
                            </wps:wsp>
                            <wps:wsp>
                              <wps:cNvPr id="42" name="文本框 326"/>
                              <wps:cNvSpPr txBox="1"/>
                              <wps:spPr>
                                <a:xfrm>
                                  <a:off x="3957921" y="1430022"/>
                                  <a:ext cx="555003" cy="1205218"/>
                                </a:xfrm>
                                <a:prstGeom prst="rect">
                                  <a:avLst/>
                                </a:prstGeom>
                                <a:solidFill>
                                  <a:srgbClr val="FFFFFF">
                                    <a:alpha val="0"/>
                                  </a:srgbClr>
                                </a:solidFill>
                                <a:ln>
                                  <a:noFill/>
                                </a:ln>
                              </wps:spPr>
                              <wps:txbx>
                                <w:txbxContent>
                                  <w:p>
                                    <w:pPr>
                                      <w:ind w:firstLine="0" w:firstLineChars="0"/>
                                    </w:pPr>
                                    <w:r>
                                      <w:rPr>
                                        <w:rFonts w:hint="eastAsia"/>
                                        <w:sz w:val="21"/>
                                        <w:szCs w:val="21"/>
                                      </w:rPr>
                                      <w:t>接管至</w:t>
                                    </w:r>
                                    <w:r>
                                      <w:rPr>
                                        <w:rFonts w:hint="eastAsia"/>
                                        <w:sz w:val="21"/>
                                        <w:szCs w:val="21"/>
                                        <w:lang w:eastAsia="zh-CN"/>
                                      </w:rPr>
                                      <w:t>霞湾污水</w:t>
                                    </w:r>
                                    <w:r>
                                      <w:rPr>
                                        <w:sz w:val="21"/>
                                        <w:szCs w:val="21"/>
                                      </w:rPr>
                                      <w:t>处理厂处理</w:t>
                                    </w:r>
                                  </w:p>
                                </w:txbxContent>
                              </wps:txbx>
                              <wps:bodyPr lIns="0" tIns="0" rIns="0" bIns="0" upright="1"/>
                            </wps:wsp>
                            <wps:wsp>
                              <wps:cNvPr id="43" name="直接箭头连接符 327"/>
                              <wps:cNvCnPr/>
                              <wps:spPr>
                                <a:xfrm flipV="1">
                                  <a:off x="3229617" y="2516538"/>
                                  <a:ext cx="346002" cy="4400"/>
                                </a:xfrm>
                                <a:prstGeom prst="straightConnector1">
                                  <a:avLst/>
                                </a:prstGeom>
                                <a:ln w="9525" cap="flat" cmpd="sng">
                                  <a:solidFill>
                                    <a:srgbClr val="000000"/>
                                  </a:solidFill>
                                  <a:prstDash val="solid"/>
                                  <a:headEnd type="none" w="med" len="med"/>
                                  <a:tailEnd type="triangle" w="med" len="med"/>
                                </a:ln>
                              </wps:spPr>
                              <wps:bodyPr/>
                            </wps:wsp>
                            <wps:wsp>
                              <wps:cNvPr id="44" name="文本框 328"/>
                              <wps:cNvSpPr txBox="1"/>
                              <wps:spPr>
                                <a:xfrm>
                                  <a:off x="140901" y="2011630"/>
                                  <a:ext cx="478203" cy="460407"/>
                                </a:xfrm>
                                <a:prstGeom prst="rect">
                                  <a:avLst/>
                                </a:prstGeom>
                                <a:solidFill>
                                  <a:srgbClr val="FFFFFF">
                                    <a:alpha val="0"/>
                                  </a:srgbClr>
                                </a:solidFill>
                                <a:ln>
                                  <a:noFill/>
                                </a:ln>
                              </wps:spPr>
                              <wps:txbx>
                                <w:txbxContent>
                                  <w:p>
                                    <w:pPr>
                                      <w:ind w:firstLine="0" w:firstLineChars="0"/>
                                      <w:rPr>
                                        <w:rFonts w:hAnsi="宋体"/>
                                        <w:sz w:val="21"/>
                                        <w:szCs w:val="21"/>
                                      </w:rPr>
                                    </w:pPr>
                                    <w:r>
                                      <w:rPr>
                                        <w:rFonts w:hAnsi="宋体"/>
                                        <w:sz w:val="21"/>
                                        <w:szCs w:val="21"/>
                                      </w:rPr>
                                      <w:t>自来水</w:t>
                                    </w:r>
                                  </w:p>
                                  <w:p>
                                    <w:pPr>
                                      <w:pStyle w:val="2"/>
                                      <w:ind w:firstLine="0" w:firstLineChars="0"/>
                                      <w:rPr>
                                        <w:sz w:val="24"/>
                                        <w:szCs w:val="21"/>
                                      </w:rPr>
                                    </w:pPr>
                                    <w:r>
                                      <w:rPr>
                                        <w:rFonts w:hint="eastAsia" w:hAnsi="宋体"/>
                                        <w:sz w:val="24"/>
                                        <w:szCs w:val="18"/>
                                      </w:rPr>
                                      <w:t>1083</w:t>
                                    </w:r>
                                  </w:p>
                                </w:txbxContent>
                              </wps:txbx>
                              <wps:bodyPr lIns="0" tIns="0" rIns="0" bIns="0" upright="1"/>
                            </wps:wsp>
                            <wps:wsp>
                              <wps:cNvPr id="45" name="文本框 329"/>
                              <wps:cNvSpPr txBox="1"/>
                              <wps:spPr>
                                <a:xfrm>
                                  <a:off x="847705" y="3067046"/>
                                  <a:ext cx="459102" cy="212103"/>
                                </a:xfrm>
                                <a:prstGeom prst="rect">
                                  <a:avLst/>
                                </a:prstGeom>
                                <a:solidFill>
                                  <a:srgbClr val="FFFFFF">
                                    <a:alpha val="0"/>
                                  </a:srgbClr>
                                </a:solidFill>
                                <a:ln>
                                  <a:noFill/>
                                </a:ln>
                              </wps:spPr>
                              <wps:txbx>
                                <w:txbxContent>
                                  <w:p>
                                    <w:pPr>
                                      <w:ind w:firstLine="0" w:firstLineChars="0"/>
                                      <w:jc w:val="center"/>
                                      <w:rPr>
                                        <w:sz w:val="21"/>
                                        <w:szCs w:val="21"/>
                                      </w:rPr>
                                    </w:pPr>
                                    <w:r>
                                      <w:rPr>
                                        <w:rFonts w:hint="eastAsia" w:hAnsi="宋体"/>
                                        <w:sz w:val="21"/>
                                        <w:szCs w:val="21"/>
                                      </w:rPr>
                                      <w:t>13</w:t>
                                    </w:r>
                                  </w:p>
                                </w:txbxContent>
                              </wps:txbx>
                              <wps:bodyPr lIns="0" tIns="0" rIns="0" bIns="0" upright="1"/>
                            </wps:wsp>
                            <wps:wsp>
                              <wps:cNvPr id="46" name="直接箭头连接符 330"/>
                              <wps:cNvCnPr/>
                              <wps:spPr>
                                <a:xfrm>
                                  <a:off x="4568825" y="2019330"/>
                                  <a:ext cx="431802" cy="0"/>
                                </a:xfrm>
                                <a:prstGeom prst="straightConnector1">
                                  <a:avLst/>
                                </a:prstGeom>
                                <a:ln w="9525" cap="flat" cmpd="sng">
                                  <a:solidFill>
                                    <a:srgbClr val="000000"/>
                                  </a:solidFill>
                                  <a:prstDash val="solid"/>
                                  <a:headEnd type="none" w="med" len="med"/>
                                  <a:tailEnd type="triangle" w="med" len="med"/>
                                </a:ln>
                              </wps:spPr>
                              <wps:bodyPr/>
                            </wps:wsp>
                            <wps:wsp>
                              <wps:cNvPr id="47" name="文本框 331"/>
                              <wps:cNvSpPr txBox="1"/>
                              <wps:spPr>
                                <a:xfrm>
                                  <a:off x="4987925" y="1886585"/>
                                  <a:ext cx="414655" cy="288290"/>
                                </a:xfrm>
                                <a:prstGeom prst="rect">
                                  <a:avLst/>
                                </a:prstGeom>
                                <a:solidFill>
                                  <a:srgbClr val="FFFFFF">
                                    <a:alpha val="0"/>
                                  </a:srgbClr>
                                </a:solidFill>
                                <a:ln>
                                  <a:noFill/>
                                </a:ln>
                              </wps:spPr>
                              <wps:txbx>
                                <w:txbxContent>
                                  <w:p>
                                    <w:pPr>
                                      <w:spacing w:line="240" w:lineRule="auto"/>
                                      <w:ind w:firstLine="0" w:firstLineChars="0"/>
                                      <w:rPr>
                                        <w:rFonts w:hint="eastAsia" w:eastAsia="宋体"/>
                                        <w:lang w:eastAsia="zh-CN"/>
                                      </w:rPr>
                                    </w:pPr>
                                    <w:r>
                                      <w:rPr>
                                        <w:rFonts w:hint="eastAsia"/>
                                        <w:sz w:val="21"/>
                                        <w:szCs w:val="21"/>
                                      </w:rPr>
                                      <w:t>通</w:t>
                                    </w:r>
                                    <w:r>
                                      <w:rPr>
                                        <w:rFonts w:hint="eastAsia"/>
                                        <w:sz w:val="21"/>
                                        <w:szCs w:val="21"/>
                                        <w:lang w:eastAsia="zh-CN"/>
                                      </w:rPr>
                                      <w:t>湘江</w:t>
                                    </w:r>
                                  </w:p>
                                </w:txbxContent>
                              </wps:txbx>
                              <wps:bodyPr lIns="0" tIns="0" rIns="0" bIns="0" upright="1"/>
                            </wps:wsp>
                            <wps:wsp>
                              <wps:cNvPr id="48" name="文本框 332"/>
                              <wps:cNvSpPr txBox="1"/>
                              <wps:spPr>
                                <a:xfrm>
                                  <a:off x="4523724" y="1783727"/>
                                  <a:ext cx="386102" cy="194303"/>
                                </a:xfrm>
                                <a:prstGeom prst="rect">
                                  <a:avLst/>
                                </a:prstGeom>
                                <a:solidFill>
                                  <a:srgbClr val="FFFFFF">
                                    <a:alpha val="0"/>
                                  </a:srgbClr>
                                </a:solidFill>
                                <a:ln>
                                  <a:noFill/>
                                </a:ln>
                              </wps:spPr>
                              <wps:txbx>
                                <w:txbxContent>
                                  <w:p>
                                    <w:pPr>
                                      <w:ind w:firstLine="0" w:firstLineChars="0"/>
                                      <w:rPr>
                                        <w:rFonts w:hint="default" w:eastAsia="仿宋_GB2312"/>
                                        <w:sz w:val="21"/>
                                        <w:szCs w:val="21"/>
                                        <w:lang w:val="en-US" w:eastAsia="zh-CN"/>
                                      </w:rPr>
                                    </w:pPr>
                                    <w:r>
                                      <w:rPr>
                                        <w:rFonts w:hint="eastAsia" w:eastAsia="仿宋_GB2312"/>
                                        <w:sz w:val="21"/>
                                        <w:szCs w:val="21"/>
                                      </w:rPr>
                                      <w:t>1</w:t>
                                    </w:r>
                                    <w:r>
                                      <w:rPr>
                                        <w:rFonts w:hint="eastAsia" w:eastAsia="仿宋_GB2312"/>
                                        <w:sz w:val="21"/>
                                        <w:szCs w:val="21"/>
                                        <w:lang w:val="en-US" w:eastAsia="zh-CN"/>
                                      </w:rPr>
                                      <w:t>228.3</w:t>
                                    </w:r>
                                  </w:p>
                                </w:txbxContent>
                              </wps:txbx>
                              <wps:bodyPr lIns="0" tIns="0" rIns="0" bIns="0" upright="1"/>
                            </wps:wsp>
                            <wps:wsp>
                              <wps:cNvPr id="49" name="直接箭头连接符 333"/>
                              <wps:cNvCnPr/>
                              <wps:spPr>
                                <a:xfrm>
                                  <a:off x="598803" y="1513323"/>
                                  <a:ext cx="533403" cy="0"/>
                                </a:xfrm>
                                <a:prstGeom prst="straightConnector1">
                                  <a:avLst/>
                                </a:prstGeom>
                                <a:ln w="9525" cap="flat" cmpd="sng">
                                  <a:solidFill>
                                    <a:srgbClr val="000000"/>
                                  </a:solidFill>
                                  <a:prstDash val="solid"/>
                                  <a:headEnd type="none" w="med" len="med"/>
                                  <a:tailEnd type="triangle" w="med" len="med"/>
                                </a:ln>
                              </wps:spPr>
                              <wps:bodyPr/>
                            </wps:wsp>
                            <wps:wsp>
                              <wps:cNvPr id="50" name="文本框 334"/>
                              <wps:cNvSpPr txBox="1"/>
                              <wps:spPr>
                                <a:xfrm>
                                  <a:off x="610803" y="1327120"/>
                                  <a:ext cx="457202" cy="203403"/>
                                </a:xfrm>
                                <a:prstGeom prst="rect">
                                  <a:avLst/>
                                </a:prstGeom>
                                <a:solidFill>
                                  <a:srgbClr val="FFFFFF">
                                    <a:alpha val="0"/>
                                  </a:srgbClr>
                                </a:solidFill>
                                <a:ln>
                                  <a:noFill/>
                                </a:ln>
                              </wps:spPr>
                              <wps:txbx>
                                <w:txbxContent>
                                  <w:p>
                                    <w:pPr>
                                      <w:ind w:firstLine="0" w:firstLineChars="0"/>
                                      <w:jc w:val="center"/>
                                      <w:rPr>
                                        <w:sz w:val="21"/>
                                        <w:szCs w:val="21"/>
                                      </w:rPr>
                                    </w:pPr>
                                    <w:r>
                                      <w:rPr>
                                        <w:rFonts w:hint="eastAsia" w:hAnsi="宋体"/>
                                        <w:sz w:val="21"/>
                                        <w:szCs w:val="21"/>
                                      </w:rPr>
                                      <w:t>350</w:t>
                                    </w:r>
                                  </w:p>
                                </w:txbxContent>
                              </wps:txbx>
                              <wps:bodyPr lIns="0" tIns="0" rIns="0" bIns="0" upright="1"/>
                            </wps:wsp>
                            <wps:wsp>
                              <wps:cNvPr id="51" name="文本框 335"/>
                              <wps:cNvSpPr txBox="1"/>
                              <wps:spPr>
                                <a:xfrm>
                                  <a:off x="1141706" y="1418621"/>
                                  <a:ext cx="787404" cy="20340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宋体" w:hAnsi="宋体"/>
                                        <w:sz w:val="21"/>
                                        <w:szCs w:val="21"/>
                                      </w:rPr>
                                    </w:pPr>
                                    <w:r>
                                      <w:rPr>
                                        <w:rFonts w:hint="eastAsia" w:ascii="宋体" w:hAnsi="宋体"/>
                                        <w:sz w:val="21"/>
                                        <w:szCs w:val="21"/>
                                      </w:rPr>
                                      <w:t>废气喷淋</w:t>
                                    </w:r>
                                  </w:p>
                                </w:txbxContent>
                              </wps:txbx>
                              <wps:bodyPr lIns="0" tIns="0" rIns="0" bIns="0" upright="1"/>
                            </wps:wsp>
                            <wps:wsp>
                              <wps:cNvPr id="52" name="曲线连接符 336"/>
                              <wps:cNvCnPr/>
                              <wps:spPr>
                                <a:xfrm flipV="1">
                                  <a:off x="1151206" y="1266719"/>
                                  <a:ext cx="266701" cy="152602"/>
                                </a:xfrm>
                                <a:prstGeom prst="curvedConnector3">
                                  <a:avLst>
                                    <a:gd name="adj1" fmla="val 50000"/>
                                  </a:avLst>
                                </a:prstGeom>
                                <a:ln w="12700" cap="flat" cmpd="sng">
                                  <a:solidFill>
                                    <a:srgbClr val="000000"/>
                                  </a:solidFill>
                                  <a:prstDash val="solid"/>
                                  <a:headEnd type="none" w="med" len="med"/>
                                  <a:tailEnd type="triangle" w="med" len="med"/>
                                </a:ln>
                              </wps:spPr>
                              <wps:bodyPr/>
                            </wps:wsp>
                            <wps:wsp>
                              <wps:cNvPr id="53" name="直接箭头连接符 337"/>
                              <wps:cNvCnPr/>
                              <wps:spPr>
                                <a:xfrm>
                                  <a:off x="613403" y="3297550"/>
                                  <a:ext cx="642603" cy="13300"/>
                                </a:xfrm>
                                <a:prstGeom prst="straightConnector1">
                                  <a:avLst/>
                                </a:prstGeom>
                                <a:ln w="9525" cap="flat" cmpd="sng">
                                  <a:solidFill>
                                    <a:srgbClr val="000000"/>
                                  </a:solidFill>
                                  <a:prstDash val="solid"/>
                                  <a:headEnd type="none" w="med" len="med"/>
                                  <a:tailEnd type="triangle" w="med" len="med"/>
                                </a:ln>
                              </wps:spPr>
                              <wps:bodyPr/>
                            </wps:wsp>
                            <wps:wsp>
                              <wps:cNvPr id="54" name="直接箭头连接符 338"/>
                              <wps:cNvCnPr/>
                              <wps:spPr>
                                <a:xfrm>
                                  <a:off x="608903" y="1511923"/>
                                  <a:ext cx="4500" cy="1804727"/>
                                </a:xfrm>
                                <a:prstGeom prst="straightConnector1">
                                  <a:avLst/>
                                </a:prstGeom>
                                <a:ln w="9525" cap="flat" cmpd="sng">
                                  <a:solidFill>
                                    <a:srgbClr val="000000"/>
                                  </a:solidFill>
                                  <a:prstDash val="solid"/>
                                  <a:headEnd type="none" w="med" len="med"/>
                                  <a:tailEnd type="none" w="med" len="med"/>
                                </a:ln>
                              </wps:spPr>
                              <wps:bodyPr/>
                            </wps:wsp>
                            <wps:wsp>
                              <wps:cNvPr id="55" name="文本框 339"/>
                              <wps:cNvSpPr txBox="1"/>
                              <wps:spPr>
                                <a:xfrm>
                                  <a:off x="1398908" y="1170718"/>
                                  <a:ext cx="560703" cy="165302"/>
                                </a:xfrm>
                                <a:prstGeom prst="rect">
                                  <a:avLst/>
                                </a:prstGeom>
                                <a:solidFill>
                                  <a:srgbClr val="FFFFFF">
                                    <a:alpha val="0"/>
                                  </a:srgbClr>
                                </a:solidFill>
                                <a:ln>
                                  <a:noFill/>
                                </a:ln>
                              </wps:spPr>
                              <wps:txbx>
                                <w:txbxContent>
                                  <w:p>
                                    <w:pPr>
                                      <w:ind w:firstLine="0" w:firstLineChars="0"/>
                                      <w:rPr>
                                        <w:sz w:val="21"/>
                                        <w:szCs w:val="21"/>
                                      </w:rPr>
                                    </w:pPr>
                                    <w:r>
                                      <w:rPr>
                                        <w:rFonts w:hint="eastAsia" w:ascii="宋体" w:hAnsi="宋体"/>
                                        <w:sz w:val="21"/>
                                        <w:szCs w:val="21"/>
                                      </w:rPr>
                                      <w:t>损耗</w:t>
                                    </w:r>
                                    <w:r>
                                      <w:rPr>
                                        <w:rFonts w:hint="eastAsia"/>
                                        <w:sz w:val="21"/>
                                        <w:szCs w:val="21"/>
                                      </w:rPr>
                                      <w:t>50</w:t>
                                    </w:r>
                                  </w:p>
                                </w:txbxContent>
                              </wps:txbx>
                              <wps:bodyPr lIns="0" tIns="0" rIns="0" bIns="0" upright="1"/>
                            </wps:wsp>
                            <wps:wsp>
                              <wps:cNvPr id="56" name="直接箭头连接符 340"/>
                              <wps:cNvCnPr/>
                              <wps:spPr>
                                <a:xfrm>
                                  <a:off x="167601" y="2475837"/>
                                  <a:ext cx="431802" cy="0"/>
                                </a:xfrm>
                                <a:prstGeom prst="straightConnector1">
                                  <a:avLst/>
                                </a:prstGeom>
                                <a:ln w="9525" cap="flat" cmpd="sng">
                                  <a:solidFill>
                                    <a:srgbClr val="000000"/>
                                  </a:solidFill>
                                  <a:prstDash val="solid"/>
                                  <a:headEnd type="none" w="med" len="med"/>
                                  <a:tailEnd type="triangle" w="med" len="med"/>
                                </a:ln>
                              </wps:spPr>
                              <wps:bodyPr/>
                            </wps:wsp>
                            <wps:wsp>
                              <wps:cNvPr id="57" name="直接箭头连接符 341"/>
                              <wps:cNvCnPr/>
                              <wps:spPr>
                                <a:xfrm>
                                  <a:off x="603803" y="2466137"/>
                                  <a:ext cx="533403" cy="0"/>
                                </a:xfrm>
                                <a:prstGeom prst="straightConnector1">
                                  <a:avLst/>
                                </a:prstGeom>
                                <a:ln w="9525" cap="flat" cmpd="sng">
                                  <a:solidFill>
                                    <a:srgbClr val="000000"/>
                                  </a:solidFill>
                                  <a:prstDash val="solid"/>
                                  <a:headEnd type="none" w="med" len="med"/>
                                  <a:tailEnd type="triangle" w="med" len="med"/>
                                </a:ln>
                              </wps:spPr>
                              <wps:bodyPr/>
                            </wps:wsp>
                            <wps:wsp>
                              <wps:cNvPr id="58" name="文本框 342"/>
                              <wps:cNvSpPr txBox="1"/>
                              <wps:spPr>
                                <a:xfrm>
                                  <a:off x="1184206" y="2370836"/>
                                  <a:ext cx="787404" cy="20330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宋体" w:hAnsi="宋体"/>
                                        <w:sz w:val="21"/>
                                        <w:szCs w:val="21"/>
                                      </w:rPr>
                                    </w:pPr>
                                    <w:r>
                                      <w:rPr>
                                        <w:rFonts w:hint="eastAsia" w:ascii="宋体" w:hAnsi="宋体"/>
                                        <w:sz w:val="21"/>
                                        <w:szCs w:val="21"/>
                                      </w:rPr>
                                      <w:t>生活用水</w:t>
                                    </w:r>
                                  </w:p>
                                </w:txbxContent>
                              </wps:txbx>
                              <wps:bodyPr lIns="0" tIns="0" rIns="0" bIns="0" upright="1"/>
                            </wps:wsp>
                            <wps:wsp>
                              <wps:cNvPr id="59" name="曲线连接符 343"/>
                              <wps:cNvCnPr/>
                              <wps:spPr>
                                <a:xfrm flipV="1">
                                  <a:off x="1192506" y="2223333"/>
                                  <a:ext cx="266701" cy="152502"/>
                                </a:xfrm>
                                <a:prstGeom prst="curvedConnector3">
                                  <a:avLst>
                                    <a:gd name="adj1" fmla="val 50000"/>
                                  </a:avLst>
                                </a:prstGeom>
                                <a:ln w="12700" cap="flat" cmpd="sng">
                                  <a:solidFill>
                                    <a:srgbClr val="000000"/>
                                  </a:solidFill>
                                  <a:prstDash val="solid"/>
                                  <a:headEnd type="none" w="med" len="med"/>
                                  <a:tailEnd type="triangle" w="med" len="med"/>
                                </a:ln>
                              </wps:spPr>
                              <wps:bodyPr/>
                            </wps:wsp>
                            <wps:wsp>
                              <wps:cNvPr id="60" name="文本框 344"/>
                              <wps:cNvSpPr txBox="1"/>
                              <wps:spPr>
                                <a:xfrm>
                                  <a:off x="1383007" y="2016130"/>
                                  <a:ext cx="621003" cy="225003"/>
                                </a:xfrm>
                                <a:prstGeom prst="rect">
                                  <a:avLst/>
                                </a:prstGeom>
                                <a:solidFill>
                                  <a:srgbClr val="FFFFFF">
                                    <a:alpha val="0"/>
                                  </a:srgbClr>
                                </a:solidFill>
                                <a:ln>
                                  <a:noFill/>
                                </a:ln>
                              </wps:spPr>
                              <wps:txbx>
                                <w:txbxContent>
                                  <w:p>
                                    <w:pPr>
                                      <w:ind w:firstLine="0" w:firstLineChars="0"/>
                                      <w:rPr>
                                        <w:sz w:val="21"/>
                                        <w:szCs w:val="21"/>
                                      </w:rPr>
                                    </w:pPr>
                                    <w:r>
                                      <w:rPr>
                                        <w:rFonts w:hint="eastAsia" w:ascii="宋体" w:hAnsi="宋体"/>
                                        <w:sz w:val="21"/>
                                        <w:szCs w:val="21"/>
                                      </w:rPr>
                                      <w:t>损耗</w:t>
                                    </w:r>
                                    <w:r>
                                      <w:rPr>
                                        <w:rFonts w:hint="eastAsia"/>
                                        <w:sz w:val="21"/>
                                        <w:szCs w:val="21"/>
                                      </w:rPr>
                                      <w:t>72</w:t>
                                    </w:r>
                                  </w:p>
                                </w:txbxContent>
                              </wps:txbx>
                              <wps:bodyPr lIns="0" tIns="0" rIns="0" bIns="0" upright="1"/>
                            </wps:wsp>
                            <wps:wsp>
                              <wps:cNvPr id="61" name="文本框 345"/>
                              <wps:cNvSpPr txBox="1"/>
                              <wps:spPr>
                                <a:xfrm>
                                  <a:off x="664804" y="2257634"/>
                                  <a:ext cx="457202" cy="203403"/>
                                </a:xfrm>
                                <a:prstGeom prst="rect">
                                  <a:avLst/>
                                </a:prstGeom>
                                <a:solidFill>
                                  <a:srgbClr val="FFFFFF">
                                    <a:alpha val="0"/>
                                  </a:srgbClr>
                                </a:solidFill>
                                <a:ln>
                                  <a:noFill/>
                                </a:ln>
                              </wps:spPr>
                              <wps:txbx>
                                <w:txbxContent>
                                  <w:p>
                                    <w:pPr>
                                      <w:ind w:firstLine="0" w:firstLineChars="0"/>
                                      <w:jc w:val="center"/>
                                      <w:rPr>
                                        <w:sz w:val="21"/>
                                        <w:szCs w:val="21"/>
                                      </w:rPr>
                                    </w:pPr>
                                    <w:r>
                                      <w:rPr>
                                        <w:rFonts w:hint="eastAsia" w:hAnsi="宋体"/>
                                        <w:sz w:val="21"/>
                                        <w:szCs w:val="21"/>
                                      </w:rPr>
                                      <w:t>720</w:t>
                                    </w:r>
                                  </w:p>
                                </w:txbxContent>
                              </wps:txbx>
                              <wps:bodyPr lIns="0" tIns="0" rIns="0" bIns="0" upright="1"/>
                            </wps:wsp>
                            <wps:wsp>
                              <wps:cNvPr id="62" name="肘形连接符 346"/>
                              <wps:cNvCnPr/>
                              <wps:spPr>
                                <a:xfrm flipH="1">
                                  <a:off x="1222307" y="1517623"/>
                                  <a:ext cx="762004" cy="101602"/>
                                </a:xfrm>
                                <a:prstGeom prst="bentConnector4">
                                  <a:avLst>
                                    <a:gd name="adj1" fmla="val -29926"/>
                                    <a:gd name="adj2" fmla="val 312426"/>
                                  </a:avLst>
                                </a:prstGeom>
                                <a:ln w="9525" cap="flat" cmpd="sng">
                                  <a:solidFill>
                                    <a:srgbClr val="000000"/>
                                  </a:solidFill>
                                  <a:prstDash val="dash"/>
                                  <a:miter/>
                                  <a:headEnd type="none" w="med" len="med"/>
                                  <a:tailEnd type="triangle" w="med" len="med"/>
                                </a:ln>
                              </wps:spPr>
                              <wps:bodyPr/>
                            </wps:wsp>
                            <wps:wsp>
                              <wps:cNvPr id="63" name="文本框 347"/>
                              <wps:cNvSpPr txBox="1"/>
                              <wps:spPr>
                                <a:xfrm>
                                  <a:off x="1941810" y="1684625"/>
                                  <a:ext cx="269901" cy="154302"/>
                                </a:xfrm>
                                <a:prstGeom prst="rect">
                                  <a:avLst/>
                                </a:prstGeom>
                                <a:solidFill>
                                  <a:srgbClr val="FFFFFF">
                                    <a:alpha val="0"/>
                                  </a:srgbClr>
                                </a:solidFill>
                                <a:ln>
                                  <a:noFill/>
                                </a:ln>
                              </wps:spPr>
                              <wps:txbx>
                                <w:txbxContent>
                                  <w:p>
                                    <w:pPr>
                                      <w:ind w:firstLine="0" w:firstLineChars="0"/>
                                      <w:rPr>
                                        <w:rFonts w:eastAsia="仿宋_GB2312"/>
                                        <w:sz w:val="21"/>
                                        <w:szCs w:val="21"/>
                                      </w:rPr>
                                    </w:pPr>
                                    <w:r>
                                      <w:rPr>
                                        <w:rFonts w:hint="eastAsia" w:eastAsia="仿宋_GB2312"/>
                                        <w:sz w:val="21"/>
                                        <w:szCs w:val="21"/>
                                      </w:rPr>
                                      <w:t>2000</w:t>
                                    </w:r>
                                  </w:p>
                                </w:txbxContent>
                              </wps:txbx>
                              <wps:bodyPr lIns="0" tIns="0" rIns="0" bIns="0" upright="1"/>
                            </wps:wsp>
                            <wps:wsp>
                              <wps:cNvPr id="64" name="直接箭头连接符 348"/>
                              <wps:cNvCnPr/>
                              <wps:spPr>
                                <a:xfrm flipV="1">
                                  <a:off x="1998911" y="1506823"/>
                                  <a:ext cx="586103" cy="6400"/>
                                </a:xfrm>
                                <a:prstGeom prst="straightConnector1">
                                  <a:avLst/>
                                </a:prstGeom>
                                <a:ln w="9525" cap="flat" cmpd="sng">
                                  <a:solidFill>
                                    <a:srgbClr val="000000"/>
                                  </a:solidFill>
                                  <a:prstDash val="solid"/>
                                  <a:headEnd type="none" w="med" len="med"/>
                                  <a:tailEnd type="triangle" w="med" len="med"/>
                                </a:ln>
                              </wps:spPr>
                              <wps:bodyPr/>
                            </wps:wsp>
                            <wps:wsp>
                              <wps:cNvPr id="65" name="文本框 349"/>
                              <wps:cNvSpPr txBox="1"/>
                              <wps:spPr>
                                <a:xfrm>
                                  <a:off x="2237105" y="1273175"/>
                                  <a:ext cx="292100" cy="195580"/>
                                </a:xfrm>
                                <a:prstGeom prst="rect">
                                  <a:avLst/>
                                </a:prstGeom>
                                <a:solidFill>
                                  <a:srgbClr val="FFFFFF">
                                    <a:alpha val="0"/>
                                  </a:srgbClr>
                                </a:solidFill>
                                <a:ln>
                                  <a:noFill/>
                                </a:ln>
                              </wps:spPr>
                              <wps:txbx>
                                <w:txbxContent>
                                  <w:p>
                                    <w:pPr>
                                      <w:ind w:firstLine="0" w:firstLineChars="0"/>
                                      <w:rPr>
                                        <w:rFonts w:eastAsia="仿宋_GB2312"/>
                                        <w:sz w:val="21"/>
                                        <w:szCs w:val="21"/>
                                      </w:rPr>
                                    </w:pPr>
                                    <w:r>
                                      <w:rPr>
                                        <w:rFonts w:hint="eastAsia" w:eastAsia="仿宋_GB2312"/>
                                        <w:sz w:val="21"/>
                                        <w:szCs w:val="21"/>
                                      </w:rPr>
                                      <w:t>300</w:t>
                                    </w:r>
                                  </w:p>
                                </w:txbxContent>
                              </wps:txbx>
                              <wps:bodyPr lIns="0" tIns="0" rIns="0" bIns="0" upright="1"/>
                            </wps:wsp>
                            <wps:wsp>
                              <wps:cNvPr id="66" name="文本框 350"/>
                              <wps:cNvSpPr txBox="1"/>
                              <wps:spPr>
                                <a:xfrm>
                                  <a:off x="2599055" y="1228090"/>
                                  <a:ext cx="505460" cy="553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ascii="宋体" w:hAnsi="宋体"/>
                                        <w:sz w:val="21"/>
                                        <w:szCs w:val="21"/>
                                      </w:rPr>
                                    </w:pPr>
                                    <w:r>
                                      <w:rPr>
                                        <w:rFonts w:hint="eastAsia" w:ascii="宋体" w:hAnsi="宋体"/>
                                        <w:sz w:val="21"/>
                                        <w:szCs w:val="21"/>
                                      </w:rPr>
                                      <w:t>废水处理装置</w:t>
                                    </w:r>
                                  </w:p>
                                </w:txbxContent>
                              </wps:txbx>
                              <wps:bodyPr lIns="0" tIns="0" rIns="0" bIns="0" upright="1"/>
                            </wps:wsp>
                            <wps:wsp>
                              <wps:cNvPr id="67" name="直接箭头连接符 352"/>
                              <wps:cNvCnPr/>
                              <wps:spPr>
                                <a:xfrm>
                                  <a:off x="3577590" y="2002790"/>
                                  <a:ext cx="7620" cy="523240"/>
                                </a:xfrm>
                                <a:prstGeom prst="straightConnector1">
                                  <a:avLst/>
                                </a:prstGeom>
                                <a:ln w="9525" cap="flat" cmpd="sng">
                                  <a:solidFill>
                                    <a:srgbClr val="000000"/>
                                  </a:solidFill>
                                  <a:prstDash val="solid"/>
                                  <a:headEnd type="none" w="med" len="med"/>
                                  <a:tailEnd type="none" w="med" len="med"/>
                                </a:ln>
                              </wps:spPr>
                              <wps:bodyPr/>
                            </wps:wsp>
                            <wps:wsp>
                              <wps:cNvPr id="68" name="直接箭头连接符 353"/>
                              <wps:cNvCnPr/>
                              <wps:spPr>
                                <a:xfrm>
                                  <a:off x="3580119" y="1998930"/>
                                  <a:ext cx="319402" cy="3200"/>
                                </a:xfrm>
                                <a:prstGeom prst="straightConnector1">
                                  <a:avLst/>
                                </a:prstGeom>
                                <a:ln w="9525" cap="flat" cmpd="sng">
                                  <a:solidFill>
                                    <a:srgbClr val="000000"/>
                                  </a:solidFill>
                                  <a:prstDash val="solid"/>
                                  <a:headEnd type="none" w="med" len="med"/>
                                  <a:tailEnd type="triangle" w="med" len="med"/>
                                </a:ln>
                              </wps:spPr>
                              <wps:bodyPr/>
                            </wps:wsp>
                            <wps:wsp>
                              <wps:cNvPr id="107" name="文本框 355"/>
                              <wps:cNvSpPr txBox="1"/>
                              <wps:spPr>
                                <a:xfrm>
                                  <a:off x="3582670" y="1684655"/>
                                  <a:ext cx="404495" cy="247650"/>
                                </a:xfrm>
                                <a:prstGeom prst="rect">
                                  <a:avLst/>
                                </a:prstGeom>
                                <a:solidFill>
                                  <a:srgbClr val="FFFFFF">
                                    <a:alpha val="0"/>
                                  </a:srgbClr>
                                </a:solidFill>
                                <a:ln>
                                  <a:noFill/>
                                </a:ln>
                              </wps:spPr>
                              <wps:txbx>
                                <w:txbxContent>
                                  <w:p>
                                    <w:pPr>
                                      <w:ind w:firstLine="0" w:firstLineChars="0"/>
                                      <w:rPr>
                                        <w:rFonts w:hint="default" w:eastAsia="仿宋_GB2312"/>
                                        <w:sz w:val="21"/>
                                        <w:szCs w:val="21"/>
                                        <w:lang w:val="en-US" w:eastAsia="zh-CN"/>
                                      </w:rPr>
                                    </w:pPr>
                                    <w:r>
                                      <w:rPr>
                                        <w:rFonts w:hint="eastAsia" w:eastAsia="仿宋_GB2312"/>
                                        <w:sz w:val="21"/>
                                        <w:szCs w:val="21"/>
                                        <w:lang w:val="en-US" w:eastAsia="zh-CN"/>
                                      </w:rPr>
                                      <w:t>1228.3</w:t>
                                    </w:r>
                                  </w:p>
                                </w:txbxContent>
                              </wps:txbx>
                              <wps:bodyPr lIns="0" tIns="0" rIns="0" bIns="0" upright="1"/>
                            </wps:wsp>
                            <wps:wsp>
                              <wps:cNvPr id="174" name="直接箭头连接符 356"/>
                              <wps:cNvCnPr/>
                              <wps:spPr>
                                <a:xfrm>
                                  <a:off x="2004011" y="573409"/>
                                  <a:ext cx="409602" cy="0"/>
                                </a:xfrm>
                                <a:prstGeom prst="straightConnector1">
                                  <a:avLst/>
                                </a:prstGeom>
                                <a:ln w="9525" cap="flat" cmpd="sng">
                                  <a:solidFill>
                                    <a:srgbClr val="000000"/>
                                  </a:solidFill>
                                  <a:prstDash val="solid"/>
                                  <a:headEnd type="none" w="med" len="med"/>
                                  <a:tailEnd type="triangle" w="med" len="med"/>
                                </a:ln>
                              </wps:spPr>
                              <wps:bodyPr/>
                            </wps:wsp>
                            <wps:wsp>
                              <wps:cNvPr id="175" name="文本框 357"/>
                              <wps:cNvSpPr txBox="1"/>
                              <wps:spPr>
                                <a:xfrm>
                                  <a:off x="2446613" y="465407"/>
                                  <a:ext cx="795704" cy="21530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宋体" w:hAnsi="宋体"/>
                                        <w:sz w:val="21"/>
                                        <w:szCs w:val="21"/>
                                      </w:rPr>
                                    </w:pPr>
                                    <w:r>
                                      <w:rPr>
                                        <w:rFonts w:hint="eastAsia" w:ascii="宋体" w:hAnsi="宋体"/>
                                        <w:sz w:val="21"/>
                                        <w:szCs w:val="21"/>
                                      </w:rPr>
                                      <w:t>初期雨水</w:t>
                                    </w:r>
                                  </w:p>
                                </w:txbxContent>
                              </wps:txbx>
                              <wps:bodyPr lIns="0" tIns="0" rIns="0" bIns="0" upright="1"/>
                            </wps:wsp>
                            <wps:wsp>
                              <wps:cNvPr id="177" name="直接箭头连接符 358"/>
                              <wps:cNvCnPr/>
                              <wps:spPr>
                                <a:xfrm>
                                  <a:off x="2851715" y="697210"/>
                                  <a:ext cx="0" cy="530808"/>
                                </a:xfrm>
                                <a:prstGeom prst="straightConnector1">
                                  <a:avLst/>
                                </a:prstGeom>
                                <a:ln w="9525" cap="flat" cmpd="sng">
                                  <a:solidFill>
                                    <a:srgbClr val="000000"/>
                                  </a:solidFill>
                                  <a:prstDash val="solid"/>
                                  <a:headEnd type="none" w="med" len="med"/>
                                  <a:tailEnd type="triangle" w="med" len="med"/>
                                </a:ln>
                              </wps:spPr>
                              <wps:bodyPr/>
                            </wps:wsp>
                            <wps:wsp>
                              <wps:cNvPr id="178" name="文本框 359"/>
                              <wps:cNvSpPr txBox="1"/>
                              <wps:spPr>
                                <a:xfrm>
                                  <a:off x="1989411" y="389206"/>
                                  <a:ext cx="457202" cy="203203"/>
                                </a:xfrm>
                                <a:prstGeom prst="rect">
                                  <a:avLst/>
                                </a:prstGeom>
                                <a:solidFill>
                                  <a:srgbClr val="FFFFFF">
                                    <a:alpha val="0"/>
                                  </a:srgbClr>
                                </a:solidFill>
                                <a:ln>
                                  <a:noFill/>
                                </a:ln>
                              </wps:spPr>
                              <wps:txbx>
                                <w:txbxContent>
                                  <w:p>
                                    <w:pPr>
                                      <w:ind w:firstLine="0" w:firstLineChars="0"/>
                                      <w:jc w:val="center"/>
                                      <w:rPr>
                                        <w:rFonts w:hint="default" w:eastAsia="宋体"/>
                                        <w:sz w:val="21"/>
                                        <w:szCs w:val="21"/>
                                        <w:lang w:val="en-US" w:eastAsia="zh-CN"/>
                                      </w:rPr>
                                    </w:pPr>
                                    <w:r>
                                      <w:rPr>
                                        <w:rFonts w:hint="eastAsia" w:hAnsi="宋体"/>
                                        <w:sz w:val="21"/>
                                        <w:szCs w:val="21"/>
                                        <w:lang w:val="en-US" w:eastAsia="zh-CN"/>
                                      </w:rPr>
                                      <w:t>280.3</w:t>
                                    </w:r>
                                  </w:p>
                                </w:txbxContent>
                              </wps:txbx>
                              <wps:bodyPr lIns="0" tIns="0" rIns="0" bIns="0" upright="1"/>
                            </wps:wsp>
                            <wps:wsp>
                              <wps:cNvPr id="261" name="文本框 360"/>
                              <wps:cNvSpPr txBox="1"/>
                              <wps:spPr>
                                <a:xfrm>
                                  <a:off x="2751415" y="846413"/>
                                  <a:ext cx="457202" cy="203203"/>
                                </a:xfrm>
                                <a:prstGeom prst="rect">
                                  <a:avLst/>
                                </a:prstGeom>
                                <a:solidFill>
                                  <a:srgbClr val="FFFFFF">
                                    <a:alpha val="0"/>
                                  </a:srgbClr>
                                </a:solidFill>
                                <a:ln>
                                  <a:noFill/>
                                </a:ln>
                              </wps:spPr>
                              <wps:txbx>
                                <w:txbxContent>
                                  <w:p>
                                    <w:pPr>
                                      <w:ind w:firstLine="0" w:firstLineChars="0"/>
                                      <w:jc w:val="center"/>
                                      <w:rPr>
                                        <w:rFonts w:hint="default" w:eastAsia="宋体"/>
                                        <w:sz w:val="21"/>
                                        <w:szCs w:val="21"/>
                                        <w:lang w:val="en-US" w:eastAsia="zh-CN"/>
                                      </w:rPr>
                                    </w:pPr>
                                    <w:r>
                                      <w:rPr>
                                        <w:rFonts w:hint="eastAsia" w:hAnsi="宋体"/>
                                        <w:sz w:val="21"/>
                                        <w:szCs w:val="21"/>
                                        <w:lang w:val="en-US" w:eastAsia="zh-CN"/>
                                      </w:rPr>
                                      <w:t>280.3</w:t>
                                    </w:r>
                                  </w:p>
                                </w:txbxContent>
                              </wps:txbx>
                              <wps:bodyPr lIns="0" tIns="0" rIns="0" bIns="0" upright="1"/>
                            </wps:wsp>
                            <wps:wsp>
                              <wps:cNvPr id="262" name="直接箭头连接符 361"/>
                              <wps:cNvCnPr/>
                              <wps:spPr>
                                <a:xfrm>
                                  <a:off x="2050411" y="3288650"/>
                                  <a:ext cx="642603" cy="13400"/>
                                </a:xfrm>
                                <a:prstGeom prst="straightConnector1">
                                  <a:avLst/>
                                </a:prstGeom>
                                <a:ln w="9525" cap="flat" cmpd="sng">
                                  <a:solidFill>
                                    <a:srgbClr val="000000"/>
                                  </a:solidFill>
                                  <a:prstDash val="solid"/>
                                  <a:headEnd type="none" w="med" len="med"/>
                                  <a:tailEnd type="triangle" w="med" len="med"/>
                                </a:ln>
                              </wps:spPr>
                              <wps:bodyPr/>
                            </wps:wsp>
                            <wps:wsp>
                              <wps:cNvPr id="263" name="文本框 362"/>
                              <wps:cNvSpPr txBox="1"/>
                              <wps:spPr>
                                <a:xfrm>
                                  <a:off x="2691114" y="3184548"/>
                                  <a:ext cx="795604" cy="21520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宋体" w:hAnsi="宋体"/>
                                        <w:sz w:val="21"/>
                                        <w:szCs w:val="21"/>
                                      </w:rPr>
                                    </w:pPr>
                                    <w:r>
                                      <w:rPr>
                                        <w:rFonts w:hint="eastAsia" w:ascii="宋体" w:hAnsi="宋体"/>
                                        <w:sz w:val="21"/>
                                        <w:szCs w:val="21"/>
                                      </w:rPr>
                                      <w:t>进入产品</w:t>
                                    </w:r>
                                  </w:p>
                                </w:txbxContent>
                              </wps:txbx>
                              <wps:bodyPr lIns="0" tIns="0" rIns="0" bIns="0" upright="1"/>
                            </wps:wsp>
                            <wps:wsp>
                              <wps:cNvPr id="264" name="文本框 363"/>
                              <wps:cNvSpPr txBox="1"/>
                              <wps:spPr>
                                <a:xfrm>
                                  <a:off x="2094211" y="3098147"/>
                                  <a:ext cx="459102" cy="212103"/>
                                </a:xfrm>
                                <a:prstGeom prst="rect">
                                  <a:avLst/>
                                </a:prstGeom>
                                <a:solidFill>
                                  <a:srgbClr val="FFFFFF">
                                    <a:alpha val="0"/>
                                  </a:srgbClr>
                                </a:solidFill>
                                <a:ln>
                                  <a:noFill/>
                                </a:ln>
                              </wps:spPr>
                              <wps:txbx>
                                <w:txbxContent>
                                  <w:p>
                                    <w:pPr>
                                      <w:ind w:firstLine="0" w:firstLineChars="0"/>
                                      <w:jc w:val="center"/>
                                      <w:rPr>
                                        <w:sz w:val="21"/>
                                        <w:szCs w:val="21"/>
                                      </w:rPr>
                                    </w:pPr>
                                    <w:r>
                                      <w:rPr>
                                        <w:rFonts w:hint="eastAsia" w:hAnsi="宋体"/>
                                        <w:sz w:val="21"/>
                                        <w:szCs w:val="21"/>
                                      </w:rPr>
                                      <w:t>12</w:t>
                                    </w:r>
                                  </w:p>
                                </w:txbxContent>
                              </wps:txbx>
                              <wps:bodyPr lIns="0" tIns="0" rIns="0" bIns="0" upright="1"/>
                            </wps:wsp>
                          </wpc:wpc>
                        </a:graphicData>
                      </a:graphic>
                    </wp:anchor>
                  </w:drawing>
                </mc:Choice>
                <mc:Fallback>
                  <w:pict>
                    <v:group id="_x0000_s1026" o:spid="_x0000_s1026" o:spt="203" style="position:absolute;left:0pt;margin-left:0.85pt;margin-top:13.1pt;height:287.65pt;width:438.9pt;mso-wrap-distance-bottom:0pt;mso-wrap-distance-top:0pt;z-index:251821056;mso-width-relative:page;mso-height-relative:page;" coordsize="5574030,3653155" editas="canvas" o:gfxdata="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">
                      <o:lock v:ext="edit" aspectratio="f"/>
                      <v:shape id="_x0000_s1026" o:spid="_x0000_s1026" style="position:absolute;left:0;top:0;height:3653155;width:5574030;" filled="f" stroked="f" coordsize="21600,21600" o:gfxdata="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">
                        <v:fill on="f" focussize="0,0"/>
                        <v:stroke on="f"/>
                        <v:imagedata o:title=""/>
                        <o:lock v:ext="edit" aspectratio="t"/>
                      </v:shape>
                      <v:shape id="文本框 319" o:spid="_x0000_s1026" o:spt="202" type="#_x0000_t202" style="position:absolute;left:1247707;top:3195348;height:215203;width:795704;" fillcolor="#FFFFFF" filled="t" stroked="t" coordsize="21600,21600" o:gfxdata="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VSEbTXAAAACAEAAA8AAAAAAAAAAQAgAAAA&#10;IgAAAGRycy9kb3ducmV2LnhtbFBLAQIUABQAAAAIAIdO4kASLAWtDAIAABoEAAAOAAAAAAAAAAEA&#10;IAAAACYBAABkcnMvZTJvRG9jLnhtbFBLBQYAAAAABgAGAFkBAACkBQAAAAA=&#10;">
                        <v:fill on="t" focussize="0,0"/>
                        <v:stroke color="#000000" joinstyle="miter"/>
                        <v:imagedata o:title=""/>
                        <o:lock v:ext="edit" aspectratio="f"/>
                        <v:textbox inset="0mm,0mm,0mm,0mm">
                          <w:txbxContent>
                            <w:p>
                              <w:pPr>
                                <w:ind w:firstLine="0" w:firstLineChars="0"/>
                                <w:jc w:val="center"/>
                                <w:rPr>
                                  <w:rFonts w:ascii="宋体" w:hAnsi="宋体"/>
                                  <w:sz w:val="21"/>
                                  <w:szCs w:val="21"/>
                                </w:rPr>
                              </w:pPr>
                              <w:r>
                                <w:rPr>
                                  <w:rFonts w:hint="eastAsia" w:ascii="宋体" w:hAnsi="宋体"/>
                                  <w:sz w:val="21"/>
                                  <w:szCs w:val="21"/>
                                </w:rPr>
                                <w:t>生产</w:t>
                              </w:r>
                              <w:r>
                                <w:rPr>
                                  <w:rFonts w:ascii="宋体" w:hAnsi="宋体"/>
                                  <w:sz w:val="21"/>
                                  <w:szCs w:val="21"/>
                                </w:rPr>
                                <w:t>用水</w:t>
                              </w:r>
                            </w:p>
                          </w:txbxContent>
                        </v:textbox>
                      </v:shape>
                      <v:shape id="曲线连接符 320" o:spid="_x0000_s1026" o:spt="38" type="#_x0000_t38" style="position:absolute;left:1263007;top:3011845;flip:y;height:163802;width:278101;" filled="f" stroked="t" coordsize="21600,21600" o:gfxdata="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isK31wAAAAgBAAAPAAAAAAAAAAEA&#10;IAAAACIAAABkcnMvZG93bnJldi54bWxQSwECFAAUAAAACACHTuJAQgX2xBACAADlAwAADgAAAAAA&#10;AAABACAAAAAmAQAAZHJzL2Uyb0RvYy54bWxQSwUGAAAAAAYABgBZAQAAqAUAAAAA&#10;" adj="10800">
                        <v:fill on="f" focussize="0,0"/>
                        <v:stroke weight="1pt" color="#000000" joinstyle="round" endarrow="block"/>
                        <v:imagedata o:title=""/>
                        <o:lock v:ext="edit" aspectratio="f"/>
                      </v:shape>
                      <v:shape id="直接箭头连接符 321" o:spid="_x0000_s1026" o:spt="32" type="#_x0000_t32" style="position:absolute;left:2005311;top:2512038;height:600;width:438102;" filled="f" stroked="t" coordsize="21600,21600" o:gfxdata="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2nlrLNkAAAAIAQAADwAAAAAAAAABACAAAAAiAAAAZHJzL2Rvd25yZXYu&#10;eG1sUEsBAhQAFAAAAAgAh07iQLfj6236AQAAsgMAAA4AAAAAAAAAAQAgAAAAKAEAAGRycy9lMm9E&#10;b2MueG1sUEsFBgAAAAAGAAYAWQEAAJQFAAAAAA==&#10;">
                        <v:fill on="f" focussize="0,0"/>
                        <v:stroke color="#000000" joinstyle="round" endarrow="block"/>
                        <v:imagedata o:title=""/>
                        <o:lock v:ext="edit" aspectratio="f"/>
                      </v:shape>
                      <v:shape id="文本框 322" o:spid="_x0000_s1026" o:spt="202" type="#_x0000_t202" style="position:absolute;left:2437713;top:2404136;height:215903;width:791904;" fillcolor="#FFFFFF" filled="t" stroked="t" coordsize="21600,21600" o:gfxdata="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VSEbTXAAAACAEAAA8AAAAAAAAAAQAgAAAAIgAA&#10;AGRycy9kb3ducmV2LnhtbFBLAQIUABQAAAAIAIdO4kBY50b+CQIAABoEAAAOAAAAAAAAAAEAIAAA&#10;ACYBAABkcnMvZTJvRG9jLnhtbFBLBQYAAAAABgAGAFkBAAChBQAAAAA=&#10;">
                        <v:fill on="t" focussize="0,0"/>
                        <v:stroke color="#000000" joinstyle="miter"/>
                        <v:imagedata o:title=""/>
                        <o:lock v:ext="edit" aspectratio="f"/>
                        <v:textbox inset="0mm,0mm,0mm,0mm">
                          <w:txbxContent>
                            <w:p>
                              <w:pPr>
                                <w:ind w:firstLine="0" w:firstLineChars="0"/>
                                <w:jc w:val="center"/>
                                <w:rPr>
                                  <w:rFonts w:ascii="宋体" w:hAnsi="宋体"/>
                                  <w:sz w:val="21"/>
                                  <w:szCs w:val="21"/>
                                </w:rPr>
                              </w:pPr>
                              <w:r>
                                <w:rPr>
                                  <w:rFonts w:ascii="宋体" w:hAnsi="宋体"/>
                                  <w:sz w:val="21"/>
                                  <w:szCs w:val="21"/>
                                </w:rPr>
                                <w:t>化粪池</w:t>
                              </w:r>
                            </w:p>
                          </w:txbxContent>
                        </v:textbox>
                      </v:shape>
                      <v:shape id="文本框 323" o:spid="_x0000_s1026" o:spt="202" type="#_x0000_t202" style="position:absolute;left:2091011;top:2345035;height:151802;width:292102;" fillcolor="#FFFFFF" filled="t" stroked="f" coordsize="21600,21600" o:gfxdata="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D8yQNUAAAAIAQAADwAAAAAAAAABACAAAAAiAAAAZHJzL2Rv&#10;d25yZXYueG1sUEsBAhQAFAAAAAgAh07iQLcJJkPLAQAAeAMAAA4AAAAAAAAAAQAgAAAAJAEAAGRy&#10;cy9lMm9Eb2MueG1sUEsFBgAAAAAGAAYAWQEAAGEFAAAAAA==&#10;">
                        <v:fill on="t" opacity="0f" focussize="0,0"/>
                        <v:stroke on="f"/>
                        <v:imagedata o:title=""/>
                        <o:lock v:ext="edit" aspectratio="f"/>
                        <v:textbox inset="0mm,0mm,0mm,0mm">
                          <w:txbxContent>
                            <w:p>
                              <w:pPr>
                                <w:ind w:firstLine="0" w:firstLineChars="0"/>
                                <w:rPr>
                                  <w:rFonts w:eastAsia="仿宋_GB2312"/>
                                  <w:sz w:val="21"/>
                                  <w:szCs w:val="21"/>
                                </w:rPr>
                              </w:pPr>
                              <w:r>
                                <w:rPr>
                                  <w:rFonts w:hint="eastAsia" w:eastAsia="仿宋_GB2312"/>
                                  <w:sz w:val="21"/>
                                  <w:szCs w:val="21"/>
                                </w:rPr>
                                <w:t>648</w:t>
                              </w:r>
                            </w:p>
                          </w:txbxContent>
                        </v:textbox>
                      </v:shape>
                      <v:shape id="文本框 324" o:spid="_x0000_s1026" o:spt="202" type="#_x0000_t202" style="position:absolute;left:3297518;top:2256734;height:154302;width:269901;" fillcolor="#FFFFFF" filled="t" stroked="f" coordsize="21600,21600" o:gfxdata="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D8yQNUAAAAIAQAADwAAAAAAAAABACAAAAAiAAAAZHJz&#10;L2Rvd25yZXYueG1sUEsBAhQAFAAAAAgAh07iQMPJ9S7OAQAAeAMAAA4AAAAAAAAAAQAgAAAAJAEA&#10;AGRycy9lMm9Eb2MueG1sUEsFBgAAAAAGAAYAWQEAAGQFAAAAAA==&#10;">
                        <v:fill on="t" opacity="0f" focussize="0,0"/>
                        <v:stroke on="f"/>
                        <v:imagedata o:title=""/>
                        <o:lock v:ext="edit" aspectratio="f"/>
                        <v:textbox inset="0mm,0mm,0mm,0mm">
                          <w:txbxContent>
                            <w:p>
                              <w:pPr>
                                <w:ind w:firstLine="0" w:firstLineChars="0"/>
                                <w:rPr>
                                  <w:rFonts w:eastAsia="仿宋_GB2312"/>
                                  <w:sz w:val="21"/>
                                  <w:szCs w:val="21"/>
                                </w:rPr>
                              </w:pPr>
                              <w:r>
                                <w:rPr>
                                  <w:rFonts w:hint="eastAsia" w:eastAsia="仿宋_GB2312"/>
                                  <w:sz w:val="21"/>
                                  <w:szCs w:val="21"/>
                                </w:rPr>
                                <w:t>648</w:t>
                              </w:r>
                            </w:p>
                          </w:txbxContent>
                        </v:textbox>
                      </v:shape>
                      <v:shape id="文本框 325" o:spid="_x0000_s1026" o:spt="202" type="#_x0000_t202" style="position:absolute;left:1539808;top:2893044;height:157502;width:530903;" fillcolor="#FFFFFF" filled="t" stroked="f" coordsize="21600,21600" o:gfxdata="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8PzJA1QAAAAgBAAAPAAAAAAAAAAEAIAAAACIAAABkcnMv&#10;ZG93bnJldi54bWxQSwECFAAUAAAACACHTuJAtiOTwc0BAAB4AwAADgAAAAAAAAABACAAAAAkAQAA&#10;ZHJzL2Uyb0RvYy54bWxQSwUGAAAAAAYABgBZAQAAYwUAAAAA&#10;">
                        <v:fill on="t" opacity="0f" focussize="0,0"/>
                        <v:stroke on="f"/>
                        <v:imagedata o:title=""/>
                        <o:lock v:ext="edit" aspectratio="f"/>
                        <v:textbox inset="0mm,0mm,0mm,0mm">
                          <w:txbxContent>
                            <w:p>
                              <w:pPr>
                                <w:ind w:firstLine="0" w:firstLineChars="0"/>
                                <w:rPr>
                                  <w:sz w:val="21"/>
                                  <w:szCs w:val="21"/>
                                </w:rPr>
                              </w:pPr>
                              <w:r>
                                <w:rPr>
                                  <w:rFonts w:hint="eastAsia" w:ascii="宋体" w:hAnsi="宋体"/>
                                  <w:sz w:val="21"/>
                                  <w:szCs w:val="21"/>
                                </w:rPr>
                                <w:t>损耗</w:t>
                              </w:r>
                              <w:r>
                                <w:rPr>
                                  <w:rFonts w:hint="eastAsia"/>
                                  <w:sz w:val="21"/>
                                  <w:szCs w:val="21"/>
                                </w:rPr>
                                <w:t>1</w:t>
                              </w:r>
                            </w:p>
                          </w:txbxContent>
                        </v:textbox>
                      </v:shape>
                      <v:shape id="文本框 326" o:spid="_x0000_s1026" o:spt="202" type="#_x0000_t202" style="position:absolute;left:3957921;top:1430022;height:1205218;width:555003;" fillcolor="#FFFFFF" filled="t" stroked="f" coordsize="21600,21600" o:gfxdata="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D8yQNUAAAAIAQAADwAAAAAAAAABACAAAAAiAAAAZHJz&#10;L2Rvd25yZXYueG1sUEsBAhQAFAAAAAgAh07iQHWefXbOAQAAeQMAAA4AAAAAAAAAAQAgAAAAJAEA&#10;AGRycy9lMm9Eb2MueG1sUEsFBgAAAAAGAAYAWQEAAGQFAAAAAA==&#10;">
                        <v:fill on="t" opacity="0f" focussize="0,0"/>
                        <v:stroke on="f"/>
                        <v:imagedata o:title=""/>
                        <o:lock v:ext="edit" aspectratio="f"/>
                        <v:textbox inset="0mm,0mm,0mm,0mm">
                          <w:txbxContent>
                            <w:p>
                              <w:pPr>
                                <w:ind w:firstLine="0" w:firstLineChars="0"/>
                              </w:pPr>
                              <w:r>
                                <w:rPr>
                                  <w:rFonts w:hint="eastAsia"/>
                                  <w:sz w:val="21"/>
                                  <w:szCs w:val="21"/>
                                </w:rPr>
                                <w:t>接管至</w:t>
                              </w:r>
                              <w:r>
                                <w:rPr>
                                  <w:rFonts w:hint="eastAsia"/>
                                  <w:sz w:val="21"/>
                                  <w:szCs w:val="21"/>
                                  <w:lang w:eastAsia="zh-CN"/>
                                </w:rPr>
                                <w:t>霞湾污水</w:t>
                              </w:r>
                              <w:r>
                                <w:rPr>
                                  <w:sz w:val="21"/>
                                  <w:szCs w:val="21"/>
                                </w:rPr>
                                <w:t>处理厂处理</w:t>
                              </w:r>
                            </w:p>
                          </w:txbxContent>
                        </v:textbox>
                      </v:shape>
                      <v:shape id="直接箭头连接符 327" o:spid="_x0000_s1026" o:spt="32" type="#_x0000_t32" style="position:absolute;left:3229617;top:2516538;flip:y;height:4400;width:346002;" filled="f" stroked="t" coordsize="21600,21600" o:gfxdata="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jxQeDXAAAACAEAAA8AAAAAAAAAAQAgAAAAIgAAAGRy&#10;cy9kb3ducmV2LnhtbFBLAQIUABQAAAAIAIdO4kBUNKVlBgIAAL0DAAAOAAAAAAAAAAEAIAAAACYB&#10;AABkcnMvZTJvRG9jLnhtbFBLBQYAAAAABgAGAFkBAACeBQAAAAA=&#10;">
                        <v:fill on="f" focussize="0,0"/>
                        <v:stroke color="#000000" joinstyle="round" endarrow="block"/>
                        <v:imagedata o:title=""/>
                        <o:lock v:ext="edit" aspectratio="f"/>
                      </v:shape>
                      <v:shape id="文本框 328" o:spid="_x0000_s1026" o:spt="202" type="#_x0000_t202" style="position:absolute;left:140901;top:2011630;height:460407;width:478203;" fillcolor="#FFFFFF" filled="t" stroked="f" coordsize="21600,21600" o:gfxdata="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D8yQNUAAAAIAQAADwAAAAAAAAABACAAAAAiAAAAZHJzL2Rv&#10;d25yZXYueG1sUEsBAhQAFAAAAAgAh07iQEz5tg/LAQAAdwMAAA4AAAAAAAAAAQAgAAAAJAEAAGRy&#10;cy9lMm9Eb2MueG1sUEsFBgAAAAAGAAYAWQEAAGEFAAAAAA==&#10;">
                        <v:fill on="t" opacity="0f" focussize="0,0"/>
                        <v:stroke on="f"/>
                        <v:imagedata o:title=""/>
                        <o:lock v:ext="edit" aspectratio="f"/>
                        <v:textbox inset="0mm,0mm,0mm,0mm">
                          <w:txbxContent>
                            <w:p>
                              <w:pPr>
                                <w:ind w:firstLine="0" w:firstLineChars="0"/>
                                <w:rPr>
                                  <w:rFonts w:hAnsi="宋体"/>
                                  <w:sz w:val="21"/>
                                  <w:szCs w:val="21"/>
                                </w:rPr>
                              </w:pPr>
                              <w:r>
                                <w:rPr>
                                  <w:rFonts w:hAnsi="宋体"/>
                                  <w:sz w:val="21"/>
                                  <w:szCs w:val="21"/>
                                </w:rPr>
                                <w:t>自来水</w:t>
                              </w:r>
                            </w:p>
                            <w:p>
                              <w:pPr>
                                <w:pStyle w:val="2"/>
                                <w:ind w:firstLine="0" w:firstLineChars="0"/>
                                <w:rPr>
                                  <w:sz w:val="24"/>
                                  <w:szCs w:val="21"/>
                                </w:rPr>
                              </w:pPr>
                              <w:r>
                                <w:rPr>
                                  <w:rFonts w:hint="eastAsia" w:hAnsi="宋体"/>
                                  <w:sz w:val="24"/>
                                  <w:szCs w:val="18"/>
                                </w:rPr>
                                <w:t>1083</w:t>
                              </w:r>
                            </w:p>
                          </w:txbxContent>
                        </v:textbox>
                      </v:shape>
                      <v:shape id="文本框 329" o:spid="_x0000_s1026" o:spt="202" type="#_x0000_t202" style="position:absolute;left:847705;top:3067046;height:212103;width:459102;" fillcolor="#FFFFFF" filled="t" stroked="f" coordsize="21600,21600" o:gfxdata="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D8yQNUAAAAIAQAADwAAAAAAAAABACAAAAAiAAAAZHJz&#10;L2Rvd25yZXYueG1sUEsBAhQAFAAAAAgAh07iQKKhwHnOAQAAdwMAAA4AAAAAAAAAAQAgAAAAJAEA&#10;AGRycy9lMm9Eb2MueG1sUEsFBgAAAAAGAAYAWQEAAGQFAAAAAA==&#10;">
                        <v:fill on="t" opacity="0f" focussize="0,0"/>
                        <v:stroke on="f"/>
                        <v:imagedata o:title=""/>
                        <o:lock v:ext="edit" aspectratio="f"/>
                        <v:textbox inset="0mm,0mm,0mm,0mm">
                          <w:txbxContent>
                            <w:p>
                              <w:pPr>
                                <w:ind w:firstLine="0" w:firstLineChars="0"/>
                                <w:jc w:val="center"/>
                                <w:rPr>
                                  <w:sz w:val="21"/>
                                  <w:szCs w:val="21"/>
                                </w:rPr>
                              </w:pPr>
                              <w:r>
                                <w:rPr>
                                  <w:rFonts w:hint="eastAsia" w:hAnsi="宋体"/>
                                  <w:sz w:val="21"/>
                                  <w:szCs w:val="21"/>
                                </w:rPr>
                                <w:t>13</w:t>
                              </w:r>
                            </w:p>
                          </w:txbxContent>
                        </v:textbox>
                      </v:shape>
                      <v:shape id="直接箭头连接符 330" o:spid="_x0000_s1026" o:spt="32" type="#_x0000_t32" style="position:absolute;left:4568825;top:2019330;height:0;width:431802;" filled="f" stroked="t" coordsize="21600,21600" o:gfxdata="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nlrLNkAAAAIAQAADwAAAAAAAAABACAAAAAiAAAAZHJzL2Rvd25yZXYueG1sUEsB&#10;AhQAFAAAAAgAh07iQM/lWEX0AQAAsAMAAA4AAAAAAAAAAQAgAAAAKAEAAGRycy9lMm9Eb2MueG1s&#10;UEsFBgAAAAAGAAYAWQEAAI4FAAAAAA==&#10;">
                        <v:fill on="f" focussize="0,0"/>
                        <v:stroke color="#000000" joinstyle="round" endarrow="block"/>
                        <v:imagedata o:title=""/>
                        <o:lock v:ext="edit" aspectratio="f"/>
                      </v:shape>
                      <v:shape id="文本框 331" o:spid="_x0000_s1026" o:spt="202" type="#_x0000_t202" style="position:absolute;left:4987925;top:1886585;height:288290;width:414655;" fillcolor="#FFFFFF" filled="t" stroked="f" coordsize="21600,21600" o:gfxdata="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w/MkDVAAAACAEAAA8AAAAAAAAAAQAgAAAAIgAAAGRycy9k&#10;b3ducmV2LnhtbFBLAQIUABQAAAAIAIdO4kA4yx43zAEAAHgDAAAOAAAAAAAAAAEAIAAAACQBAABk&#10;cnMvZTJvRG9jLnhtbFBLBQYAAAAABgAGAFkBAABiBQAAAAA=&#10;">
                        <v:fill on="t" opacity="0f" focussize="0,0"/>
                        <v:stroke on="f"/>
                        <v:imagedata o:title=""/>
                        <o:lock v:ext="edit" aspectratio="f"/>
                        <v:textbox inset="0mm,0mm,0mm,0mm">
                          <w:txbxContent>
                            <w:p>
                              <w:pPr>
                                <w:spacing w:line="240" w:lineRule="auto"/>
                                <w:ind w:firstLine="0" w:firstLineChars="0"/>
                                <w:rPr>
                                  <w:rFonts w:hint="eastAsia" w:eastAsia="宋体"/>
                                  <w:lang w:eastAsia="zh-CN"/>
                                </w:rPr>
                              </w:pPr>
                              <w:r>
                                <w:rPr>
                                  <w:rFonts w:hint="eastAsia"/>
                                  <w:sz w:val="21"/>
                                  <w:szCs w:val="21"/>
                                </w:rPr>
                                <w:t>通</w:t>
                              </w:r>
                              <w:r>
                                <w:rPr>
                                  <w:rFonts w:hint="eastAsia"/>
                                  <w:sz w:val="21"/>
                                  <w:szCs w:val="21"/>
                                  <w:lang w:eastAsia="zh-CN"/>
                                </w:rPr>
                                <w:t>湘江</w:t>
                              </w:r>
                            </w:p>
                          </w:txbxContent>
                        </v:textbox>
                      </v:shape>
                      <v:shape id="文本框 332" o:spid="_x0000_s1026" o:spt="202" type="#_x0000_t202" style="position:absolute;left:4523724;top:1783727;height:194303;width:386102;" fillcolor="#FFFFFF" filled="t" stroked="f" coordsize="21600,21600" o:gfxdata="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w/MkDVAAAACAEAAA8AAAAAAAAAAQAgAAAAIgAAAGRycy9k&#10;b3ducmV2LnhtbFBLAQIUABQAAAAIAIdO4kCYiNO3zAEAAHgDAAAOAAAAAAAAAAEAIAAAACQBAABk&#10;cnMvZTJvRG9jLnhtbFBLBQYAAAAABgAGAFkBAABiBQAAAAA=&#10;">
                        <v:fill on="t" opacity="0f" focussize="0,0"/>
                        <v:stroke on="f"/>
                        <v:imagedata o:title=""/>
                        <o:lock v:ext="edit" aspectratio="f"/>
                        <v:textbox inset="0mm,0mm,0mm,0mm">
                          <w:txbxContent>
                            <w:p>
                              <w:pPr>
                                <w:ind w:firstLine="0" w:firstLineChars="0"/>
                                <w:rPr>
                                  <w:rFonts w:hint="default" w:eastAsia="仿宋_GB2312"/>
                                  <w:sz w:val="21"/>
                                  <w:szCs w:val="21"/>
                                  <w:lang w:val="en-US" w:eastAsia="zh-CN"/>
                                </w:rPr>
                              </w:pPr>
                              <w:r>
                                <w:rPr>
                                  <w:rFonts w:hint="eastAsia" w:eastAsia="仿宋_GB2312"/>
                                  <w:sz w:val="21"/>
                                  <w:szCs w:val="21"/>
                                </w:rPr>
                                <w:t>1</w:t>
                              </w:r>
                              <w:r>
                                <w:rPr>
                                  <w:rFonts w:hint="eastAsia" w:eastAsia="仿宋_GB2312"/>
                                  <w:sz w:val="21"/>
                                  <w:szCs w:val="21"/>
                                  <w:lang w:val="en-US" w:eastAsia="zh-CN"/>
                                </w:rPr>
                                <w:t>228.3</w:t>
                              </w:r>
                            </w:p>
                          </w:txbxContent>
                        </v:textbox>
                      </v:shape>
                      <v:shape id="直接箭头连接符 333" o:spid="_x0000_s1026" o:spt="32" type="#_x0000_t32" style="position:absolute;left:598803;top:1513323;height:0;width:533403;" filled="f" stroked="t" coordsize="21600,21600" o:gfxdata="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p5ayzZAAAACAEAAA8AAAAAAAAAAQAgAAAAIgAAAGRycy9kb3ducmV2Lnht&#10;bFBLAQIUABQAAAAIAIdO4kBSi1Ua+AEAAK8DAAAOAAAAAAAAAAEAIAAAACgBAABkcnMvZTJvRG9j&#10;LnhtbFBLBQYAAAAABgAGAFkBAACSBQAAAAA=&#10;">
                        <v:fill on="f" focussize="0,0"/>
                        <v:stroke color="#000000" joinstyle="round" endarrow="block"/>
                        <v:imagedata o:title=""/>
                        <o:lock v:ext="edit" aspectratio="f"/>
                      </v:shape>
                      <v:shape id="文本框 334" o:spid="_x0000_s1026" o:spt="202" type="#_x0000_t202" style="position:absolute;left:610803;top:1327120;height:203403;width:457202;" fillcolor="#FFFFFF" filled="t" stroked="f" coordsize="21600,21600" o:gfxdata="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D8yQNUAAAAIAQAADwAAAAAAAAABACAAAAAiAAAAZHJzL2Rv&#10;d25yZXYueG1sUEsBAhQAFAAAAAgAh07iQM2s1ffLAQAAdwMAAA4AAAAAAAAAAQAgAAAAJAEAAGRy&#10;cy9lMm9Eb2MueG1sUEsFBgAAAAAGAAYAWQEAAGEFAAAAAA==&#10;">
                        <v:fill on="t" opacity="0f" focussize="0,0"/>
                        <v:stroke on="f"/>
                        <v:imagedata o:title=""/>
                        <o:lock v:ext="edit" aspectratio="f"/>
                        <v:textbox inset="0mm,0mm,0mm,0mm">
                          <w:txbxContent>
                            <w:p>
                              <w:pPr>
                                <w:ind w:firstLine="0" w:firstLineChars="0"/>
                                <w:jc w:val="center"/>
                                <w:rPr>
                                  <w:sz w:val="21"/>
                                  <w:szCs w:val="21"/>
                                </w:rPr>
                              </w:pPr>
                              <w:r>
                                <w:rPr>
                                  <w:rFonts w:hint="eastAsia" w:hAnsi="宋体"/>
                                  <w:sz w:val="21"/>
                                  <w:szCs w:val="21"/>
                                </w:rPr>
                                <w:t>350</w:t>
                              </w:r>
                            </w:p>
                          </w:txbxContent>
                        </v:textbox>
                      </v:shape>
                      <v:shape id="文本框 335" o:spid="_x0000_s1026" o:spt="202" type="#_x0000_t202" style="position:absolute;left:1141706;top:1418621;height:203403;width:787404;" fillcolor="#FFFFFF" filled="t" stroked="t" coordsize="21600,21600" o:gfxdata="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lUhG01wAAAAgBAAAPAAAAAAAAAAEAIAAAACIA&#10;AABkcnMvZG93bnJldi54bWxQSwECFAAUAAAACACHTuJAo06EmAoCAAAaBAAADgAAAAAAAAABACAA&#10;AAAmAQAAZHJzL2Uyb0RvYy54bWxQSwUGAAAAAAYABgBZAQAAogUAAAAA&#10;">
                        <v:fill on="t" focussize="0,0"/>
                        <v:stroke color="#000000" joinstyle="miter"/>
                        <v:imagedata o:title=""/>
                        <o:lock v:ext="edit" aspectratio="f"/>
                        <v:textbox inset="0mm,0mm,0mm,0mm">
                          <w:txbxContent>
                            <w:p>
                              <w:pPr>
                                <w:ind w:firstLine="0" w:firstLineChars="0"/>
                                <w:jc w:val="center"/>
                                <w:rPr>
                                  <w:rFonts w:ascii="宋体" w:hAnsi="宋体"/>
                                  <w:sz w:val="21"/>
                                  <w:szCs w:val="21"/>
                                </w:rPr>
                              </w:pPr>
                              <w:r>
                                <w:rPr>
                                  <w:rFonts w:hint="eastAsia" w:ascii="宋体" w:hAnsi="宋体"/>
                                  <w:sz w:val="21"/>
                                  <w:szCs w:val="21"/>
                                </w:rPr>
                                <w:t>废气喷淋</w:t>
                              </w:r>
                            </w:p>
                          </w:txbxContent>
                        </v:textbox>
                      </v:shape>
                      <v:shape id="曲线连接符 336" o:spid="_x0000_s1026" o:spt="38" type="#_x0000_t38" style="position:absolute;left:1151206;top:1266719;flip:y;height:152602;width:266701;" filled="f" stroked="t" coordsize="21600,21600" o:gfxdata="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SKwrfXAAAACAEAAA8AAAAAAAAAAQAg&#10;AAAAIgAAAGRycy9kb3ducmV2LnhtbFBLAQIUABQAAAAIAIdO4kBIGMB+DwIAAOUDAAAOAAAAAAAA&#10;AAEAIAAAACYBAABkcnMvZTJvRG9jLnhtbFBLBQYAAAAABgAGAFkBAACnBQAAAAA=&#10;" adj="10800">
                        <v:fill on="f" focussize="0,0"/>
                        <v:stroke weight="1pt" color="#000000" joinstyle="round" endarrow="block"/>
                        <v:imagedata o:title=""/>
                        <o:lock v:ext="edit" aspectratio="f"/>
                      </v:shape>
                      <v:shape id="直接箭头连接符 337" o:spid="_x0000_s1026" o:spt="32" type="#_x0000_t32" style="position:absolute;left:613403;top:3297550;height:13300;width:642603;" filled="f" stroked="t" coordsize="21600,21600" o:gfxdata="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2nlrLNkAAAAIAQAADwAAAAAAAAABACAAAAAiAAAAZHJzL2Rvd25yZXYu&#10;eG1sUEsBAhQAFAAAAAgAh07iQDyyrDf6AQAAswMAAA4AAAAAAAAAAQAgAAAAKAEAAGRycy9lMm9E&#10;b2MueG1sUEsFBgAAAAAGAAYAWQEAAJQFAAAAAA==&#10;">
                        <v:fill on="f" focussize="0,0"/>
                        <v:stroke color="#000000" joinstyle="round" endarrow="block"/>
                        <v:imagedata o:title=""/>
                        <o:lock v:ext="edit" aspectratio="f"/>
                      </v:shape>
                      <v:shape id="直接箭头连接符 338" o:spid="_x0000_s1026" o:spt="32" type="#_x0000_t32" style="position:absolute;left:608903;top:1511923;height:1804727;width:4500;" filled="f" stroked="t" coordsize="21600,21600" o:gfxdata="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ZlL0XXAAAACAEAAA8AAAAAAAAAAQAgAAAAIgAAAGRycy9kb3ducmV2LnhtbFBLAQIU&#10;ABQAAAAIAIdO4kCHP0Y69AEAAK8DAAAOAAAAAAAAAAEAIAAAACYBAABkcnMvZTJvRG9jLnhtbFBL&#10;BQYAAAAABgAGAFkBAACMBQAAAAA=&#10;">
                        <v:fill on="f" focussize="0,0"/>
                        <v:stroke color="#000000" joinstyle="round"/>
                        <v:imagedata o:title=""/>
                        <o:lock v:ext="edit" aspectratio="f"/>
                      </v:shape>
                      <v:shape id="文本框 339" o:spid="_x0000_s1026" o:spt="202" type="#_x0000_t202" style="position:absolute;left:1398908;top:1170718;height:165302;width:560703;" fillcolor="#FFFFFF" filled="t" stroked="f" coordsize="21600,21600" o:gfxdata="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w/MkDVAAAACAEAAA8AAAAAAAAAAQAgAAAAIgAAAGRycy9k&#10;b3ducmV2LnhtbFBLAQIUABQAAAAIAIdO4kDs/HPlzAEAAHgDAAAOAAAAAAAAAAEAIAAAACQBAABk&#10;cnMvZTJvRG9jLnhtbFBLBQYAAAAABgAGAFkBAABiBQAAAAA=&#10;">
                        <v:fill on="t" opacity="0f" focussize="0,0"/>
                        <v:stroke on="f"/>
                        <v:imagedata o:title=""/>
                        <o:lock v:ext="edit" aspectratio="f"/>
                        <v:textbox inset="0mm,0mm,0mm,0mm">
                          <w:txbxContent>
                            <w:p>
                              <w:pPr>
                                <w:ind w:firstLine="0" w:firstLineChars="0"/>
                                <w:rPr>
                                  <w:sz w:val="21"/>
                                  <w:szCs w:val="21"/>
                                </w:rPr>
                              </w:pPr>
                              <w:r>
                                <w:rPr>
                                  <w:rFonts w:hint="eastAsia" w:ascii="宋体" w:hAnsi="宋体"/>
                                  <w:sz w:val="21"/>
                                  <w:szCs w:val="21"/>
                                </w:rPr>
                                <w:t>损耗</w:t>
                              </w:r>
                              <w:r>
                                <w:rPr>
                                  <w:rFonts w:hint="eastAsia"/>
                                  <w:sz w:val="21"/>
                                  <w:szCs w:val="21"/>
                                </w:rPr>
                                <w:t>50</w:t>
                              </w:r>
                            </w:p>
                          </w:txbxContent>
                        </v:textbox>
                      </v:shape>
                      <v:shape id="直接箭头连接符 340" o:spid="_x0000_s1026" o:spt="32" type="#_x0000_t32" style="position:absolute;left:167601;top:2475837;height:0;width:431802;" filled="f" stroked="t" coordsize="21600,21600" o:gfxdata="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2nlrLNkAAAAIAQAADwAAAAAAAAABACAAAAAiAAAAZHJzL2Rvd25yZXYueG1s&#10;UEsBAhQAFAAAAAgAh07iQDl6tzj3AQAArwMAAA4AAAAAAAAAAQAgAAAAKAEAAGRycy9lMm9Eb2Mu&#10;eG1sUEsFBgAAAAAGAAYAWQEAAJEFAAAAAA==&#10;">
                        <v:fill on="f" focussize="0,0"/>
                        <v:stroke color="#000000" joinstyle="round" endarrow="block"/>
                        <v:imagedata o:title=""/>
                        <o:lock v:ext="edit" aspectratio="f"/>
                      </v:shape>
                      <v:shape id="直接箭头连接符 341" o:spid="_x0000_s1026" o:spt="32" type="#_x0000_t32" style="position:absolute;left:603803;top:2466137;height:0;width:533403;" filled="f" stroked="t" coordsize="21600,21600" o:gfxdata="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2nlrLNkAAAAIAQAADwAAAAAAAAABACAAAAAiAAAAZHJzL2Rvd25yZXYu&#10;eG1sUEsBAhQAFAAAAAgAh07iQLGDTfD6AQAArwMAAA4AAAAAAAAAAQAgAAAAKAEAAGRycy9lMm9E&#10;b2MueG1sUEsFBgAAAAAGAAYAWQEAAJQFAAAAAA==&#10;">
                        <v:fill on="f" focussize="0,0"/>
                        <v:stroke color="#000000" joinstyle="round" endarrow="block"/>
                        <v:imagedata o:title=""/>
                        <o:lock v:ext="edit" aspectratio="f"/>
                      </v:shape>
                      <v:shape id="文本框 342" o:spid="_x0000_s1026" o:spt="202" type="#_x0000_t202" style="position:absolute;left:1184206;top:2370836;height:203303;width:787404;" fillcolor="#FFFFFF" filled="t" stroked="t" coordsize="21600,21600" o:gfxdata="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lUhG01wAAAAgBAAAPAAAAAAAAAAEAIAAAACIA&#10;AABkcnMvZG93bnJldi54bWxQSwECFAAUAAAACACHTuJAEFng6QoCAAAaBAAADgAAAAAAAAABACAA&#10;AAAmAQAAZHJzL2Uyb0RvYy54bWxQSwUGAAAAAAYABgBZAQAAogUAAAAA&#10;">
                        <v:fill on="t" focussize="0,0"/>
                        <v:stroke color="#000000" joinstyle="miter"/>
                        <v:imagedata o:title=""/>
                        <o:lock v:ext="edit" aspectratio="f"/>
                        <v:textbox inset="0mm,0mm,0mm,0mm">
                          <w:txbxContent>
                            <w:p>
                              <w:pPr>
                                <w:ind w:firstLine="0" w:firstLineChars="0"/>
                                <w:jc w:val="center"/>
                                <w:rPr>
                                  <w:rFonts w:ascii="宋体" w:hAnsi="宋体"/>
                                  <w:sz w:val="21"/>
                                  <w:szCs w:val="21"/>
                                </w:rPr>
                              </w:pPr>
                              <w:r>
                                <w:rPr>
                                  <w:rFonts w:hint="eastAsia" w:ascii="宋体" w:hAnsi="宋体"/>
                                  <w:sz w:val="21"/>
                                  <w:szCs w:val="21"/>
                                </w:rPr>
                                <w:t>生活用水</w:t>
                              </w:r>
                            </w:p>
                          </w:txbxContent>
                        </v:textbox>
                      </v:shape>
                      <v:shape id="曲线连接符 343" o:spid="_x0000_s1026" o:spt="38" type="#_x0000_t38" style="position:absolute;left:1192506;top:2223333;flip:y;height:152502;width:266701;" filled="f" stroked="t" coordsize="21600,21600" o:gfxdata="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SKwrfXAAAACAEAAA8AAAAAAAAA&#10;AQAgAAAAIgAAAGRycy9kb3ducmV2LnhtbFBLAQIUABQAAAAIAIdO4kCNpwJXEgIAAOUDAAAOAAAA&#10;AAAAAAEAIAAAACYBAABkcnMvZTJvRG9jLnhtbFBLBQYAAAAABgAGAFkBAACqBQAAAAA=&#10;" adj="10800">
                        <v:fill on="f" focussize="0,0"/>
                        <v:stroke weight="1pt" color="#000000" joinstyle="round" endarrow="block"/>
                        <v:imagedata o:title=""/>
                        <o:lock v:ext="edit" aspectratio="f"/>
                      </v:shape>
                      <v:shape id="文本框 344" o:spid="_x0000_s1026" o:spt="202" type="#_x0000_t202" style="position:absolute;left:1383007;top:2016130;height:225003;width:621003;" fillcolor="#FFFFFF" filled="t" stroked="f" coordsize="21600,21600" o:gfxdata="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w/MkDVAAAACAEAAA8AAAAAAAAAAQAgAAAAIgAAAGRycy9kb3du&#10;cmV2LnhtbFBLAQIUABQAAAAIAIdO4kA0jYKtyQEAAHgDAAAOAAAAAAAAAAEAIAAAACQBAABkcnMv&#10;ZTJvRG9jLnhtbFBLBQYAAAAABgAGAFkBAABfBQAAAAA=&#10;">
                        <v:fill on="t" opacity="0f" focussize="0,0"/>
                        <v:stroke on="f"/>
                        <v:imagedata o:title=""/>
                        <o:lock v:ext="edit" aspectratio="f"/>
                        <v:textbox inset="0mm,0mm,0mm,0mm">
                          <w:txbxContent>
                            <w:p>
                              <w:pPr>
                                <w:ind w:firstLine="0" w:firstLineChars="0"/>
                                <w:rPr>
                                  <w:sz w:val="21"/>
                                  <w:szCs w:val="21"/>
                                </w:rPr>
                              </w:pPr>
                              <w:r>
                                <w:rPr>
                                  <w:rFonts w:hint="eastAsia" w:ascii="宋体" w:hAnsi="宋体"/>
                                  <w:sz w:val="21"/>
                                  <w:szCs w:val="21"/>
                                </w:rPr>
                                <w:t>损耗</w:t>
                              </w:r>
                              <w:r>
                                <w:rPr>
                                  <w:rFonts w:hint="eastAsia"/>
                                  <w:sz w:val="21"/>
                                  <w:szCs w:val="21"/>
                                </w:rPr>
                                <w:t>72</w:t>
                              </w:r>
                            </w:p>
                          </w:txbxContent>
                        </v:textbox>
                      </v:shape>
                      <v:shape id="文本框 345" o:spid="_x0000_s1026" o:spt="202" type="#_x0000_t202" style="position:absolute;left:664804;top:2257634;height:203403;width:457202;" fillcolor="#FFFFFF" filled="t" stroked="f" coordsize="21600,21600" o:gfxdata="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8PzJA1QAAAAgBAAAPAAAAAAAAAAEAIAAAACIAAABkcnMv&#10;ZG93bnJldi54bWxQSwECFAAUAAAACACHTuJAW8EPB80BAAB3AwAADgAAAAAAAAABACAAAAAkAQAA&#10;ZHJzL2Uyb0RvYy54bWxQSwUGAAAAAAYABgBZAQAAYwUAAAAA&#10;">
                        <v:fill on="t" opacity="0f" focussize="0,0"/>
                        <v:stroke on="f"/>
                        <v:imagedata o:title=""/>
                        <o:lock v:ext="edit" aspectratio="f"/>
                        <v:textbox inset="0mm,0mm,0mm,0mm">
                          <w:txbxContent>
                            <w:p>
                              <w:pPr>
                                <w:ind w:firstLine="0" w:firstLineChars="0"/>
                                <w:jc w:val="center"/>
                                <w:rPr>
                                  <w:sz w:val="21"/>
                                  <w:szCs w:val="21"/>
                                </w:rPr>
                              </w:pPr>
                              <w:r>
                                <w:rPr>
                                  <w:rFonts w:hint="eastAsia" w:hAnsi="宋体"/>
                                  <w:sz w:val="21"/>
                                  <w:szCs w:val="21"/>
                                </w:rPr>
                                <w:t>720</w:t>
                              </w:r>
                            </w:p>
                          </w:txbxContent>
                        </v:textbox>
                      </v:shape>
                      <v:shape id="肘形连接符 346" o:spid="_x0000_s1026" o:spt="35" type="#_x0000_t35" style="position:absolute;left:1222307;top:1517623;flip:x;height:101602;width:762004;" filled="f" stroked="t" coordsize="21600,21600" o:gfxdata="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TprtYAAAAIAQAADwAAAAAAAAABACAAAAAiAAAAZHJzL2Rvd25yZXYueG1sUEsBAhQAFAAAAAgA&#10;h07iQIUlKi4nAgAAEQQAAA4AAAAAAAAAAQAgAAAAJQEAAGRycy9lMm9Eb2MueG1sUEsFBgAAAAAG&#10;AAYAWQEAAL4FAAAAAA==&#10;" adj="-6464,67484">
                        <v:fill on="f" focussize="0,0"/>
                        <v:stroke color="#000000" joinstyle="miter" dashstyle="dash" endarrow="block"/>
                        <v:imagedata o:title=""/>
                        <o:lock v:ext="edit" aspectratio="f"/>
                      </v:shape>
                      <v:shape id="文本框 347" o:spid="_x0000_s1026" o:spt="202" type="#_x0000_t202" style="position:absolute;left:1941810;top:1684625;height:154302;width:269901;" fillcolor="#FFFFFF" filled="t" stroked="f" coordsize="21600,21600" o:gfxdata="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8PzJA1QAAAAgBAAAPAAAAAAAAAAEAIAAAACIAAABkcnMv&#10;ZG93bnJldi54bWxQSwECFAAUAAAACACHTuJA40YPQM0BAAB4AwAADgAAAAAAAAABACAAAAAkAQAA&#10;ZHJzL2Uyb0RvYy54bWxQSwUGAAAAAAYABgBZAQAAYwUAAAAA&#10;">
                        <v:fill on="t" opacity="0f" focussize="0,0"/>
                        <v:stroke on="f"/>
                        <v:imagedata o:title=""/>
                        <o:lock v:ext="edit" aspectratio="f"/>
                        <v:textbox inset="0mm,0mm,0mm,0mm">
                          <w:txbxContent>
                            <w:p>
                              <w:pPr>
                                <w:ind w:firstLine="0" w:firstLineChars="0"/>
                                <w:rPr>
                                  <w:rFonts w:eastAsia="仿宋_GB2312"/>
                                  <w:sz w:val="21"/>
                                  <w:szCs w:val="21"/>
                                </w:rPr>
                              </w:pPr>
                              <w:r>
                                <w:rPr>
                                  <w:rFonts w:hint="eastAsia" w:eastAsia="仿宋_GB2312"/>
                                  <w:sz w:val="21"/>
                                  <w:szCs w:val="21"/>
                                </w:rPr>
                                <w:t>2000</w:t>
                              </w:r>
                            </w:p>
                          </w:txbxContent>
                        </v:textbox>
                      </v:shape>
                      <v:shape id="直接箭头连接符 348" o:spid="_x0000_s1026" o:spt="32" type="#_x0000_t32" style="position:absolute;left:1998911;top:1506823;flip:y;height:6400;width:586103;" filled="f" stroked="t" coordsize="21600,21600" o:gfxdata="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jxQeDXAAAACAEAAA8AAAAAAAAAAQAgAAAAIgAAAGRycy9k&#10;b3ducmV2LnhtbFBLAQIUABQAAAAIAIdO4kDbMR+TAwIAAL0DAAAOAAAAAAAAAAEAIAAAACYBAABk&#10;cnMvZTJvRG9jLnhtbFBLBQYAAAAABgAGAFkBAACbBQAAAAA=&#10;">
                        <v:fill on="f" focussize="0,0"/>
                        <v:stroke color="#000000" joinstyle="round" endarrow="block"/>
                        <v:imagedata o:title=""/>
                        <o:lock v:ext="edit" aspectratio="f"/>
                      </v:shape>
                      <v:shape id="文本框 349" o:spid="_x0000_s1026" o:spt="202" type="#_x0000_t202" style="position:absolute;left:2237105;top:1273175;height:195580;width:292100;" fillcolor="#FFFFFF" filled="t" stroked="f" coordsize="21600,21600" o:gfxdata="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w/MkDVAAAACAEAAA8AAAAAAAAAAQAgAAAAIgAAAGRycy9k&#10;b3ducmV2LnhtbFBLAQIUABQAAAAIAIdO4kD0Z6IazAEAAHgDAAAOAAAAAAAAAAEAIAAAACQBAABk&#10;cnMvZTJvRG9jLnhtbFBLBQYAAAAABgAGAFkBAABiBQAAAAA=&#10;">
                        <v:fill on="t" opacity="0f" focussize="0,0"/>
                        <v:stroke on="f"/>
                        <v:imagedata o:title=""/>
                        <o:lock v:ext="edit" aspectratio="f"/>
                        <v:textbox inset="0mm,0mm,0mm,0mm">
                          <w:txbxContent>
                            <w:p>
                              <w:pPr>
                                <w:ind w:firstLine="0" w:firstLineChars="0"/>
                                <w:rPr>
                                  <w:rFonts w:eastAsia="仿宋_GB2312"/>
                                  <w:sz w:val="21"/>
                                  <w:szCs w:val="21"/>
                                </w:rPr>
                              </w:pPr>
                              <w:r>
                                <w:rPr>
                                  <w:rFonts w:hint="eastAsia" w:eastAsia="仿宋_GB2312"/>
                                  <w:sz w:val="21"/>
                                  <w:szCs w:val="21"/>
                                </w:rPr>
                                <w:t>300</w:t>
                              </w:r>
                            </w:p>
                          </w:txbxContent>
                        </v:textbox>
                      </v:shape>
                      <v:shape id="文本框 350" o:spid="_x0000_s1026" o:spt="202" type="#_x0000_t202" style="position:absolute;left:2599055;top:1228090;height:553720;width:505460;" fillcolor="#FFFFFF" filled="t" stroked="t" coordsize="21600,21600" o:gfxdata="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VSEbTXAAAACAEAAA8AAAAAAAAAAQAgAAAA&#10;IgAAAGRycy9kb3ducmV2LnhtbFBLAQIUABQAAAAIAIdO4kBFpz1SDAIAABoEAAAOAAAAAAAAAAEA&#10;IAAAACYBAABkcnMvZTJvRG9jLnhtbFBLBQYAAAAABgAGAFkBAACkBQAAAAA=&#10;">
                        <v:fill on="t" focussize="0,0"/>
                        <v:stroke color="#000000" joinstyle="miter"/>
                        <v:imagedata o:title=""/>
                        <o:lock v:ext="edit" aspectratio="f"/>
                        <v:textbox inset="0mm,0mm,0mm,0mm">
                          <w:txbxContent>
                            <w:p>
                              <w:pPr>
                                <w:spacing w:line="240" w:lineRule="auto"/>
                                <w:ind w:firstLine="0" w:firstLineChars="0"/>
                                <w:jc w:val="center"/>
                                <w:rPr>
                                  <w:rFonts w:ascii="宋体" w:hAnsi="宋体"/>
                                  <w:sz w:val="21"/>
                                  <w:szCs w:val="21"/>
                                </w:rPr>
                              </w:pPr>
                              <w:r>
                                <w:rPr>
                                  <w:rFonts w:hint="eastAsia" w:ascii="宋体" w:hAnsi="宋体"/>
                                  <w:sz w:val="21"/>
                                  <w:szCs w:val="21"/>
                                </w:rPr>
                                <w:t>废水处理装置</w:t>
                              </w:r>
                            </w:p>
                          </w:txbxContent>
                        </v:textbox>
                      </v:shape>
                      <v:shape id="直接箭头连接符 352" o:spid="_x0000_s1026" o:spt="32" type="#_x0000_t32" style="position:absolute;left:3577590;top:2002790;height:523240;width:7620;" filled="f" stroked="t" coordsize="21600,21600" o:gfxdata="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ZlL0XXAAAACAEAAA8AAAAAAAAAAQAgAAAAIgAAAGRycy9kb3ducmV2LnhtbFBLAQIU&#10;ABQAAAAIAIdO4kDiz/CK9AEAAK8DAAAOAAAAAAAAAAEAIAAAACYBAABkcnMvZTJvRG9jLnhtbFBL&#10;BQYAAAAABgAGAFkBAACMBQAAAAA=&#10;">
                        <v:fill on="f" focussize="0,0"/>
                        <v:stroke color="#000000" joinstyle="round"/>
                        <v:imagedata o:title=""/>
                        <o:lock v:ext="edit" aspectratio="f"/>
                      </v:shape>
                      <v:shape id="直接箭头连接符 353" o:spid="_x0000_s1026" o:spt="32" type="#_x0000_t32" style="position:absolute;left:3580119;top:1998930;height:3200;width:319402;" filled="f" stroked="t" coordsize="21600,21600" o:gfxdata="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aeWss2QAAAAgBAAAPAAAAAAAAAAEAIAAAACIAAABkcnMvZG93bnJldi54&#10;bWxQSwECFAAUAAAACACHTuJAjQ+S0vkBAACzAwAADgAAAAAAAAABACAAAAAoAQAAZHJzL2Uyb0Rv&#10;Yy54bWxQSwUGAAAAAAYABgBZAQAAkwUAAAAA&#10;">
                        <v:fill on="f" focussize="0,0"/>
                        <v:stroke color="#000000" joinstyle="round" endarrow="block"/>
                        <v:imagedata o:title=""/>
                        <o:lock v:ext="edit" aspectratio="f"/>
                      </v:shape>
                      <v:shape id="文本框 355" o:spid="_x0000_s1026" o:spt="202" type="#_x0000_t202" style="position:absolute;left:3582670;top:1684655;height:247650;width:404495;" fillcolor="#FFFFFF" filled="t" stroked="f" coordsize="21600,21600" o:gfxdata="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8PzJA1QAAAAgBAAAPAAAAAAAAAAEAIAAAACIAAABkcnMv&#10;ZG93bnJldi54bWxQSwECFAAUAAAACACHTuJAvlvC1c0BAAB5AwAADgAAAAAAAAABACAAAAAkAQAA&#10;ZHJzL2Uyb0RvYy54bWxQSwUGAAAAAAYABgBZAQAAYwUAAAAA&#10;">
                        <v:fill on="t" opacity="0f" focussize="0,0"/>
                        <v:stroke on="f"/>
                        <v:imagedata o:title=""/>
                        <o:lock v:ext="edit" aspectratio="f"/>
                        <v:textbox inset="0mm,0mm,0mm,0mm">
                          <w:txbxContent>
                            <w:p>
                              <w:pPr>
                                <w:ind w:firstLine="0" w:firstLineChars="0"/>
                                <w:rPr>
                                  <w:rFonts w:hint="default" w:eastAsia="仿宋_GB2312"/>
                                  <w:sz w:val="21"/>
                                  <w:szCs w:val="21"/>
                                  <w:lang w:val="en-US" w:eastAsia="zh-CN"/>
                                </w:rPr>
                              </w:pPr>
                              <w:r>
                                <w:rPr>
                                  <w:rFonts w:hint="eastAsia" w:eastAsia="仿宋_GB2312"/>
                                  <w:sz w:val="21"/>
                                  <w:szCs w:val="21"/>
                                  <w:lang w:val="en-US" w:eastAsia="zh-CN"/>
                                </w:rPr>
                                <w:t>1228.3</w:t>
                              </w:r>
                            </w:p>
                          </w:txbxContent>
                        </v:textbox>
                      </v:shape>
                      <v:shape id="直接箭头连接符 356" o:spid="_x0000_s1026" o:spt="32" type="#_x0000_t32" style="position:absolute;left:2004011;top:573409;height:0;width:409602;" filled="f" stroked="t" coordsize="21600,21600" o:gfxdata="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2nlrLNkAAAAIAQAADwAAAAAAAAABACAAAAAiAAAAZHJzL2Rvd25yZXYu&#10;eG1sUEsBAhQAFAAAAAgAh07iQD7xMMf6AQAAsAMAAA4AAAAAAAAAAQAgAAAAKAEAAGRycy9lMm9E&#10;b2MueG1sUEsFBgAAAAAGAAYAWQEAAJQFAAAAAA==&#10;">
                        <v:fill on="f" focussize="0,0"/>
                        <v:stroke color="#000000" joinstyle="round" endarrow="block"/>
                        <v:imagedata o:title=""/>
                        <o:lock v:ext="edit" aspectratio="f"/>
                      </v:shape>
                      <v:shape id="文本框 357" o:spid="_x0000_s1026" o:spt="202" type="#_x0000_t202" style="position:absolute;left:2446613;top:465407;height:215303;width:795704;" fillcolor="#FFFFFF" filled="t" stroked="t" coordsize="21600,21600" o:gfxdata="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VSEbTXAAAACAEAAA8AAAAAAAAAAQAgAAAA&#10;IgAAAGRycy9kb3ducmV2LnhtbFBLAQIUABQAAAAIAIdO4kDFzcrxDAIAABoEAAAOAAAAAAAAAAEA&#10;IAAAACYBAABkcnMvZTJvRG9jLnhtbFBLBQYAAAAABgAGAFkBAACkBQAAAAA=&#10;">
                        <v:fill on="t" focussize="0,0"/>
                        <v:stroke color="#000000" joinstyle="miter"/>
                        <v:imagedata o:title=""/>
                        <o:lock v:ext="edit" aspectratio="f"/>
                        <v:textbox inset="0mm,0mm,0mm,0mm">
                          <w:txbxContent>
                            <w:p>
                              <w:pPr>
                                <w:ind w:firstLine="0" w:firstLineChars="0"/>
                                <w:jc w:val="center"/>
                                <w:rPr>
                                  <w:rFonts w:ascii="宋体" w:hAnsi="宋体"/>
                                  <w:sz w:val="21"/>
                                  <w:szCs w:val="21"/>
                                </w:rPr>
                              </w:pPr>
                              <w:r>
                                <w:rPr>
                                  <w:rFonts w:hint="eastAsia" w:ascii="宋体" w:hAnsi="宋体"/>
                                  <w:sz w:val="21"/>
                                  <w:szCs w:val="21"/>
                                </w:rPr>
                                <w:t>初期雨水</w:t>
                              </w:r>
                            </w:p>
                          </w:txbxContent>
                        </v:textbox>
                      </v:shape>
                      <v:shape id="直接箭头连接符 358" o:spid="_x0000_s1026" o:spt="32" type="#_x0000_t32" style="position:absolute;left:2851715;top:697210;height:530808;width:0;" filled="f" stroked="t" coordsize="21600,21600" o:gfxdata="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2nlrLNkAAAAIAQAADwAAAAAAAAABACAAAAAiAAAAZHJzL2Rvd25yZXYu&#10;eG1sUEsBAhQAFAAAAAgAh07iQM3O4C76AQAAsAMAAA4AAAAAAAAAAQAgAAAAKAEAAGRycy9lMm9E&#10;b2MueG1sUEsFBgAAAAAGAAYAWQEAAJQFAAAAAA==&#10;">
                        <v:fill on="f" focussize="0,0"/>
                        <v:stroke color="#000000" joinstyle="round" endarrow="block"/>
                        <v:imagedata o:title=""/>
                        <o:lock v:ext="edit" aspectratio="f"/>
                      </v:shape>
                      <v:shape id="文本框 359" o:spid="_x0000_s1026" o:spt="202" type="#_x0000_t202" style="position:absolute;left:1989411;top:389206;height:203203;width:457202;" fillcolor="#FFFFFF" filled="t" stroked="f" coordsize="21600,21600" o:gfxdata="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w/MkDVAAAACAEAAA8AAAAAAAAAAQAgAAAAIgAAAGRycy9k&#10;b3ducmV2LnhtbFBLAQIUABQAAAAIAIdO4kCcNkyRzAEAAHgDAAAOAAAAAAAAAAEAIAAAACQBAABk&#10;cnMvZTJvRG9jLnhtbFBLBQYAAAAABgAGAFkBAABiBQAAAAA=&#10;">
                        <v:fill on="t" opacity="0f" focussize="0,0"/>
                        <v:stroke on="f"/>
                        <v:imagedata o:title=""/>
                        <o:lock v:ext="edit" aspectratio="f"/>
                        <v:textbox inset="0mm,0mm,0mm,0mm">
                          <w:txbxContent>
                            <w:p>
                              <w:pPr>
                                <w:ind w:firstLine="0" w:firstLineChars="0"/>
                                <w:jc w:val="center"/>
                                <w:rPr>
                                  <w:rFonts w:hint="default" w:eastAsia="宋体"/>
                                  <w:sz w:val="21"/>
                                  <w:szCs w:val="21"/>
                                  <w:lang w:val="en-US" w:eastAsia="zh-CN"/>
                                </w:rPr>
                              </w:pPr>
                              <w:r>
                                <w:rPr>
                                  <w:rFonts w:hint="eastAsia" w:hAnsi="宋体"/>
                                  <w:sz w:val="21"/>
                                  <w:szCs w:val="21"/>
                                  <w:lang w:val="en-US" w:eastAsia="zh-CN"/>
                                </w:rPr>
                                <w:t>280.3</w:t>
                              </w:r>
                            </w:p>
                          </w:txbxContent>
                        </v:textbox>
                      </v:shape>
                      <v:shape id="文本框 360" o:spid="_x0000_s1026" o:spt="202" type="#_x0000_t202" style="position:absolute;left:2751415;top:846413;height:203203;width:457202;" fillcolor="#FFFFFF" filled="t" stroked="f" coordsize="21600,21600" o:gfxdata="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w/MkDVAAAACAEAAA8AAAAAAAAAAQAgAAAAIgAAAGRycy9k&#10;b3ducmV2LnhtbFBLAQIUABQAAAAIAIdO4kDHDC53zAEAAHgDAAAOAAAAAAAAAAEAIAAAACQBAABk&#10;cnMvZTJvRG9jLnhtbFBLBQYAAAAABgAGAFkBAABiBQAAAAA=&#10;">
                        <v:fill on="t" opacity="0f" focussize="0,0"/>
                        <v:stroke on="f"/>
                        <v:imagedata o:title=""/>
                        <o:lock v:ext="edit" aspectratio="f"/>
                        <v:textbox inset="0mm,0mm,0mm,0mm">
                          <w:txbxContent>
                            <w:p>
                              <w:pPr>
                                <w:ind w:firstLine="0" w:firstLineChars="0"/>
                                <w:jc w:val="center"/>
                                <w:rPr>
                                  <w:rFonts w:hint="default" w:eastAsia="宋体"/>
                                  <w:sz w:val="21"/>
                                  <w:szCs w:val="21"/>
                                  <w:lang w:val="en-US" w:eastAsia="zh-CN"/>
                                </w:rPr>
                              </w:pPr>
                              <w:r>
                                <w:rPr>
                                  <w:rFonts w:hint="eastAsia" w:hAnsi="宋体"/>
                                  <w:sz w:val="21"/>
                                  <w:szCs w:val="21"/>
                                  <w:lang w:val="en-US" w:eastAsia="zh-CN"/>
                                </w:rPr>
                                <w:t>280.3</w:t>
                              </w:r>
                            </w:p>
                          </w:txbxContent>
                        </v:textbox>
                      </v:shape>
                      <v:shape id="直接箭头连接符 361" o:spid="_x0000_s1026" o:spt="32" type="#_x0000_t32" style="position:absolute;left:2050411;top:3288650;height:13400;width:642603;" filled="f" stroked="t" coordsize="21600,21600" o:gfxdata="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nlrLNkAAAAIAQAADwAAAAAAAAABACAAAAAiAAAAZHJzL2Rvd25y&#10;ZXYueG1sUEsBAhQAFAAAAAgAh07iQGkgtmL9AQAAtQMAAA4AAAAAAAAAAQAgAAAAKAEAAGRycy9l&#10;Mm9Eb2MueG1sUEsFBgAAAAAGAAYAWQEAAJcFAAAAAA==&#10;">
                        <v:fill on="f" focussize="0,0"/>
                        <v:stroke color="#000000" joinstyle="round" endarrow="block"/>
                        <v:imagedata o:title=""/>
                        <o:lock v:ext="edit" aspectratio="f"/>
                      </v:shape>
                      <v:shape id="文本框 362" o:spid="_x0000_s1026" o:spt="202" type="#_x0000_t202" style="position:absolute;left:2691114;top:3184548;height:215203;width:795604;" fillcolor="#FFFFFF" filled="t" stroked="t" coordsize="21600,21600" o:gfxdata="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VSEbTXAAAACAEAAA8AAAAAAAAAAQAgAAAA&#10;IgAAAGRycy9kb3ducmV2LnhtbFBLAQIUABQAAAAIAIdO4kB1ZsjBDAIAABsEAAAOAAAAAAAAAAEA&#10;IAAAACYBAABkcnMvZTJvRG9jLnhtbFBLBQYAAAAABgAGAFkBAACkBQAAAAA=&#10;">
                        <v:fill on="t" focussize="0,0"/>
                        <v:stroke color="#000000" joinstyle="miter"/>
                        <v:imagedata o:title=""/>
                        <o:lock v:ext="edit" aspectratio="f"/>
                        <v:textbox inset="0mm,0mm,0mm,0mm">
                          <w:txbxContent>
                            <w:p>
                              <w:pPr>
                                <w:ind w:firstLine="0" w:firstLineChars="0"/>
                                <w:jc w:val="center"/>
                                <w:rPr>
                                  <w:rFonts w:ascii="宋体" w:hAnsi="宋体"/>
                                  <w:sz w:val="21"/>
                                  <w:szCs w:val="21"/>
                                </w:rPr>
                              </w:pPr>
                              <w:r>
                                <w:rPr>
                                  <w:rFonts w:hint="eastAsia" w:ascii="宋体" w:hAnsi="宋体"/>
                                  <w:sz w:val="21"/>
                                  <w:szCs w:val="21"/>
                                </w:rPr>
                                <w:t>进入产品</w:t>
                              </w:r>
                            </w:p>
                          </w:txbxContent>
                        </v:textbox>
                      </v:shape>
                      <v:shape id="文本框 363" o:spid="_x0000_s1026" o:spt="202" type="#_x0000_t202" style="position:absolute;left:2094211;top:3098147;height:212103;width:459102;" fillcolor="#FFFFFF" filled="t" stroked="f" coordsize="21600,21600" o:gfxdata="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&#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w/MkDVAAAACAEAAA8AAAAAAAAAAQAgAAAAIgAAAGRy&#10;cy9kb3ducmV2LnhtbFBLAQIUABQAAAAIAIdO4kB8xskKzwEAAHkDAAAOAAAAAAAAAAEAIAAAACQB&#10;AABkcnMvZTJvRG9jLnhtbFBLBQYAAAAABgAGAFkBAABlBQAAAAA=&#10;">
                        <v:fill on="t" opacity="0f" focussize="0,0"/>
                        <v:stroke on="f"/>
                        <v:imagedata o:title=""/>
                        <o:lock v:ext="edit" aspectratio="f"/>
                        <v:textbox inset="0mm,0mm,0mm,0mm">
                          <w:txbxContent>
                            <w:p>
                              <w:pPr>
                                <w:ind w:firstLine="0" w:firstLineChars="0"/>
                                <w:jc w:val="center"/>
                                <w:rPr>
                                  <w:sz w:val="21"/>
                                  <w:szCs w:val="21"/>
                                </w:rPr>
                              </w:pPr>
                              <w:r>
                                <w:rPr>
                                  <w:rFonts w:hint="eastAsia" w:hAnsi="宋体"/>
                                  <w:sz w:val="21"/>
                                  <w:szCs w:val="21"/>
                                </w:rPr>
                                <w:t>12</w:t>
                              </w:r>
                            </w:p>
                          </w:txbxContent>
                        </v:textbox>
                      </v:shape>
                      <w10:wrap type="topAndBottom"/>
                    </v:group>
                  </w:pict>
                </mc:Fallback>
              </mc:AlternateContent>
            </w:r>
            <w:r>
              <w:rPr>
                <w:rFonts w:hint="default" w:ascii="Times New Roman" w:hAnsi="Times New Roman" w:eastAsia="宋体" w:cs="Times New Roman"/>
                <w:color w:val="auto"/>
                <w:sz w:val="21"/>
                <w:szCs w:val="21"/>
              </w:rPr>
              <w:t>图5</w:t>
            </w:r>
            <w:r>
              <w:rPr>
                <w:rFonts w:hint="eastAsia" w:cs="Times New Roman"/>
                <w:color w:val="auto"/>
                <w:sz w:val="21"/>
                <w:szCs w:val="21"/>
                <w:lang w:val="en-US" w:eastAsia="zh-CN"/>
              </w:rPr>
              <w:t>.2.6</w:t>
            </w:r>
            <w:r>
              <w:rPr>
                <w:rFonts w:hint="default" w:ascii="Times New Roman" w:hAnsi="Times New Roman" w:eastAsia="宋体" w:cs="Times New Roman"/>
                <w:color w:val="auto"/>
                <w:sz w:val="21"/>
                <w:szCs w:val="21"/>
              </w:rPr>
              <w:t>-</w:t>
            </w:r>
            <w:r>
              <w:rPr>
                <w:rFonts w:hint="eastAsia" w:cs="Times New Roman"/>
                <w:color w:val="auto"/>
                <w:sz w:val="21"/>
                <w:szCs w:val="21"/>
                <w:lang w:val="en-US" w:eastAsia="zh-CN"/>
              </w:rPr>
              <w:t>1</w:t>
            </w:r>
            <w:r>
              <w:rPr>
                <w:rFonts w:hint="default" w:ascii="Times New Roman" w:hAnsi="Times New Roman" w:eastAsia="宋体" w:cs="Times New Roman"/>
                <w:color w:val="auto"/>
                <w:sz w:val="21"/>
                <w:szCs w:val="21"/>
              </w:rPr>
              <w:t>本项目水平衡图（t/a）</w:t>
            </w:r>
          </w:p>
          <w:p>
            <w:pPr>
              <w:spacing w:line="460" w:lineRule="exact"/>
              <w:ind w:firstLine="434" w:firstLineChars="180"/>
              <w:rPr>
                <w:rFonts w:hint="default" w:ascii="Times New Roman" w:hAnsi="Times New Roman" w:eastAsia="宋体" w:cs="Times New Roman"/>
                <w:b/>
                <w:color w:val="auto"/>
                <w:sz w:val="24"/>
                <w:szCs w:val="24"/>
              </w:rPr>
            </w:pPr>
            <w:r>
              <w:rPr>
                <w:rFonts w:hint="eastAsia" w:cs="Times New Roman"/>
                <w:b/>
                <w:color w:val="auto"/>
                <w:sz w:val="24"/>
                <w:szCs w:val="24"/>
                <w:lang w:val="en-US" w:eastAsia="zh-CN"/>
              </w:rPr>
              <w:t>2.</w:t>
            </w:r>
            <w:r>
              <w:rPr>
                <w:rFonts w:hint="default" w:ascii="Times New Roman" w:hAnsi="Times New Roman" w:eastAsia="宋体" w:cs="Times New Roman"/>
                <w:b/>
                <w:color w:val="auto"/>
                <w:sz w:val="24"/>
                <w:szCs w:val="24"/>
              </w:rPr>
              <w:t>3</w:t>
            </w:r>
            <w:r>
              <w:rPr>
                <w:rFonts w:hint="eastAsia" w:cs="Times New Roman"/>
                <w:b/>
                <w:color w:val="auto"/>
                <w:sz w:val="24"/>
                <w:szCs w:val="24"/>
                <w:lang w:val="en-US" w:eastAsia="zh-CN"/>
              </w:rPr>
              <w:t>.</w:t>
            </w:r>
            <w:r>
              <w:rPr>
                <w:rFonts w:hint="default" w:ascii="Times New Roman" w:hAnsi="Times New Roman" w:eastAsia="宋体" w:cs="Times New Roman"/>
                <w:b/>
                <w:color w:val="auto"/>
                <w:sz w:val="24"/>
                <w:szCs w:val="24"/>
              </w:rPr>
              <w:t>噪声污染源源强分析</w:t>
            </w:r>
          </w:p>
          <w:p>
            <w:pPr>
              <w:ind w:firstLine="480"/>
              <w:rPr>
                <w:rFonts w:hint="default" w:ascii="Times New Roman" w:hAnsi="Times New Roman" w:eastAsia="宋体" w:cs="Times New Roman"/>
                <w:color w:val="auto"/>
                <w:szCs w:val="24"/>
              </w:rPr>
            </w:pPr>
            <w:r>
              <w:rPr>
                <w:rFonts w:hint="default" w:ascii="Times New Roman" w:hAnsi="Times New Roman" w:eastAsia="宋体" w:cs="Times New Roman"/>
                <w:color w:val="auto"/>
                <w:sz w:val="24"/>
                <w:szCs w:val="24"/>
              </w:rPr>
              <w:t>建设项目主要噪声源为拌和楼、风机等设备，源强在70-90dB（A），建设项目各噪声污染源强见表5</w:t>
            </w:r>
            <w:r>
              <w:rPr>
                <w:rFonts w:hint="eastAsia" w:cs="Times New Roman"/>
                <w:color w:val="auto"/>
                <w:sz w:val="24"/>
                <w:szCs w:val="24"/>
                <w:lang w:val="en-US" w:eastAsia="zh-CN"/>
              </w:rPr>
              <w:t>.2.6</w:t>
            </w:r>
            <w:r>
              <w:rPr>
                <w:rFonts w:hint="default" w:ascii="Times New Roman" w:hAnsi="Times New Roman" w:eastAsia="宋体" w:cs="Times New Roman"/>
                <w:color w:val="auto"/>
                <w:sz w:val="24"/>
                <w:szCs w:val="24"/>
              </w:rPr>
              <w:t>-12</w:t>
            </w:r>
            <w:r>
              <w:rPr>
                <w:rFonts w:hint="default" w:ascii="Times New Roman" w:hAnsi="Times New Roman" w:eastAsia="宋体" w:cs="Times New Roman"/>
                <w:color w:val="auto"/>
                <w:szCs w:val="24"/>
              </w:rPr>
              <w:t>。</w:t>
            </w:r>
          </w:p>
          <w:p>
            <w:pPr>
              <w:spacing w:line="24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表5</w:t>
            </w:r>
            <w:r>
              <w:rPr>
                <w:rFonts w:hint="eastAsia" w:cs="Times New Roman"/>
                <w:b/>
                <w:bCs/>
                <w:color w:val="auto"/>
                <w:sz w:val="21"/>
                <w:szCs w:val="21"/>
                <w:lang w:val="en-US" w:eastAsia="zh-CN"/>
              </w:rPr>
              <w:t>.2.6</w:t>
            </w:r>
            <w:r>
              <w:rPr>
                <w:rFonts w:hint="default" w:ascii="Times New Roman" w:hAnsi="Times New Roman" w:eastAsia="宋体" w:cs="Times New Roman"/>
                <w:b/>
                <w:bCs/>
                <w:color w:val="auto"/>
                <w:sz w:val="21"/>
                <w:szCs w:val="21"/>
              </w:rPr>
              <w:t>-12  建设项目噪声源源强</w:t>
            </w:r>
          </w:p>
          <w:tbl>
            <w:tblPr>
              <w:tblStyle w:val="43"/>
              <w:tblW w:w="896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659"/>
              <w:gridCol w:w="710"/>
              <w:gridCol w:w="1239"/>
              <w:gridCol w:w="1093"/>
              <w:gridCol w:w="1307"/>
              <w:gridCol w:w="1074"/>
              <w:gridCol w:w="118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91" w:type="dxa"/>
                  <w:vAlign w:val="center"/>
                </w:tcPr>
                <w:p>
                  <w:pPr>
                    <w:pStyle w:val="24"/>
                    <w:spacing w:line="240" w:lineRule="auto"/>
                    <w:ind w:firstLine="0" w:firstLineChars="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序号</w:t>
                  </w:r>
                </w:p>
              </w:tc>
              <w:tc>
                <w:tcPr>
                  <w:tcW w:w="1659" w:type="dxa"/>
                  <w:vAlign w:val="center"/>
                </w:tcPr>
                <w:p>
                  <w:pPr>
                    <w:pStyle w:val="24"/>
                    <w:spacing w:line="240" w:lineRule="auto"/>
                    <w:ind w:firstLine="0" w:firstLineChars="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污染源名称</w:t>
                  </w:r>
                </w:p>
              </w:tc>
              <w:tc>
                <w:tcPr>
                  <w:tcW w:w="710" w:type="dxa"/>
                  <w:vAlign w:val="center"/>
                </w:tcPr>
                <w:p>
                  <w:pPr>
                    <w:pStyle w:val="24"/>
                    <w:spacing w:line="240" w:lineRule="auto"/>
                    <w:ind w:firstLine="0" w:firstLineChars="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数量</w:t>
                  </w:r>
                </w:p>
              </w:tc>
              <w:tc>
                <w:tcPr>
                  <w:tcW w:w="1239" w:type="dxa"/>
                  <w:vAlign w:val="center"/>
                </w:tcPr>
                <w:p>
                  <w:pPr>
                    <w:pStyle w:val="24"/>
                    <w:spacing w:line="240" w:lineRule="auto"/>
                    <w:ind w:firstLine="0" w:firstLineChars="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等效声级（dB(A)）</w:t>
                  </w:r>
                </w:p>
              </w:tc>
              <w:tc>
                <w:tcPr>
                  <w:tcW w:w="1093" w:type="dxa"/>
                  <w:vAlign w:val="center"/>
                </w:tcPr>
                <w:p>
                  <w:pPr>
                    <w:pStyle w:val="24"/>
                    <w:spacing w:line="240" w:lineRule="auto"/>
                    <w:ind w:firstLine="0" w:firstLineChars="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位置</w:t>
                  </w:r>
                </w:p>
              </w:tc>
              <w:tc>
                <w:tcPr>
                  <w:tcW w:w="1307" w:type="dxa"/>
                  <w:vAlign w:val="center"/>
                </w:tcPr>
                <w:p>
                  <w:pPr>
                    <w:pStyle w:val="24"/>
                    <w:spacing w:line="240" w:lineRule="auto"/>
                    <w:ind w:firstLine="0" w:firstLineChars="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距厂界最近距离（m）</w:t>
                  </w:r>
                </w:p>
              </w:tc>
              <w:tc>
                <w:tcPr>
                  <w:tcW w:w="1074" w:type="dxa"/>
                  <w:vAlign w:val="center"/>
                </w:tcPr>
                <w:p>
                  <w:pPr>
                    <w:pStyle w:val="24"/>
                    <w:spacing w:line="240" w:lineRule="auto"/>
                    <w:ind w:firstLine="0" w:firstLineChars="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治理措施</w:t>
                  </w:r>
                </w:p>
              </w:tc>
              <w:tc>
                <w:tcPr>
                  <w:tcW w:w="1187" w:type="dxa"/>
                  <w:vAlign w:val="center"/>
                </w:tcPr>
                <w:p>
                  <w:pPr>
                    <w:pStyle w:val="24"/>
                    <w:spacing w:line="240" w:lineRule="auto"/>
                    <w:ind w:firstLine="0" w:firstLineChars="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降噪效果（dB(A)）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91" w:type="dxa"/>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p>
              </w:tc>
              <w:tc>
                <w:tcPr>
                  <w:tcW w:w="1659" w:type="dxa"/>
                  <w:vAlign w:val="center"/>
                </w:tcPr>
                <w:p>
                  <w:pPr>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Cs/>
                      <w:color w:val="auto"/>
                      <w:sz w:val="21"/>
                      <w:szCs w:val="21"/>
                    </w:rPr>
                    <w:t>拌和楼</w:t>
                  </w:r>
                </w:p>
              </w:tc>
              <w:tc>
                <w:tcPr>
                  <w:tcW w:w="710" w:type="dxa"/>
                  <w:vAlign w:val="center"/>
                </w:tcPr>
                <w:p>
                  <w:pPr>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Cs/>
                      <w:color w:val="auto"/>
                      <w:sz w:val="21"/>
                      <w:szCs w:val="21"/>
                    </w:rPr>
                    <w:t>1</w:t>
                  </w:r>
                </w:p>
              </w:tc>
              <w:tc>
                <w:tcPr>
                  <w:tcW w:w="1239" w:type="dxa"/>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85-90</w:t>
                  </w:r>
                </w:p>
              </w:tc>
              <w:tc>
                <w:tcPr>
                  <w:tcW w:w="1093" w:type="dxa"/>
                  <w:vMerge w:val="restart"/>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生产车间</w:t>
                  </w:r>
                </w:p>
              </w:tc>
              <w:tc>
                <w:tcPr>
                  <w:tcW w:w="1307" w:type="dxa"/>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w:t>
                  </w:r>
                </w:p>
              </w:tc>
              <w:tc>
                <w:tcPr>
                  <w:tcW w:w="1074" w:type="dxa"/>
                  <w:vMerge w:val="restart"/>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隔声、减震、距离衰减、厂房隔声</w:t>
                  </w:r>
                </w:p>
              </w:tc>
              <w:tc>
                <w:tcPr>
                  <w:tcW w:w="1187" w:type="dxa"/>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91" w:type="dxa"/>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w:t>
                  </w:r>
                </w:p>
              </w:tc>
              <w:tc>
                <w:tcPr>
                  <w:tcW w:w="1659"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装载机</w:t>
                  </w:r>
                </w:p>
              </w:tc>
              <w:tc>
                <w:tcPr>
                  <w:tcW w:w="710"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239" w:type="dxa"/>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75-85</w:t>
                  </w:r>
                </w:p>
              </w:tc>
              <w:tc>
                <w:tcPr>
                  <w:tcW w:w="1093" w:type="dxa"/>
                  <w:vMerge w:val="continue"/>
                  <w:vAlign w:val="center"/>
                </w:tcPr>
                <w:p>
                  <w:pPr>
                    <w:pStyle w:val="24"/>
                    <w:spacing w:line="240" w:lineRule="auto"/>
                    <w:ind w:firstLine="0" w:firstLineChars="0"/>
                    <w:jc w:val="center"/>
                    <w:rPr>
                      <w:rFonts w:hint="default" w:ascii="Times New Roman" w:hAnsi="Times New Roman" w:eastAsia="宋体" w:cs="Times New Roman"/>
                      <w:color w:val="auto"/>
                      <w:szCs w:val="21"/>
                    </w:rPr>
                  </w:pPr>
                </w:p>
              </w:tc>
              <w:tc>
                <w:tcPr>
                  <w:tcW w:w="1307" w:type="dxa"/>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w:t>
                  </w:r>
                </w:p>
              </w:tc>
              <w:tc>
                <w:tcPr>
                  <w:tcW w:w="1074" w:type="dxa"/>
                  <w:vMerge w:val="continue"/>
                  <w:vAlign w:val="center"/>
                </w:tcPr>
                <w:p>
                  <w:pPr>
                    <w:pStyle w:val="24"/>
                    <w:spacing w:line="240" w:lineRule="auto"/>
                    <w:ind w:firstLine="0" w:firstLineChars="0"/>
                    <w:jc w:val="center"/>
                    <w:rPr>
                      <w:rFonts w:hint="default" w:ascii="Times New Roman" w:hAnsi="Times New Roman" w:eastAsia="宋体" w:cs="Times New Roman"/>
                      <w:color w:val="auto"/>
                      <w:szCs w:val="21"/>
                    </w:rPr>
                  </w:pPr>
                </w:p>
              </w:tc>
              <w:tc>
                <w:tcPr>
                  <w:tcW w:w="1187" w:type="dxa"/>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91" w:type="dxa"/>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w:t>
                  </w:r>
                </w:p>
              </w:tc>
              <w:tc>
                <w:tcPr>
                  <w:tcW w:w="1659" w:type="dxa"/>
                  <w:vAlign w:val="center"/>
                </w:tcPr>
                <w:p>
                  <w:pPr>
                    <w:spacing w:line="320" w:lineRule="exact"/>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沥青罐</w:t>
                  </w:r>
                </w:p>
              </w:tc>
              <w:tc>
                <w:tcPr>
                  <w:tcW w:w="710" w:type="dxa"/>
                  <w:vAlign w:val="center"/>
                </w:tcPr>
                <w:p>
                  <w:pPr>
                    <w:spacing w:line="320" w:lineRule="exact"/>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5</w:t>
                  </w:r>
                </w:p>
              </w:tc>
              <w:tc>
                <w:tcPr>
                  <w:tcW w:w="1239" w:type="dxa"/>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70-75</w:t>
                  </w:r>
                </w:p>
              </w:tc>
              <w:tc>
                <w:tcPr>
                  <w:tcW w:w="1093" w:type="dxa"/>
                  <w:vMerge w:val="continue"/>
                </w:tcPr>
                <w:p>
                  <w:pPr>
                    <w:pStyle w:val="24"/>
                    <w:spacing w:line="240" w:lineRule="auto"/>
                    <w:ind w:firstLine="0" w:firstLineChars="0"/>
                    <w:jc w:val="center"/>
                    <w:rPr>
                      <w:rFonts w:hint="default" w:ascii="Times New Roman" w:hAnsi="Times New Roman" w:eastAsia="宋体" w:cs="Times New Roman"/>
                      <w:color w:val="auto"/>
                      <w:szCs w:val="21"/>
                    </w:rPr>
                  </w:pPr>
                </w:p>
              </w:tc>
              <w:tc>
                <w:tcPr>
                  <w:tcW w:w="1307" w:type="dxa"/>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w:t>
                  </w:r>
                </w:p>
              </w:tc>
              <w:tc>
                <w:tcPr>
                  <w:tcW w:w="1074" w:type="dxa"/>
                  <w:vMerge w:val="continue"/>
                </w:tcPr>
                <w:p>
                  <w:pPr>
                    <w:pStyle w:val="24"/>
                    <w:spacing w:line="240" w:lineRule="auto"/>
                    <w:ind w:firstLine="0" w:firstLineChars="0"/>
                    <w:jc w:val="center"/>
                    <w:rPr>
                      <w:rFonts w:hint="default" w:ascii="Times New Roman" w:hAnsi="Times New Roman" w:eastAsia="宋体" w:cs="Times New Roman"/>
                      <w:color w:val="auto"/>
                      <w:szCs w:val="21"/>
                    </w:rPr>
                  </w:pPr>
                </w:p>
              </w:tc>
              <w:tc>
                <w:tcPr>
                  <w:tcW w:w="1187" w:type="dxa"/>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91" w:type="dxa"/>
                </w:tcPr>
                <w:p>
                  <w:pPr>
                    <w:pStyle w:val="24"/>
                    <w:spacing w:line="240" w:lineRule="auto"/>
                    <w:ind w:firstLine="0" w:firstLineChars="0"/>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val="en-US" w:eastAsia="zh-CN"/>
                    </w:rPr>
                    <w:t>4</w:t>
                  </w:r>
                </w:p>
              </w:tc>
              <w:tc>
                <w:tcPr>
                  <w:tcW w:w="1659" w:type="dxa"/>
                  <w:vAlign w:val="center"/>
                </w:tcPr>
                <w:p>
                  <w:pPr>
                    <w:spacing w:line="320" w:lineRule="exact"/>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乳化沥青设备</w:t>
                  </w:r>
                </w:p>
              </w:tc>
              <w:tc>
                <w:tcPr>
                  <w:tcW w:w="710" w:type="dxa"/>
                  <w:vAlign w:val="center"/>
                </w:tcPr>
                <w:p>
                  <w:pPr>
                    <w:spacing w:line="320" w:lineRule="exact"/>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1239" w:type="dxa"/>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80-85</w:t>
                  </w:r>
                </w:p>
              </w:tc>
              <w:tc>
                <w:tcPr>
                  <w:tcW w:w="1093" w:type="dxa"/>
                  <w:vMerge w:val="continue"/>
                </w:tcPr>
                <w:p>
                  <w:pPr>
                    <w:pStyle w:val="24"/>
                    <w:spacing w:line="240" w:lineRule="auto"/>
                    <w:ind w:firstLine="0" w:firstLineChars="0"/>
                    <w:jc w:val="center"/>
                    <w:rPr>
                      <w:rFonts w:hint="default" w:ascii="Times New Roman" w:hAnsi="Times New Roman" w:eastAsia="宋体" w:cs="Times New Roman"/>
                      <w:color w:val="auto"/>
                      <w:szCs w:val="21"/>
                    </w:rPr>
                  </w:pPr>
                </w:p>
              </w:tc>
              <w:tc>
                <w:tcPr>
                  <w:tcW w:w="1307" w:type="dxa"/>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w:t>
                  </w:r>
                </w:p>
              </w:tc>
              <w:tc>
                <w:tcPr>
                  <w:tcW w:w="1074" w:type="dxa"/>
                  <w:vMerge w:val="continue"/>
                </w:tcPr>
                <w:p>
                  <w:pPr>
                    <w:pStyle w:val="24"/>
                    <w:spacing w:line="240" w:lineRule="auto"/>
                    <w:ind w:firstLine="0" w:firstLineChars="0"/>
                    <w:jc w:val="center"/>
                    <w:rPr>
                      <w:rFonts w:hint="default" w:ascii="Times New Roman" w:hAnsi="Times New Roman" w:eastAsia="宋体" w:cs="Times New Roman"/>
                      <w:color w:val="auto"/>
                      <w:szCs w:val="21"/>
                    </w:rPr>
                  </w:pPr>
                </w:p>
              </w:tc>
              <w:tc>
                <w:tcPr>
                  <w:tcW w:w="1187" w:type="dxa"/>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91" w:type="dxa"/>
                </w:tcPr>
                <w:p>
                  <w:pPr>
                    <w:pStyle w:val="24"/>
                    <w:spacing w:line="240" w:lineRule="auto"/>
                    <w:ind w:firstLine="0" w:firstLineChars="0"/>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val="en-US" w:eastAsia="zh-CN"/>
                    </w:rPr>
                    <w:t>5</w:t>
                  </w:r>
                </w:p>
              </w:tc>
              <w:tc>
                <w:tcPr>
                  <w:tcW w:w="1659" w:type="dxa"/>
                  <w:vAlign w:val="center"/>
                </w:tcPr>
                <w:p>
                  <w:pPr>
                    <w:spacing w:line="320" w:lineRule="exact"/>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锅炉</w:t>
                  </w:r>
                </w:p>
              </w:tc>
              <w:tc>
                <w:tcPr>
                  <w:tcW w:w="710" w:type="dxa"/>
                  <w:vAlign w:val="center"/>
                </w:tcPr>
                <w:p>
                  <w:pPr>
                    <w:spacing w:line="320" w:lineRule="exact"/>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1239" w:type="dxa"/>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80-85</w:t>
                  </w:r>
                </w:p>
              </w:tc>
              <w:tc>
                <w:tcPr>
                  <w:tcW w:w="1093" w:type="dxa"/>
                  <w:vMerge w:val="continue"/>
                </w:tcPr>
                <w:p>
                  <w:pPr>
                    <w:pStyle w:val="24"/>
                    <w:spacing w:line="240" w:lineRule="auto"/>
                    <w:ind w:firstLine="0" w:firstLineChars="0"/>
                    <w:jc w:val="center"/>
                    <w:rPr>
                      <w:rFonts w:hint="default" w:ascii="Times New Roman" w:hAnsi="Times New Roman" w:eastAsia="宋体" w:cs="Times New Roman"/>
                      <w:color w:val="auto"/>
                      <w:szCs w:val="21"/>
                    </w:rPr>
                  </w:pPr>
                </w:p>
              </w:tc>
              <w:tc>
                <w:tcPr>
                  <w:tcW w:w="1307" w:type="dxa"/>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w:t>
                  </w:r>
                </w:p>
              </w:tc>
              <w:tc>
                <w:tcPr>
                  <w:tcW w:w="1074" w:type="dxa"/>
                  <w:vMerge w:val="continue"/>
                </w:tcPr>
                <w:p>
                  <w:pPr>
                    <w:pStyle w:val="24"/>
                    <w:spacing w:line="240" w:lineRule="auto"/>
                    <w:ind w:firstLine="0" w:firstLineChars="0"/>
                    <w:jc w:val="center"/>
                    <w:rPr>
                      <w:rFonts w:hint="default" w:ascii="Times New Roman" w:hAnsi="Times New Roman" w:eastAsia="宋体" w:cs="Times New Roman"/>
                      <w:color w:val="auto"/>
                      <w:szCs w:val="21"/>
                    </w:rPr>
                  </w:pPr>
                </w:p>
              </w:tc>
              <w:tc>
                <w:tcPr>
                  <w:tcW w:w="1187" w:type="dxa"/>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91" w:type="dxa"/>
                </w:tcPr>
                <w:p>
                  <w:pPr>
                    <w:pStyle w:val="24"/>
                    <w:spacing w:line="240" w:lineRule="auto"/>
                    <w:ind w:firstLine="0" w:firstLineChars="0"/>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val="en-US" w:eastAsia="zh-CN"/>
                    </w:rPr>
                    <w:t>6</w:t>
                  </w:r>
                </w:p>
              </w:tc>
              <w:tc>
                <w:tcPr>
                  <w:tcW w:w="1659" w:type="dxa"/>
                  <w:vAlign w:val="center"/>
                </w:tcPr>
                <w:p>
                  <w:pPr>
                    <w:widowControl/>
                    <w:spacing w:line="240" w:lineRule="auto"/>
                    <w:ind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风机</w:t>
                  </w:r>
                </w:p>
              </w:tc>
              <w:tc>
                <w:tcPr>
                  <w:tcW w:w="710" w:type="dxa"/>
                  <w:vAlign w:val="center"/>
                </w:tcPr>
                <w:p>
                  <w:pPr>
                    <w:widowControl/>
                    <w:spacing w:line="240" w:lineRule="auto"/>
                    <w:ind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kern w:val="0"/>
                      <w:sz w:val="21"/>
                      <w:szCs w:val="21"/>
                    </w:rPr>
                    <w:t>1</w:t>
                  </w:r>
                </w:p>
              </w:tc>
              <w:tc>
                <w:tcPr>
                  <w:tcW w:w="1239" w:type="dxa"/>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bCs/>
                      <w:color w:val="auto"/>
                      <w:szCs w:val="21"/>
                    </w:rPr>
                    <w:t>85-90</w:t>
                  </w:r>
                </w:p>
              </w:tc>
              <w:tc>
                <w:tcPr>
                  <w:tcW w:w="1093" w:type="dxa"/>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bCs/>
                      <w:color w:val="auto"/>
                      <w:szCs w:val="21"/>
                    </w:rPr>
                    <w:t>车间外</w:t>
                  </w:r>
                </w:p>
              </w:tc>
              <w:tc>
                <w:tcPr>
                  <w:tcW w:w="1307" w:type="dxa"/>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bCs/>
                      <w:color w:val="auto"/>
                      <w:szCs w:val="21"/>
                    </w:rPr>
                    <w:t>1</w:t>
                  </w:r>
                </w:p>
              </w:tc>
              <w:tc>
                <w:tcPr>
                  <w:tcW w:w="1074" w:type="dxa"/>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bCs/>
                      <w:color w:val="auto"/>
                      <w:szCs w:val="21"/>
                    </w:rPr>
                    <w:t>减震、距离衰减</w:t>
                  </w:r>
                </w:p>
              </w:tc>
              <w:tc>
                <w:tcPr>
                  <w:tcW w:w="1187" w:type="dxa"/>
                  <w:vAlign w:val="center"/>
                </w:tcPr>
                <w:p>
                  <w:pPr>
                    <w:pStyle w:val="24"/>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bCs/>
                      <w:color w:val="auto"/>
                      <w:szCs w:val="21"/>
                    </w:rPr>
                    <w:t>3</w:t>
                  </w:r>
                </w:p>
              </w:tc>
            </w:tr>
          </w:tbl>
          <w:p>
            <w:p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为了减轻设备运行产生的噪声对周围环境的影响，建设方拟采取如下降噪措施：</w:t>
            </w:r>
          </w:p>
          <w:p>
            <w:pPr>
              <w:numPr>
                <w:ilvl w:val="0"/>
                <w:numId w:val="9"/>
              </w:num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设备选用：在满足工艺生产条件下，选用设备加工精度高、装备质量好、低噪声设备，并根据项目设备噪声、振动的产生机理，合理采取各种针对的降噪减震技术，以减小或抑制噪声与振动的产生。</w:t>
            </w:r>
          </w:p>
          <w:p>
            <w:pPr>
              <w:numPr>
                <w:ilvl w:val="0"/>
                <w:numId w:val="9"/>
              </w:num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厂区合理布局，各类设备均设置在室内，车间按封闭厂房设计。生产车间墙壁厚度至少240mm。</w:t>
            </w:r>
          </w:p>
          <w:p>
            <w:p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（3）隔绝传播途径：在生产加工过程中必须加强生产车间门、窗的密闭性，以及增加对生产设备产生噪声的隔音作用。</w:t>
            </w:r>
          </w:p>
          <w:p>
            <w:p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（4）加强管理：加强对企业操作人员的业务管理，加强设备的维护，确保设备处于良好的运转状态，杜绝因设备不正常运转时产生的高噪声现象。</w:t>
            </w:r>
          </w:p>
          <w:p>
            <w:p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（5）合理安排作业时间，夜间不得生产。</w:t>
            </w:r>
          </w:p>
          <w:p>
            <w:p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采取上述措施后，设备噪声对周围环境敏感点影响不明显。</w:t>
            </w:r>
          </w:p>
          <w:p>
            <w:pPr>
              <w:ind w:firstLine="482"/>
              <w:rPr>
                <w:rFonts w:hint="default" w:ascii="Times New Roman" w:hAnsi="Times New Roman" w:eastAsia="宋体" w:cs="Times New Roman"/>
                <w:b/>
                <w:color w:val="auto"/>
                <w:sz w:val="24"/>
                <w:szCs w:val="24"/>
              </w:rPr>
            </w:pPr>
            <w:r>
              <w:rPr>
                <w:rFonts w:hint="eastAsia" w:cs="Times New Roman"/>
                <w:b/>
                <w:color w:val="auto"/>
                <w:sz w:val="24"/>
                <w:szCs w:val="24"/>
                <w:lang w:val="en-US" w:eastAsia="zh-CN"/>
              </w:rPr>
              <w:t>2.</w:t>
            </w:r>
            <w:r>
              <w:rPr>
                <w:rFonts w:hint="default" w:ascii="Times New Roman" w:hAnsi="Times New Roman" w:eastAsia="宋体" w:cs="Times New Roman"/>
                <w:b/>
                <w:color w:val="auto"/>
                <w:sz w:val="24"/>
                <w:szCs w:val="24"/>
              </w:rPr>
              <w:t>4</w:t>
            </w:r>
            <w:r>
              <w:rPr>
                <w:rFonts w:hint="eastAsia" w:cs="Times New Roman"/>
                <w:b/>
                <w:color w:val="auto"/>
                <w:sz w:val="24"/>
                <w:szCs w:val="24"/>
                <w:lang w:val="en-US" w:eastAsia="zh-CN"/>
              </w:rPr>
              <w:t>.</w:t>
            </w:r>
            <w:r>
              <w:rPr>
                <w:rFonts w:hint="default" w:ascii="Times New Roman" w:hAnsi="Times New Roman" w:eastAsia="宋体" w:cs="Times New Roman"/>
                <w:b/>
                <w:color w:val="auto"/>
                <w:sz w:val="24"/>
                <w:szCs w:val="24"/>
              </w:rPr>
              <w:t>固体废弃物污染源源强分析</w:t>
            </w:r>
          </w:p>
          <w:p>
            <w:p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本项目营运期产生的固体废物包括废活性炭、废催化剂、废紫外线灯管、除尘灰、生活垃圾、化粪池污泥、隔油池废油脂、废矿物油、废水处理污泥、掉落沥青混凝土。</w:t>
            </w:r>
          </w:p>
          <w:p>
            <w:p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类比</w:t>
            </w:r>
            <w:r>
              <w:rPr>
                <w:rFonts w:hint="default" w:ascii="Times New Roman" w:hAnsi="Times New Roman" w:eastAsia="宋体" w:cs="Times New Roman"/>
                <w:color w:val="auto"/>
                <w:sz w:val="24"/>
                <w:szCs w:val="24"/>
              </w:rPr>
              <w:t>如皋盛丰市政工程有限公司新建沥青混凝土搅拌站项目，本项目固体废物源强计算过程如下：</w:t>
            </w:r>
          </w:p>
          <w:p>
            <w:p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（1）废活性炭</w:t>
            </w:r>
          </w:p>
          <w:p>
            <w:p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需吸附的有机废气为0.297t/a，活性炭的吸附去除率以70%计，根据《简明通风设计手册》，活性炭有效吸附量：qe=0.24kg/kg活性炭，经计算，本项目应使用活性炭量约0.866t/a，本项目活性炭填充料为0.5t/次，每半年更换一次，则本项目产生的废活性炭量为1.2t/a。对照《国家危险废物管理名录》（2016版），废活性炭属于危险废物，编号为HW49（900-041-49），由建设单位收集暂存于厂内危废库，委托有资质的单位处置。</w:t>
            </w:r>
          </w:p>
          <w:p>
            <w:pPr>
              <w:pStyle w:val="2"/>
              <w:spacing w:after="0" w:line="440" w:lineRule="exact"/>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（2）废紫外线灯管</w:t>
            </w:r>
          </w:p>
          <w:p>
            <w:pPr>
              <w:pStyle w:val="2"/>
              <w:spacing w:after="0" w:line="440" w:lineRule="exact"/>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配备一套光催化氧化装置，设备中一套灯管约20根，平均每年更换一次，每根约0.2kg，则产生的废灯管为0.004t/a，对照《国家危险废物管理名录》（2016版），废紫外线管属于危险废物，废物类别为HW29（900-023-29），由建设单位收集暂存于厂内危废库，委托有资质的单位处置。</w:t>
            </w:r>
          </w:p>
          <w:p>
            <w:pPr>
              <w:pStyle w:val="2"/>
              <w:spacing w:after="0" w:line="440" w:lineRule="exact"/>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（3）废催化剂</w:t>
            </w:r>
          </w:p>
          <w:p>
            <w:pPr>
              <w:pStyle w:val="2"/>
              <w:spacing w:after="0" w:line="440" w:lineRule="exact"/>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配备1套光催化氧化装置，光催化氧化装置配有1块催化板，每年更换1次，每块催化板约重5kg，则产生的废催化剂为0.005t/a。对照《国家危险废物管理名录》（2016版），废催化剂属于危险废物，废物类别为HW50（772-007-50），由建设单位收集暂存于厂内危废库，委托有资质的单位处置。</w:t>
            </w:r>
          </w:p>
          <w:p>
            <w:pPr>
              <w:pStyle w:val="2"/>
              <w:spacing w:after="0" w:line="440" w:lineRule="exact"/>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（4）除尘灰</w:t>
            </w:r>
          </w:p>
          <w:p>
            <w:pPr>
              <w:pStyle w:val="2"/>
              <w:spacing w:after="0" w:line="440" w:lineRule="exact"/>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项目除尘灰的产生量为</w:t>
            </w:r>
            <w:r>
              <w:rPr>
                <w:rFonts w:hint="default" w:ascii="Times New Roman" w:hAnsi="Times New Roman" w:eastAsia="宋体" w:cs="Times New Roman"/>
                <w:color w:val="auto"/>
                <w:sz w:val="24"/>
                <w:szCs w:val="24"/>
                <w:lang w:val="en-US" w:eastAsia="zh-CN"/>
              </w:rPr>
              <w:t>3.2</w:t>
            </w:r>
            <w:r>
              <w:rPr>
                <w:rFonts w:hint="default" w:ascii="Times New Roman" w:hAnsi="Times New Roman" w:eastAsia="宋体" w:cs="Times New Roman"/>
                <w:color w:val="auto"/>
                <w:sz w:val="24"/>
                <w:szCs w:val="24"/>
              </w:rPr>
              <w:t>t/a，收集后</w:t>
            </w:r>
            <w:r>
              <w:rPr>
                <w:rFonts w:hint="default" w:ascii="Times New Roman" w:hAnsi="Times New Roman" w:eastAsia="宋体" w:cs="Times New Roman"/>
                <w:color w:val="auto"/>
                <w:sz w:val="24"/>
                <w:szCs w:val="24"/>
                <w:lang w:eastAsia="zh-CN"/>
              </w:rPr>
              <w:t>回用</w:t>
            </w:r>
            <w:r>
              <w:rPr>
                <w:rFonts w:hint="default" w:ascii="Times New Roman" w:hAnsi="Times New Roman" w:eastAsia="宋体" w:cs="Times New Roman"/>
                <w:color w:val="auto"/>
                <w:sz w:val="24"/>
                <w:szCs w:val="24"/>
              </w:rPr>
              <w:t>。</w:t>
            </w:r>
          </w:p>
          <w:p>
            <w:pPr>
              <w:numPr>
                <w:ilvl w:val="0"/>
                <w:numId w:val="8"/>
              </w:numPr>
              <w:spacing w:line="460" w:lineRule="exact"/>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掉落沥青混凝土</w:t>
            </w:r>
          </w:p>
          <w:p>
            <w:pPr>
              <w:pStyle w:val="2"/>
              <w:spacing w:after="0" w:line="440" w:lineRule="exact"/>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项目沥青混凝土装车过程中可能会掉落部分沥青混凝土，产生量为1.53t/a，收集后外售，</w:t>
            </w:r>
          </w:p>
          <w:p>
            <w:pPr>
              <w:numPr>
                <w:ilvl w:val="0"/>
                <w:numId w:val="8"/>
              </w:numPr>
              <w:spacing w:line="460" w:lineRule="exact"/>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职工生活垃圾</w:t>
            </w:r>
          </w:p>
          <w:p>
            <w:p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本项目拟聘用职工16人，全年工作天数以300天计，生活垃圾产生量按1kg/人•d计，则本项目生活垃圾产生量为4.8t/a，委托环卫部门清运。</w:t>
            </w:r>
          </w:p>
          <w:p>
            <w:pPr>
              <w:ind w:firstLine="480"/>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4"/>
                <w:szCs w:val="24"/>
              </w:rPr>
              <w:t>根据《固体废物鉴别标准通则》及《江苏省建设项目环境影响评价固体废物相关内容编写技术要求（试行）》的规定，建设项目副产物产生情况见表5</w:t>
            </w:r>
            <w:r>
              <w:rPr>
                <w:rFonts w:hint="eastAsia" w:cs="Times New Roman"/>
                <w:color w:val="auto"/>
                <w:sz w:val="24"/>
                <w:szCs w:val="24"/>
                <w:lang w:val="en-US" w:eastAsia="zh-CN"/>
              </w:rPr>
              <w:t>.2.6</w:t>
            </w:r>
            <w:r>
              <w:rPr>
                <w:rFonts w:hint="default" w:ascii="Times New Roman" w:hAnsi="Times New Roman" w:eastAsia="宋体" w:cs="Times New Roman"/>
                <w:color w:val="auto"/>
                <w:sz w:val="24"/>
                <w:szCs w:val="24"/>
              </w:rPr>
              <w:t>-13，建设项目营运期固废排放情况见表5</w:t>
            </w:r>
            <w:r>
              <w:rPr>
                <w:rFonts w:hint="eastAsia" w:cs="Times New Roman"/>
                <w:color w:val="auto"/>
                <w:sz w:val="24"/>
                <w:szCs w:val="24"/>
                <w:lang w:val="en-US" w:eastAsia="zh-CN"/>
              </w:rPr>
              <w:t>.2.6</w:t>
            </w:r>
            <w:r>
              <w:rPr>
                <w:rFonts w:hint="default" w:ascii="Times New Roman" w:hAnsi="Times New Roman" w:eastAsia="宋体" w:cs="Times New Roman"/>
                <w:color w:val="auto"/>
                <w:sz w:val="24"/>
                <w:szCs w:val="24"/>
              </w:rPr>
              <w:t>-14。</w:t>
            </w:r>
          </w:p>
          <w:p>
            <w:pPr>
              <w:spacing w:line="24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表5</w:t>
            </w:r>
            <w:r>
              <w:rPr>
                <w:rFonts w:hint="eastAsia" w:cs="Times New Roman"/>
                <w:b/>
                <w:bCs/>
                <w:color w:val="auto"/>
                <w:sz w:val="21"/>
                <w:szCs w:val="21"/>
                <w:lang w:val="en-US" w:eastAsia="zh-CN"/>
              </w:rPr>
              <w:t>.2.6</w:t>
            </w:r>
            <w:r>
              <w:rPr>
                <w:rFonts w:hint="default" w:ascii="Times New Roman" w:hAnsi="Times New Roman" w:eastAsia="宋体" w:cs="Times New Roman"/>
                <w:b/>
                <w:bCs/>
                <w:color w:val="auto"/>
                <w:sz w:val="21"/>
                <w:szCs w:val="21"/>
              </w:rPr>
              <w:t>-13 建设项目副产物产生情况汇总表</w:t>
            </w:r>
          </w:p>
          <w:tbl>
            <w:tblPr>
              <w:tblStyle w:val="43"/>
              <w:tblW w:w="9185" w:type="dxa"/>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435"/>
              <w:gridCol w:w="1604"/>
              <w:gridCol w:w="1515"/>
              <w:gridCol w:w="855"/>
              <w:gridCol w:w="1797"/>
              <w:gridCol w:w="862"/>
              <w:gridCol w:w="700"/>
              <w:gridCol w:w="663"/>
              <w:gridCol w:w="754"/>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435" w:type="dxa"/>
                  <w:vMerge w:val="restart"/>
                  <w:vAlign w:val="center"/>
                </w:tcPr>
                <w:p>
                  <w:pPr>
                    <w:pStyle w:val="128"/>
                    <w:tabs>
                      <w:tab w:val="left" w:pos="0"/>
                    </w:tabs>
                    <w:spacing w:line="320" w:lineRule="exact"/>
                    <w:ind w:firstLine="0" w:firstLineChars="0"/>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序号</w:t>
                  </w:r>
                </w:p>
              </w:tc>
              <w:tc>
                <w:tcPr>
                  <w:tcW w:w="1604" w:type="dxa"/>
                  <w:vMerge w:val="restart"/>
                  <w:vAlign w:val="center"/>
                </w:tcPr>
                <w:p>
                  <w:pPr>
                    <w:pStyle w:val="128"/>
                    <w:tabs>
                      <w:tab w:val="left" w:pos="0"/>
                    </w:tabs>
                    <w:spacing w:line="320" w:lineRule="exact"/>
                    <w:ind w:firstLine="0" w:firstLineChars="0"/>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副产物名称</w:t>
                  </w:r>
                </w:p>
              </w:tc>
              <w:tc>
                <w:tcPr>
                  <w:tcW w:w="1515" w:type="dxa"/>
                  <w:vMerge w:val="restart"/>
                  <w:vAlign w:val="center"/>
                </w:tcPr>
                <w:p>
                  <w:pPr>
                    <w:pStyle w:val="128"/>
                    <w:tabs>
                      <w:tab w:val="left" w:pos="0"/>
                    </w:tabs>
                    <w:spacing w:line="320" w:lineRule="exact"/>
                    <w:ind w:firstLine="0" w:firstLineChars="0"/>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产生工序</w:t>
                  </w:r>
                </w:p>
              </w:tc>
              <w:tc>
                <w:tcPr>
                  <w:tcW w:w="855" w:type="dxa"/>
                  <w:vMerge w:val="restart"/>
                  <w:vAlign w:val="center"/>
                </w:tcPr>
                <w:p>
                  <w:pPr>
                    <w:pStyle w:val="128"/>
                    <w:tabs>
                      <w:tab w:val="left" w:pos="0"/>
                    </w:tabs>
                    <w:spacing w:line="320" w:lineRule="exact"/>
                    <w:ind w:firstLine="0" w:firstLineChars="0"/>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形态</w:t>
                  </w:r>
                </w:p>
              </w:tc>
              <w:tc>
                <w:tcPr>
                  <w:tcW w:w="1797" w:type="dxa"/>
                  <w:vMerge w:val="restart"/>
                  <w:vAlign w:val="center"/>
                </w:tcPr>
                <w:p>
                  <w:pPr>
                    <w:pStyle w:val="128"/>
                    <w:tabs>
                      <w:tab w:val="left" w:pos="0"/>
                    </w:tabs>
                    <w:spacing w:line="320" w:lineRule="exact"/>
                    <w:ind w:firstLine="0" w:firstLineChars="0"/>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主要成分</w:t>
                  </w:r>
                </w:p>
              </w:tc>
              <w:tc>
                <w:tcPr>
                  <w:tcW w:w="862" w:type="dxa"/>
                  <w:vMerge w:val="restart"/>
                  <w:vAlign w:val="center"/>
                </w:tcPr>
                <w:p>
                  <w:pPr>
                    <w:pStyle w:val="128"/>
                    <w:tabs>
                      <w:tab w:val="left" w:pos="0"/>
                    </w:tabs>
                    <w:spacing w:line="320" w:lineRule="exact"/>
                    <w:ind w:firstLine="0" w:firstLineChars="0"/>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预测</w:t>
                  </w:r>
                </w:p>
                <w:p>
                  <w:pPr>
                    <w:pStyle w:val="128"/>
                    <w:tabs>
                      <w:tab w:val="left" w:pos="0"/>
                    </w:tabs>
                    <w:spacing w:line="320" w:lineRule="exact"/>
                    <w:ind w:firstLine="0" w:firstLineChars="0"/>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产生量(t/a)</w:t>
                  </w:r>
                </w:p>
              </w:tc>
              <w:tc>
                <w:tcPr>
                  <w:tcW w:w="2117" w:type="dxa"/>
                  <w:gridSpan w:val="3"/>
                  <w:vAlign w:val="center"/>
                </w:tcPr>
                <w:p>
                  <w:pPr>
                    <w:pStyle w:val="128"/>
                    <w:tabs>
                      <w:tab w:val="left" w:pos="0"/>
                    </w:tabs>
                    <w:spacing w:line="320" w:lineRule="exact"/>
                    <w:ind w:firstLine="0" w:firstLineChars="0"/>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种类判断</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435"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color w:val="auto"/>
                      <w:sz w:val="21"/>
                      <w:szCs w:val="21"/>
                    </w:rPr>
                  </w:pPr>
                </w:p>
              </w:tc>
              <w:tc>
                <w:tcPr>
                  <w:tcW w:w="1604"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color w:val="auto"/>
                      <w:sz w:val="21"/>
                      <w:szCs w:val="21"/>
                    </w:rPr>
                  </w:pPr>
                </w:p>
              </w:tc>
              <w:tc>
                <w:tcPr>
                  <w:tcW w:w="1515"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color w:val="auto"/>
                      <w:sz w:val="21"/>
                      <w:szCs w:val="21"/>
                    </w:rPr>
                  </w:pPr>
                </w:p>
              </w:tc>
              <w:tc>
                <w:tcPr>
                  <w:tcW w:w="855"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color w:val="auto"/>
                      <w:sz w:val="21"/>
                      <w:szCs w:val="21"/>
                    </w:rPr>
                  </w:pPr>
                </w:p>
              </w:tc>
              <w:tc>
                <w:tcPr>
                  <w:tcW w:w="1797"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color w:val="auto"/>
                      <w:sz w:val="21"/>
                      <w:szCs w:val="21"/>
                    </w:rPr>
                  </w:pPr>
                </w:p>
              </w:tc>
              <w:tc>
                <w:tcPr>
                  <w:tcW w:w="862"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color w:val="auto"/>
                      <w:sz w:val="21"/>
                      <w:szCs w:val="21"/>
                    </w:rPr>
                  </w:pPr>
                </w:p>
              </w:tc>
              <w:tc>
                <w:tcPr>
                  <w:tcW w:w="700" w:type="dxa"/>
                  <w:vAlign w:val="center"/>
                </w:tcPr>
                <w:p>
                  <w:pPr>
                    <w:pStyle w:val="128"/>
                    <w:tabs>
                      <w:tab w:val="left" w:pos="0"/>
                    </w:tabs>
                    <w:spacing w:line="320" w:lineRule="exact"/>
                    <w:ind w:firstLine="0" w:firstLineChars="0"/>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固体废物</w:t>
                  </w:r>
                </w:p>
              </w:tc>
              <w:tc>
                <w:tcPr>
                  <w:tcW w:w="663" w:type="dxa"/>
                  <w:vAlign w:val="center"/>
                </w:tcPr>
                <w:p>
                  <w:pPr>
                    <w:pStyle w:val="128"/>
                    <w:tabs>
                      <w:tab w:val="left" w:pos="0"/>
                    </w:tabs>
                    <w:spacing w:line="320" w:lineRule="exact"/>
                    <w:ind w:firstLine="0" w:firstLineChars="0"/>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副产品</w:t>
                  </w:r>
                </w:p>
              </w:tc>
              <w:tc>
                <w:tcPr>
                  <w:tcW w:w="754" w:type="dxa"/>
                  <w:vAlign w:val="center"/>
                </w:tcPr>
                <w:p>
                  <w:pPr>
                    <w:pStyle w:val="128"/>
                    <w:tabs>
                      <w:tab w:val="left" w:pos="0"/>
                    </w:tabs>
                    <w:spacing w:line="320" w:lineRule="exact"/>
                    <w:ind w:firstLine="0" w:firstLineChars="0"/>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判定</w:t>
                  </w:r>
                </w:p>
                <w:p>
                  <w:pPr>
                    <w:pStyle w:val="128"/>
                    <w:tabs>
                      <w:tab w:val="left" w:pos="0"/>
                    </w:tabs>
                    <w:spacing w:line="320" w:lineRule="exact"/>
                    <w:ind w:firstLine="0" w:firstLineChars="0"/>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依据</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435"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604" w:type="dxa"/>
                  <w:vAlign w:val="center"/>
                </w:tcPr>
                <w:p>
                  <w:pPr>
                    <w:pStyle w:val="221"/>
                    <w:spacing w:line="320" w:lineRule="exact"/>
                    <w:rPr>
                      <w:rFonts w:hint="default" w:ascii="Times New Roman" w:hAnsi="Times New Roman" w:eastAsia="宋体" w:cs="Times New Roman"/>
                      <w:color w:val="auto"/>
                    </w:rPr>
                  </w:pPr>
                  <w:r>
                    <w:rPr>
                      <w:rFonts w:hint="default" w:ascii="Times New Roman" w:hAnsi="Times New Roman" w:eastAsia="宋体" w:cs="Times New Roman"/>
                      <w:color w:val="auto"/>
                    </w:rPr>
                    <w:t>废活性炭</w:t>
                  </w:r>
                </w:p>
              </w:tc>
              <w:tc>
                <w:tcPr>
                  <w:tcW w:w="1515" w:type="dxa"/>
                  <w:vAlign w:val="center"/>
                </w:tcPr>
                <w:p>
                  <w:pPr>
                    <w:widowControl/>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废气处理</w:t>
                  </w:r>
                </w:p>
              </w:tc>
              <w:tc>
                <w:tcPr>
                  <w:tcW w:w="855" w:type="dxa"/>
                  <w:vAlign w:val="center"/>
                </w:tcPr>
                <w:p>
                  <w:pPr>
                    <w:widowControl/>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固态</w:t>
                  </w:r>
                </w:p>
              </w:tc>
              <w:tc>
                <w:tcPr>
                  <w:tcW w:w="1797" w:type="dxa"/>
                  <w:vAlign w:val="center"/>
                </w:tcPr>
                <w:p>
                  <w:pPr>
                    <w:widowControl/>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有机物、活性炭</w:t>
                  </w:r>
                </w:p>
              </w:tc>
              <w:tc>
                <w:tcPr>
                  <w:tcW w:w="862" w:type="dxa"/>
                  <w:vAlign w:val="center"/>
                </w:tcPr>
                <w:p>
                  <w:pPr>
                    <w:pStyle w:val="221"/>
                    <w:spacing w:line="320" w:lineRule="exact"/>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3.2</w:t>
                  </w:r>
                </w:p>
              </w:tc>
              <w:tc>
                <w:tcPr>
                  <w:tcW w:w="700" w:type="dxa"/>
                  <w:vAlign w:val="center"/>
                </w:tcPr>
                <w:p>
                  <w:pPr>
                    <w:pStyle w:val="128"/>
                    <w:tabs>
                      <w:tab w:val="left" w:pos="0"/>
                    </w:tabs>
                    <w:spacing w:line="32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63"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754" w:type="dxa"/>
                  <w:vMerge w:val="restart"/>
                  <w:vAlign w:val="center"/>
                </w:tcPr>
                <w:p>
                  <w:pPr>
                    <w:pStyle w:val="128"/>
                    <w:tabs>
                      <w:tab w:val="left" w:pos="0"/>
                    </w:tabs>
                    <w:spacing w:line="320" w:lineRule="exact"/>
                    <w:ind w:firstLine="0" w:firstLineChars="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《固体废物鉴别标准通则》</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435"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604" w:type="dxa"/>
                  <w:vAlign w:val="center"/>
                </w:tcPr>
                <w:p>
                  <w:pPr>
                    <w:pStyle w:val="221"/>
                    <w:spacing w:line="320" w:lineRule="exact"/>
                    <w:rPr>
                      <w:rFonts w:hint="default" w:ascii="Times New Roman" w:hAnsi="Times New Roman" w:eastAsia="宋体" w:cs="Times New Roman"/>
                      <w:color w:val="auto"/>
                    </w:rPr>
                  </w:pPr>
                  <w:r>
                    <w:rPr>
                      <w:rFonts w:hint="default" w:ascii="Times New Roman" w:hAnsi="Times New Roman" w:eastAsia="宋体" w:cs="Times New Roman"/>
                      <w:color w:val="auto"/>
                    </w:rPr>
                    <w:t>废紫外线灯管</w:t>
                  </w:r>
                </w:p>
              </w:tc>
              <w:tc>
                <w:tcPr>
                  <w:tcW w:w="1515" w:type="dxa"/>
                  <w:vAlign w:val="center"/>
                </w:tcPr>
                <w:p>
                  <w:pPr>
                    <w:pStyle w:val="220"/>
                    <w:spacing w:line="320" w:lineRule="exact"/>
                    <w:rPr>
                      <w:rFonts w:hint="default" w:ascii="Times New Roman" w:hAnsi="Times New Roman" w:eastAsia="宋体" w:cs="Times New Roman"/>
                      <w:color w:val="auto"/>
                    </w:rPr>
                  </w:pPr>
                  <w:r>
                    <w:rPr>
                      <w:rFonts w:hint="default" w:ascii="Times New Roman" w:hAnsi="Times New Roman" w:eastAsia="宋体" w:cs="Times New Roman"/>
                      <w:color w:val="auto"/>
                    </w:rPr>
                    <w:t>废气处理</w:t>
                  </w:r>
                </w:p>
              </w:tc>
              <w:tc>
                <w:tcPr>
                  <w:tcW w:w="855" w:type="dxa"/>
                  <w:vAlign w:val="center"/>
                </w:tcPr>
                <w:p>
                  <w:pPr>
                    <w:pStyle w:val="221"/>
                    <w:spacing w:line="320" w:lineRule="exact"/>
                    <w:rPr>
                      <w:rFonts w:hint="default" w:ascii="Times New Roman" w:hAnsi="Times New Roman" w:eastAsia="宋体" w:cs="Times New Roman"/>
                      <w:color w:val="auto"/>
                    </w:rPr>
                  </w:pPr>
                  <w:r>
                    <w:rPr>
                      <w:rFonts w:hint="default" w:ascii="Times New Roman" w:hAnsi="Times New Roman" w:eastAsia="宋体" w:cs="Times New Roman"/>
                      <w:color w:val="auto"/>
                    </w:rPr>
                    <w:t>固态</w:t>
                  </w:r>
                </w:p>
              </w:tc>
              <w:tc>
                <w:tcPr>
                  <w:tcW w:w="1797" w:type="dxa"/>
                  <w:vAlign w:val="center"/>
                </w:tcPr>
                <w:p>
                  <w:pPr>
                    <w:pStyle w:val="221"/>
                    <w:spacing w:line="320" w:lineRule="exact"/>
                    <w:rPr>
                      <w:rFonts w:hint="default" w:ascii="Times New Roman" w:hAnsi="Times New Roman" w:eastAsia="宋体" w:cs="Times New Roman"/>
                      <w:color w:val="auto"/>
                    </w:rPr>
                  </w:pPr>
                  <w:r>
                    <w:rPr>
                      <w:rFonts w:hint="default" w:ascii="Times New Roman" w:hAnsi="Times New Roman" w:eastAsia="宋体" w:cs="Times New Roman"/>
                      <w:color w:val="auto"/>
                    </w:rPr>
                    <w:t>含汞灯管</w:t>
                  </w:r>
                </w:p>
              </w:tc>
              <w:tc>
                <w:tcPr>
                  <w:tcW w:w="862" w:type="dxa"/>
                  <w:vAlign w:val="center"/>
                </w:tcPr>
                <w:p>
                  <w:pPr>
                    <w:pStyle w:val="221"/>
                    <w:spacing w:line="320" w:lineRule="exact"/>
                    <w:rPr>
                      <w:rFonts w:hint="default" w:ascii="Times New Roman" w:hAnsi="Times New Roman" w:eastAsia="宋体" w:cs="Times New Roman"/>
                      <w:color w:val="auto"/>
                    </w:rPr>
                  </w:pPr>
                  <w:r>
                    <w:rPr>
                      <w:rFonts w:hint="default" w:ascii="Times New Roman" w:hAnsi="Times New Roman" w:eastAsia="宋体" w:cs="Times New Roman"/>
                      <w:color w:val="auto"/>
                    </w:rPr>
                    <w:t>0.004</w:t>
                  </w:r>
                </w:p>
              </w:tc>
              <w:tc>
                <w:tcPr>
                  <w:tcW w:w="700" w:type="dxa"/>
                  <w:vAlign w:val="center"/>
                </w:tcPr>
                <w:p>
                  <w:pPr>
                    <w:pStyle w:val="128"/>
                    <w:tabs>
                      <w:tab w:val="left" w:pos="0"/>
                    </w:tabs>
                    <w:spacing w:line="32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63"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754" w:type="dxa"/>
                  <w:vMerge w:val="continue"/>
                  <w:vAlign w:val="center"/>
                </w:tcPr>
                <w:p>
                  <w:pPr>
                    <w:pStyle w:val="128"/>
                    <w:tabs>
                      <w:tab w:val="left" w:pos="0"/>
                    </w:tabs>
                    <w:spacing w:line="320" w:lineRule="exact"/>
                    <w:ind w:firstLine="0" w:firstLineChars="0"/>
                    <w:jc w:val="both"/>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435"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604"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废催化剂</w:t>
                  </w:r>
                </w:p>
              </w:tc>
              <w:tc>
                <w:tcPr>
                  <w:tcW w:w="1515"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废气处理</w:t>
                  </w:r>
                </w:p>
              </w:tc>
              <w:tc>
                <w:tcPr>
                  <w:tcW w:w="855"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固态</w:t>
                  </w:r>
                </w:p>
              </w:tc>
              <w:tc>
                <w:tcPr>
                  <w:tcW w:w="1797"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催化剂</w:t>
                  </w:r>
                </w:p>
              </w:tc>
              <w:tc>
                <w:tcPr>
                  <w:tcW w:w="862"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0.005</w:t>
                  </w:r>
                </w:p>
              </w:tc>
              <w:tc>
                <w:tcPr>
                  <w:tcW w:w="700" w:type="dxa"/>
                  <w:vAlign w:val="center"/>
                </w:tcPr>
                <w:p>
                  <w:pPr>
                    <w:pStyle w:val="128"/>
                    <w:tabs>
                      <w:tab w:val="left" w:pos="0"/>
                    </w:tabs>
                    <w:spacing w:line="32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63"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754" w:type="dxa"/>
                  <w:vMerge w:val="continue"/>
                  <w:vAlign w:val="center"/>
                </w:tcPr>
                <w:p>
                  <w:pPr>
                    <w:pStyle w:val="128"/>
                    <w:tabs>
                      <w:tab w:val="left" w:pos="0"/>
                    </w:tabs>
                    <w:spacing w:line="320" w:lineRule="exact"/>
                    <w:ind w:firstLine="0" w:firstLineChars="0"/>
                    <w:jc w:val="both"/>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435"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604"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除尘灰</w:t>
                  </w:r>
                </w:p>
              </w:tc>
              <w:tc>
                <w:tcPr>
                  <w:tcW w:w="1515"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废气处理</w:t>
                  </w:r>
                </w:p>
              </w:tc>
              <w:tc>
                <w:tcPr>
                  <w:tcW w:w="855"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固态</w:t>
                  </w:r>
                </w:p>
              </w:tc>
              <w:tc>
                <w:tcPr>
                  <w:tcW w:w="1797"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粉尘</w:t>
                  </w:r>
                </w:p>
              </w:tc>
              <w:tc>
                <w:tcPr>
                  <w:tcW w:w="862"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1.19</w:t>
                  </w:r>
                </w:p>
              </w:tc>
              <w:tc>
                <w:tcPr>
                  <w:tcW w:w="700" w:type="dxa"/>
                  <w:vAlign w:val="center"/>
                </w:tcPr>
                <w:p>
                  <w:pPr>
                    <w:pStyle w:val="128"/>
                    <w:tabs>
                      <w:tab w:val="left" w:pos="0"/>
                    </w:tabs>
                    <w:spacing w:line="32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63"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754" w:type="dxa"/>
                  <w:vMerge w:val="continue"/>
                  <w:vAlign w:val="center"/>
                </w:tcPr>
                <w:p>
                  <w:pPr>
                    <w:pStyle w:val="128"/>
                    <w:tabs>
                      <w:tab w:val="left" w:pos="0"/>
                    </w:tabs>
                    <w:spacing w:line="320" w:lineRule="exact"/>
                    <w:ind w:firstLine="0" w:firstLineChars="0"/>
                    <w:jc w:val="both"/>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435"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1604"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掉落的沥青混凝土</w:t>
                  </w:r>
                </w:p>
              </w:tc>
              <w:tc>
                <w:tcPr>
                  <w:tcW w:w="1515"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生产过程</w:t>
                  </w:r>
                </w:p>
              </w:tc>
              <w:tc>
                <w:tcPr>
                  <w:tcW w:w="855"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固态</w:t>
                  </w:r>
                </w:p>
              </w:tc>
              <w:tc>
                <w:tcPr>
                  <w:tcW w:w="1797"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沥青混凝土</w:t>
                  </w:r>
                </w:p>
              </w:tc>
              <w:tc>
                <w:tcPr>
                  <w:tcW w:w="862"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1.53</w:t>
                  </w:r>
                </w:p>
              </w:tc>
              <w:tc>
                <w:tcPr>
                  <w:tcW w:w="700" w:type="dxa"/>
                  <w:vAlign w:val="center"/>
                </w:tcPr>
                <w:p>
                  <w:pPr>
                    <w:pStyle w:val="128"/>
                    <w:tabs>
                      <w:tab w:val="left" w:pos="0"/>
                    </w:tabs>
                    <w:spacing w:line="32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63"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754" w:type="dxa"/>
                  <w:vMerge w:val="continue"/>
                  <w:vAlign w:val="center"/>
                </w:tcPr>
                <w:p>
                  <w:pPr>
                    <w:pStyle w:val="128"/>
                    <w:tabs>
                      <w:tab w:val="left" w:pos="0"/>
                    </w:tabs>
                    <w:spacing w:line="320" w:lineRule="exact"/>
                    <w:ind w:firstLine="0" w:firstLineChars="0"/>
                    <w:jc w:val="both"/>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435" w:type="dxa"/>
                  <w:vAlign w:val="center"/>
                </w:tcPr>
                <w:p>
                  <w:pPr>
                    <w:spacing w:line="320" w:lineRule="exact"/>
                    <w:ind w:firstLine="0" w:firstLineChars="0"/>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6</w:t>
                  </w:r>
                </w:p>
              </w:tc>
              <w:tc>
                <w:tcPr>
                  <w:tcW w:w="1604"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职工生活垃圾</w:t>
                  </w:r>
                </w:p>
              </w:tc>
              <w:tc>
                <w:tcPr>
                  <w:tcW w:w="1515"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职工生活</w:t>
                  </w:r>
                </w:p>
              </w:tc>
              <w:tc>
                <w:tcPr>
                  <w:tcW w:w="855"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固态</w:t>
                  </w:r>
                </w:p>
              </w:tc>
              <w:tc>
                <w:tcPr>
                  <w:tcW w:w="1797"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瓜皮果屑等</w:t>
                  </w:r>
                </w:p>
              </w:tc>
              <w:tc>
                <w:tcPr>
                  <w:tcW w:w="862"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4.8</w:t>
                  </w:r>
                </w:p>
              </w:tc>
              <w:tc>
                <w:tcPr>
                  <w:tcW w:w="700" w:type="dxa"/>
                  <w:vAlign w:val="center"/>
                </w:tcPr>
                <w:p>
                  <w:pPr>
                    <w:pStyle w:val="128"/>
                    <w:tabs>
                      <w:tab w:val="left" w:pos="0"/>
                    </w:tabs>
                    <w:spacing w:line="32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63"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754" w:type="dxa"/>
                  <w:vMerge w:val="continue"/>
                  <w:vAlign w:val="center"/>
                </w:tcPr>
                <w:p>
                  <w:pPr>
                    <w:pStyle w:val="128"/>
                    <w:tabs>
                      <w:tab w:val="left" w:pos="0"/>
                    </w:tabs>
                    <w:spacing w:line="320" w:lineRule="exact"/>
                    <w:ind w:firstLine="0" w:firstLineChars="0"/>
                    <w:jc w:val="both"/>
                    <w:rPr>
                      <w:rFonts w:hint="default" w:ascii="Times New Roman" w:hAnsi="Times New Roman" w:eastAsia="宋体" w:cs="Times New Roman"/>
                      <w:color w:val="auto"/>
                      <w:sz w:val="21"/>
                      <w:szCs w:val="21"/>
                    </w:rPr>
                  </w:pPr>
                </w:p>
              </w:tc>
            </w:tr>
          </w:tbl>
          <w:p>
            <w:pPr>
              <w:spacing w:line="24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表5</w:t>
            </w:r>
            <w:r>
              <w:rPr>
                <w:rFonts w:hint="eastAsia" w:cs="Times New Roman"/>
                <w:b/>
                <w:bCs/>
                <w:color w:val="auto"/>
                <w:sz w:val="21"/>
                <w:szCs w:val="21"/>
                <w:lang w:val="en-US" w:eastAsia="zh-CN"/>
              </w:rPr>
              <w:t>.2.6</w:t>
            </w:r>
            <w:r>
              <w:rPr>
                <w:rFonts w:hint="default" w:ascii="Times New Roman" w:hAnsi="Times New Roman" w:eastAsia="宋体" w:cs="Times New Roman"/>
                <w:b/>
                <w:bCs/>
                <w:color w:val="auto"/>
                <w:sz w:val="21"/>
                <w:szCs w:val="21"/>
              </w:rPr>
              <w:t>-14  建设项目营运期固体废物排放情况汇总表</w:t>
            </w:r>
          </w:p>
          <w:tbl>
            <w:tblPr>
              <w:tblStyle w:val="43"/>
              <w:tblW w:w="896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95"/>
              <w:gridCol w:w="790"/>
              <w:gridCol w:w="821"/>
              <w:gridCol w:w="883"/>
              <w:gridCol w:w="470"/>
              <w:gridCol w:w="1363"/>
              <w:gridCol w:w="893"/>
              <w:gridCol w:w="604"/>
              <w:gridCol w:w="685"/>
              <w:gridCol w:w="990"/>
              <w:gridCol w:w="10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18" w:hRule="atLeast"/>
                <w:jc w:val="center"/>
              </w:trPr>
              <w:tc>
                <w:tcPr>
                  <w:tcW w:w="395" w:type="dxa"/>
                  <w:vAlign w:val="center"/>
                </w:tcPr>
                <w:p>
                  <w:pPr>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序号</w:t>
                  </w:r>
                </w:p>
              </w:tc>
              <w:tc>
                <w:tcPr>
                  <w:tcW w:w="790" w:type="dxa"/>
                  <w:vAlign w:val="center"/>
                </w:tcPr>
                <w:p>
                  <w:pPr>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固废名称</w:t>
                  </w:r>
                </w:p>
              </w:tc>
              <w:tc>
                <w:tcPr>
                  <w:tcW w:w="821" w:type="dxa"/>
                  <w:vAlign w:val="center"/>
                </w:tcPr>
                <w:p>
                  <w:pPr>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属性</w:t>
                  </w:r>
                </w:p>
              </w:tc>
              <w:tc>
                <w:tcPr>
                  <w:tcW w:w="883" w:type="dxa"/>
                  <w:vAlign w:val="center"/>
                </w:tcPr>
                <w:p>
                  <w:pPr>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产生</w:t>
                  </w:r>
                </w:p>
                <w:p>
                  <w:pPr>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工序</w:t>
                  </w:r>
                </w:p>
              </w:tc>
              <w:tc>
                <w:tcPr>
                  <w:tcW w:w="470" w:type="dxa"/>
                  <w:vAlign w:val="center"/>
                </w:tcPr>
                <w:p>
                  <w:pPr>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形态</w:t>
                  </w:r>
                </w:p>
              </w:tc>
              <w:tc>
                <w:tcPr>
                  <w:tcW w:w="1363" w:type="dxa"/>
                  <w:vAlign w:val="center"/>
                </w:tcPr>
                <w:p>
                  <w:pPr>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主要成分</w:t>
                  </w:r>
                </w:p>
              </w:tc>
              <w:tc>
                <w:tcPr>
                  <w:tcW w:w="893" w:type="dxa"/>
                  <w:vAlign w:val="center"/>
                </w:tcPr>
                <w:p>
                  <w:pPr>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危险特性鉴别方法</w:t>
                  </w:r>
                </w:p>
              </w:tc>
              <w:tc>
                <w:tcPr>
                  <w:tcW w:w="604" w:type="dxa"/>
                  <w:vAlign w:val="center"/>
                </w:tcPr>
                <w:p>
                  <w:pPr>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危险</w:t>
                  </w:r>
                </w:p>
                <w:p>
                  <w:pPr>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特性</w:t>
                  </w:r>
                </w:p>
              </w:tc>
              <w:tc>
                <w:tcPr>
                  <w:tcW w:w="685" w:type="dxa"/>
                  <w:vAlign w:val="center"/>
                </w:tcPr>
                <w:p>
                  <w:pPr>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废物</w:t>
                  </w:r>
                </w:p>
                <w:p>
                  <w:pPr>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类别</w:t>
                  </w:r>
                </w:p>
              </w:tc>
              <w:tc>
                <w:tcPr>
                  <w:tcW w:w="990" w:type="dxa"/>
                  <w:vAlign w:val="center"/>
                </w:tcPr>
                <w:p>
                  <w:pPr>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废物</w:t>
                  </w:r>
                </w:p>
                <w:p>
                  <w:pPr>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代码</w:t>
                  </w:r>
                </w:p>
              </w:tc>
              <w:tc>
                <w:tcPr>
                  <w:tcW w:w="1066" w:type="dxa"/>
                  <w:vAlign w:val="center"/>
                </w:tcPr>
                <w:p>
                  <w:pPr>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估算产生量</w:t>
                  </w:r>
                </w:p>
                <w:p>
                  <w:pPr>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18" w:hRule="atLeast"/>
                <w:jc w:val="center"/>
              </w:trPr>
              <w:tc>
                <w:tcPr>
                  <w:tcW w:w="395"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790" w:type="dxa"/>
                  <w:vAlign w:val="center"/>
                </w:tcPr>
                <w:p>
                  <w:pPr>
                    <w:pStyle w:val="221"/>
                    <w:spacing w:line="32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废活性炭</w:t>
                  </w:r>
                </w:p>
              </w:tc>
              <w:tc>
                <w:tcPr>
                  <w:tcW w:w="821"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危险固废</w:t>
                  </w:r>
                </w:p>
              </w:tc>
              <w:tc>
                <w:tcPr>
                  <w:tcW w:w="883" w:type="dxa"/>
                  <w:vAlign w:val="center"/>
                </w:tcPr>
                <w:p>
                  <w:pPr>
                    <w:widowControl/>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废气处理</w:t>
                  </w:r>
                </w:p>
              </w:tc>
              <w:tc>
                <w:tcPr>
                  <w:tcW w:w="470" w:type="dxa"/>
                  <w:vAlign w:val="center"/>
                </w:tcPr>
                <w:p>
                  <w:pPr>
                    <w:widowControl/>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固态</w:t>
                  </w:r>
                </w:p>
              </w:tc>
              <w:tc>
                <w:tcPr>
                  <w:tcW w:w="1363" w:type="dxa"/>
                  <w:vAlign w:val="center"/>
                </w:tcPr>
                <w:p>
                  <w:pPr>
                    <w:widowControl/>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有机物、活性炭</w:t>
                  </w:r>
                </w:p>
              </w:tc>
              <w:tc>
                <w:tcPr>
                  <w:tcW w:w="893" w:type="dxa"/>
                  <w:vAlign w:val="center"/>
                </w:tcPr>
                <w:p>
                  <w:pPr>
                    <w:pStyle w:val="22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名录鉴别</w:t>
                  </w:r>
                </w:p>
              </w:tc>
              <w:tc>
                <w:tcPr>
                  <w:tcW w:w="604" w:type="dxa"/>
                  <w:vAlign w:val="center"/>
                </w:tcPr>
                <w:p>
                  <w:pPr>
                    <w:pStyle w:val="220"/>
                    <w:jc w:val="center"/>
                    <w:rPr>
                      <w:rFonts w:hint="default" w:ascii="Times New Roman" w:hAnsi="Times New Roman" w:eastAsia="宋体" w:cs="Times New Roman"/>
                      <w:color w:val="auto"/>
                    </w:rPr>
                  </w:pPr>
                  <w:r>
                    <w:rPr>
                      <w:rFonts w:hint="default" w:ascii="Times New Roman" w:hAnsi="Times New Roman" w:eastAsia="宋体" w:cs="Times New Roman"/>
                      <w:color w:val="auto"/>
                    </w:rPr>
                    <w:t>T/In</w:t>
                  </w:r>
                </w:p>
              </w:tc>
              <w:tc>
                <w:tcPr>
                  <w:tcW w:w="685"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HW49</w:t>
                  </w:r>
                </w:p>
              </w:tc>
              <w:tc>
                <w:tcPr>
                  <w:tcW w:w="990"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900-041-49</w:t>
                  </w:r>
                </w:p>
              </w:tc>
              <w:tc>
                <w:tcPr>
                  <w:tcW w:w="1066" w:type="dxa"/>
                  <w:vAlign w:val="center"/>
                </w:tcPr>
                <w:p>
                  <w:pPr>
                    <w:pStyle w:val="221"/>
                    <w:spacing w:line="32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18" w:hRule="atLeast"/>
                <w:jc w:val="center"/>
              </w:trPr>
              <w:tc>
                <w:tcPr>
                  <w:tcW w:w="395"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790" w:type="dxa"/>
                  <w:vAlign w:val="center"/>
                </w:tcPr>
                <w:p>
                  <w:pPr>
                    <w:pStyle w:val="221"/>
                    <w:spacing w:line="32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废紫外线灯管</w:t>
                  </w:r>
                </w:p>
              </w:tc>
              <w:tc>
                <w:tcPr>
                  <w:tcW w:w="821"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危险固废</w:t>
                  </w:r>
                </w:p>
              </w:tc>
              <w:tc>
                <w:tcPr>
                  <w:tcW w:w="883" w:type="dxa"/>
                  <w:vAlign w:val="center"/>
                </w:tcPr>
                <w:p>
                  <w:pPr>
                    <w:pStyle w:val="220"/>
                    <w:spacing w:line="32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废气处理</w:t>
                  </w:r>
                </w:p>
              </w:tc>
              <w:tc>
                <w:tcPr>
                  <w:tcW w:w="470" w:type="dxa"/>
                  <w:vAlign w:val="center"/>
                </w:tcPr>
                <w:p>
                  <w:pPr>
                    <w:pStyle w:val="221"/>
                    <w:spacing w:line="32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固态</w:t>
                  </w:r>
                </w:p>
              </w:tc>
              <w:tc>
                <w:tcPr>
                  <w:tcW w:w="1363" w:type="dxa"/>
                  <w:vAlign w:val="center"/>
                </w:tcPr>
                <w:p>
                  <w:pPr>
                    <w:pStyle w:val="221"/>
                    <w:spacing w:line="32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含汞灯管</w:t>
                  </w:r>
                </w:p>
              </w:tc>
              <w:tc>
                <w:tcPr>
                  <w:tcW w:w="893" w:type="dxa"/>
                  <w:vAlign w:val="center"/>
                </w:tcPr>
                <w:p>
                  <w:pPr>
                    <w:pStyle w:val="22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名录鉴别</w:t>
                  </w:r>
                </w:p>
              </w:tc>
              <w:tc>
                <w:tcPr>
                  <w:tcW w:w="604"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w:t>
                  </w:r>
                </w:p>
              </w:tc>
              <w:tc>
                <w:tcPr>
                  <w:tcW w:w="685" w:type="dxa"/>
                  <w:vAlign w:val="center"/>
                </w:tcPr>
                <w:p>
                  <w:pPr>
                    <w:pStyle w:val="221"/>
                    <w:spacing w:line="32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HW29</w:t>
                  </w:r>
                </w:p>
              </w:tc>
              <w:tc>
                <w:tcPr>
                  <w:tcW w:w="990" w:type="dxa"/>
                  <w:vAlign w:val="center"/>
                </w:tcPr>
                <w:p>
                  <w:pPr>
                    <w:pStyle w:val="221"/>
                    <w:spacing w:line="32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900-023-29</w:t>
                  </w:r>
                </w:p>
              </w:tc>
              <w:tc>
                <w:tcPr>
                  <w:tcW w:w="1066" w:type="dxa"/>
                  <w:vAlign w:val="center"/>
                </w:tcPr>
                <w:p>
                  <w:pPr>
                    <w:pStyle w:val="221"/>
                    <w:spacing w:line="32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0.004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18" w:hRule="atLeast"/>
                <w:jc w:val="center"/>
              </w:trPr>
              <w:tc>
                <w:tcPr>
                  <w:tcW w:w="395"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790"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废催化剂</w:t>
                  </w:r>
                </w:p>
              </w:tc>
              <w:tc>
                <w:tcPr>
                  <w:tcW w:w="821"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危险固废</w:t>
                  </w:r>
                </w:p>
              </w:tc>
              <w:tc>
                <w:tcPr>
                  <w:tcW w:w="883"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废气处理</w:t>
                  </w:r>
                </w:p>
              </w:tc>
              <w:tc>
                <w:tcPr>
                  <w:tcW w:w="470"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固态</w:t>
                  </w:r>
                </w:p>
              </w:tc>
              <w:tc>
                <w:tcPr>
                  <w:tcW w:w="1363"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催化剂</w:t>
                  </w:r>
                </w:p>
              </w:tc>
              <w:tc>
                <w:tcPr>
                  <w:tcW w:w="893"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名录鉴别</w:t>
                  </w:r>
                </w:p>
              </w:tc>
              <w:tc>
                <w:tcPr>
                  <w:tcW w:w="604"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w:t>
                  </w:r>
                </w:p>
              </w:tc>
              <w:tc>
                <w:tcPr>
                  <w:tcW w:w="685"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HW50</w:t>
                  </w:r>
                </w:p>
              </w:tc>
              <w:tc>
                <w:tcPr>
                  <w:tcW w:w="990"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772-007-50</w:t>
                  </w:r>
                </w:p>
              </w:tc>
              <w:tc>
                <w:tcPr>
                  <w:tcW w:w="1066"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64" w:hRule="atLeast"/>
                <w:jc w:val="center"/>
              </w:trPr>
              <w:tc>
                <w:tcPr>
                  <w:tcW w:w="395"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790"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除尘灰</w:t>
                  </w:r>
                </w:p>
              </w:tc>
              <w:tc>
                <w:tcPr>
                  <w:tcW w:w="821"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一般固废</w:t>
                  </w:r>
                </w:p>
              </w:tc>
              <w:tc>
                <w:tcPr>
                  <w:tcW w:w="883"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废气处理</w:t>
                  </w:r>
                </w:p>
              </w:tc>
              <w:tc>
                <w:tcPr>
                  <w:tcW w:w="470"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固态</w:t>
                  </w:r>
                </w:p>
              </w:tc>
              <w:tc>
                <w:tcPr>
                  <w:tcW w:w="1363"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粉尘</w:t>
                  </w:r>
                </w:p>
              </w:tc>
              <w:tc>
                <w:tcPr>
                  <w:tcW w:w="893"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04"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85"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990"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066"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18" w:hRule="atLeast"/>
                <w:jc w:val="center"/>
              </w:trPr>
              <w:tc>
                <w:tcPr>
                  <w:tcW w:w="395"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790"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掉落的沥青混凝土</w:t>
                  </w:r>
                </w:p>
              </w:tc>
              <w:tc>
                <w:tcPr>
                  <w:tcW w:w="821"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一般固废</w:t>
                  </w:r>
                </w:p>
              </w:tc>
              <w:tc>
                <w:tcPr>
                  <w:tcW w:w="883"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生产过程</w:t>
                  </w:r>
                </w:p>
              </w:tc>
              <w:tc>
                <w:tcPr>
                  <w:tcW w:w="470"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固态</w:t>
                  </w:r>
                </w:p>
              </w:tc>
              <w:tc>
                <w:tcPr>
                  <w:tcW w:w="1363"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沥青混凝土</w:t>
                  </w:r>
                </w:p>
              </w:tc>
              <w:tc>
                <w:tcPr>
                  <w:tcW w:w="893"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04"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85"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990"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066"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18" w:hRule="atLeast"/>
                <w:jc w:val="center"/>
              </w:trPr>
              <w:tc>
                <w:tcPr>
                  <w:tcW w:w="395" w:type="dxa"/>
                  <w:vAlign w:val="center"/>
                </w:tcPr>
                <w:p>
                  <w:pPr>
                    <w:spacing w:line="320" w:lineRule="exact"/>
                    <w:ind w:firstLine="0" w:firstLineChars="0"/>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6</w:t>
                  </w:r>
                </w:p>
              </w:tc>
              <w:tc>
                <w:tcPr>
                  <w:tcW w:w="790"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职工生活垃圾</w:t>
                  </w:r>
                </w:p>
              </w:tc>
              <w:tc>
                <w:tcPr>
                  <w:tcW w:w="821"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生活垃圾</w:t>
                  </w:r>
                </w:p>
              </w:tc>
              <w:tc>
                <w:tcPr>
                  <w:tcW w:w="883"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职工生活</w:t>
                  </w:r>
                </w:p>
              </w:tc>
              <w:tc>
                <w:tcPr>
                  <w:tcW w:w="470"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固态</w:t>
                  </w:r>
                </w:p>
              </w:tc>
              <w:tc>
                <w:tcPr>
                  <w:tcW w:w="1363"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瓜皮果屑等</w:t>
                  </w:r>
                </w:p>
              </w:tc>
              <w:tc>
                <w:tcPr>
                  <w:tcW w:w="893"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04"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85"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990"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066"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4.8</w:t>
                  </w:r>
                </w:p>
              </w:tc>
            </w:tr>
          </w:tbl>
          <w:p>
            <w:pP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b/>
                <w:bCs/>
                <w:color w:val="auto"/>
                <w:sz w:val="21"/>
                <w:szCs w:val="21"/>
              </w:rPr>
              <w:t>表5</w:t>
            </w:r>
            <w:r>
              <w:rPr>
                <w:rFonts w:hint="eastAsia" w:cs="Times New Roman"/>
                <w:b/>
                <w:bCs/>
                <w:color w:val="auto"/>
                <w:sz w:val="21"/>
                <w:szCs w:val="21"/>
                <w:lang w:val="en-US" w:eastAsia="zh-CN"/>
              </w:rPr>
              <w:t>.2.6</w:t>
            </w:r>
            <w:r>
              <w:rPr>
                <w:rFonts w:hint="default" w:ascii="Times New Roman" w:hAnsi="Times New Roman" w:eastAsia="宋体" w:cs="Times New Roman"/>
                <w:b/>
                <w:bCs/>
                <w:color w:val="auto"/>
                <w:sz w:val="21"/>
                <w:szCs w:val="21"/>
              </w:rPr>
              <w:t>-15  建设项目营运期危险废物排放情况汇总表</w:t>
            </w:r>
          </w:p>
          <w:tbl>
            <w:tblPr>
              <w:tblStyle w:val="43"/>
              <w:tblW w:w="895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77"/>
              <w:gridCol w:w="986"/>
              <w:gridCol w:w="818"/>
              <w:gridCol w:w="1108"/>
              <w:gridCol w:w="769"/>
              <w:gridCol w:w="915"/>
              <w:gridCol w:w="658"/>
              <w:gridCol w:w="829"/>
              <w:gridCol w:w="818"/>
              <w:gridCol w:w="646"/>
              <w:gridCol w:w="525"/>
              <w:gridCol w:w="50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18" w:hRule="atLeast"/>
                <w:jc w:val="center"/>
              </w:trPr>
              <w:tc>
                <w:tcPr>
                  <w:tcW w:w="377" w:type="dxa"/>
                  <w:vAlign w:val="center"/>
                </w:tcPr>
                <w:p>
                  <w:pPr>
                    <w:topLinePunct/>
                    <w:adjustRightInd w:val="0"/>
                    <w:snapToGrid w:val="0"/>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kern w:val="0"/>
                      <w:sz w:val="21"/>
                      <w:szCs w:val="21"/>
                    </w:rPr>
                    <w:t>序号</w:t>
                  </w:r>
                </w:p>
              </w:tc>
              <w:tc>
                <w:tcPr>
                  <w:tcW w:w="986" w:type="dxa"/>
                  <w:vAlign w:val="center"/>
                </w:tcPr>
                <w:p>
                  <w:pPr>
                    <w:topLinePunct/>
                    <w:adjustRightInd w:val="0"/>
                    <w:snapToGrid w:val="0"/>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kern w:val="0"/>
                      <w:sz w:val="21"/>
                      <w:szCs w:val="21"/>
                    </w:rPr>
                    <w:t>危险废物名称</w:t>
                  </w:r>
                </w:p>
              </w:tc>
              <w:tc>
                <w:tcPr>
                  <w:tcW w:w="818" w:type="dxa"/>
                  <w:vAlign w:val="center"/>
                </w:tcPr>
                <w:p>
                  <w:pPr>
                    <w:topLinePunct/>
                    <w:adjustRightInd w:val="0"/>
                    <w:snapToGrid w:val="0"/>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kern w:val="0"/>
                      <w:sz w:val="21"/>
                      <w:szCs w:val="21"/>
                    </w:rPr>
                    <w:t>危险废物类别</w:t>
                  </w:r>
                </w:p>
              </w:tc>
              <w:tc>
                <w:tcPr>
                  <w:tcW w:w="1108" w:type="dxa"/>
                  <w:vAlign w:val="center"/>
                </w:tcPr>
                <w:p>
                  <w:pPr>
                    <w:topLinePunct/>
                    <w:adjustRightInd w:val="0"/>
                    <w:snapToGrid w:val="0"/>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kern w:val="0"/>
                      <w:sz w:val="21"/>
                      <w:szCs w:val="21"/>
                    </w:rPr>
                    <w:t>危险废物代码</w:t>
                  </w:r>
                </w:p>
              </w:tc>
              <w:tc>
                <w:tcPr>
                  <w:tcW w:w="769" w:type="dxa"/>
                  <w:vAlign w:val="center"/>
                </w:tcPr>
                <w:p>
                  <w:pPr>
                    <w:topLinePunct/>
                    <w:adjustRightInd w:val="0"/>
                    <w:snapToGrid w:val="0"/>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kern w:val="0"/>
                      <w:sz w:val="21"/>
                      <w:szCs w:val="21"/>
                    </w:rPr>
                    <w:t>产生量（吨/年）</w:t>
                  </w:r>
                </w:p>
              </w:tc>
              <w:tc>
                <w:tcPr>
                  <w:tcW w:w="915" w:type="dxa"/>
                  <w:vAlign w:val="center"/>
                </w:tcPr>
                <w:p>
                  <w:pPr>
                    <w:topLinePunct/>
                    <w:adjustRightInd w:val="0"/>
                    <w:snapToGrid w:val="0"/>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kern w:val="0"/>
                      <w:sz w:val="21"/>
                      <w:szCs w:val="21"/>
                    </w:rPr>
                    <w:t>产生工序及装置</w:t>
                  </w:r>
                </w:p>
              </w:tc>
              <w:tc>
                <w:tcPr>
                  <w:tcW w:w="658" w:type="dxa"/>
                  <w:vAlign w:val="center"/>
                </w:tcPr>
                <w:p>
                  <w:pPr>
                    <w:topLinePunct/>
                    <w:adjustRightInd w:val="0"/>
                    <w:snapToGrid w:val="0"/>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kern w:val="0"/>
                      <w:sz w:val="21"/>
                      <w:szCs w:val="21"/>
                    </w:rPr>
                    <w:t>形态</w:t>
                  </w:r>
                </w:p>
              </w:tc>
              <w:tc>
                <w:tcPr>
                  <w:tcW w:w="829" w:type="dxa"/>
                  <w:vAlign w:val="center"/>
                </w:tcPr>
                <w:p>
                  <w:pPr>
                    <w:topLinePunct/>
                    <w:adjustRightInd w:val="0"/>
                    <w:snapToGrid w:val="0"/>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kern w:val="0"/>
                      <w:sz w:val="21"/>
                      <w:szCs w:val="21"/>
                    </w:rPr>
                    <w:t>主要成分</w:t>
                  </w:r>
                </w:p>
              </w:tc>
              <w:tc>
                <w:tcPr>
                  <w:tcW w:w="818" w:type="dxa"/>
                  <w:vAlign w:val="center"/>
                </w:tcPr>
                <w:p>
                  <w:pPr>
                    <w:topLinePunct/>
                    <w:adjustRightInd w:val="0"/>
                    <w:snapToGrid w:val="0"/>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kern w:val="0"/>
                      <w:sz w:val="21"/>
                      <w:szCs w:val="21"/>
                    </w:rPr>
                    <w:t>有害成分</w:t>
                  </w:r>
                </w:p>
              </w:tc>
              <w:tc>
                <w:tcPr>
                  <w:tcW w:w="646" w:type="dxa"/>
                  <w:vAlign w:val="center"/>
                </w:tcPr>
                <w:p>
                  <w:pPr>
                    <w:topLinePunct/>
                    <w:adjustRightInd w:val="0"/>
                    <w:snapToGrid w:val="0"/>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kern w:val="0"/>
                      <w:sz w:val="21"/>
                      <w:szCs w:val="21"/>
                    </w:rPr>
                    <w:t>产废周期</w:t>
                  </w:r>
                </w:p>
              </w:tc>
              <w:tc>
                <w:tcPr>
                  <w:tcW w:w="525" w:type="dxa"/>
                  <w:vAlign w:val="center"/>
                </w:tcPr>
                <w:p>
                  <w:pPr>
                    <w:topLinePunct/>
                    <w:adjustRightInd w:val="0"/>
                    <w:snapToGrid w:val="0"/>
                    <w:spacing w:line="320" w:lineRule="exact"/>
                    <w:ind w:firstLine="0" w:firstLineChars="0"/>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危险</w:t>
                  </w:r>
                </w:p>
                <w:p>
                  <w:pPr>
                    <w:topLinePunct/>
                    <w:adjustRightInd w:val="0"/>
                    <w:snapToGrid w:val="0"/>
                    <w:spacing w:line="32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kern w:val="0"/>
                      <w:sz w:val="21"/>
                      <w:szCs w:val="21"/>
                    </w:rPr>
                    <w:t>特性</w:t>
                  </w:r>
                </w:p>
              </w:tc>
              <w:tc>
                <w:tcPr>
                  <w:tcW w:w="509" w:type="dxa"/>
                  <w:vAlign w:val="center"/>
                </w:tcPr>
                <w:p>
                  <w:pPr>
                    <w:topLinePunct/>
                    <w:adjustRightInd w:val="0"/>
                    <w:snapToGrid w:val="0"/>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rPr>
                    <w:t>污染防治措施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18" w:hRule="atLeast"/>
                <w:jc w:val="center"/>
              </w:trPr>
              <w:tc>
                <w:tcPr>
                  <w:tcW w:w="377" w:type="dxa"/>
                  <w:vAlign w:val="center"/>
                </w:tcPr>
                <w:p>
                  <w:pPr>
                    <w:topLinePunct/>
                    <w:adjustRightInd w:val="0"/>
                    <w:snapToGrid w:val="0"/>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986" w:type="dxa"/>
                  <w:vAlign w:val="center"/>
                </w:tcPr>
                <w:p>
                  <w:pPr>
                    <w:pStyle w:val="221"/>
                    <w:spacing w:line="320" w:lineRule="exact"/>
                    <w:rPr>
                      <w:rFonts w:hint="default" w:ascii="Times New Roman" w:hAnsi="Times New Roman" w:eastAsia="宋体" w:cs="Times New Roman"/>
                      <w:color w:val="auto"/>
                    </w:rPr>
                  </w:pPr>
                  <w:r>
                    <w:rPr>
                      <w:rFonts w:hint="default" w:ascii="Times New Roman" w:hAnsi="Times New Roman" w:eastAsia="宋体" w:cs="Times New Roman"/>
                      <w:color w:val="auto"/>
                    </w:rPr>
                    <w:t>废活性炭</w:t>
                  </w:r>
                </w:p>
              </w:tc>
              <w:tc>
                <w:tcPr>
                  <w:tcW w:w="818"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HW49</w:t>
                  </w:r>
                </w:p>
              </w:tc>
              <w:tc>
                <w:tcPr>
                  <w:tcW w:w="1108"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900-041-49</w:t>
                  </w:r>
                </w:p>
              </w:tc>
              <w:tc>
                <w:tcPr>
                  <w:tcW w:w="769" w:type="dxa"/>
                  <w:vAlign w:val="center"/>
                </w:tcPr>
                <w:p>
                  <w:pPr>
                    <w:pStyle w:val="221"/>
                    <w:spacing w:line="320" w:lineRule="exact"/>
                    <w:rPr>
                      <w:rFonts w:hint="default" w:ascii="Times New Roman" w:hAnsi="Times New Roman" w:eastAsia="宋体" w:cs="Times New Roman"/>
                      <w:color w:val="auto"/>
                    </w:rPr>
                  </w:pPr>
                  <w:r>
                    <w:rPr>
                      <w:rFonts w:hint="default" w:ascii="Times New Roman" w:hAnsi="Times New Roman" w:eastAsia="宋体" w:cs="Times New Roman"/>
                      <w:color w:val="auto"/>
                    </w:rPr>
                    <w:t>1.2</w:t>
                  </w:r>
                </w:p>
              </w:tc>
              <w:tc>
                <w:tcPr>
                  <w:tcW w:w="915" w:type="dxa"/>
                  <w:vAlign w:val="center"/>
                </w:tcPr>
                <w:p>
                  <w:pPr>
                    <w:widowControl/>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废气处理</w:t>
                  </w:r>
                </w:p>
              </w:tc>
              <w:tc>
                <w:tcPr>
                  <w:tcW w:w="658" w:type="dxa"/>
                  <w:vAlign w:val="center"/>
                </w:tcPr>
                <w:p>
                  <w:pPr>
                    <w:widowControl/>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固态</w:t>
                  </w:r>
                </w:p>
              </w:tc>
              <w:tc>
                <w:tcPr>
                  <w:tcW w:w="829" w:type="dxa"/>
                  <w:vAlign w:val="center"/>
                </w:tcPr>
                <w:p>
                  <w:pPr>
                    <w:widowControl/>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有机物、活性炭</w:t>
                  </w:r>
                </w:p>
              </w:tc>
              <w:tc>
                <w:tcPr>
                  <w:tcW w:w="818" w:type="dxa"/>
                  <w:vAlign w:val="center"/>
                </w:tcPr>
                <w:p>
                  <w:pPr>
                    <w:pStyle w:val="221"/>
                    <w:spacing w:line="320" w:lineRule="exact"/>
                    <w:rPr>
                      <w:rFonts w:hint="default" w:ascii="Times New Roman" w:hAnsi="Times New Roman" w:eastAsia="宋体" w:cs="Times New Roman"/>
                      <w:color w:val="auto"/>
                    </w:rPr>
                  </w:pPr>
                  <w:r>
                    <w:rPr>
                      <w:rFonts w:hint="default" w:ascii="Times New Roman" w:hAnsi="Times New Roman" w:eastAsia="宋体" w:cs="Times New Roman"/>
                      <w:color w:val="auto"/>
                    </w:rPr>
                    <w:t>有机物</w:t>
                  </w:r>
                </w:p>
              </w:tc>
              <w:tc>
                <w:tcPr>
                  <w:tcW w:w="646" w:type="dxa"/>
                  <w:vAlign w:val="center"/>
                </w:tcPr>
                <w:p>
                  <w:pPr>
                    <w:topLinePunct/>
                    <w:adjustRightInd w:val="0"/>
                    <w:snapToGrid w:val="0"/>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6个月</w:t>
                  </w:r>
                </w:p>
              </w:tc>
              <w:tc>
                <w:tcPr>
                  <w:tcW w:w="525"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T/In</w:t>
                  </w:r>
                </w:p>
              </w:tc>
              <w:tc>
                <w:tcPr>
                  <w:tcW w:w="509" w:type="dxa"/>
                  <w:vMerge w:val="restart"/>
                  <w:vAlign w:val="center"/>
                </w:tcPr>
                <w:p>
                  <w:pPr>
                    <w:topLinePunct/>
                    <w:adjustRightInd w:val="0"/>
                    <w:snapToGrid w:val="0"/>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危废分区储存后委托有资质单位处置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18" w:hRule="atLeast"/>
                <w:jc w:val="center"/>
              </w:trPr>
              <w:tc>
                <w:tcPr>
                  <w:tcW w:w="377" w:type="dxa"/>
                  <w:vAlign w:val="center"/>
                </w:tcPr>
                <w:p>
                  <w:pPr>
                    <w:topLinePunct/>
                    <w:adjustRightInd w:val="0"/>
                    <w:snapToGrid w:val="0"/>
                    <w:spacing w:line="320" w:lineRule="exact"/>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w:t>
                  </w:r>
                </w:p>
              </w:tc>
              <w:tc>
                <w:tcPr>
                  <w:tcW w:w="986" w:type="dxa"/>
                  <w:vAlign w:val="center"/>
                </w:tcPr>
                <w:p>
                  <w:pPr>
                    <w:pStyle w:val="221"/>
                    <w:spacing w:line="320" w:lineRule="exact"/>
                    <w:rPr>
                      <w:rFonts w:hint="default" w:ascii="Times New Roman" w:hAnsi="Times New Roman" w:eastAsia="宋体" w:cs="Times New Roman"/>
                      <w:color w:val="auto"/>
                    </w:rPr>
                  </w:pPr>
                  <w:r>
                    <w:rPr>
                      <w:rFonts w:hint="default" w:ascii="Times New Roman" w:hAnsi="Times New Roman" w:eastAsia="宋体" w:cs="Times New Roman"/>
                      <w:color w:val="auto"/>
                    </w:rPr>
                    <w:t>废紫外线灯管</w:t>
                  </w:r>
                </w:p>
              </w:tc>
              <w:tc>
                <w:tcPr>
                  <w:tcW w:w="818" w:type="dxa"/>
                  <w:vAlign w:val="center"/>
                </w:tcPr>
                <w:p>
                  <w:pPr>
                    <w:pStyle w:val="221"/>
                    <w:spacing w:line="320" w:lineRule="exact"/>
                    <w:rPr>
                      <w:rFonts w:hint="default" w:ascii="Times New Roman" w:hAnsi="Times New Roman" w:eastAsia="宋体" w:cs="Times New Roman"/>
                      <w:color w:val="auto"/>
                    </w:rPr>
                  </w:pPr>
                  <w:r>
                    <w:rPr>
                      <w:rFonts w:hint="default" w:ascii="Times New Roman" w:hAnsi="Times New Roman" w:eastAsia="宋体" w:cs="Times New Roman"/>
                      <w:color w:val="auto"/>
                    </w:rPr>
                    <w:t>HW29</w:t>
                  </w:r>
                </w:p>
              </w:tc>
              <w:tc>
                <w:tcPr>
                  <w:tcW w:w="1108" w:type="dxa"/>
                  <w:vAlign w:val="center"/>
                </w:tcPr>
                <w:p>
                  <w:pPr>
                    <w:pStyle w:val="221"/>
                    <w:spacing w:line="320" w:lineRule="exact"/>
                    <w:rPr>
                      <w:rFonts w:hint="default" w:ascii="Times New Roman" w:hAnsi="Times New Roman" w:eastAsia="宋体" w:cs="Times New Roman"/>
                      <w:color w:val="auto"/>
                    </w:rPr>
                  </w:pPr>
                  <w:r>
                    <w:rPr>
                      <w:rFonts w:hint="default" w:ascii="Times New Roman" w:hAnsi="Times New Roman" w:eastAsia="宋体" w:cs="Times New Roman"/>
                      <w:color w:val="auto"/>
                    </w:rPr>
                    <w:t>900-023-29</w:t>
                  </w:r>
                </w:p>
              </w:tc>
              <w:tc>
                <w:tcPr>
                  <w:tcW w:w="769" w:type="dxa"/>
                  <w:vAlign w:val="center"/>
                </w:tcPr>
                <w:p>
                  <w:pPr>
                    <w:pStyle w:val="221"/>
                    <w:spacing w:line="320" w:lineRule="exact"/>
                    <w:rPr>
                      <w:rFonts w:hint="default" w:ascii="Times New Roman" w:hAnsi="Times New Roman" w:eastAsia="宋体" w:cs="Times New Roman"/>
                      <w:color w:val="auto"/>
                    </w:rPr>
                  </w:pPr>
                  <w:r>
                    <w:rPr>
                      <w:rFonts w:hint="default" w:ascii="Times New Roman" w:hAnsi="Times New Roman" w:eastAsia="宋体" w:cs="Times New Roman"/>
                      <w:color w:val="auto"/>
                    </w:rPr>
                    <w:t>0.004</w:t>
                  </w:r>
                </w:p>
              </w:tc>
              <w:tc>
                <w:tcPr>
                  <w:tcW w:w="915" w:type="dxa"/>
                  <w:vAlign w:val="center"/>
                </w:tcPr>
                <w:p>
                  <w:pPr>
                    <w:pStyle w:val="220"/>
                    <w:spacing w:line="320" w:lineRule="exact"/>
                    <w:rPr>
                      <w:rFonts w:hint="default" w:ascii="Times New Roman" w:hAnsi="Times New Roman" w:eastAsia="宋体" w:cs="Times New Roman"/>
                      <w:color w:val="auto"/>
                    </w:rPr>
                  </w:pPr>
                  <w:r>
                    <w:rPr>
                      <w:rFonts w:hint="default" w:ascii="Times New Roman" w:hAnsi="Times New Roman" w:eastAsia="宋体" w:cs="Times New Roman"/>
                      <w:color w:val="auto"/>
                    </w:rPr>
                    <w:t>废气处理</w:t>
                  </w:r>
                </w:p>
              </w:tc>
              <w:tc>
                <w:tcPr>
                  <w:tcW w:w="658" w:type="dxa"/>
                  <w:vAlign w:val="center"/>
                </w:tcPr>
                <w:p>
                  <w:pPr>
                    <w:pStyle w:val="221"/>
                    <w:spacing w:line="320" w:lineRule="exact"/>
                    <w:rPr>
                      <w:rFonts w:hint="default" w:ascii="Times New Roman" w:hAnsi="Times New Roman" w:eastAsia="宋体" w:cs="Times New Roman"/>
                      <w:color w:val="auto"/>
                    </w:rPr>
                  </w:pPr>
                  <w:r>
                    <w:rPr>
                      <w:rFonts w:hint="default" w:ascii="Times New Roman" w:hAnsi="Times New Roman" w:eastAsia="宋体" w:cs="Times New Roman"/>
                      <w:color w:val="auto"/>
                    </w:rPr>
                    <w:t>固态</w:t>
                  </w:r>
                </w:p>
              </w:tc>
              <w:tc>
                <w:tcPr>
                  <w:tcW w:w="829" w:type="dxa"/>
                  <w:vAlign w:val="center"/>
                </w:tcPr>
                <w:p>
                  <w:pPr>
                    <w:pStyle w:val="221"/>
                    <w:spacing w:line="320" w:lineRule="exact"/>
                    <w:rPr>
                      <w:rFonts w:hint="default" w:ascii="Times New Roman" w:hAnsi="Times New Roman" w:eastAsia="宋体" w:cs="Times New Roman"/>
                      <w:color w:val="auto"/>
                    </w:rPr>
                  </w:pPr>
                  <w:r>
                    <w:rPr>
                      <w:rFonts w:hint="default" w:ascii="Times New Roman" w:hAnsi="Times New Roman" w:eastAsia="宋体" w:cs="Times New Roman"/>
                      <w:color w:val="auto"/>
                    </w:rPr>
                    <w:t>含汞灯管</w:t>
                  </w:r>
                </w:p>
              </w:tc>
              <w:tc>
                <w:tcPr>
                  <w:tcW w:w="818" w:type="dxa"/>
                  <w:vAlign w:val="center"/>
                </w:tcPr>
                <w:p>
                  <w:pPr>
                    <w:pStyle w:val="221"/>
                    <w:spacing w:line="320" w:lineRule="exact"/>
                    <w:rPr>
                      <w:rFonts w:hint="default" w:ascii="Times New Roman" w:hAnsi="Times New Roman" w:eastAsia="宋体" w:cs="Times New Roman"/>
                      <w:color w:val="auto"/>
                    </w:rPr>
                  </w:pPr>
                  <w:r>
                    <w:rPr>
                      <w:rFonts w:hint="default" w:ascii="Times New Roman" w:hAnsi="Times New Roman" w:eastAsia="宋体" w:cs="Times New Roman"/>
                      <w:color w:val="auto"/>
                    </w:rPr>
                    <w:t>含汞灯管</w:t>
                  </w:r>
                </w:p>
              </w:tc>
              <w:tc>
                <w:tcPr>
                  <w:tcW w:w="646" w:type="dxa"/>
                  <w:vMerge w:val="restart"/>
                  <w:vAlign w:val="center"/>
                </w:tcPr>
                <w:p>
                  <w:pPr>
                    <w:topLinePunct/>
                    <w:adjustRightInd w:val="0"/>
                    <w:snapToGrid w:val="0"/>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1年</w:t>
                  </w:r>
                </w:p>
              </w:tc>
              <w:tc>
                <w:tcPr>
                  <w:tcW w:w="525"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w:t>
                  </w:r>
                </w:p>
              </w:tc>
              <w:tc>
                <w:tcPr>
                  <w:tcW w:w="509" w:type="dxa"/>
                  <w:vMerge w:val="continue"/>
                  <w:vAlign w:val="center"/>
                </w:tcPr>
                <w:p>
                  <w:pPr>
                    <w:topLinePunct/>
                    <w:adjustRightInd w:val="0"/>
                    <w:snapToGrid w:val="0"/>
                    <w:spacing w:line="320" w:lineRule="exact"/>
                    <w:ind w:firstLine="0" w:firstLineChars="0"/>
                    <w:jc w:val="center"/>
                    <w:rPr>
                      <w:rFonts w:hint="default" w:ascii="Times New Roman" w:hAnsi="Times New Roman" w:eastAsia="宋体" w:cs="Times New Roman"/>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18" w:hRule="atLeast"/>
                <w:jc w:val="center"/>
              </w:trPr>
              <w:tc>
                <w:tcPr>
                  <w:tcW w:w="377" w:type="dxa"/>
                  <w:vAlign w:val="center"/>
                </w:tcPr>
                <w:p>
                  <w:pPr>
                    <w:topLinePunct/>
                    <w:adjustRightInd w:val="0"/>
                    <w:snapToGrid w:val="0"/>
                    <w:spacing w:line="320" w:lineRule="exact"/>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w:t>
                  </w:r>
                </w:p>
              </w:tc>
              <w:tc>
                <w:tcPr>
                  <w:tcW w:w="986"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废催化剂</w:t>
                  </w:r>
                </w:p>
              </w:tc>
              <w:tc>
                <w:tcPr>
                  <w:tcW w:w="818"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HW50</w:t>
                  </w:r>
                </w:p>
              </w:tc>
              <w:tc>
                <w:tcPr>
                  <w:tcW w:w="1108"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772-007-50</w:t>
                  </w:r>
                </w:p>
              </w:tc>
              <w:tc>
                <w:tcPr>
                  <w:tcW w:w="769"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0.005</w:t>
                  </w:r>
                </w:p>
              </w:tc>
              <w:tc>
                <w:tcPr>
                  <w:tcW w:w="915"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废气处理</w:t>
                  </w:r>
                </w:p>
              </w:tc>
              <w:tc>
                <w:tcPr>
                  <w:tcW w:w="658"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固态</w:t>
                  </w:r>
                </w:p>
              </w:tc>
              <w:tc>
                <w:tcPr>
                  <w:tcW w:w="829"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催化剂</w:t>
                  </w:r>
                </w:p>
              </w:tc>
              <w:tc>
                <w:tcPr>
                  <w:tcW w:w="818"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催化剂</w:t>
                  </w:r>
                </w:p>
              </w:tc>
              <w:tc>
                <w:tcPr>
                  <w:tcW w:w="646" w:type="dxa"/>
                  <w:vMerge w:val="continue"/>
                  <w:vAlign w:val="center"/>
                </w:tcPr>
                <w:p>
                  <w:pPr>
                    <w:topLinePunct/>
                    <w:adjustRightInd w:val="0"/>
                    <w:snapToGrid w:val="0"/>
                    <w:spacing w:line="320" w:lineRule="exact"/>
                    <w:ind w:firstLine="0" w:firstLineChars="0"/>
                    <w:jc w:val="center"/>
                    <w:rPr>
                      <w:rFonts w:hint="default" w:ascii="Times New Roman" w:hAnsi="Times New Roman" w:eastAsia="宋体" w:cs="Times New Roman"/>
                      <w:color w:val="auto"/>
                      <w:sz w:val="21"/>
                      <w:szCs w:val="21"/>
                    </w:rPr>
                  </w:pPr>
                </w:p>
              </w:tc>
              <w:tc>
                <w:tcPr>
                  <w:tcW w:w="525" w:type="dxa"/>
                  <w:vAlign w:val="center"/>
                </w:tcPr>
                <w:p>
                  <w:pPr>
                    <w:spacing w:line="32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w:t>
                  </w:r>
                </w:p>
              </w:tc>
              <w:tc>
                <w:tcPr>
                  <w:tcW w:w="509" w:type="dxa"/>
                  <w:vMerge w:val="continue"/>
                  <w:vAlign w:val="center"/>
                </w:tcPr>
                <w:p>
                  <w:pPr>
                    <w:topLinePunct/>
                    <w:adjustRightInd w:val="0"/>
                    <w:snapToGrid w:val="0"/>
                    <w:spacing w:line="320" w:lineRule="exact"/>
                    <w:ind w:firstLine="0" w:firstLineChars="0"/>
                    <w:jc w:val="center"/>
                    <w:rPr>
                      <w:rFonts w:hint="default" w:ascii="Times New Roman" w:hAnsi="Times New Roman" w:eastAsia="宋体" w:cs="Times New Roman"/>
                      <w:color w:val="auto"/>
                      <w:kern w:val="0"/>
                      <w:sz w:val="21"/>
                      <w:szCs w:val="21"/>
                    </w:rPr>
                  </w:pPr>
                </w:p>
              </w:tc>
            </w:tr>
          </w:tbl>
          <w:p>
            <w:pPr>
              <w:spacing w:line="460" w:lineRule="exact"/>
              <w:ind w:firstLine="482"/>
              <w:rPr>
                <w:rFonts w:hint="eastAsia" w:ascii="宋体" w:hAnsi="宋体" w:eastAsia="宋体" w:cs="宋体"/>
                <w:b/>
                <w:color w:val="auto"/>
                <w:sz w:val="24"/>
                <w:szCs w:val="24"/>
              </w:rPr>
            </w:pPr>
            <w:r>
              <w:rPr>
                <w:rFonts w:hint="eastAsia" w:ascii="宋体" w:hAnsi="宋体" w:eastAsia="宋体" w:cs="宋体"/>
                <w:b/>
                <w:color w:val="auto"/>
                <w:sz w:val="24"/>
                <w:szCs w:val="24"/>
              </w:rPr>
              <w:t>5.3.5污染物三本帐汇总表</w:t>
            </w:r>
          </w:p>
          <w:p>
            <w:pPr>
              <w:adjustRightInd w:val="0"/>
              <w:snapToGrid w:val="0"/>
              <w:spacing w:line="460" w:lineRule="exact"/>
              <w:ind w:firstLine="480"/>
              <w:rPr>
                <w:rFonts w:hint="eastAsia" w:ascii="宋体" w:hAnsi="宋体" w:eastAsia="宋体" w:cs="宋体"/>
                <w:b/>
                <w:color w:val="auto"/>
                <w:sz w:val="24"/>
                <w:szCs w:val="24"/>
              </w:rPr>
            </w:pPr>
            <w:r>
              <w:rPr>
                <w:rFonts w:hint="eastAsia" w:ascii="宋体" w:hAnsi="宋体" w:eastAsia="宋体" w:cs="宋体"/>
                <w:bCs/>
                <w:color w:val="auto"/>
                <w:sz w:val="24"/>
                <w:szCs w:val="24"/>
              </w:rPr>
              <w:t>项目建成后三废产生及排放情况见表5</w:t>
            </w:r>
            <w:r>
              <w:rPr>
                <w:rFonts w:hint="eastAsia" w:ascii="宋体" w:hAnsi="宋体" w:cs="宋体"/>
                <w:bCs/>
                <w:color w:val="auto"/>
                <w:sz w:val="24"/>
                <w:szCs w:val="24"/>
                <w:lang w:val="en-US" w:eastAsia="zh-CN"/>
              </w:rPr>
              <w:t>.2.6</w:t>
            </w:r>
            <w:r>
              <w:rPr>
                <w:rFonts w:hint="eastAsia" w:ascii="宋体" w:hAnsi="宋体" w:eastAsia="宋体" w:cs="宋体"/>
                <w:bCs/>
                <w:color w:val="auto"/>
                <w:sz w:val="24"/>
                <w:szCs w:val="24"/>
              </w:rPr>
              <w:t>-16。</w:t>
            </w:r>
          </w:p>
          <w:p>
            <w:pPr>
              <w:spacing w:line="24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表5</w:t>
            </w:r>
            <w:r>
              <w:rPr>
                <w:rFonts w:hint="eastAsia" w:ascii="宋体" w:hAnsi="宋体" w:cs="宋体"/>
                <w:b/>
                <w:bCs/>
                <w:color w:val="auto"/>
                <w:sz w:val="24"/>
                <w:szCs w:val="24"/>
                <w:lang w:val="en-US" w:eastAsia="zh-CN"/>
              </w:rPr>
              <w:t>.2.6</w:t>
            </w:r>
            <w:r>
              <w:rPr>
                <w:rFonts w:hint="eastAsia" w:ascii="宋体" w:hAnsi="宋体" w:eastAsia="宋体" w:cs="宋体"/>
                <w:b/>
                <w:bCs/>
                <w:color w:val="auto"/>
                <w:sz w:val="24"/>
                <w:szCs w:val="24"/>
              </w:rPr>
              <w:t>-16 本项目污染物产生及排放情况汇总单位：t/a</w:t>
            </w:r>
          </w:p>
          <w:tbl>
            <w:tblPr>
              <w:tblStyle w:val="43"/>
              <w:tblW w:w="918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237"/>
              <w:gridCol w:w="1022"/>
              <w:gridCol w:w="1022"/>
              <w:gridCol w:w="1462"/>
              <w:gridCol w:w="1988"/>
              <w:gridCol w:w="24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1237" w:type="dxa"/>
                  <w:vAlign w:val="center"/>
                </w:tcPr>
                <w:p>
                  <w:pPr>
                    <w:pStyle w:val="128"/>
                    <w:tabs>
                      <w:tab w:val="left" w:pos="0"/>
                    </w:tabs>
                    <w:spacing w:line="320" w:lineRule="exact"/>
                    <w:ind w:firstLine="0" w:firstLineChars="0"/>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类别</w:t>
                  </w:r>
                </w:p>
              </w:tc>
              <w:tc>
                <w:tcPr>
                  <w:tcW w:w="2044" w:type="dxa"/>
                  <w:gridSpan w:val="2"/>
                  <w:vAlign w:val="center"/>
                </w:tcPr>
                <w:p>
                  <w:pPr>
                    <w:pStyle w:val="128"/>
                    <w:tabs>
                      <w:tab w:val="left" w:pos="0"/>
                    </w:tabs>
                    <w:spacing w:line="320" w:lineRule="exact"/>
                    <w:ind w:firstLine="0" w:firstLineChars="0"/>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污染物名称</w:t>
                  </w:r>
                </w:p>
              </w:tc>
              <w:tc>
                <w:tcPr>
                  <w:tcW w:w="1462" w:type="dxa"/>
                  <w:vAlign w:val="center"/>
                </w:tcPr>
                <w:p>
                  <w:pPr>
                    <w:pStyle w:val="128"/>
                    <w:tabs>
                      <w:tab w:val="left" w:pos="0"/>
                    </w:tabs>
                    <w:spacing w:line="320" w:lineRule="exact"/>
                    <w:ind w:firstLine="0" w:firstLineChars="0"/>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产生量</w:t>
                  </w:r>
                </w:p>
              </w:tc>
              <w:tc>
                <w:tcPr>
                  <w:tcW w:w="1988" w:type="dxa"/>
                  <w:vAlign w:val="center"/>
                </w:tcPr>
                <w:p>
                  <w:pPr>
                    <w:pStyle w:val="128"/>
                    <w:tabs>
                      <w:tab w:val="left" w:pos="0"/>
                    </w:tabs>
                    <w:spacing w:line="320" w:lineRule="exact"/>
                    <w:ind w:firstLine="0" w:firstLineChars="0"/>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削减量</w:t>
                  </w:r>
                </w:p>
              </w:tc>
              <w:tc>
                <w:tcPr>
                  <w:tcW w:w="2454" w:type="dxa"/>
                  <w:vAlign w:val="center"/>
                </w:tcPr>
                <w:p>
                  <w:pPr>
                    <w:pStyle w:val="128"/>
                    <w:tabs>
                      <w:tab w:val="left" w:pos="0"/>
                    </w:tabs>
                    <w:spacing w:line="320" w:lineRule="exact"/>
                    <w:ind w:firstLine="0" w:firstLineChars="0"/>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排放量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1237" w:type="dxa"/>
                  <w:vMerge w:val="restart"/>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废气</w:t>
                  </w:r>
                </w:p>
              </w:tc>
              <w:tc>
                <w:tcPr>
                  <w:tcW w:w="1022" w:type="dxa"/>
                  <w:vMerge w:val="restart"/>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有组织</w:t>
                  </w:r>
                </w:p>
              </w:tc>
              <w:tc>
                <w:tcPr>
                  <w:tcW w:w="102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颗粒物</w:t>
                  </w:r>
                </w:p>
              </w:tc>
              <w:tc>
                <w:tcPr>
                  <w:tcW w:w="146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3.53</w:t>
                  </w:r>
                </w:p>
              </w:tc>
              <w:tc>
                <w:tcPr>
                  <w:tcW w:w="1988"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3.195</w:t>
                  </w:r>
                </w:p>
              </w:tc>
              <w:tc>
                <w:tcPr>
                  <w:tcW w:w="2454"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0.353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1237"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p>
              </w:tc>
              <w:tc>
                <w:tcPr>
                  <w:tcW w:w="1022"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p>
              </w:tc>
              <w:tc>
                <w:tcPr>
                  <w:tcW w:w="102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SO2</w:t>
                  </w:r>
                </w:p>
              </w:tc>
              <w:tc>
                <w:tcPr>
                  <w:tcW w:w="146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0.513</w:t>
                  </w:r>
                </w:p>
              </w:tc>
              <w:tc>
                <w:tcPr>
                  <w:tcW w:w="1988"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w:t>
                  </w:r>
                </w:p>
              </w:tc>
              <w:tc>
                <w:tcPr>
                  <w:tcW w:w="2454"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0.513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1237"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p>
              </w:tc>
              <w:tc>
                <w:tcPr>
                  <w:tcW w:w="1022"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p>
              </w:tc>
              <w:tc>
                <w:tcPr>
                  <w:tcW w:w="102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NOX</w:t>
                  </w:r>
                </w:p>
              </w:tc>
              <w:tc>
                <w:tcPr>
                  <w:tcW w:w="146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0.972</w:t>
                  </w:r>
                </w:p>
              </w:tc>
              <w:tc>
                <w:tcPr>
                  <w:tcW w:w="1988"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w:t>
                  </w:r>
                </w:p>
              </w:tc>
              <w:tc>
                <w:tcPr>
                  <w:tcW w:w="2454"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0.972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1237"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p>
              </w:tc>
              <w:tc>
                <w:tcPr>
                  <w:tcW w:w="1022"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p>
              </w:tc>
              <w:tc>
                <w:tcPr>
                  <w:tcW w:w="102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沥青烟</w:t>
                  </w:r>
                </w:p>
              </w:tc>
              <w:tc>
                <w:tcPr>
                  <w:tcW w:w="146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0.312</w:t>
                  </w:r>
                </w:p>
              </w:tc>
              <w:tc>
                <w:tcPr>
                  <w:tcW w:w="1988"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0.2964</w:t>
                  </w:r>
                </w:p>
              </w:tc>
              <w:tc>
                <w:tcPr>
                  <w:tcW w:w="2454"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0.0156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1237"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p>
              </w:tc>
              <w:tc>
                <w:tcPr>
                  <w:tcW w:w="1022"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p>
              </w:tc>
              <w:tc>
                <w:tcPr>
                  <w:tcW w:w="102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苯并[a]芘</w:t>
                  </w:r>
                </w:p>
              </w:tc>
              <w:tc>
                <w:tcPr>
                  <w:tcW w:w="146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0.000173</w:t>
                  </w:r>
                </w:p>
              </w:tc>
              <w:tc>
                <w:tcPr>
                  <w:tcW w:w="1988"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0.00016437</w:t>
                  </w:r>
                </w:p>
              </w:tc>
              <w:tc>
                <w:tcPr>
                  <w:tcW w:w="2454"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0.00000863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1237"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p>
              </w:tc>
              <w:tc>
                <w:tcPr>
                  <w:tcW w:w="1022" w:type="dxa"/>
                  <w:vMerge w:val="restart"/>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无组织</w:t>
                  </w:r>
                </w:p>
              </w:tc>
              <w:tc>
                <w:tcPr>
                  <w:tcW w:w="102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颗粒物</w:t>
                  </w:r>
                </w:p>
              </w:tc>
              <w:tc>
                <w:tcPr>
                  <w:tcW w:w="146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0.392</w:t>
                  </w:r>
                </w:p>
              </w:tc>
              <w:tc>
                <w:tcPr>
                  <w:tcW w:w="1988"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w:t>
                  </w:r>
                </w:p>
              </w:tc>
              <w:tc>
                <w:tcPr>
                  <w:tcW w:w="2454"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0.392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1237"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p>
              </w:tc>
              <w:tc>
                <w:tcPr>
                  <w:tcW w:w="1022"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p>
              </w:tc>
              <w:tc>
                <w:tcPr>
                  <w:tcW w:w="102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SO2</w:t>
                  </w:r>
                </w:p>
              </w:tc>
              <w:tc>
                <w:tcPr>
                  <w:tcW w:w="146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0.057</w:t>
                  </w:r>
                </w:p>
              </w:tc>
              <w:tc>
                <w:tcPr>
                  <w:tcW w:w="1988"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w:t>
                  </w:r>
                </w:p>
              </w:tc>
              <w:tc>
                <w:tcPr>
                  <w:tcW w:w="2454"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0.057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1237"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p>
              </w:tc>
              <w:tc>
                <w:tcPr>
                  <w:tcW w:w="1022"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p>
              </w:tc>
              <w:tc>
                <w:tcPr>
                  <w:tcW w:w="102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NOX</w:t>
                  </w:r>
                </w:p>
              </w:tc>
              <w:tc>
                <w:tcPr>
                  <w:tcW w:w="146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0.108</w:t>
                  </w:r>
                </w:p>
              </w:tc>
              <w:tc>
                <w:tcPr>
                  <w:tcW w:w="1988"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w:t>
                  </w:r>
                </w:p>
              </w:tc>
              <w:tc>
                <w:tcPr>
                  <w:tcW w:w="2454"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0.108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1237"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p>
              </w:tc>
              <w:tc>
                <w:tcPr>
                  <w:tcW w:w="1022"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p>
              </w:tc>
              <w:tc>
                <w:tcPr>
                  <w:tcW w:w="102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沥青烟</w:t>
                  </w:r>
                </w:p>
              </w:tc>
              <w:tc>
                <w:tcPr>
                  <w:tcW w:w="146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0.000312</w:t>
                  </w:r>
                </w:p>
              </w:tc>
              <w:tc>
                <w:tcPr>
                  <w:tcW w:w="1988"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w:t>
                  </w:r>
                </w:p>
              </w:tc>
              <w:tc>
                <w:tcPr>
                  <w:tcW w:w="2454"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0.000312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1237"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p>
              </w:tc>
              <w:tc>
                <w:tcPr>
                  <w:tcW w:w="1022"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p>
              </w:tc>
              <w:tc>
                <w:tcPr>
                  <w:tcW w:w="102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苯并[a]芘</w:t>
                  </w:r>
                </w:p>
              </w:tc>
              <w:tc>
                <w:tcPr>
                  <w:tcW w:w="146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1.73</w:t>
                  </w:r>
                  <w:r>
                    <w:rPr>
                      <w:rFonts w:hint="default" w:ascii="Times New Roman" w:hAnsi="Times New Roman" w:eastAsia="宋体" w:cs="Times New Roman"/>
                      <w:b w:val="0"/>
                      <w:bCs/>
                      <w:color w:val="auto"/>
                      <w:sz w:val="21"/>
                      <w:szCs w:val="21"/>
                    </w:rPr>
                    <w:t>*10-</w:t>
                  </w:r>
                  <w:r>
                    <w:rPr>
                      <w:rFonts w:hint="default" w:ascii="Times New Roman" w:hAnsi="Times New Roman" w:eastAsia="宋体" w:cs="Times New Roman"/>
                      <w:b w:val="0"/>
                      <w:bCs/>
                      <w:color w:val="auto"/>
                      <w:sz w:val="21"/>
                      <w:szCs w:val="21"/>
                      <w:lang w:val="en-US" w:eastAsia="zh-CN"/>
                    </w:rPr>
                    <w:t>7</w:t>
                  </w:r>
                </w:p>
              </w:tc>
              <w:tc>
                <w:tcPr>
                  <w:tcW w:w="1988"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w:t>
                  </w:r>
                </w:p>
              </w:tc>
              <w:tc>
                <w:tcPr>
                  <w:tcW w:w="2454"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1.73</w:t>
                  </w:r>
                  <w:r>
                    <w:rPr>
                      <w:rFonts w:hint="default" w:ascii="Times New Roman" w:hAnsi="Times New Roman" w:eastAsia="宋体" w:cs="Times New Roman"/>
                      <w:b w:val="0"/>
                      <w:bCs/>
                      <w:color w:val="auto"/>
                      <w:sz w:val="21"/>
                      <w:szCs w:val="21"/>
                    </w:rPr>
                    <w:t>*10-</w:t>
                  </w:r>
                  <w:r>
                    <w:rPr>
                      <w:rFonts w:hint="default" w:ascii="Times New Roman" w:hAnsi="Times New Roman" w:eastAsia="宋体" w:cs="Times New Roman"/>
                      <w:b w:val="0"/>
                      <w:bCs/>
                      <w:color w:val="auto"/>
                      <w:sz w:val="21"/>
                      <w:szCs w:val="21"/>
                      <w:lang w:val="en-US" w:eastAsia="zh-CN"/>
                    </w:rPr>
                    <w:t>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1237" w:type="dxa"/>
                  <w:vMerge w:val="restart"/>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废水</w:t>
                  </w:r>
                </w:p>
              </w:tc>
              <w:tc>
                <w:tcPr>
                  <w:tcW w:w="2044" w:type="dxa"/>
                  <w:gridSpan w:val="2"/>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废水量</w:t>
                  </w:r>
                </w:p>
              </w:tc>
              <w:tc>
                <w:tcPr>
                  <w:tcW w:w="146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1228.3</w:t>
                  </w:r>
                </w:p>
              </w:tc>
              <w:tc>
                <w:tcPr>
                  <w:tcW w:w="1988"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0</w:t>
                  </w:r>
                </w:p>
              </w:tc>
              <w:tc>
                <w:tcPr>
                  <w:tcW w:w="2454"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1228.3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1237"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p>
              </w:tc>
              <w:tc>
                <w:tcPr>
                  <w:tcW w:w="2044" w:type="dxa"/>
                  <w:gridSpan w:val="2"/>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CODcr</w:t>
                  </w:r>
                </w:p>
              </w:tc>
              <w:tc>
                <w:tcPr>
                  <w:tcW w:w="146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0.62</w:t>
                  </w:r>
                </w:p>
              </w:tc>
              <w:tc>
                <w:tcPr>
                  <w:tcW w:w="1988"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0.132</w:t>
                  </w:r>
                </w:p>
              </w:tc>
              <w:tc>
                <w:tcPr>
                  <w:tcW w:w="2454"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0.488（0.0614）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1237"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p>
              </w:tc>
              <w:tc>
                <w:tcPr>
                  <w:tcW w:w="2044" w:type="dxa"/>
                  <w:gridSpan w:val="2"/>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NH3-N</w:t>
                  </w:r>
                </w:p>
              </w:tc>
              <w:tc>
                <w:tcPr>
                  <w:tcW w:w="146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0.0289</w:t>
                  </w:r>
                </w:p>
              </w:tc>
              <w:tc>
                <w:tcPr>
                  <w:tcW w:w="1988"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0.0027</w:t>
                  </w:r>
                </w:p>
              </w:tc>
              <w:tc>
                <w:tcPr>
                  <w:tcW w:w="2454"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0.0262（0.00614）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1237"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p>
              </w:tc>
              <w:tc>
                <w:tcPr>
                  <w:tcW w:w="2044" w:type="dxa"/>
                  <w:gridSpan w:val="2"/>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SS</w:t>
                  </w:r>
                </w:p>
              </w:tc>
              <w:tc>
                <w:tcPr>
                  <w:tcW w:w="146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0.323</w:t>
                  </w:r>
                </w:p>
              </w:tc>
              <w:tc>
                <w:tcPr>
                  <w:tcW w:w="1988"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0.081</w:t>
                  </w:r>
                </w:p>
              </w:tc>
              <w:tc>
                <w:tcPr>
                  <w:tcW w:w="2454"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0.242（0.0123）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1237"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p>
              </w:tc>
              <w:tc>
                <w:tcPr>
                  <w:tcW w:w="2044" w:type="dxa"/>
                  <w:gridSpan w:val="2"/>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TP</w:t>
                  </w:r>
                </w:p>
              </w:tc>
              <w:tc>
                <w:tcPr>
                  <w:tcW w:w="146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0.00324</w:t>
                  </w:r>
                </w:p>
              </w:tc>
              <w:tc>
                <w:tcPr>
                  <w:tcW w:w="1988"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0.00065</w:t>
                  </w:r>
                </w:p>
              </w:tc>
              <w:tc>
                <w:tcPr>
                  <w:tcW w:w="2454"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0.00259（0.000614）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1237"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p>
              </w:tc>
              <w:tc>
                <w:tcPr>
                  <w:tcW w:w="2044" w:type="dxa"/>
                  <w:gridSpan w:val="2"/>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动植物油</w:t>
                  </w:r>
                </w:p>
              </w:tc>
              <w:tc>
                <w:tcPr>
                  <w:tcW w:w="146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0.0194</w:t>
                  </w:r>
                </w:p>
              </w:tc>
              <w:tc>
                <w:tcPr>
                  <w:tcW w:w="1988"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0.00968</w:t>
                  </w:r>
                </w:p>
              </w:tc>
              <w:tc>
                <w:tcPr>
                  <w:tcW w:w="2454"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0.00972（0.00123）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1237"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p>
              </w:tc>
              <w:tc>
                <w:tcPr>
                  <w:tcW w:w="2044" w:type="dxa"/>
                  <w:gridSpan w:val="2"/>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石油类</w:t>
                  </w:r>
                </w:p>
              </w:tc>
              <w:tc>
                <w:tcPr>
                  <w:tcW w:w="146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0.09</w:t>
                  </w:r>
                </w:p>
              </w:tc>
              <w:tc>
                <w:tcPr>
                  <w:tcW w:w="1988"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0.0784</w:t>
                  </w:r>
                </w:p>
              </w:tc>
              <w:tc>
                <w:tcPr>
                  <w:tcW w:w="2454"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0.0116（0.00123）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485" w:hRule="atLeast"/>
              </w:trPr>
              <w:tc>
                <w:tcPr>
                  <w:tcW w:w="1237" w:type="dxa"/>
                  <w:vMerge w:val="restart"/>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固废</w:t>
                  </w:r>
                </w:p>
              </w:tc>
              <w:tc>
                <w:tcPr>
                  <w:tcW w:w="2044" w:type="dxa"/>
                  <w:gridSpan w:val="2"/>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一般固废</w:t>
                  </w:r>
                </w:p>
              </w:tc>
              <w:tc>
                <w:tcPr>
                  <w:tcW w:w="146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5.36</w:t>
                  </w:r>
                </w:p>
              </w:tc>
              <w:tc>
                <w:tcPr>
                  <w:tcW w:w="1988"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5.36</w:t>
                  </w:r>
                </w:p>
              </w:tc>
              <w:tc>
                <w:tcPr>
                  <w:tcW w:w="2454"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485" w:hRule="atLeast"/>
              </w:trPr>
              <w:tc>
                <w:tcPr>
                  <w:tcW w:w="1237"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p>
              </w:tc>
              <w:tc>
                <w:tcPr>
                  <w:tcW w:w="2044" w:type="dxa"/>
                  <w:gridSpan w:val="2"/>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生活垃圾</w:t>
                  </w:r>
                </w:p>
              </w:tc>
              <w:tc>
                <w:tcPr>
                  <w:tcW w:w="146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4.8</w:t>
                  </w:r>
                </w:p>
              </w:tc>
              <w:tc>
                <w:tcPr>
                  <w:tcW w:w="1988"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4.8</w:t>
                  </w:r>
                </w:p>
              </w:tc>
              <w:tc>
                <w:tcPr>
                  <w:tcW w:w="2454"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485" w:hRule="atLeast"/>
              </w:trPr>
              <w:tc>
                <w:tcPr>
                  <w:tcW w:w="1237" w:type="dxa"/>
                  <w:vMerge w:val="continue"/>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p>
              </w:tc>
              <w:tc>
                <w:tcPr>
                  <w:tcW w:w="2044" w:type="dxa"/>
                  <w:gridSpan w:val="2"/>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危险固废</w:t>
                  </w:r>
                </w:p>
              </w:tc>
              <w:tc>
                <w:tcPr>
                  <w:tcW w:w="1462"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2.309</w:t>
                  </w:r>
                </w:p>
              </w:tc>
              <w:tc>
                <w:tcPr>
                  <w:tcW w:w="1988"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2.309</w:t>
                  </w:r>
                </w:p>
              </w:tc>
              <w:tc>
                <w:tcPr>
                  <w:tcW w:w="2454" w:type="dxa"/>
                  <w:vAlign w:val="center"/>
                </w:tcPr>
                <w:p>
                  <w:pPr>
                    <w:pStyle w:val="128"/>
                    <w:tabs>
                      <w:tab w:val="left" w:pos="0"/>
                    </w:tabs>
                    <w:spacing w:line="32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w:t>
                  </w:r>
                </w:p>
              </w:tc>
            </w:tr>
          </w:tbl>
          <w:p>
            <w:pPr>
              <w:adjustRightInd w:val="0"/>
              <w:snapToGrid w:val="0"/>
              <w:spacing w:line="360" w:lineRule="auto"/>
              <w:ind w:firstLine="36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18"/>
                <w:szCs w:val="18"/>
              </w:rPr>
              <w:t>注：括号内为污水处理厂排放量</w:t>
            </w:r>
            <w:r>
              <w:rPr>
                <w:rFonts w:hint="default" w:ascii="Times New Roman" w:hAnsi="Times New Roman" w:cs="Times New Roman" w:eastAsiaTheme="minorEastAsia"/>
                <w:sz w:val="24"/>
                <w:szCs w:val="24"/>
              </w:rPr>
              <w:t>。</w:t>
            </w:r>
          </w:p>
        </w:tc>
      </w:tr>
    </w:tbl>
    <w:p>
      <w:pPr>
        <w:rPr>
          <w:rFonts w:hint="eastAsia" w:cs="宋体"/>
          <w:b/>
          <w:bCs/>
          <w:sz w:val="28"/>
        </w:rPr>
      </w:pPr>
      <w:r>
        <w:rPr>
          <w:rFonts w:hint="eastAsia" w:cs="宋体"/>
          <w:b/>
          <w:bCs/>
          <w:sz w:val="28"/>
        </w:rPr>
        <w:br w:type="page"/>
      </w:r>
    </w:p>
    <w:p>
      <w:pPr>
        <w:jc w:val="left"/>
        <w:outlineLvl w:val="0"/>
        <w:rPr>
          <w:rFonts w:cs="宋体"/>
          <w:b/>
          <w:bCs/>
          <w:sz w:val="28"/>
        </w:rPr>
      </w:pPr>
      <w:bookmarkStart w:id="44" w:name="_Toc7082"/>
      <w:r>
        <w:rPr>
          <w:rFonts w:hint="eastAsia" w:cs="宋体"/>
          <w:b/>
          <w:bCs/>
          <w:sz w:val="28"/>
        </w:rPr>
        <w:t>项目主要污染物产生及预计排放情况</w:t>
      </w:r>
      <w:bookmarkEnd w:id="44"/>
    </w:p>
    <w:tbl>
      <w:tblPr>
        <w:tblStyle w:val="43"/>
        <w:tblW w:w="912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
      <w:tblGrid>
        <w:gridCol w:w="791"/>
        <w:gridCol w:w="1000"/>
        <w:gridCol w:w="1150"/>
        <w:gridCol w:w="116"/>
        <w:gridCol w:w="1471"/>
        <w:gridCol w:w="2213"/>
        <w:gridCol w:w="23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Ex>
        <w:trPr>
          <w:trHeight w:val="774" w:hRule="atLeast"/>
          <w:jc w:val="center"/>
        </w:trPr>
        <w:tc>
          <w:tcPr>
            <w:tcW w:w="791" w:type="dxa"/>
            <w:tcBorders>
              <w:tl2br w:val="single" w:color="auto" w:sz="6" w:space="0"/>
            </w:tcBorders>
            <w:vAlign w:val="center"/>
          </w:tcPr>
          <w:p>
            <w:pPr>
              <w:jc w:val="right"/>
              <w:rPr>
                <w:rFonts w:cs="宋体"/>
                <w:b/>
                <w:bCs/>
                <w:kern w:val="24"/>
                <w:sz w:val="24"/>
              </w:rPr>
            </w:pPr>
            <w:r>
              <w:rPr>
                <w:rFonts w:hint="eastAsia" w:cs="宋体"/>
                <w:b/>
                <w:bCs/>
                <w:sz w:val="24"/>
              </w:rPr>
              <w:t>内容</w:t>
            </w:r>
          </w:p>
          <w:p>
            <w:pPr>
              <w:rPr>
                <w:rFonts w:cs="宋体"/>
                <w:b/>
                <w:bCs/>
                <w:kern w:val="24"/>
                <w:sz w:val="24"/>
              </w:rPr>
            </w:pPr>
            <w:r>
              <w:rPr>
                <w:rFonts w:hint="eastAsia" w:cs="宋体"/>
                <w:b/>
                <w:bCs/>
                <w:sz w:val="24"/>
              </w:rPr>
              <w:t>类型</w:t>
            </w:r>
          </w:p>
        </w:tc>
        <w:tc>
          <w:tcPr>
            <w:tcW w:w="2150" w:type="dxa"/>
            <w:gridSpan w:val="2"/>
            <w:vAlign w:val="center"/>
          </w:tcPr>
          <w:p>
            <w:pPr>
              <w:jc w:val="center"/>
              <w:rPr>
                <w:rFonts w:cs="宋体"/>
                <w:b/>
                <w:bCs/>
                <w:kern w:val="24"/>
                <w:sz w:val="24"/>
              </w:rPr>
            </w:pPr>
            <w:r>
              <w:rPr>
                <w:rFonts w:hint="eastAsia" w:cs="宋体"/>
                <w:b/>
                <w:bCs/>
                <w:sz w:val="24"/>
              </w:rPr>
              <w:t>排放源（编号）</w:t>
            </w:r>
          </w:p>
        </w:tc>
        <w:tc>
          <w:tcPr>
            <w:tcW w:w="1587" w:type="dxa"/>
            <w:gridSpan w:val="2"/>
            <w:vAlign w:val="center"/>
          </w:tcPr>
          <w:p>
            <w:pPr>
              <w:jc w:val="center"/>
              <w:rPr>
                <w:rFonts w:cs="宋体"/>
                <w:b/>
                <w:bCs/>
                <w:sz w:val="24"/>
              </w:rPr>
            </w:pPr>
            <w:r>
              <w:rPr>
                <w:rFonts w:hint="eastAsia" w:cs="宋体"/>
                <w:b/>
                <w:bCs/>
                <w:sz w:val="24"/>
              </w:rPr>
              <w:t>污染物</w:t>
            </w:r>
          </w:p>
          <w:p>
            <w:pPr>
              <w:jc w:val="center"/>
              <w:rPr>
                <w:rFonts w:cs="宋体"/>
                <w:b/>
                <w:bCs/>
                <w:kern w:val="24"/>
                <w:sz w:val="24"/>
              </w:rPr>
            </w:pPr>
            <w:r>
              <w:rPr>
                <w:rFonts w:hint="eastAsia" w:cs="宋体"/>
                <w:b/>
                <w:bCs/>
                <w:sz w:val="24"/>
              </w:rPr>
              <w:t>名称</w:t>
            </w:r>
          </w:p>
        </w:tc>
        <w:tc>
          <w:tcPr>
            <w:tcW w:w="2213" w:type="dxa"/>
            <w:vAlign w:val="center"/>
          </w:tcPr>
          <w:p>
            <w:pPr>
              <w:jc w:val="center"/>
              <w:rPr>
                <w:rFonts w:cs="宋体"/>
                <w:b/>
                <w:bCs/>
                <w:kern w:val="24"/>
                <w:sz w:val="24"/>
              </w:rPr>
            </w:pPr>
            <w:r>
              <w:rPr>
                <w:rFonts w:hint="eastAsia" w:cs="宋体"/>
                <w:b/>
                <w:bCs/>
                <w:sz w:val="24"/>
              </w:rPr>
              <w:t>处理前产生浓度及产生量(单位)</w:t>
            </w:r>
          </w:p>
        </w:tc>
        <w:tc>
          <w:tcPr>
            <w:tcW w:w="2387" w:type="dxa"/>
            <w:vAlign w:val="center"/>
          </w:tcPr>
          <w:p>
            <w:pPr>
              <w:jc w:val="center"/>
              <w:rPr>
                <w:rFonts w:cs="宋体"/>
                <w:b/>
                <w:bCs/>
                <w:sz w:val="24"/>
              </w:rPr>
            </w:pPr>
            <w:r>
              <w:rPr>
                <w:rFonts w:hint="eastAsia" w:cs="宋体"/>
                <w:b/>
                <w:bCs/>
                <w:sz w:val="24"/>
              </w:rPr>
              <w:t>排放浓度及排放量</w:t>
            </w:r>
          </w:p>
          <w:p>
            <w:pPr>
              <w:jc w:val="center"/>
              <w:rPr>
                <w:rFonts w:cs="宋体"/>
                <w:b/>
                <w:bCs/>
                <w:kern w:val="24"/>
                <w:sz w:val="24"/>
              </w:rPr>
            </w:pPr>
            <w:r>
              <w:rPr>
                <w:rFonts w:hint="eastAsia" w:cs="宋体"/>
                <w:b/>
                <w:bCs/>
                <w:sz w:val="24"/>
              </w:rPr>
              <w:t>(单位)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Ex>
        <w:trPr>
          <w:trHeight w:val="454" w:hRule="atLeast"/>
          <w:jc w:val="center"/>
        </w:trPr>
        <w:tc>
          <w:tcPr>
            <w:tcW w:w="791" w:type="dxa"/>
            <w:vMerge w:val="restart"/>
            <w:vAlign w:val="center"/>
          </w:tcPr>
          <w:p>
            <w:pPr>
              <w:jc w:val="center"/>
              <w:rPr>
                <w:rFonts w:cs="宋体"/>
                <w:b/>
                <w:bCs/>
                <w:sz w:val="24"/>
              </w:rPr>
            </w:pPr>
            <w:r>
              <w:rPr>
                <w:rFonts w:hint="eastAsia" w:cs="宋体"/>
                <w:b/>
                <w:bCs/>
                <w:sz w:val="24"/>
              </w:rPr>
              <w:t>大</w:t>
            </w:r>
          </w:p>
          <w:p>
            <w:pPr>
              <w:jc w:val="center"/>
              <w:rPr>
                <w:rFonts w:cs="宋体"/>
                <w:b/>
                <w:bCs/>
                <w:sz w:val="24"/>
              </w:rPr>
            </w:pPr>
            <w:r>
              <w:rPr>
                <w:rFonts w:hint="eastAsia" w:cs="宋体"/>
                <w:b/>
                <w:bCs/>
                <w:sz w:val="24"/>
              </w:rPr>
              <w:t>气</w:t>
            </w:r>
          </w:p>
          <w:p>
            <w:pPr>
              <w:jc w:val="center"/>
              <w:rPr>
                <w:rFonts w:cs="宋体"/>
                <w:b/>
                <w:bCs/>
                <w:sz w:val="24"/>
              </w:rPr>
            </w:pPr>
            <w:r>
              <w:rPr>
                <w:rFonts w:hint="eastAsia" w:cs="宋体"/>
                <w:b/>
                <w:bCs/>
                <w:sz w:val="24"/>
              </w:rPr>
              <w:t>污</w:t>
            </w:r>
          </w:p>
          <w:p>
            <w:pPr>
              <w:jc w:val="center"/>
              <w:rPr>
                <w:rFonts w:cs="宋体"/>
                <w:b/>
                <w:bCs/>
                <w:sz w:val="24"/>
              </w:rPr>
            </w:pPr>
            <w:r>
              <w:rPr>
                <w:rFonts w:hint="eastAsia" w:cs="宋体"/>
                <w:b/>
                <w:bCs/>
                <w:sz w:val="24"/>
              </w:rPr>
              <w:t>染</w:t>
            </w:r>
          </w:p>
          <w:p>
            <w:pPr>
              <w:jc w:val="center"/>
              <w:rPr>
                <w:rFonts w:cs="宋体"/>
                <w:b/>
                <w:bCs/>
                <w:kern w:val="24"/>
                <w:sz w:val="24"/>
              </w:rPr>
            </w:pPr>
            <w:r>
              <w:rPr>
                <w:rFonts w:hint="eastAsia" w:cs="宋体"/>
                <w:b/>
                <w:bCs/>
                <w:sz w:val="24"/>
              </w:rPr>
              <w:t>物</w:t>
            </w:r>
          </w:p>
        </w:tc>
        <w:tc>
          <w:tcPr>
            <w:tcW w:w="1000" w:type="dxa"/>
            <w:vMerge w:val="restart"/>
            <w:tcBorders>
              <w:right w:val="single" w:color="auto" w:sz="4" w:space="0"/>
            </w:tcBorders>
            <w:vAlign w:val="center"/>
          </w:tcPr>
          <w:p>
            <w:pPr>
              <w:jc w:val="center"/>
              <w:rPr>
                <w:sz w:val="24"/>
              </w:rPr>
            </w:pPr>
            <w:r>
              <w:rPr>
                <w:sz w:val="24"/>
              </w:rPr>
              <w:t>施工期</w:t>
            </w:r>
          </w:p>
        </w:tc>
        <w:tc>
          <w:tcPr>
            <w:tcW w:w="1150" w:type="dxa"/>
            <w:tcBorders>
              <w:left w:val="single" w:color="auto" w:sz="4" w:space="0"/>
            </w:tcBorders>
            <w:vAlign w:val="center"/>
          </w:tcPr>
          <w:p>
            <w:pPr>
              <w:jc w:val="center"/>
              <w:rPr>
                <w:sz w:val="24"/>
              </w:rPr>
            </w:pPr>
            <w:r>
              <w:rPr>
                <w:sz w:val="24"/>
              </w:rPr>
              <w:t>施工扬尘</w:t>
            </w:r>
          </w:p>
        </w:tc>
        <w:tc>
          <w:tcPr>
            <w:tcW w:w="1587" w:type="dxa"/>
            <w:gridSpan w:val="2"/>
            <w:vAlign w:val="center"/>
          </w:tcPr>
          <w:p>
            <w:pPr>
              <w:jc w:val="center"/>
              <w:rPr>
                <w:sz w:val="24"/>
              </w:rPr>
            </w:pPr>
            <w:r>
              <w:rPr>
                <w:sz w:val="24"/>
              </w:rPr>
              <w:t>扬尘</w:t>
            </w:r>
          </w:p>
        </w:tc>
        <w:tc>
          <w:tcPr>
            <w:tcW w:w="2213" w:type="dxa"/>
            <w:tcBorders>
              <w:bottom w:val="single" w:color="auto" w:sz="6" w:space="0"/>
            </w:tcBorders>
            <w:vAlign w:val="center"/>
          </w:tcPr>
          <w:p>
            <w:pPr>
              <w:jc w:val="center"/>
              <w:rPr>
                <w:sz w:val="24"/>
              </w:rPr>
            </w:pPr>
            <w:r>
              <w:rPr>
                <w:sz w:val="24"/>
              </w:rPr>
              <w:t>少量，无组织排放</w:t>
            </w:r>
          </w:p>
        </w:tc>
        <w:tc>
          <w:tcPr>
            <w:tcW w:w="2387" w:type="dxa"/>
            <w:tcBorders>
              <w:bottom w:val="single" w:color="auto" w:sz="6" w:space="0"/>
            </w:tcBorders>
            <w:vAlign w:val="center"/>
          </w:tcPr>
          <w:p>
            <w:pPr>
              <w:jc w:val="center"/>
              <w:rPr>
                <w:sz w:val="24"/>
              </w:rPr>
            </w:pPr>
            <w:r>
              <w:rPr>
                <w:sz w:val="24"/>
              </w:rPr>
              <w:t>少量，无组织排放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Ex>
        <w:trPr>
          <w:trHeight w:val="559" w:hRule="atLeast"/>
          <w:jc w:val="center"/>
        </w:trPr>
        <w:tc>
          <w:tcPr>
            <w:tcW w:w="791" w:type="dxa"/>
            <w:vMerge w:val="continue"/>
            <w:vAlign w:val="center"/>
          </w:tcPr>
          <w:p>
            <w:pPr>
              <w:jc w:val="center"/>
              <w:rPr>
                <w:rFonts w:cs="宋体"/>
                <w:b/>
                <w:bCs/>
                <w:sz w:val="24"/>
              </w:rPr>
            </w:pPr>
          </w:p>
        </w:tc>
        <w:tc>
          <w:tcPr>
            <w:tcW w:w="1000" w:type="dxa"/>
            <w:vMerge w:val="continue"/>
            <w:tcBorders>
              <w:right w:val="single" w:color="auto" w:sz="4" w:space="0"/>
            </w:tcBorders>
            <w:vAlign w:val="center"/>
          </w:tcPr>
          <w:p>
            <w:pPr>
              <w:jc w:val="center"/>
              <w:rPr>
                <w:sz w:val="24"/>
              </w:rPr>
            </w:pPr>
          </w:p>
        </w:tc>
        <w:tc>
          <w:tcPr>
            <w:tcW w:w="1150" w:type="dxa"/>
            <w:tcBorders>
              <w:left w:val="single" w:color="auto" w:sz="4" w:space="0"/>
            </w:tcBorders>
            <w:vAlign w:val="center"/>
          </w:tcPr>
          <w:p>
            <w:pPr>
              <w:jc w:val="center"/>
              <w:rPr>
                <w:sz w:val="24"/>
              </w:rPr>
            </w:pPr>
            <w:r>
              <w:rPr>
                <w:sz w:val="24"/>
              </w:rPr>
              <w:t>沥青烟气</w:t>
            </w:r>
          </w:p>
        </w:tc>
        <w:tc>
          <w:tcPr>
            <w:tcW w:w="1587" w:type="dxa"/>
            <w:gridSpan w:val="2"/>
            <w:vAlign w:val="center"/>
          </w:tcPr>
          <w:p>
            <w:pPr>
              <w:adjustRightInd w:val="0"/>
              <w:snapToGrid w:val="0"/>
              <w:jc w:val="center"/>
              <w:rPr>
                <w:sz w:val="24"/>
              </w:rPr>
            </w:pPr>
            <w:r>
              <w:rPr>
                <w:sz w:val="24"/>
              </w:rPr>
              <w:t>THC、CO、NO</w:t>
            </w:r>
            <w:r>
              <w:rPr>
                <w:sz w:val="24"/>
                <w:vertAlign w:val="subscript"/>
              </w:rPr>
              <w:t>X</w:t>
            </w:r>
          </w:p>
        </w:tc>
        <w:tc>
          <w:tcPr>
            <w:tcW w:w="2213" w:type="dxa"/>
            <w:tcBorders>
              <w:bottom w:val="single" w:color="auto" w:sz="6" w:space="0"/>
            </w:tcBorders>
            <w:vAlign w:val="center"/>
          </w:tcPr>
          <w:p>
            <w:pPr>
              <w:jc w:val="center"/>
              <w:rPr>
                <w:sz w:val="24"/>
              </w:rPr>
            </w:pPr>
            <w:r>
              <w:rPr>
                <w:sz w:val="24"/>
              </w:rPr>
              <w:t>少量，无组织排放</w:t>
            </w:r>
          </w:p>
        </w:tc>
        <w:tc>
          <w:tcPr>
            <w:tcW w:w="2387" w:type="dxa"/>
            <w:tcBorders>
              <w:bottom w:val="single" w:color="auto" w:sz="6" w:space="0"/>
            </w:tcBorders>
            <w:vAlign w:val="center"/>
          </w:tcPr>
          <w:p>
            <w:pPr>
              <w:jc w:val="center"/>
              <w:rPr>
                <w:sz w:val="24"/>
              </w:rPr>
            </w:pPr>
            <w:r>
              <w:rPr>
                <w:sz w:val="24"/>
              </w:rPr>
              <w:t>少量，无组织排放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Ex>
        <w:trPr>
          <w:trHeight w:val="454" w:hRule="atLeast"/>
          <w:jc w:val="center"/>
        </w:trPr>
        <w:tc>
          <w:tcPr>
            <w:tcW w:w="791" w:type="dxa"/>
            <w:vMerge w:val="continue"/>
            <w:vAlign w:val="center"/>
          </w:tcPr>
          <w:p>
            <w:pPr>
              <w:jc w:val="center"/>
              <w:rPr>
                <w:rFonts w:cs="宋体"/>
                <w:b/>
                <w:bCs/>
                <w:sz w:val="24"/>
              </w:rPr>
            </w:pPr>
          </w:p>
        </w:tc>
        <w:tc>
          <w:tcPr>
            <w:tcW w:w="1000" w:type="dxa"/>
            <w:vMerge w:val="continue"/>
            <w:tcBorders>
              <w:right w:val="single" w:color="auto" w:sz="4" w:space="0"/>
            </w:tcBorders>
            <w:vAlign w:val="center"/>
          </w:tcPr>
          <w:p>
            <w:pPr>
              <w:jc w:val="center"/>
              <w:rPr>
                <w:sz w:val="24"/>
              </w:rPr>
            </w:pPr>
          </w:p>
        </w:tc>
        <w:tc>
          <w:tcPr>
            <w:tcW w:w="1150" w:type="dxa"/>
            <w:tcBorders>
              <w:left w:val="single" w:color="auto" w:sz="4" w:space="0"/>
            </w:tcBorders>
            <w:vAlign w:val="center"/>
          </w:tcPr>
          <w:p>
            <w:pPr>
              <w:jc w:val="center"/>
              <w:rPr>
                <w:sz w:val="24"/>
              </w:rPr>
            </w:pPr>
            <w:r>
              <w:rPr>
                <w:sz w:val="24"/>
              </w:rPr>
              <w:t>机械尾气</w:t>
            </w:r>
          </w:p>
        </w:tc>
        <w:tc>
          <w:tcPr>
            <w:tcW w:w="1587" w:type="dxa"/>
            <w:gridSpan w:val="2"/>
            <w:vAlign w:val="center"/>
          </w:tcPr>
          <w:p>
            <w:pPr>
              <w:adjustRightInd w:val="0"/>
              <w:snapToGrid w:val="0"/>
              <w:jc w:val="center"/>
              <w:rPr>
                <w:sz w:val="24"/>
              </w:rPr>
            </w:pPr>
            <w:r>
              <w:rPr>
                <w:rFonts w:hint="eastAsia"/>
                <w:sz w:val="24"/>
              </w:rPr>
              <w:t>T</w:t>
            </w:r>
            <w:r>
              <w:rPr>
                <w:sz w:val="24"/>
              </w:rPr>
              <w:t>HC、CO、NO</w:t>
            </w:r>
            <w:r>
              <w:rPr>
                <w:sz w:val="24"/>
                <w:vertAlign w:val="subscript"/>
              </w:rPr>
              <w:t>x</w:t>
            </w:r>
          </w:p>
        </w:tc>
        <w:tc>
          <w:tcPr>
            <w:tcW w:w="2213" w:type="dxa"/>
            <w:tcBorders>
              <w:bottom w:val="single" w:color="auto" w:sz="6" w:space="0"/>
            </w:tcBorders>
            <w:vAlign w:val="center"/>
          </w:tcPr>
          <w:p>
            <w:pPr>
              <w:jc w:val="center"/>
              <w:rPr>
                <w:sz w:val="24"/>
              </w:rPr>
            </w:pPr>
            <w:r>
              <w:rPr>
                <w:sz w:val="24"/>
              </w:rPr>
              <w:t>少量，无组织排放</w:t>
            </w:r>
          </w:p>
        </w:tc>
        <w:tc>
          <w:tcPr>
            <w:tcW w:w="2387" w:type="dxa"/>
            <w:tcBorders>
              <w:bottom w:val="single" w:color="auto" w:sz="6" w:space="0"/>
            </w:tcBorders>
            <w:vAlign w:val="center"/>
          </w:tcPr>
          <w:p>
            <w:pPr>
              <w:jc w:val="center"/>
              <w:rPr>
                <w:sz w:val="24"/>
              </w:rPr>
            </w:pPr>
            <w:r>
              <w:rPr>
                <w:sz w:val="24"/>
              </w:rPr>
              <w:t>少量，无组织排放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Ex>
        <w:trPr>
          <w:trHeight w:val="454" w:hRule="atLeast"/>
          <w:jc w:val="center"/>
        </w:trPr>
        <w:tc>
          <w:tcPr>
            <w:tcW w:w="791" w:type="dxa"/>
            <w:vMerge w:val="continue"/>
            <w:vAlign w:val="center"/>
          </w:tcPr>
          <w:p>
            <w:pPr>
              <w:jc w:val="center"/>
              <w:rPr>
                <w:rFonts w:cs="宋体"/>
                <w:b/>
                <w:bCs/>
                <w:sz w:val="24"/>
              </w:rPr>
            </w:pPr>
          </w:p>
        </w:tc>
        <w:tc>
          <w:tcPr>
            <w:tcW w:w="1000" w:type="dxa"/>
            <w:vMerge w:val="restart"/>
            <w:tcBorders>
              <w:right w:val="single" w:color="auto" w:sz="4" w:space="0"/>
            </w:tcBorders>
            <w:vAlign w:val="center"/>
          </w:tcPr>
          <w:p>
            <w:pPr>
              <w:jc w:val="center"/>
              <w:rPr>
                <w:sz w:val="24"/>
              </w:rPr>
            </w:pPr>
            <w:r>
              <w:rPr>
                <w:sz w:val="24"/>
              </w:rPr>
              <w:t>运营期</w:t>
            </w:r>
          </w:p>
        </w:tc>
        <w:tc>
          <w:tcPr>
            <w:tcW w:w="1150" w:type="dxa"/>
            <w:tcBorders>
              <w:left w:val="single" w:color="auto" w:sz="4" w:space="0"/>
            </w:tcBorders>
            <w:vAlign w:val="center"/>
          </w:tcPr>
          <w:p>
            <w:pPr>
              <w:jc w:val="center"/>
              <w:rPr>
                <w:sz w:val="24"/>
              </w:rPr>
            </w:pPr>
            <w:r>
              <w:rPr>
                <w:sz w:val="24"/>
              </w:rPr>
              <w:t>道路扬尘</w:t>
            </w:r>
          </w:p>
        </w:tc>
        <w:tc>
          <w:tcPr>
            <w:tcW w:w="1587" w:type="dxa"/>
            <w:gridSpan w:val="2"/>
            <w:vAlign w:val="center"/>
          </w:tcPr>
          <w:p>
            <w:pPr>
              <w:jc w:val="center"/>
              <w:rPr>
                <w:sz w:val="24"/>
              </w:rPr>
            </w:pPr>
            <w:r>
              <w:rPr>
                <w:sz w:val="24"/>
              </w:rPr>
              <w:t>扬尘</w:t>
            </w:r>
          </w:p>
        </w:tc>
        <w:tc>
          <w:tcPr>
            <w:tcW w:w="2213" w:type="dxa"/>
            <w:tcBorders>
              <w:bottom w:val="single" w:color="auto" w:sz="6" w:space="0"/>
            </w:tcBorders>
            <w:vAlign w:val="center"/>
          </w:tcPr>
          <w:p>
            <w:pPr>
              <w:jc w:val="center"/>
              <w:rPr>
                <w:sz w:val="24"/>
              </w:rPr>
            </w:pPr>
            <w:r>
              <w:rPr>
                <w:sz w:val="24"/>
              </w:rPr>
              <w:t>少量，无组织排放</w:t>
            </w:r>
          </w:p>
        </w:tc>
        <w:tc>
          <w:tcPr>
            <w:tcW w:w="2387" w:type="dxa"/>
            <w:tcBorders>
              <w:bottom w:val="single" w:color="auto" w:sz="6" w:space="0"/>
            </w:tcBorders>
            <w:vAlign w:val="center"/>
          </w:tcPr>
          <w:p>
            <w:pPr>
              <w:jc w:val="center"/>
              <w:rPr>
                <w:sz w:val="24"/>
              </w:rPr>
            </w:pPr>
            <w:r>
              <w:rPr>
                <w:sz w:val="24"/>
              </w:rPr>
              <w:t>少量，无组织排放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Ex>
        <w:trPr>
          <w:trHeight w:val="454" w:hRule="atLeast"/>
          <w:jc w:val="center"/>
        </w:trPr>
        <w:tc>
          <w:tcPr>
            <w:tcW w:w="791" w:type="dxa"/>
            <w:vMerge w:val="continue"/>
            <w:vAlign w:val="center"/>
          </w:tcPr>
          <w:p>
            <w:pPr>
              <w:jc w:val="center"/>
              <w:rPr>
                <w:rFonts w:cs="宋体"/>
                <w:b/>
                <w:bCs/>
                <w:sz w:val="24"/>
              </w:rPr>
            </w:pPr>
          </w:p>
        </w:tc>
        <w:tc>
          <w:tcPr>
            <w:tcW w:w="1000" w:type="dxa"/>
            <w:vMerge w:val="continue"/>
            <w:tcBorders>
              <w:right w:val="single" w:color="auto" w:sz="4" w:space="0"/>
            </w:tcBorders>
            <w:vAlign w:val="center"/>
          </w:tcPr>
          <w:p>
            <w:pPr>
              <w:jc w:val="center"/>
              <w:rPr>
                <w:sz w:val="24"/>
              </w:rPr>
            </w:pPr>
          </w:p>
        </w:tc>
        <w:tc>
          <w:tcPr>
            <w:tcW w:w="1150" w:type="dxa"/>
            <w:tcBorders>
              <w:left w:val="single" w:color="auto" w:sz="4" w:space="0"/>
            </w:tcBorders>
            <w:vAlign w:val="center"/>
          </w:tcPr>
          <w:p>
            <w:pPr>
              <w:jc w:val="center"/>
              <w:rPr>
                <w:rFonts w:hint="eastAsia"/>
                <w:sz w:val="24"/>
                <w:lang w:eastAsia="zh-CN"/>
              </w:rPr>
            </w:pPr>
            <w:r>
              <w:rPr>
                <w:rFonts w:hint="eastAsia"/>
                <w:sz w:val="24"/>
                <w:lang w:eastAsia="zh-CN"/>
              </w:rPr>
              <w:t>搅拌站</w:t>
            </w:r>
          </w:p>
        </w:tc>
        <w:tc>
          <w:tcPr>
            <w:tcW w:w="1587" w:type="dxa"/>
            <w:gridSpan w:val="2"/>
            <w:vAlign w:val="center"/>
          </w:tcPr>
          <w:p>
            <w:pPr>
              <w:jc w:val="center"/>
              <w:rPr>
                <w:rFonts w:hint="eastAsia"/>
                <w:sz w:val="24"/>
                <w:lang w:eastAsia="zh-CN"/>
              </w:rPr>
            </w:pPr>
            <w:r>
              <w:rPr>
                <w:rFonts w:hint="eastAsia"/>
                <w:sz w:val="24"/>
                <w:lang w:eastAsia="zh-CN"/>
              </w:rPr>
              <w:t>苯并芘</w:t>
            </w:r>
          </w:p>
        </w:tc>
        <w:tc>
          <w:tcPr>
            <w:tcW w:w="2213" w:type="dxa"/>
            <w:tcBorders>
              <w:bottom w:val="single" w:color="auto" w:sz="6" w:space="0"/>
            </w:tcBorders>
            <w:vAlign w:val="center"/>
          </w:tcPr>
          <w:p>
            <w:pPr>
              <w:jc w:val="center"/>
              <w:rPr>
                <w:rFonts w:hint="default"/>
                <w:sz w:val="24"/>
                <w:lang w:val="en-US" w:eastAsia="zh-CN"/>
              </w:rPr>
            </w:pPr>
            <w:r>
              <w:rPr>
                <w:rFonts w:hint="eastAsia"/>
                <w:sz w:val="24"/>
                <w:lang w:val="en-US" w:eastAsia="zh-CN"/>
              </w:rPr>
              <w:t>1270g/a</w:t>
            </w:r>
          </w:p>
        </w:tc>
        <w:tc>
          <w:tcPr>
            <w:tcW w:w="2387" w:type="dxa"/>
            <w:tcBorders>
              <w:bottom w:val="single" w:color="auto" w:sz="6" w:space="0"/>
            </w:tcBorders>
            <w:vAlign w:val="center"/>
          </w:tcPr>
          <w:p>
            <w:pPr>
              <w:jc w:val="center"/>
              <w:rPr>
                <w:sz w:val="24"/>
              </w:rPr>
            </w:pPr>
            <w:r>
              <w:rPr>
                <w:rFonts w:hint="eastAsia"/>
                <w:sz w:val="24"/>
                <w:lang w:val="en-US" w:eastAsia="zh-CN"/>
              </w:rPr>
              <w:t>1270g/a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Ex>
        <w:trPr>
          <w:trHeight w:val="454" w:hRule="atLeast"/>
          <w:jc w:val="center"/>
        </w:trPr>
        <w:tc>
          <w:tcPr>
            <w:tcW w:w="791" w:type="dxa"/>
            <w:vMerge w:val="continue"/>
            <w:vAlign w:val="center"/>
          </w:tcPr>
          <w:p>
            <w:pPr>
              <w:jc w:val="center"/>
              <w:rPr>
                <w:rFonts w:cs="宋体"/>
                <w:b/>
                <w:bCs/>
                <w:sz w:val="24"/>
              </w:rPr>
            </w:pPr>
          </w:p>
        </w:tc>
        <w:tc>
          <w:tcPr>
            <w:tcW w:w="1000" w:type="dxa"/>
            <w:vMerge w:val="continue"/>
            <w:tcBorders>
              <w:right w:val="single" w:color="auto" w:sz="4" w:space="0"/>
            </w:tcBorders>
            <w:vAlign w:val="center"/>
          </w:tcPr>
          <w:p>
            <w:pPr>
              <w:jc w:val="center"/>
              <w:rPr>
                <w:sz w:val="24"/>
              </w:rPr>
            </w:pPr>
          </w:p>
        </w:tc>
        <w:tc>
          <w:tcPr>
            <w:tcW w:w="1150" w:type="dxa"/>
            <w:tcBorders>
              <w:left w:val="single" w:color="auto" w:sz="4" w:space="0"/>
            </w:tcBorders>
            <w:vAlign w:val="center"/>
          </w:tcPr>
          <w:p>
            <w:pPr>
              <w:jc w:val="center"/>
              <w:rPr>
                <w:rFonts w:hint="eastAsia" w:eastAsia="宋体"/>
                <w:sz w:val="24"/>
                <w:lang w:eastAsia="zh-CN"/>
              </w:rPr>
            </w:pPr>
            <w:r>
              <w:rPr>
                <w:rFonts w:hint="eastAsia"/>
                <w:sz w:val="24"/>
                <w:lang w:eastAsia="zh-CN"/>
              </w:rPr>
              <w:t>搅拌站、堆场</w:t>
            </w:r>
          </w:p>
        </w:tc>
        <w:tc>
          <w:tcPr>
            <w:tcW w:w="1587" w:type="dxa"/>
            <w:gridSpan w:val="2"/>
            <w:vAlign w:val="center"/>
          </w:tcPr>
          <w:p>
            <w:pPr>
              <w:jc w:val="center"/>
              <w:rPr>
                <w:rFonts w:hint="eastAsia" w:eastAsia="宋体"/>
                <w:sz w:val="24"/>
                <w:lang w:eastAsia="zh-CN"/>
              </w:rPr>
            </w:pPr>
            <w:r>
              <w:rPr>
                <w:rFonts w:hint="eastAsia"/>
                <w:sz w:val="24"/>
                <w:lang w:eastAsia="zh-CN"/>
              </w:rPr>
              <w:t>粉尘</w:t>
            </w:r>
          </w:p>
        </w:tc>
        <w:tc>
          <w:tcPr>
            <w:tcW w:w="2213" w:type="dxa"/>
            <w:tcBorders>
              <w:bottom w:val="single" w:color="auto" w:sz="6" w:space="0"/>
            </w:tcBorders>
            <w:vAlign w:val="center"/>
          </w:tcPr>
          <w:p>
            <w:pPr>
              <w:jc w:val="center"/>
              <w:rPr>
                <w:rFonts w:hint="default" w:eastAsia="宋体"/>
                <w:sz w:val="24"/>
                <w:lang w:val="en-US" w:eastAsia="zh-CN"/>
              </w:rPr>
            </w:pPr>
            <w:r>
              <w:rPr>
                <w:rFonts w:hint="eastAsia"/>
                <w:sz w:val="24"/>
                <w:lang w:val="en-US" w:eastAsia="zh-CN"/>
              </w:rPr>
              <w:t>39.55t/a</w:t>
            </w:r>
          </w:p>
        </w:tc>
        <w:tc>
          <w:tcPr>
            <w:tcW w:w="2387" w:type="dxa"/>
            <w:tcBorders>
              <w:bottom w:val="single" w:color="auto" w:sz="6" w:space="0"/>
            </w:tcBorders>
            <w:vAlign w:val="center"/>
          </w:tcPr>
          <w:p>
            <w:pPr>
              <w:jc w:val="center"/>
              <w:rPr>
                <w:rFonts w:hint="default" w:eastAsia="宋体"/>
                <w:sz w:val="24"/>
                <w:lang w:val="en-US" w:eastAsia="zh-CN"/>
              </w:rPr>
            </w:pPr>
            <w:r>
              <w:rPr>
                <w:rFonts w:hint="eastAsia"/>
                <w:sz w:val="24"/>
                <w:lang w:val="en-US" w:eastAsia="zh-CN"/>
              </w:rPr>
              <w:t>1.357t/a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Ex>
        <w:trPr>
          <w:trHeight w:val="558" w:hRule="atLeast"/>
          <w:jc w:val="center"/>
        </w:trPr>
        <w:tc>
          <w:tcPr>
            <w:tcW w:w="791" w:type="dxa"/>
            <w:vMerge w:val="restart"/>
            <w:vAlign w:val="center"/>
          </w:tcPr>
          <w:p>
            <w:pPr>
              <w:jc w:val="center"/>
              <w:rPr>
                <w:rFonts w:cs="宋体"/>
                <w:b/>
                <w:bCs/>
                <w:sz w:val="24"/>
              </w:rPr>
            </w:pPr>
            <w:r>
              <w:rPr>
                <w:rFonts w:hint="eastAsia" w:cs="宋体"/>
                <w:b/>
                <w:bCs/>
                <w:sz w:val="24"/>
              </w:rPr>
              <w:t>水</w:t>
            </w:r>
          </w:p>
          <w:p>
            <w:pPr>
              <w:jc w:val="center"/>
              <w:rPr>
                <w:rFonts w:cs="宋体"/>
                <w:b/>
                <w:bCs/>
                <w:sz w:val="24"/>
              </w:rPr>
            </w:pPr>
            <w:r>
              <w:rPr>
                <w:rFonts w:hint="eastAsia" w:cs="宋体"/>
                <w:b/>
                <w:bCs/>
                <w:sz w:val="24"/>
              </w:rPr>
              <w:t>污</w:t>
            </w:r>
          </w:p>
          <w:p>
            <w:pPr>
              <w:jc w:val="center"/>
              <w:rPr>
                <w:rFonts w:cs="宋体"/>
                <w:b/>
                <w:bCs/>
                <w:sz w:val="24"/>
              </w:rPr>
            </w:pPr>
            <w:r>
              <w:rPr>
                <w:rFonts w:hint="eastAsia" w:cs="宋体"/>
                <w:b/>
                <w:bCs/>
                <w:sz w:val="24"/>
              </w:rPr>
              <w:t>染</w:t>
            </w:r>
          </w:p>
          <w:p>
            <w:pPr>
              <w:jc w:val="center"/>
              <w:rPr>
                <w:rFonts w:cs="宋体"/>
                <w:b/>
                <w:bCs/>
                <w:sz w:val="24"/>
              </w:rPr>
            </w:pPr>
            <w:r>
              <w:rPr>
                <w:rFonts w:hint="eastAsia" w:cs="宋体"/>
                <w:b/>
                <w:bCs/>
                <w:sz w:val="24"/>
              </w:rPr>
              <w:t>物</w:t>
            </w:r>
          </w:p>
        </w:tc>
        <w:tc>
          <w:tcPr>
            <w:tcW w:w="1000" w:type="dxa"/>
            <w:vMerge w:val="restart"/>
            <w:tcBorders>
              <w:right w:val="single" w:color="auto" w:sz="4" w:space="0"/>
            </w:tcBorders>
            <w:vAlign w:val="center"/>
          </w:tcPr>
          <w:p>
            <w:pPr>
              <w:jc w:val="center"/>
              <w:rPr>
                <w:sz w:val="24"/>
              </w:rPr>
            </w:pPr>
            <w:r>
              <w:rPr>
                <w:sz w:val="24"/>
              </w:rPr>
              <w:t>施工期</w:t>
            </w:r>
          </w:p>
        </w:tc>
        <w:tc>
          <w:tcPr>
            <w:tcW w:w="1150" w:type="dxa"/>
            <w:vMerge w:val="restart"/>
            <w:tcBorders>
              <w:left w:val="single" w:color="auto" w:sz="4" w:space="0"/>
            </w:tcBorders>
            <w:vAlign w:val="center"/>
          </w:tcPr>
          <w:p>
            <w:pPr>
              <w:jc w:val="center"/>
              <w:rPr>
                <w:sz w:val="24"/>
              </w:rPr>
            </w:pPr>
            <w:r>
              <w:rPr>
                <w:sz w:val="24"/>
              </w:rPr>
              <w:t>施工废水</w:t>
            </w:r>
          </w:p>
        </w:tc>
        <w:tc>
          <w:tcPr>
            <w:tcW w:w="1587" w:type="dxa"/>
            <w:gridSpan w:val="2"/>
            <w:vAlign w:val="center"/>
          </w:tcPr>
          <w:p>
            <w:pPr>
              <w:jc w:val="center"/>
              <w:rPr>
                <w:sz w:val="24"/>
              </w:rPr>
            </w:pPr>
            <w:r>
              <w:rPr>
                <w:sz w:val="24"/>
              </w:rPr>
              <w:t>COD</w:t>
            </w:r>
          </w:p>
        </w:tc>
        <w:tc>
          <w:tcPr>
            <w:tcW w:w="2213" w:type="dxa"/>
            <w:vAlign w:val="center"/>
          </w:tcPr>
          <w:p>
            <w:pPr>
              <w:jc w:val="center"/>
              <w:rPr>
                <w:sz w:val="24"/>
              </w:rPr>
            </w:pPr>
            <w:r>
              <w:rPr>
                <w:sz w:val="24"/>
              </w:rPr>
              <w:t>300mg/L</w:t>
            </w:r>
          </w:p>
        </w:tc>
        <w:tc>
          <w:tcPr>
            <w:tcW w:w="2387" w:type="dxa"/>
            <w:vMerge w:val="restart"/>
            <w:vAlign w:val="center"/>
          </w:tcPr>
          <w:p>
            <w:pPr>
              <w:pStyle w:val="124"/>
              <w:adjustRightInd/>
              <w:spacing w:line="240" w:lineRule="auto"/>
              <w:rPr>
                <w:sz w:val="24"/>
                <w:szCs w:val="24"/>
              </w:rPr>
            </w:pPr>
            <w:r>
              <w:rPr>
                <w:sz w:val="24"/>
                <w:szCs w:val="24"/>
              </w:rPr>
              <w:t>经</w:t>
            </w:r>
            <w:r>
              <w:rPr>
                <w:rFonts w:hint="eastAsia"/>
                <w:sz w:val="24"/>
                <w:szCs w:val="24"/>
                <w:lang w:eastAsia="zh-CN"/>
              </w:rPr>
              <w:t>隔油</w:t>
            </w:r>
            <w:r>
              <w:rPr>
                <w:sz w:val="24"/>
                <w:szCs w:val="24"/>
              </w:rPr>
              <w:t>沉淀处理</w:t>
            </w:r>
          </w:p>
          <w:p>
            <w:pPr>
              <w:pStyle w:val="124"/>
              <w:adjustRightInd/>
              <w:spacing w:line="240" w:lineRule="auto"/>
              <w:rPr>
                <w:sz w:val="24"/>
                <w:szCs w:val="24"/>
              </w:rPr>
            </w:pPr>
            <w:r>
              <w:rPr>
                <w:sz w:val="24"/>
                <w:szCs w:val="24"/>
              </w:rPr>
              <w:t>后回用，不外排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Ex>
        <w:trPr>
          <w:trHeight w:val="558" w:hRule="atLeast"/>
          <w:jc w:val="center"/>
        </w:trPr>
        <w:tc>
          <w:tcPr>
            <w:tcW w:w="791" w:type="dxa"/>
            <w:vMerge w:val="continue"/>
            <w:vAlign w:val="center"/>
          </w:tcPr>
          <w:p>
            <w:pPr>
              <w:jc w:val="center"/>
              <w:rPr>
                <w:rFonts w:cs="宋体"/>
                <w:sz w:val="24"/>
                <w:highlight w:val="yellow"/>
              </w:rPr>
            </w:pPr>
          </w:p>
        </w:tc>
        <w:tc>
          <w:tcPr>
            <w:tcW w:w="1000" w:type="dxa"/>
            <w:vMerge w:val="continue"/>
            <w:tcBorders>
              <w:right w:val="single" w:color="auto" w:sz="4" w:space="0"/>
            </w:tcBorders>
            <w:vAlign w:val="center"/>
          </w:tcPr>
          <w:p>
            <w:pPr>
              <w:jc w:val="center"/>
              <w:rPr>
                <w:sz w:val="24"/>
                <w:highlight w:val="yellow"/>
              </w:rPr>
            </w:pPr>
          </w:p>
        </w:tc>
        <w:tc>
          <w:tcPr>
            <w:tcW w:w="1150" w:type="dxa"/>
            <w:vMerge w:val="continue"/>
            <w:tcBorders>
              <w:left w:val="single" w:color="auto" w:sz="4" w:space="0"/>
            </w:tcBorders>
            <w:vAlign w:val="center"/>
          </w:tcPr>
          <w:p>
            <w:pPr>
              <w:jc w:val="center"/>
              <w:rPr>
                <w:sz w:val="24"/>
                <w:highlight w:val="yellow"/>
              </w:rPr>
            </w:pPr>
          </w:p>
        </w:tc>
        <w:tc>
          <w:tcPr>
            <w:tcW w:w="1587" w:type="dxa"/>
            <w:gridSpan w:val="2"/>
            <w:vAlign w:val="center"/>
          </w:tcPr>
          <w:p>
            <w:pPr>
              <w:jc w:val="center"/>
              <w:rPr>
                <w:sz w:val="24"/>
              </w:rPr>
            </w:pPr>
            <w:r>
              <w:rPr>
                <w:sz w:val="24"/>
              </w:rPr>
              <w:t>SS</w:t>
            </w:r>
          </w:p>
        </w:tc>
        <w:tc>
          <w:tcPr>
            <w:tcW w:w="2213" w:type="dxa"/>
            <w:vAlign w:val="center"/>
          </w:tcPr>
          <w:p>
            <w:pPr>
              <w:jc w:val="center"/>
              <w:rPr>
                <w:sz w:val="24"/>
              </w:rPr>
            </w:pPr>
            <w:r>
              <w:rPr>
                <w:sz w:val="24"/>
              </w:rPr>
              <w:t>350mg/L</w:t>
            </w:r>
          </w:p>
        </w:tc>
        <w:tc>
          <w:tcPr>
            <w:tcW w:w="2387" w:type="dxa"/>
            <w:vMerge w:val="continue"/>
            <w:vAlign w:val="center"/>
          </w:tcPr>
          <w:p>
            <w:pPr>
              <w:jc w:val="center"/>
              <w:rPr>
                <w:sz w:val="24"/>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Ex>
        <w:trPr>
          <w:trHeight w:val="421" w:hRule="atLeast"/>
          <w:jc w:val="center"/>
        </w:trPr>
        <w:tc>
          <w:tcPr>
            <w:tcW w:w="791" w:type="dxa"/>
            <w:vMerge w:val="continue"/>
            <w:vAlign w:val="center"/>
          </w:tcPr>
          <w:p>
            <w:pPr>
              <w:jc w:val="center"/>
              <w:rPr>
                <w:rFonts w:cs="宋体"/>
                <w:sz w:val="24"/>
                <w:highlight w:val="yellow"/>
              </w:rPr>
            </w:pPr>
          </w:p>
        </w:tc>
        <w:tc>
          <w:tcPr>
            <w:tcW w:w="1000" w:type="dxa"/>
            <w:vMerge w:val="continue"/>
            <w:tcBorders>
              <w:bottom w:val="single" w:color="auto" w:sz="4" w:space="0"/>
              <w:right w:val="single" w:color="auto" w:sz="4" w:space="0"/>
            </w:tcBorders>
            <w:vAlign w:val="center"/>
          </w:tcPr>
          <w:p>
            <w:pPr>
              <w:jc w:val="center"/>
              <w:rPr>
                <w:sz w:val="24"/>
                <w:highlight w:val="yellow"/>
              </w:rPr>
            </w:pPr>
          </w:p>
        </w:tc>
        <w:tc>
          <w:tcPr>
            <w:tcW w:w="1150" w:type="dxa"/>
            <w:vMerge w:val="continue"/>
            <w:tcBorders>
              <w:left w:val="single" w:color="auto" w:sz="4" w:space="0"/>
              <w:bottom w:val="single" w:color="auto" w:sz="4" w:space="0"/>
            </w:tcBorders>
            <w:vAlign w:val="center"/>
          </w:tcPr>
          <w:p>
            <w:pPr>
              <w:jc w:val="center"/>
              <w:rPr>
                <w:sz w:val="24"/>
                <w:highlight w:val="yellow"/>
              </w:rPr>
            </w:pPr>
          </w:p>
        </w:tc>
        <w:tc>
          <w:tcPr>
            <w:tcW w:w="1587" w:type="dxa"/>
            <w:gridSpan w:val="2"/>
            <w:vAlign w:val="center"/>
          </w:tcPr>
          <w:p>
            <w:pPr>
              <w:jc w:val="center"/>
              <w:rPr>
                <w:sz w:val="24"/>
              </w:rPr>
            </w:pPr>
            <w:r>
              <w:rPr>
                <w:sz w:val="24"/>
              </w:rPr>
              <w:t>石油类</w:t>
            </w:r>
          </w:p>
        </w:tc>
        <w:tc>
          <w:tcPr>
            <w:tcW w:w="2213" w:type="dxa"/>
            <w:vAlign w:val="center"/>
          </w:tcPr>
          <w:p>
            <w:pPr>
              <w:jc w:val="center"/>
              <w:rPr>
                <w:sz w:val="24"/>
              </w:rPr>
            </w:pPr>
            <w:r>
              <w:rPr>
                <w:sz w:val="24"/>
              </w:rPr>
              <w:t>10mg/L</w:t>
            </w:r>
          </w:p>
        </w:tc>
        <w:tc>
          <w:tcPr>
            <w:tcW w:w="2387" w:type="dxa"/>
            <w:vMerge w:val="continue"/>
            <w:vAlign w:val="center"/>
          </w:tcPr>
          <w:p>
            <w:pPr>
              <w:jc w:val="center"/>
              <w:rPr>
                <w:sz w:val="24"/>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Ex>
        <w:trPr>
          <w:trHeight w:val="421" w:hRule="atLeast"/>
          <w:jc w:val="center"/>
        </w:trPr>
        <w:tc>
          <w:tcPr>
            <w:tcW w:w="791" w:type="dxa"/>
            <w:vMerge w:val="continue"/>
            <w:vAlign w:val="center"/>
          </w:tcPr>
          <w:p>
            <w:pPr>
              <w:jc w:val="center"/>
              <w:rPr>
                <w:rFonts w:cs="宋体"/>
                <w:sz w:val="24"/>
                <w:highlight w:val="yellow"/>
              </w:rPr>
            </w:pPr>
          </w:p>
        </w:tc>
        <w:tc>
          <w:tcPr>
            <w:tcW w:w="1000" w:type="dxa"/>
            <w:vMerge w:val="restart"/>
            <w:tcBorders>
              <w:right w:val="single" w:color="auto" w:sz="4" w:space="0"/>
            </w:tcBorders>
            <w:vAlign w:val="center"/>
          </w:tcPr>
          <w:p>
            <w:pPr>
              <w:jc w:val="center"/>
              <w:rPr>
                <w:rFonts w:hint="eastAsia" w:eastAsia="宋体"/>
                <w:sz w:val="24"/>
                <w:highlight w:val="none"/>
                <w:lang w:eastAsia="zh-CN"/>
              </w:rPr>
            </w:pPr>
            <w:r>
              <w:rPr>
                <w:rFonts w:hint="eastAsia"/>
                <w:sz w:val="24"/>
                <w:highlight w:val="none"/>
                <w:lang w:eastAsia="zh-CN"/>
              </w:rPr>
              <w:t>运营期</w:t>
            </w:r>
          </w:p>
        </w:tc>
        <w:tc>
          <w:tcPr>
            <w:tcW w:w="1150" w:type="dxa"/>
            <w:vMerge w:val="restart"/>
            <w:tcBorders>
              <w:left w:val="single" w:color="auto" w:sz="4" w:space="0"/>
            </w:tcBorders>
            <w:vAlign w:val="center"/>
          </w:tcPr>
          <w:p>
            <w:pPr>
              <w:jc w:val="center"/>
              <w:rPr>
                <w:rFonts w:hint="eastAsia" w:eastAsia="宋体"/>
                <w:sz w:val="24"/>
                <w:highlight w:val="none"/>
                <w:lang w:eastAsia="zh-CN"/>
              </w:rPr>
            </w:pPr>
            <w:r>
              <w:rPr>
                <w:rFonts w:hint="eastAsia"/>
                <w:sz w:val="24"/>
                <w:highlight w:val="none"/>
                <w:lang w:eastAsia="zh-CN"/>
              </w:rPr>
              <w:t>生活废水</w:t>
            </w:r>
          </w:p>
        </w:tc>
        <w:tc>
          <w:tcPr>
            <w:tcW w:w="1587" w:type="dxa"/>
            <w:gridSpan w:val="2"/>
            <w:vAlign w:val="center"/>
          </w:tcPr>
          <w:p>
            <w:pPr>
              <w:jc w:val="center"/>
              <w:rPr>
                <w:rFonts w:hint="default" w:eastAsia="宋体"/>
                <w:sz w:val="24"/>
                <w:lang w:val="en-US" w:eastAsia="zh-CN"/>
              </w:rPr>
            </w:pPr>
            <w:r>
              <w:rPr>
                <w:rFonts w:hint="eastAsia"/>
                <w:sz w:val="24"/>
                <w:lang w:val="en-US" w:eastAsia="zh-CN"/>
              </w:rPr>
              <w:t>COD</w:t>
            </w:r>
          </w:p>
        </w:tc>
        <w:tc>
          <w:tcPr>
            <w:tcW w:w="2213" w:type="dxa"/>
            <w:vAlign w:val="center"/>
          </w:tcPr>
          <w:p>
            <w:pPr>
              <w:jc w:val="center"/>
              <w:rPr>
                <w:rFonts w:hint="eastAsia" w:eastAsia="宋体"/>
                <w:sz w:val="24"/>
                <w:lang w:eastAsia="zh-CN"/>
              </w:rPr>
            </w:pPr>
            <w:r>
              <w:rPr>
                <w:rFonts w:hint="eastAsia" w:hAnsi="宋体"/>
                <w:sz w:val="24"/>
                <w:szCs w:val="24"/>
              </w:rPr>
              <w:t>400mg/L</w:t>
            </w:r>
            <w:r>
              <w:rPr>
                <w:rFonts w:hint="eastAsia" w:hAnsi="宋体"/>
                <w:sz w:val="24"/>
                <w:szCs w:val="24"/>
                <w:lang w:eastAsia="zh-CN"/>
              </w:rPr>
              <w:t>，2.536</w:t>
            </w:r>
            <w:r>
              <w:rPr>
                <w:rFonts w:hint="eastAsia" w:hAnsi="宋体"/>
                <w:sz w:val="24"/>
                <w:szCs w:val="24"/>
              </w:rPr>
              <w:t>t/a</w:t>
            </w:r>
          </w:p>
        </w:tc>
        <w:tc>
          <w:tcPr>
            <w:tcW w:w="2387" w:type="dxa"/>
            <w:vAlign w:val="center"/>
          </w:tcPr>
          <w:p>
            <w:pPr>
              <w:jc w:val="center"/>
              <w:rPr>
                <w:sz w:val="24"/>
                <w:highlight w:val="yellow"/>
              </w:rPr>
            </w:pPr>
            <w:r>
              <w:rPr>
                <w:rFonts w:hint="eastAsia" w:hAnsi="宋体"/>
                <w:sz w:val="24"/>
                <w:szCs w:val="24"/>
              </w:rPr>
              <w:t>400mg/L</w:t>
            </w:r>
            <w:r>
              <w:rPr>
                <w:rFonts w:hint="eastAsia" w:hAnsi="宋体"/>
                <w:sz w:val="24"/>
                <w:szCs w:val="24"/>
                <w:lang w:eastAsia="zh-CN"/>
              </w:rPr>
              <w:t>，2.536</w:t>
            </w:r>
            <w:r>
              <w:rPr>
                <w:rFonts w:hint="eastAsia" w:hAnsi="宋体"/>
                <w:sz w:val="24"/>
                <w:szCs w:val="24"/>
              </w:rPr>
              <w:t>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Ex>
        <w:trPr>
          <w:trHeight w:val="421" w:hRule="atLeast"/>
          <w:jc w:val="center"/>
        </w:trPr>
        <w:tc>
          <w:tcPr>
            <w:tcW w:w="791" w:type="dxa"/>
            <w:vMerge w:val="continue"/>
            <w:vAlign w:val="center"/>
          </w:tcPr>
          <w:p>
            <w:pPr>
              <w:jc w:val="center"/>
              <w:rPr>
                <w:rFonts w:cs="宋体"/>
                <w:sz w:val="24"/>
                <w:highlight w:val="yellow"/>
              </w:rPr>
            </w:pPr>
          </w:p>
        </w:tc>
        <w:tc>
          <w:tcPr>
            <w:tcW w:w="1000" w:type="dxa"/>
            <w:vMerge w:val="continue"/>
            <w:tcBorders>
              <w:bottom w:val="single" w:color="auto" w:sz="4" w:space="0"/>
              <w:right w:val="single" w:color="auto" w:sz="4" w:space="0"/>
            </w:tcBorders>
            <w:vAlign w:val="center"/>
          </w:tcPr>
          <w:p>
            <w:pPr>
              <w:jc w:val="center"/>
              <w:rPr>
                <w:rFonts w:hint="eastAsia"/>
                <w:sz w:val="24"/>
                <w:highlight w:val="yellow"/>
                <w:lang w:eastAsia="zh-CN"/>
              </w:rPr>
            </w:pPr>
          </w:p>
        </w:tc>
        <w:tc>
          <w:tcPr>
            <w:tcW w:w="1150" w:type="dxa"/>
            <w:vMerge w:val="continue"/>
            <w:tcBorders>
              <w:left w:val="single" w:color="auto" w:sz="4" w:space="0"/>
            </w:tcBorders>
            <w:vAlign w:val="center"/>
          </w:tcPr>
          <w:p>
            <w:pPr>
              <w:jc w:val="center"/>
              <w:rPr>
                <w:sz w:val="24"/>
                <w:highlight w:val="yellow"/>
              </w:rPr>
            </w:pPr>
          </w:p>
        </w:tc>
        <w:tc>
          <w:tcPr>
            <w:tcW w:w="1587" w:type="dxa"/>
            <w:gridSpan w:val="2"/>
            <w:vAlign w:val="center"/>
          </w:tcPr>
          <w:p>
            <w:pPr>
              <w:jc w:val="center"/>
              <w:rPr>
                <w:rFonts w:hint="eastAsia" w:eastAsia="宋体"/>
                <w:sz w:val="24"/>
                <w:lang w:eastAsia="zh-CN"/>
              </w:rPr>
            </w:pPr>
            <w:r>
              <w:rPr>
                <w:rFonts w:hint="eastAsia"/>
                <w:sz w:val="24"/>
                <w:lang w:eastAsia="zh-CN"/>
              </w:rPr>
              <w:t>氨氮</w:t>
            </w:r>
          </w:p>
        </w:tc>
        <w:tc>
          <w:tcPr>
            <w:tcW w:w="2213" w:type="dxa"/>
            <w:vAlign w:val="center"/>
          </w:tcPr>
          <w:p>
            <w:pPr>
              <w:jc w:val="center"/>
              <w:rPr>
                <w:sz w:val="24"/>
              </w:rPr>
            </w:pPr>
            <w:r>
              <w:rPr>
                <w:rFonts w:hint="eastAsia" w:hAnsi="宋体"/>
                <w:sz w:val="24"/>
                <w:szCs w:val="24"/>
                <w:lang w:val="en-US" w:eastAsia="zh-CN"/>
              </w:rPr>
              <w:t>3</w:t>
            </w:r>
            <w:r>
              <w:rPr>
                <w:rFonts w:hint="eastAsia" w:hAnsi="宋体"/>
                <w:sz w:val="24"/>
                <w:szCs w:val="24"/>
              </w:rPr>
              <w:t>0mg/L</w:t>
            </w:r>
            <w:r>
              <w:rPr>
                <w:rFonts w:hint="eastAsia" w:hAnsi="宋体"/>
                <w:sz w:val="24"/>
                <w:szCs w:val="24"/>
                <w:lang w:eastAsia="zh-CN"/>
              </w:rPr>
              <w:t>，0.190</w:t>
            </w:r>
            <w:r>
              <w:rPr>
                <w:rFonts w:hint="eastAsia" w:hAnsi="宋体"/>
                <w:sz w:val="24"/>
                <w:szCs w:val="24"/>
              </w:rPr>
              <w:t>t/a</w:t>
            </w:r>
          </w:p>
        </w:tc>
        <w:tc>
          <w:tcPr>
            <w:tcW w:w="2387" w:type="dxa"/>
            <w:vAlign w:val="center"/>
          </w:tcPr>
          <w:p>
            <w:pPr>
              <w:jc w:val="center"/>
              <w:rPr>
                <w:sz w:val="24"/>
                <w:highlight w:val="yellow"/>
              </w:rPr>
            </w:pPr>
            <w:r>
              <w:rPr>
                <w:rFonts w:hint="eastAsia" w:hAnsi="宋体"/>
                <w:sz w:val="24"/>
                <w:szCs w:val="24"/>
                <w:lang w:val="en-US" w:eastAsia="zh-CN"/>
              </w:rPr>
              <w:t>3</w:t>
            </w:r>
            <w:r>
              <w:rPr>
                <w:rFonts w:hint="eastAsia" w:hAnsi="宋体"/>
                <w:sz w:val="24"/>
                <w:szCs w:val="24"/>
              </w:rPr>
              <w:t>0mg/L</w:t>
            </w:r>
            <w:r>
              <w:rPr>
                <w:rFonts w:hint="eastAsia" w:hAnsi="宋体"/>
                <w:sz w:val="24"/>
                <w:szCs w:val="24"/>
                <w:lang w:eastAsia="zh-CN"/>
              </w:rPr>
              <w:t>，0.190</w:t>
            </w:r>
            <w:r>
              <w:rPr>
                <w:rFonts w:hint="eastAsia" w:hAnsi="宋体"/>
                <w:sz w:val="24"/>
                <w:szCs w:val="24"/>
              </w:rPr>
              <w:t>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Ex>
        <w:trPr>
          <w:trHeight w:val="454" w:hRule="atLeast"/>
          <w:jc w:val="center"/>
        </w:trPr>
        <w:tc>
          <w:tcPr>
            <w:tcW w:w="791" w:type="dxa"/>
            <w:vMerge w:val="restart"/>
            <w:vAlign w:val="center"/>
          </w:tcPr>
          <w:p>
            <w:pPr>
              <w:jc w:val="center"/>
              <w:rPr>
                <w:rFonts w:cs="宋体"/>
                <w:b/>
                <w:bCs/>
                <w:sz w:val="24"/>
              </w:rPr>
            </w:pPr>
            <w:r>
              <w:rPr>
                <w:rFonts w:hint="eastAsia" w:cs="宋体"/>
                <w:b/>
                <w:bCs/>
                <w:sz w:val="24"/>
              </w:rPr>
              <w:t>固</w:t>
            </w:r>
          </w:p>
          <w:p>
            <w:pPr>
              <w:jc w:val="center"/>
              <w:rPr>
                <w:rFonts w:cs="宋体"/>
                <w:b/>
                <w:bCs/>
                <w:sz w:val="24"/>
              </w:rPr>
            </w:pPr>
            <w:r>
              <w:rPr>
                <w:rFonts w:hint="eastAsia" w:cs="宋体"/>
                <w:b/>
                <w:bCs/>
                <w:sz w:val="24"/>
              </w:rPr>
              <w:t>废</w:t>
            </w:r>
          </w:p>
        </w:tc>
        <w:tc>
          <w:tcPr>
            <w:tcW w:w="1000" w:type="dxa"/>
            <w:tcBorders>
              <w:right w:val="single" w:color="auto" w:sz="4" w:space="0"/>
            </w:tcBorders>
            <w:vAlign w:val="center"/>
          </w:tcPr>
          <w:p>
            <w:pPr>
              <w:jc w:val="center"/>
              <w:rPr>
                <w:sz w:val="24"/>
              </w:rPr>
            </w:pPr>
            <w:r>
              <w:rPr>
                <w:sz w:val="24"/>
              </w:rPr>
              <w:t>施工期</w:t>
            </w:r>
          </w:p>
        </w:tc>
        <w:tc>
          <w:tcPr>
            <w:tcW w:w="2737" w:type="dxa"/>
            <w:gridSpan w:val="3"/>
            <w:tcBorders>
              <w:left w:val="single" w:color="auto" w:sz="4" w:space="0"/>
            </w:tcBorders>
            <w:vAlign w:val="center"/>
          </w:tcPr>
          <w:p>
            <w:pPr>
              <w:jc w:val="center"/>
              <w:rPr>
                <w:sz w:val="24"/>
              </w:rPr>
            </w:pPr>
            <w:r>
              <w:rPr>
                <w:sz w:val="24"/>
              </w:rPr>
              <w:t>建筑垃圾</w:t>
            </w:r>
          </w:p>
        </w:tc>
        <w:tc>
          <w:tcPr>
            <w:tcW w:w="2213" w:type="dxa"/>
            <w:vAlign w:val="center"/>
          </w:tcPr>
          <w:p>
            <w:pPr>
              <w:jc w:val="center"/>
              <w:rPr>
                <w:sz w:val="24"/>
              </w:rPr>
            </w:pPr>
            <w:r>
              <w:rPr>
                <w:rFonts w:hint="eastAsia"/>
                <w:sz w:val="24"/>
              </w:rPr>
              <w:t>少量</w:t>
            </w:r>
          </w:p>
        </w:tc>
        <w:tc>
          <w:tcPr>
            <w:tcW w:w="2387" w:type="dxa"/>
            <w:vAlign w:val="center"/>
          </w:tcPr>
          <w:p>
            <w:pPr>
              <w:jc w:val="center"/>
              <w:rPr>
                <w:sz w:val="24"/>
              </w:rPr>
            </w:pPr>
            <w:r>
              <w:rPr>
                <w:rFonts w:hint="default" w:ascii="Times New Roman" w:hAnsi="Times New Roman" w:eastAsia="宋体" w:cs="Times New Roman"/>
                <w:sz w:val="24"/>
                <w:szCs w:val="24"/>
              </w:rPr>
              <w:t>收集后作为建材利用或用于路基填埋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Ex>
        <w:trPr>
          <w:trHeight w:val="454" w:hRule="atLeast"/>
          <w:jc w:val="center"/>
        </w:trPr>
        <w:tc>
          <w:tcPr>
            <w:tcW w:w="791" w:type="dxa"/>
            <w:vMerge w:val="continue"/>
            <w:vAlign w:val="center"/>
          </w:tcPr>
          <w:p>
            <w:pPr>
              <w:jc w:val="center"/>
              <w:rPr>
                <w:rFonts w:cs="宋体"/>
                <w:b/>
                <w:bCs/>
                <w:sz w:val="24"/>
              </w:rPr>
            </w:pPr>
          </w:p>
        </w:tc>
        <w:tc>
          <w:tcPr>
            <w:tcW w:w="1000" w:type="dxa"/>
            <w:vMerge w:val="restart"/>
            <w:tcBorders>
              <w:right w:val="single" w:color="auto" w:sz="4" w:space="0"/>
            </w:tcBorders>
            <w:vAlign w:val="center"/>
          </w:tcPr>
          <w:p>
            <w:pPr>
              <w:jc w:val="center"/>
              <w:rPr>
                <w:sz w:val="24"/>
              </w:rPr>
            </w:pPr>
            <w:r>
              <w:rPr>
                <w:sz w:val="24"/>
              </w:rPr>
              <w:t>运营期</w:t>
            </w:r>
          </w:p>
        </w:tc>
        <w:tc>
          <w:tcPr>
            <w:tcW w:w="2737" w:type="dxa"/>
            <w:gridSpan w:val="3"/>
            <w:tcBorders>
              <w:left w:val="single" w:color="auto" w:sz="4" w:space="0"/>
            </w:tcBorders>
            <w:vAlign w:val="center"/>
          </w:tcPr>
          <w:p>
            <w:pPr>
              <w:jc w:val="center"/>
              <w:rPr>
                <w:sz w:val="24"/>
              </w:rPr>
            </w:pPr>
            <w:r>
              <w:rPr>
                <w:sz w:val="24"/>
              </w:rPr>
              <w:t>生活垃圾</w:t>
            </w:r>
          </w:p>
        </w:tc>
        <w:tc>
          <w:tcPr>
            <w:tcW w:w="2213" w:type="dxa"/>
            <w:vAlign w:val="center"/>
          </w:tcPr>
          <w:p>
            <w:pPr>
              <w:jc w:val="center"/>
              <w:rPr>
                <w:rFonts w:hint="default" w:eastAsia="宋体"/>
                <w:sz w:val="24"/>
                <w:highlight w:val="yellow"/>
                <w:lang w:val="en-US" w:eastAsia="zh-CN"/>
              </w:rPr>
            </w:pPr>
            <w:r>
              <w:rPr>
                <w:rFonts w:hint="eastAsia"/>
                <w:sz w:val="24"/>
                <w:lang w:val="en-US" w:eastAsia="zh-CN"/>
              </w:rPr>
              <w:t>37.8t/a</w:t>
            </w:r>
          </w:p>
        </w:tc>
        <w:tc>
          <w:tcPr>
            <w:tcW w:w="2387" w:type="dxa"/>
            <w:vAlign w:val="center"/>
          </w:tcPr>
          <w:p>
            <w:pPr>
              <w:jc w:val="center"/>
              <w:rPr>
                <w:sz w:val="24"/>
              </w:rPr>
            </w:pPr>
            <w:r>
              <w:rPr>
                <w:rFonts w:hint="eastAsia"/>
                <w:sz w:val="24"/>
                <w:lang w:val="en-US" w:eastAsia="zh-CN"/>
              </w:rPr>
              <w:t>37.8t/a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Ex>
        <w:trPr>
          <w:trHeight w:val="454" w:hRule="atLeast"/>
          <w:jc w:val="center"/>
        </w:trPr>
        <w:tc>
          <w:tcPr>
            <w:tcW w:w="791" w:type="dxa"/>
            <w:vMerge w:val="continue"/>
            <w:vAlign w:val="center"/>
          </w:tcPr>
          <w:p>
            <w:pPr>
              <w:jc w:val="center"/>
              <w:rPr>
                <w:rFonts w:cs="宋体"/>
                <w:b/>
                <w:bCs/>
                <w:sz w:val="24"/>
              </w:rPr>
            </w:pPr>
          </w:p>
        </w:tc>
        <w:tc>
          <w:tcPr>
            <w:tcW w:w="1000" w:type="dxa"/>
            <w:vMerge w:val="continue"/>
            <w:tcBorders>
              <w:right w:val="single" w:color="auto" w:sz="4" w:space="0"/>
            </w:tcBorders>
            <w:vAlign w:val="center"/>
          </w:tcPr>
          <w:p>
            <w:pPr>
              <w:jc w:val="center"/>
              <w:rPr>
                <w:sz w:val="24"/>
              </w:rPr>
            </w:pPr>
          </w:p>
        </w:tc>
        <w:tc>
          <w:tcPr>
            <w:tcW w:w="2737" w:type="dxa"/>
            <w:gridSpan w:val="3"/>
            <w:tcBorders>
              <w:left w:val="single" w:color="auto" w:sz="4" w:space="0"/>
            </w:tcBorders>
            <w:vAlign w:val="center"/>
          </w:tcPr>
          <w:p>
            <w:pPr>
              <w:jc w:val="center"/>
              <w:rPr>
                <w:rFonts w:hint="eastAsia" w:eastAsia="宋体"/>
                <w:sz w:val="24"/>
                <w:lang w:eastAsia="zh-CN"/>
              </w:rPr>
            </w:pPr>
            <w:r>
              <w:rPr>
                <w:rFonts w:hint="eastAsia"/>
                <w:sz w:val="24"/>
                <w:lang w:eastAsia="zh-CN"/>
              </w:rPr>
              <w:t>除尘器收尘</w:t>
            </w:r>
          </w:p>
        </w:tc>
        <w:tc>
          <w:tcPr>
            <w:tcW w:w="2213" w:type="dxa"/>
            <w:vAlign w:val="center"/>
          </w:tcPr>
          <w:p>
            <w:pPr>
              <w:jc w:val="center"/>
              <w:rPr>
                <w:rFonts w:hint="default"/>
                <w:sz w:val="24"/>
                <w:lang w:val="en-US" w:eastAsia="zh-CN"/>
              </w:rPr>
            </w:pPr>
            <w:r>
              <w:rPr>
                <w:rFonts w:hint="eastAsia"/>
                <w:sz w:val="24"/>
                <w:lang w:val="en-US" w:eastAsia="zh-CN"/>
              </w:rPr>
              <w:t>317.35t/a</w:t>
            </w:r>
          </w:p>
        </w:tc>
        <w:tc>
          <w:tcPr>
            <w:tcW w:w="2387" w:type="dxa"/>
            <w:vAlign w:val="center"/>
          </w:tcPr>
          <w:p>
            <w:pPr>
              <w:jc w:val="center"/>
              <w:rPr>
                <w:rFonts w:hint="eastAsia"/>
                <w:sz w:val="24"/>
                <w:lang w:val="en-US" w:eastAsia="zh-CN"/>
              </w:rPr>
            </w:pPr>
            <w:r>
              <w:rPr>
                <w:rFonts w:hint="eastAsia"/>
                <w:sz w:val="24"/>
                <w:lang w:val="en-US" w:eastAsia="zh-CN"/>
              </w:rPr>
              <w:t>回用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Ex>
        <w:trPr>
          <w:trHeight w:val="454" w:hRule="atLeast"/>
          <w:jc w:val="center"/>
        </w:trPr>
        <w:tc>
          <w:tcPr>
            <w:tcW w:w="791" w:type="dxa"/>
            <w:vMerge w:val="continue"/>
            <w:vAlign w:val="center"/>
          </w:tcPr>
          <w:p>
            <w:pPr>
              <w:jc w:val="center"/>
              <w:rPr>
                <w:rFonts w:cs="宋体"/>
                <w:b/>
                <w:bCs/>
                <w:sz w:val="24"/>
              </w:rPr>
            </w:pPr>
          </w:p>
        </w:tc>
        <w:tc>
          <w:tcPr>
            <w:tcW w:w="1000" w:type="dxa"/>
            <w:vMerge w:val="continue"/>
            <w:tcBorders>
              <w:right w:val="single" w:color="auto" w:sz="4" w:space="0"/>
            </w:tcBorders>
            <w:vAlign w:val="center"/>
          </w:tcPr>
          <w:p>
            <w:pPr>
              <w:jc w:val="center"/>
              <w:rPr>
                <w:sz w:val="24"/>
              </w:rPr>
            </w:pPr>
          </w:p>
        </w:tc>
        <w:tc>
          <w:tcPr>
            <w:tcW w:w="2737" w:type="dxa"/>
            <w:gridSpan w:val="3"/>
            <w:tcBorders>
              <w:left w:val="single" w:color="auto" w:sz="4" w:space="0"/>
            </w:tcBorders>
            <w:vAlign w:val="center"/>
          </w:tcPr>
          <w:p>
            <w:pPr>
              <w:jc w:val="center"/>
              <w:rPr>
                <w:rFonts w:hint="eastAsia" w:eastAsia="宋体"/>
                <w:sz w:val="24"/>
                <w:lang w:eastAsia="zh-CN"/>
              </w:rPr>
            </w:pPr>
            <w:r>
              <w:rPr>
                <w:rFonts w:hint="eastAsia"/>
                <w:sz w:val="24"/>
                <w:lang w:eastAsia="zh-CN"/>
              </w:rPr>
              <w:t>沉淀池砂石沉淀</w:t>
            </w:r>
          </w:p>
        </w:tc>
        <w:tc>
          <w:tcPr>
            <w:tcW w:w="2213" w:type="dxa"/>
            <w:vAlign w:val="center"/>
          </w:tcPr>
          <w:p>
            <w:pPr>
              <w:jc w:val="center"/>
              <w:rPr>
                <w:rFonts w:hint="default"/>
                <w:sz w:val="24"/>
                <w:lang w:val="en-US" w:eastAsia="zh-CN"/>
              </w:rPr>
            </w:pPr>
            <w:r>
              <w:rPr>
                <w:rFonts w:hint="eastAsia"/>
                <w:sz w:val="24"/>
                <w:lang w:val="en-US" w:eastAsia="zh-CN"/>
              </w:rPr>
              <w:t>0.2256万t/a</w:t>
            </w:r>
          </w:p>
        </w:tc>
        <w:tc>
          <w:tcPr>
            <w:tcW w:w="2387" w:type="dxa"/>
            <w:vAlign w:val="center"/>
          </w:tcPr>
          <w:p>
            <w:pPr>
              <w:jc w:val="center"/>
              <w:rPr>
                <w:rFonts w:hint="eastAsia"/>
                <w:sz w:val="24"/>
                <w:lang w:val="en-US" w:eastAsia="zh-CN"/>
              </w:rPr>
            </w:pPr>
            <w:r>
              <w:rPr>
                <w:rFonts w:hint="default" w:ascii="Times New Roman" w:hAnsi="Times New Roman" w:eastAsia="宋体" w:cs="Times New Roman"/>
                <w:sz w:val="24"/>
                <w:szCs w:val="24"/>
              </w:rPr>
              <w:t>收集后作为建材利用或用于路基填埋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Ex>
        <w:trPr>
          <w:trHeight w:val="454" w:hRule="atLeast"/>
          <w:jc w:val="center"/>
        </w:trPr>
        <w:tc>
          <w:tcPr>
            <w:tcW w:w="791" w:type="dxa"/>
            <w:vMerge w:val="continue"/>
            <w:vAlign w:val="center"/>
          </w:tcPr>
          <w:p>
            <w:pPr>
              <w:jc w:val="center"/>
              <w:rPr>
                <w:rFonts w:cs="宋体"/>
                <w:b/>
                <w:bCs/>
                <w:sz w:val="24"/>
              </w:rPr>
            </w:pPr>
          </w:p>
        </w:tc>
        <w:tc>
          <w:tcPr>
            <w:tcW w:w="1000" w:type="dxa"/>
            <w:vMerge w:val="continue"/>
            <w:tcBorders>
              <w:right w:val="single" w:color="auto" w:sz="4" w:space="0"/>
            </w:tcBorders>
            <w:vAlign w:val="center"/>
          </w:tcPr>
          <w:p>
            <w:pPr>
              <w:jc w:val="center"/>
              <w:rPr>
                <w:sz w:val="24"/>
              </w:rPr>
            </w:pPr>
          </w:p>
        </w:tc>
        <w:tc>
          <w:tcPr>
            <w:tcW w:w="2737" w:type="dxa"/>
            <w:gridSpan w:val="3"/>
            <w:tcBorders>
              <w:left w:val="single" w:color="auto" w:sz="4" w:space="0"/>
            </w:tcBorders>
            <w:vAlign w:val="center"/>
          </w:tcPr>
          <w:p>
            <w:pPr>
              <w:jc w:val="center"/>
              <w:rPr>
                <w:rFonts w:hint="eastAsia"/>
                <w:sz w:val="24"/>
                <w:lang w:eastAsia="zh-CN"/>
              </w:rPr>
            </w:pPr>
            <w:r>
              <w:rPr>
                <w:rFonts w:hint="eastAsia"/>
                <w:sz w:val="24"/>
                <w:lang w:eastAsia="zh-CN"/>
              </w:rPr>
              <w:t>实验室固废</w:t>
            </w:r>
          </w:p>
        </w:tc>
        <w:tc>
          <w:tcPr>
            <w:tcW w:w="2213" w:type="dxa"/>
            <w:vAlign w:val="center"/>
          </w:tcPr>
          <w:p>
            <w:pPr>
              <w:jc w:val="center"/>
              <w:rPr>
                <w:rFonts w:hint="default"/>
                <w:sz w:val="24"/>
                <w:lang w:val="en-US" w:eastAsia="zh-CN"/>
              </w:rPr>
            </w:pPr>
            <w:r>
              <w:rPr>
                <w:rFonts w:hint="eastAsia"/>
                <w:sz w:val="24"/>
                <w:lang w:val="en-US" w:eastAsia="zh-CN"/>
              </w:rPr>
              <w:t>3.5t/a</w:t>
            </w:r>
          </w:p>
        </w:tc>
        <w:tc>
          <w:tcPr>
            <w:tcW w:w="2387" w:type="dxa"/>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收集后作为建材利用或用于路基填埋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Ex>
        <w:trPr>
          <w:trHeight w:val="454" w:hRule="atLeast"/>
          <w:jc w:val="center"/>
        </w:trPr>
        <w:tc>
          <w:tcPr>
            <w:tcW w:w="791" w:type="dxa"/>
            <w:vMerge w:val="restart"/>
            <w:vAlign w:val="center"/>
          </w:tcPr>
          <w:p>
            <w:pPr>
              <w:jc w:val="center"/>
              <w:rPr>
                <w:rFonts w:cs="宋体"/>
                <w:b/>
                <w:bCs/>
                <w:sz w:val="24"/>
              </w:rPr>
            </w:pPr>
            <w:r>
              <w:rPr>
                <w:rFonts w:hint="eastAsia" w:cs="宋体"/>
                <w:b/>
                <w:bCs/>
                <w:sz w:val="24"/>
              </w:rPr>
              <w:t>噪</w:t>
            </w:r>
          </w:p>
          <w:p>
            <w:pPr>
              <w:jc w:val="center"/>
              <w:rPr>
                <w:rFonts w:cs="宋体"/>
                <w:b/>
                <w:bCs/>
                <w:sz w:val="24"/>
              </w:rPr>
            </w:pPr>
            <w:r>
              <w:rPr>
                <w:rFonts w:hint="eastAsia" w:cs="宋体"/>
                <w:b/>
                <w:bCs/>
                <w:sz w:val="24"/>
              </w:rPr>
              <w:t>声</w:t>
            </w:r>
          </w:p>
        </w:tc>
        <w:tc>
          <w:tcPr>
            <w:tcW w:w="1000" w:type="dxa"/>
            <w:tcBorders>
              <w:right w:val="single" w:color="auto" w:sz="4" w:space="0"/>
            </w:tcBorders>
            <w:vAlign w:val="center"/>
          </w:tcPr>
          <w:p>
            <w:pPr>
              <w:jc w:val="center"/>
              <w:rPr>
                <w:sz w:val="24"/>
              </w:rPr>
            </w:pPr>
            <w:r>
              <w:rPr>
                <w:sz w:val="24"/>
              </w:rPr>
              <w:t>施工期</w:t>
            </w:r>
          </w:p>
        </w:tc>
        <w:tc>
          <w:tcPr>
            <w:tcW w:w="1266" w:type="dxa"/>
            <w:gridSpan w:val="2"/>
            <w:tcBorders>
              <w:left w:val="single" w:color="auto" w:sz="4" w:space="0"/>
            </w:tcBorders>
            <w:vAlign w:val="center"/>
          </w:tcPr>
          <w:p>
            <w:pPr>
              <w:jc w:val="center"/>
              <w:rPr>
                <w:sz w:val="24"/>
              </w:rPr>
            </w:pPr>
            <w:r>
              <w:rPr>
                <w:sz w:val="24"/>
              </w:rPr>
              <w:t>施工机械</w:t>
            </w:r>
          </w:p>
        </w:tc>
        <w:tc>
          <w:tcPr>
            <w:tcW w:w="1471" w:type="dxa"/>
            <w:vAlign w:val="center"/>
          </w:tcPr>
          <w:p>
            <w:pPr>
              <w:jc w:val="center"/>
              <w:rPr>
                <w:sz w:val="24"/>
              </w:rPr>
            </w:pPr>
            <w:r>
              <w:rPr>
                <w:sz w:val="24"/>
              </w:rPr>
              <w:t>Leq</w:t>
            </w:r>
          </w:p>
        </w:tc>
        <w:tc>
          <w:tcPr>
            <w:tcW w:w="2213" w:type="dxa"/>
            <w:vAlign w:val="center"/>
          </w:tcPr>
          <w:p>
            <w:pPr>
              <w:jc w:val="center"/>
              <w:rPr>
                <w:sz w:val="24"/>
              </w:rPr>
            </w:pPr>
            <w:r>
              <w:rPr>
                <w:sz w:val="24"/>
              </w:rPr>
              <w:t>80～90dB(A)</w:t>
            </w:r>
          </w:p>
        </w:tc>
        <w:tc>
          <w:tcPr>
            <w:tcW w:w="2387" w:type="dxa"/>
            <w:vAlign w:val="center"/>
          </w:tcPr>
          <w:p>
            <w:pPr>
              <w:jc w:val="center"/>
              <w:rPr>
                <w:sz w:val="24"/>
              </w:rPr>
            </w:pPr>
            <w:r>
              <w:rPr>
                <w:sz w:val="24"/>
              </w:rPr>
              <w:t>达标排放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Ex>
        <w:trPr>
          <w:trHeight w:val="454" w:hRule="atLeast"/>
          <w:jc w:val="center"/>
        </w:trPr>
        <w:tc>
          <w:tcPr>
            <w:tcW w:w="791" w:type="dxa"/>
            <w:vMerge w:val="continue"/>
            <w:vAlign w:val="center"/>
          </w:tcPr>
          <w:p>
            <w:pPr>
              <w:jc w:val="center"/>
              <w:rPr>
                <w:rFonts w:cs="宋体"/>
                <w:b/>
                <w:bCs/>
                <w:sz w:val="24"/>
              </w:rPr>
            </w:pPr>
          </w:p>
        </w:tc>
        <w:tc>
          <w:tcPr>
            <w:tcW w:w="1000" w:type="dxa"/>
            <w:tcBorders>
              <w:right w:val="single" w:color="auto" w:sz="4" w:space="0"/>
            </w:tcBorders>
            <w:vAlign w:val="center"/>
          </w:tcPr>
          <w:p>
            <w:pPr>
              <w:jc w:val="center"/>
              <w:rPr>
                <w:sz w:val="24"/>
              </w:rPr>
            </w:pPr>
            <w:r>
              <w:rPr>
                <w:sz w:val="24"/>
              </w:rPr>
              <w:t>运营期</w:t>
            </w:r>
          </w:p>
        </w:tc>
        <w:tc>
          <w:tcPr>
            <w:tcW w:w="1266" w:type="dxa"/>
            <w:gridSpan w:val="2"/>
            <w:tcBorders>
              <w:left w:val="single" w:color="auto" w:sz="4" w:space="0"/>
            </w:tcBorders>
            <w:vAlign w:val="center"/>
          </w:tcPr>
          <w:p>
            <w:pPr>
              <w:jc w:val="center"/>
              <w:rPr>
                <w:rFonts w:hint="eastAsia" w:eastAsia="宋体"/>
                <w:sz w:val="24"/>
                <w:lang w:eastAsia="zh-CN"/>
              </w:rPr>
            </w:pPr>
            <w:r>
              <w:rPr>
                <w:rFonts w:hint="eastAsia"/>
                <w:sz w:val="24"/>
                <w:lang w:eastAsia="zh-CN"/>
              </w:rPr>
              <w:t>设备</w:t>
            </w:r>
          </w:p>
        </w:tc>
        <w:tc>
          <w:tcPr>
            <w:tcW w:w="1471" w:type="dxa"/>
            <w:vAlign w:val="center"/>
          </w:tcPr>
          <w:p>
            <w:pPr>
              <w:jc w:val="center"/>
              <w:rPr>
                <w:sz w:val="24"/>
              </w:rPr>
            </w:pPr>
            <w:r>
              <w:rPr>
                <w:sz w:val="24"/>
              </w:rPr>
              <w:t>Leq</w:t>
            </w:r>
          </w:p>
        </w:tc>
        <w:tc>
          <w:tcPr>
            <w:tcW w:w="2213" w:type="dxa"/>
            <w:vAlign w:val="center"/>
          </w:tcPr>
          <w:p>
            <w:pPr>
              <w:jc w:val="center"/>
              <w:rPr>
                <w:sz w:val="24"/>
              </w:rPr>
            </w:pPr>
            <w:r>
              <w:rPr>
                <w:rFonts w:hint="eastAsia"/>
                <w:sz w:val="24"/>
              </w:rPr>
              <w:t>64</w:t>
            </w:r>
            <w:r>
              <w:rPr>
                <w:sz w:val="24"/>
              </w:rPr>
              <w:t>～7</w:t>
            </w:r>
            <w:r>
              <w:rPr>
                <w:rFonts w:hint="eastAsia"/>
                <w:sz w:val="24"/>
              </w:rPr>
              <w:t>3</w:t>
            </w:r>
            <w:r>
              <w:rPr>
                <w:sz w:val="24"/>
              </w:rPr>
              <w:t>dB(A)</w:t>
            </w:r>
          </w:p>
        </w:tc>
        <w:tc>
          <w:tcPr>
            <w:tcW w:w="2387" w:type="dxa"/>
            <w:vAlign w:val="center"/>
          </w:tcPr>
          <w:p>
            <w:pPr>
              <w:jc w:val="center"/>
              <w:rPr>
                <w:sz w:val="24"/>
              </w:rPr>
            </w:pPr>
            <w:r>
              <w:rPr>
                <w:sz w:val="24"/>
              </w:rPr>
              <w:t>达标排放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Ex>
        <w:trPr>
          <w:trHeight w:val="397" w:hRule="atLeast"/>
          <w:jc w:val="center"/>
        </w:trPr>
        <w:tc>
          <w:tcPr>
            <w:tcW w:w="791" w:type="dxa"/>
            <w:vAlign w:val="center"/>
          </w:tcPr>
          <w:p>
            <w:pPr>
              <w:jc w:val="center"/>
              <w:rPr>
                <w:rFonts w:cs="宋体"/>
                <w:b/>
                <w:bCs/>
                <w:sz w:val="24"/>
              </w:rPr>
            </w:pPr>
            <w:r>
              <w:rPr>
                <w:rFonts w:hint="eastAsia" w:cs="宋体"/>
                <w:b/>
                <w:bCs/>
                <w:sz w:val="24"/>
              </w:rPr>
              <w:t>其他</w:t>
            </w:r>
          </w:p>
        </w:tc>
        <w:tc>
          <w:tcPr>
            <w:tcW w:w="8337" w:type="dxa"/>
            <w:gridSpan w:val="6"/>
            <w:vAlign w:val="center"/>
          </w:tcPr>
          <w:p>
            <w:pPr>
              <w:jc w:val="center"/>
              <w:rPr>
                <w:sz w:val="24"/>
              </w:rPr>
            </w:pPr>
            <w:r>
              <w:rPr>
                <w:sz w:val="24"/>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Ex>
        <w:trPr>
          <w:trHeight w:val="90" w:hRule="atLeast"/>
          <w:jc w:val="center"/>
        </w:trPr>
        <w:tc>
          <w:tcPr>
            <w:tcW w:w="9128" w:type="dxa"/>
            <w:gridSpan w:val="7"/>
          </w:tcPr>
          <w:p>
            <w:pPr>
              <w:rPr>
                <w:rFonts w:cs="宋体"/>
                <w:b/>
                <w:bCs/>
                <w:kern w:val="24"/>
                <w:sz w:val="24"/>
              </w:rPr>
            </w:pPr>
            <w:r>
              <w:rPr>
                <w:rFonts w:hint="eastAsia" w:cs="宋体"/>
                <w:b/>
                <w:bCs/>
                <w:sz w:val="24"/>
              </w:rPr>
              <w:t>主要生态影响：</w:t>
            </w:r>
          </w:p>
          <w:p>
            <w:pPr>
              <w:pStyle w:val="14"/>
              <w:spacing w:after="0"/>
              <w:ind w:firstLine="504" w:firstLineChars="200"/>
              <w:rPr>
                <w:rFonts w:cs="宋体"/>
                <w:sz w:val="24"/>
              </w:rPr>
            </w:pPr>
            <w:r>
              <w:rPr>
                <w:rFonts w:hint="eastAsia" w:cs="宋体"/>
                <w:bCs/>
                <w:spacing w:val="6"/>
                <w:sz w:val="24"/>
              </w:rPr>
              <w:t>项目建成营运后，改变了建设项目地块的旧面貌，绿化和建筑的外观美学设计，将对本区域的景观环境起到美化作用，营运期不存在生态环境的影响。</w:t>
            </w:r>
          </w:p>
        </w:tc>
      </w:tr>
    </w:tbl>
    <w:p>
      <w:pPr>
        <w:rPr>
          <w:rFonts w:hint="eastAsia" w:cs="宋体"/>
          <w:b/>
          <w:bCs/>
          <w:sz w:val="28"/>
        </w:rPr>
      </w:pPr>
      <w:r>
        <w:rPr>
          <w:rFonts w:hint="eastAsia" w:cs="宋体"/>
          <w:b/>
          <w:bCs/>
          <w:sz w:val="28"/>
        </w:rPr>
        <w:br w:type="page"/>
      </w:r>
    </w:p>
    <w:p>
      <w:pPr>
        <w:jc w:val="left"/>
        <w:outlineLvl w:val="0"/>
        <w:rPr>
          <w:rFonts w:cs="宋体"/>
          <w:b/>
          <w:bCs/>
          <w:sz w:val="28"/>
        </w:rPr>
      </w:pPr>
      <w:bookmarkStart w:id="45" w:name="_Toc24628"/>
      <w:r>
        <w:rPr>
          <w:rFonts w:hint="eastAsia" w:cs="宋体"/>
          <w:b/>
          <w:bCs/>
          <w:sz w:val="28"/>
        </w:rPr>
        <w:t>环境影响分析</w:t>
      </w:r>
      <w:bookmarkEnd w:id="45"/>
    </w:p>
    <w:tbl>
      <w:tblPr>
        <w:tblStyle w:val="43"/>
        <w:tblW w:w="92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81" w:hRule="atLeast"/>
          <w:jc w:val="center"/>
        </w:trPr>
        <w:tc>
          <w:tcPr>
            <w:tcW w:w="9289" w:type="dxa"/>
          </w:tcPr>
          <w:p>
            <w:pPr>
              <w:jc w:val="left"/>
              <w:rPr>
                <w:rFonts w:cs="宋体"/>
                <w:b/>
                <w:bCs/>
                <w:sz w:val="28"/>
                <w:szCs w:val="28"/>
              </w:rPr>
            </w:pPr>
            <w:r>
              <w:rPr>
                <w:rFonts w:hint="eastAsia" w:cs="宋体"/>
                <w:b/>
                <w:bCs/>
                <w:sz w:val="28"/>
                <w:szCs w:val="28"/>
              </w:rPr>
              <w:t>施工期环境影响分析</w:t>
            </w:r>
          </w:p>
          <w:p>
            <w:pPr>
              <w:ind w:firstLine="482" w:firstLineChars="200"/>
              <w:rPr>
                <w:b/>
                <w:bCs/>
                <w:sz w:val="24"/>
              </w:rPr>
            </w:pPr>
            <w:r>
              <w:rPr>
                <w:rFonts w:hint="eastAsia"/>
                <w:b/>
                <w:bCs/>
                <w:sz w:val="24"/>
              </w:rPr>
              <w:t>一</w:t>
            </w:r>
            <w:r>
              <w:rPr>
                <w:b/>
                <w:bCs/>
                <w:sz w:val="24"/>
              </w:rPr>
              <w:t>、水环境影响分析</w:t>
            </w:r>
          </w:p>
          <w:p>
            <w:pPr>
              <w:ind w:firstLine="480" w:firstLineChars="200"/>
              <w:rPr>
                <w:sz w:val="24"/>
              </w:rPr>
            </w:pPr>
            <w:r>
              <w:rPr>
                <w:rFonts w:hint="eastAsia"/>
                <w:sz w:val="24"/>
              </w:rPr>
              <w:t>工程施工作业产生的废水影响包括施工机械洗涤用水；施工现场清洗、养护、冲洗废水；堆放的建筑材料被雨水冲刷对周围水体的污染等，这部分废水主要污染物为COD、SS和石油类。类比同类项目，其主要污染物浓度COD为300mg/L，SS为350mg/L，石油类为10mg/L。</w:t>
            </w:r>
          </w:p>
          <w:p>
            <w:pPr>
              <w:ind w:firstLine="480" w:firstLineChars="200"/>
              <w:rPr>
                <w:sz w:val="24"/>
              </w:rPr>
            </w:pPr>
            <w:r>
              <w:rPr>
                <w:rFonts w:hint="eastAsia"/>
                <w:sz w:val="24"/>
              </w:rPr>
              <w:t>施工期的混泥土拌和砂石清洗废水、机具车辆清洗废水，应采用隔油沉淀处理。建议施工中尽量采购清洗好的砾石直接用于生产，以减少砾石洗涤废水的产生。少量的砾石洗涤废水与设备清洗废水、场地冲洗废水和施工场地初期雨水，经隔油沉淀处理后用于生产或者路面养护。</w:t>
            </w:r>
          </w:p>
          <w:p>
            <w:pPr>
              <w:ind w:firstLine="480" w:firstLineChars="200"/>
              <w:rPr>
                <w:sz w:val="24"/>
              </w:rPr>
            </w:pPr>
            <w:r>
              <w:rPr>
                <w:rFonts w:hint="eastAsia"/>
                <w:sz w:val="24"/>
              </w:rPr>
              <w:t>施工过程中禁止将废油料、施工垃圾等弃于水体。</w:t>
            </w:r>
          </w:p>
          <w:p>
            <w:pPr>
              <w:ind w:firstLine="480" w:firstLineChars="200"/>
              <w:rPr>
                <w:sz w:val="24"/>
              </w:rPr>
            </w:pPr>
            <w:r>
              <w:rPr>
                <w:rFonts w:hint="eastAsia"/>
                <w:sz w:val="24"/>
              </w:rPr>
              <w:t>可见，采取上述措施后可最大限度减少施工废水对水环境的污染影响。</w:t>
            </w:r>
          </w:p>
          <w:p>
            <w:pPr>
              <w:ind w:firstLine="482" w:firstLineChars="200"/>
              <w:rPr>
                <w:b/>
                <w:bCs/>
                <w:sz w:val="24"/>
              </w:rPr>
            </w:pPr>
            <w:r>
              <w:rPr>
                <w:rFonts w:hint="eastAsia"/>
                <w:b/>
                <w:bCs/>
                <w:sz w:val="24"/>
              </w:rPr>
              <w:t>二</w:t>
            </w:r>
            <w:r>
              <w:rPr>
                <w:b/>
                <w:bCs/>
                <w:sz w:val="24"/>
              </w:rPr>
              <w:t>、大气环境影响分析</w:t>
            </w:r>
          </w:p>
          <w:p>
            <w:pPr>
              <w:ind w:firstLine="480" w:firstLineChars="200"/>
              <w:rPr>
                <w:sz w:val="24"/>
                <w:u w:val="none"/>
              </w:rPr>
            </w:pPr>
            <w:r>
              <w:rPr>
                <w:sz w:val="24"/>
                <w:u w:val="none"/>
              </w:rPr>
              <w:t>本项目施工对环境空气的污染主要来自</w:t>
            </w:r>
            <w:r>
              <w:rPr>
                <w:rFonts w:hint="eastAsia"/>
                <w:sz w:val="24"/>
                <w:u w:val="none"/>
              </w:rPr>
              <w:t>车辆行驶扬尘、堆场扬尘、</w:t>
            </w:r>
            <w:r>
              <w:rPr>
                <w:sz w:val="24"/>
                <w:u w:val="none"/>
              </w:rPr>
              <w:t>施工</w:t>
            </w:r>
            <w:r>
              <w:rPr>
                <w:rFonts w:hint="eastAsia"/>
                <w:sz w:val="24"/>
                <w:u w:val="none"/>
              </w:rPr>
              <w:t>现场</w:t>
            </w:r>
            <w:r>
              <w:rPr>
                <w:sz w:val="24"/>
                <w:u w:val="none"/>
              </w:rPr>
              <w:t>扬尘、沥青烟气和施工机械尾气。</w:t>
            </w:r>
          </w:p>
          <w:p>
            <w:pPr>
              <w:pStyle w:val="14"/>
              <w:spacing w:after="0"/>
              <w:ind w:firstLine="480" w:firstLineChars="200"/>
              <w:rPr>
                <w:sz w:val="24"/>
                <w:u w:val="none"/>
              </w:rPr>
            </w:pPr>
            <w:r>
              <w:rPr>
                <w:rFonts w:hint="eastAsia"/>
                <w:sz w:val="24"/>
                <w:u w:val="none"/>
              </w:rPr>
              <w:t>（1）</w:t>
            </w:r>
            <w:r>
              <w:rPr>
                <w:sz w:val="24"/>
                <w:u w:val="none"/>
              </w:rPr>
              <w:t>车辆行驶扬尘</w:t>
            </w:r>
          </w:p>
          <w:p>
            <w:pPr>
              <w:pStyle w:val="95"/>
              <w:spacing w:line="240" w:lineRule="auto"/>
              <w:rPr>
                <w:rFonts w:hAnsi="Times New Roman" w:cs="Times New Roman"/>
                <w:szCs w:val="24"/>
                <w:u w:val="none"/>
              </w:rPr>
            </w:pPr>
            <w:r>
              <w:rPr>
                <w:rFonts w:hAnsi="Times New Roman" w:cs="Times New Roman"/>
                <w:szCs w:val="24"/>
                <w:u w:val="none"/>
              </w:rPr>
              <w:t>据有关文献资料介绍，在施工过程中，车辆行驶产生的扬尘占总扬尘的60%以上。车辆行驶产生的扬尘，在完全干燥情况下，可按下列经验公式计算：</w:t>
            </w:r>
          </w:p>
          <w:p>
            <w:pPr>
              <w:ind w:firstLine="496" w:firstLineChars="200"/>
              <w:rPr>
                <w:spacing w:val="4"/>
                <w:sz w:val="24"/>
                <w:u w:val="none"/>
              </w:rPr>
            </w:pPr>
            <w:r>
              <w:rPr>
                <w:spacing w:val="4"/>
                <w:sz w:val="24"/>
                <w:u w:val="none"/>
              </w:rPr>
              <w:t xml:space="preserve">        </w:t>
            </w:r>
            <w:r>
              <w:rPr>
                <w:spacing w:val="4"/>
                <w:position w:val="-10"/>
                <w:sz w:val="24"/>
                <w:u w:val="none"/>
              </w:rPr>
              <w:object>
                <v:shape id="_x0000_i1026" o:spt="75" type="#_x0000_t75" style="height:18.75pt;width:232.5pt;" o:ole="t" fillcolor="#6D6D6D"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p>
          <w:p>
            <w:pPr>
              <w:pStyle w:val="95"/>
              <w:spacing w:line="240" w:lineRule="auto"/>
              <w:rPr>
                <w:rFonts w:hAnsi="Times New Roman" w:cs="Times New Roman"/>
                <w:szCs w:val="24"/>
                <w:u w:val="none"/>
              </w:rPr>
            </w:pPr>
            <w:r>
              <w:rPr>
                <w:rFonts w:hAnsi="Times New Roman" w:cs="Times New Roman"/>
                <w:szCs w:val="24"/>
                <w:u w:val="none"/>
              </w:rPr>
              <w:t>式中：</w:t>
            </w:r>
            <w:r>
              <w:rPr>
                <w:rFonts w:hAnsi="Times New Roman" w:cs="Times New Roman"/>
                <w:i/>
                <w:szCs w:val="24"/>
                <w:u w:val="none"/>
              </w:rPr>
              <w:t>Q</w:t>
            </w:r>
            <w:r>
              <w:rPr>
                <w:rFonts w:hAnsi="Times New Roman" w:cs="Times New Roman"/>
                <w:szCs w:val="24"/>
                <w:u w:val="none"/>
              </w:rPr>
              <w:t>—汽车行驶的扬尘，kg/km·辆；</w:t>
            </w:r>
          </w:p>
          <w:p>
            <w:pPr>
              <w:pStyle w:val="95"/>
              <w:spacing w:line="240" w:lineRule="auto"/>
              <w:rPr>
                <w:rFonts w:hAnsi="Times New Roman" w:cs="Times New Roman"/>
                <w:szCs w:val="24"/>
                <w:u w:val="none"/>
              </w:rPr>
            </w:pPr>
            <w:r>
              <w:rPr>
                <w:rFonts w:hAnsi="Times New Roman" w:cs="Times New Roman"/>
                <w:szCs w:val="24"/>
                <w:u w:val="none"/>
              </w:rPr>
              <w:t xml:space="preserve">      </w:t>
            </w:r>
            <w:r>
              <w:rPr>
                <w:rFonts w:hAnsi="Times New Roman" w:cs="Times New Roman"/>
                <w:i/>
                <w:szCs w:val="24"/>
                <w:u w:val="none"/>
              </w:rPr>
              <w:t>V</w:t>
            </w:r>
            <w:r>
              <w:rPr>
                <w:rFonts w:hAnsi="Times New Roman" w:cs="Times New Roman"/>
                <w:szCs w:val="24"/>
                <w:u w:val="none"/>
              </w:rPr>
              <w:t>—汽车速度，km/hr；</w:t>
            </w:r>
          </w:p>
          <w:p>
            <w:pPr>
              <w:pStyle w:val="95"/>
              <w:spacing w:line="240" w:lineRule="auto"/>
              <w:rPr>
                <w:rFonts w:hAnsi="Times New Roman" w:cs="Times New Roman"/>
                <w:szCs w:val="24"/>
                <w:u w:val="none"/>
              </w:rPr>
            </w:pPr>
            <w:r>
              <w:rPr>
                <w:rFonts w:hAnsi="Times New Roman" w:cs="Times New Roman"/>
                <w:szCs w:val="24"/>
                <w:u w:val="none"/>
              </w:rPr>
              <w:t xml:space="preserve">      </w:t>
            </w:r>
            <w:r>
              <w:rPr>
                <w:rFonts w:hAnsi="Times New Roman" w:cs="Times New Roman"/>
                <w:i/>
                <w:szCs w:val="24"/>
                <w:u w:val="none"/>
              </w:rPr>
              <w:t>W</w:t>
            </w:r>
            <w:r>
              <w:rPr>
                <w:rFonts w:hAnsi="Times New Roman" w:cs="Times New Roman"/>
                <w:szCs w:val="24"/>
                <w:u w:val="none"/>
              </w:rPr>
              <w:t>—汽车载重量，吨；</w:t>
            </w:r>
          </w:p>
          <w:p>
            <w:pPr>
              <w:pStyle w:val="95"/>
              <w:spacing w:line="240" w:lineRule="auto"/>
              <w:rPr>
                <w:rFonts w:hAnsi="Times New Roman" w:cs="Times New Roman"/>
                <w:szCs w:val="24"/>
                <w:u w:val="none"/>
              </w:rPr>
            </w:pPr>
            <w:r>
              <w:rPr>
                <w:rFonts w:hAnsi="Times New Roman" w:cs="Times New Roman"/>
                <w:szCs w:val="24"/>
                <w:u w:val="none"/>
              </w:rPr>
              <w:t xml:space="preserve">      </w:t>
            </w:r>
            <w:r>
              <w:rPr>
                <w:rFonts w:hAnsi="Times New Roman" w:cs="Times New Roman"/>
                <w:i/>
                <w:szCs w:val="24"/>
                <w:u w:val="none"/>
              </w:rPr>
              <w:t>P</w:t>
            </w:r>
            <w:r>
              <w:rPr>
                <w:rFonts w:hAnsi="Times New Roman" w:cs="Times New Roman"/>
                <w:szCs w:val="24"/>
                <w:u w:val="none"/>
              </w:rPr>
              <w:t>—道路表面粉尘量，kg/m</w:t>
            </w:r>
            <w:r>
              <w:rPr>
                <w:rFonts w:hAnsi="Times New Roman" w:cs="Times New Roman"/>
                <w:szCs w:val="24"/>
                <w:u w:val="none"/>
                <w:vertAlign w:val="superscript"/>
              </w:rPr>
              <w:t>2</w:t>
            </w:r>
            <w:r>
              <w:rPr>
                <w:rFonts w:hAnsi="Times New Roman" w:cs="Times New Roman"/>
                <w:szCs w:val="24"/>
                <w:u w:val="none"/>
              </w:rPr>
              <w:t>。</w:t>
            </w:r>
          </w:p>
          <w:p>
            <w:pPr>
              <w:pStyle w:val="95"/>
              <w:spacing w:line="240" w:lineRule="auto"/>
              <w:rPr>
                <w:rFonts w:hAnsi="Times New Roman" w:cs="Times New Roman"/>
                <w:szCs w:val="24"/>
                <w:u w:val="none"/>
              </w:rPr>
            </w:pPr>
            <w:r>
              <w:rPr>
                <w:rFonts w:hAnsi="Times New Roman" w:cs="Times New Roman"/>
                <w:szCs w:val="24"/>
                <w:u w:val="none"/>
              </w:rPr>
              <w:t>表</w:t>
            </w:r>
            <w:r>
              <w:rPr>
                <w:rFonts w:hint="eastAsia" w:hAnsi="Times New Roman" w:cs="Times New Roman"/>
                <w:szCs w:val="24"/>
                <w:u w:val="none"/>
              </w:rPr>
              <w:t>33</w:t>
            </w:r>
            <w:r>
              <w:rPr>
                <w:rFonts w:hAnsi="Times New Roman" w:cs="Times New Roman"/>
                <w:szCs w:val="24"/>
                <w:u w:val="none"/>
              </w:rPr>
              <w:t>为一辆10吨卡车，通过一段长度为1km的路面时，不同路面清洁程度，不同行驶速度情况下的扬尘量。由此可见，在同样路面清洁程度条件下，车速越快，扬尘量越大；而在同样车速情况下，路面越脏，则扬尘量越大。因此应加强运输车辆的管理，应限制车辆行驶速度及保持路面的清洁，其是减少汽车扬尘对周围环境影响的最有效手段。</w:t>
            </w:r>
          </w:p>
          <w:p>
            <w:pPr>
              <w:pStyle w:val="104"/>
              <w:rPr>
                <w:rFonts w:eastAsia="宋体"/>
                <w:b/>
                <w:bCs/>
                <w:u w:val="none"/>
              </w:rPr>
            </w:pPr>
            <w:r>
              <w:rPr>
                <w:rFonts w:eastAsia="宋体"/>
                <w:b/>
                <w:bCs/>
                <w:u w:val="none"/>
              </w:rPr>
              <w:t>表</w:t>
            </w:r>
            <w:r>
              <w:rPr>
                <w:rFonts w:hint="eastAsia" w:eastAsia="宋体"/>
                <w:b/>
                <w:bCs/>
                <w:u w:val="none"/>
                <w:lang w:val="en-US" w:eastAsia="zh-CN"/>
              </w:rPr>
              <w:t>7-1</w:t>
            </w:r>
            <w:r>
              <w:rPr>
                <w:rFonts w:eastAsia="宋体"/>
                <w:b/>
                <w:bCs/>
                <w:u w:val="none"/>
              </w:rPr>
              <w:t xml:space="preserve"> </w:t>
            </w:r>
            <w:r>
              <w:rPr>
                <w:rFonts w:hint="eastAsia" w:eastAsia="宋体"/>
                <w:b/>
                <w:bCs/>
                <w:u w:val="none"/>
              </w:rPr>
              <w:t xml:space="preserve"> </w:t>
            </w:r>
            <w:r>
              <w:rPr>
                <w:rFonts w:eastAsia="宋体"/>
                <w:b/>
                <w:bCs/>
                <w:u w:val="none"/>
              </w:rPr>
              <w:t>在不同车速和地面清洁程度的汽车扬尘    单位：kg/辆·km</w:t>
            </w:r>
          </w:p>
          <w:tbl>
            <w:tblPr>
              <w:tblStyle w:val="43"/>
              <w:tblW w:w="90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1245"/>
              <w:gridCol w:w="1247"/>
              <w:gridCol w:w="1247"/>
              <w:gridCol w:w="1248"/>
              <w:gridCol w:w="1247"/>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84" w:type="dxa"/>
                  <w:vMerge w:val="restart"/>
                  <w:tcBorders>
                    <w:top w:val="single" w:color="auto" w:sz="4" w:space="0"/>
                    <w:left w:val="single" w:color="auto" w:sz="4" w:space="0"/>
                    <w:tl2br w:val="single" w:color="auto" w:sz="4" w:space="0"/>
                  </w:tcBorders>
                  <w:vAlign w:val="center"/>
                </w:tcPr>
                <w:p>
                  <w:pPr>
                    <w:jc w:val="right"/>
                    <w:rPr>
                      <w:sz w:val="21"/>
                      <w:szCs w:val="21"/>
                      <w:u w:val="none"/>
                    </w:rPr>
                  </w:pPr>
                  <w:r>
                    <w:rPr>
                      <w:sz w:val="21"/>
                      <w:szCs w:val="21"/>
                      <w:u w:val="none"/>
                    </w:rPr>
                    <w:t>粉尘量</w:t>
                  </w:r>
                </w:p>
                <w:p>
                  <w:pPr>
                    <w:rPr>
                      <w:sz w:val="21"/>
                      <w:szCs w:val="21"/>
                      <w:u w:val="none"/>
                    </w:rPr>
                  </w:pPr>
                  <w:r>
                    <w:rPr>
                      <w:sz w:val="21"/>
                      <w:szCs w:val="21"/>
                      <w:u w:val="none"/>
                    </w:rPr>
                    <w:t>车速</w:t>
                  </w:r>
                </w:p>
              </w:tc>
              <w:tc>
                <w:tcPr>
                  <w:tcW w:w="1245" w:type="dxa"/>
                  <w:tcBorders>
                    <w:top w:val="single" w:color="auto" w:sz="4" w:space="0"/>
                  </w:tcBorders>
                  <w:vAlign w:val="center"/>
                </w:tcPr>
                <w:p>
                  <w:pPr>
                    <w:jc w:val="center"/>
                    <w:rPr>
                      <w:sz w:val="21"/>
                      <w:szCs w:val="21"/>
                      <w:u w:val="none"/>
                    </w:rPr>
                  </w:pPr>
                  <w:r>
                    <w:rPr>
                      <w:sz w:val="21"/>
                      <w:szCs w:val="21"/>
                      <w:u w:val="none"/>
                    </w:rPr>
                    <w:t>0.1</w:t>
                  </w:r>
                </w:p>
              </w:tc>
              <w:tc>
                <w:tcPr>
                  <w:tcW w:w="1247" w:type="dxa"/>
                  <w:tcBorders>
                    <w:top w:val="single" w:color="auto" w:sz="4" w:space="0"/>
                  </w:tcBorders>
                  <w:vAlign w:val="center"/>
                </w:tcPr>
                <w:p>
                  <w:pPr>
                    <w:jc w:val="center"/>
                    <w:rPr>
                      <w:sz w:val="21"/>
                      <w:szCs w:val="21"/>
                      <w:u w:val="none"/>
                    </w:rPr>
                  </w:pPr>
                  <w:r>
                    <w:rPr>
                      <w:sz w:val="21"/>
                      <w:szCs w:val="21"/>
                      <w:u w:val="none"/>
                    </w:rPr>
                    <w:t>0.2</w:t>
                  </w:r>
                </w:p>
              </w:tc>
              <w:tc>
                <w:tcPr>
                  <w:tcW w:w="1247" w:type="dxa"/>
                  <w:tcBorders>
                    <w:top w:val="single" w:color="auto" w:sz="4" w:space="0"/>
                  </w:tcBorders>
                  <w:vAlign w:val="center"/>
                </w:tcPr>
                <w:p>
                  <w:pPr>
                    <w:jc w:val="center"/>
                    <w:rPr>
                      <w:sz w:val="21"/>
                      <w:szCs w:val="21"/>
                      <w:u w:val="none"/>
                    </w:rPr>
                  </w:pPr>
                  <w:r>
                    <w:rPr>
                      <w:sz w:val="21"/>
                      <w:szCs w:val="21"/>
                      <w:u w:val="none"/>
                    </w:rPr>
                    <w:t>0.3</w:t>
                  </w:r>
                </w:p>
              </w:tc>
              <w:tc>
                <w:tcPr>
                  <w:tcW w:w="1248" w:type="dxa"/>
                  <w:tcBorders>
                    <w:top w:val="single" w:color="auto" w:sz="4" w:space="0"/>
                  </w:tcBorders>
                  <w:vAlign w:val="center"/>
                </w:tcPr>
                <w:p>
                  <w:pPr>
                    <w:jc w:val="center"/>
                    <w:rPr>
                      <w:sz w:val="21"/>
                      <w:szCs w:val="21"/>
                      <w:u w:val="none"/>
                    </w:rPr>
                  </w:pPr>
                  <w:r>
                    <w:rPr>
                      <w:sz w:val="21"/>
                      <w:szCs w:val="21"/>
                      <w:u w:val="none"/>
                    </w:rPr>
                    <w:t>0.4</w:t>
                  </w:r>
                </w:p>
              </w:tc>
              <w:tc>
                <w:tcPr>
                  <w:tcW w:w="1247" w:type="dxa"/>
                  <w:tcBorders>
                    <w:top w:val="single" w:color="auto" w:sz="4" w:space="0"/>
                  </w:tcBorders>
                  <w:vAlign w:val="center"/>
                </w:tcPr>
                <w:p>
                  <w:pPr>
                    <w:jc w:val="center"/>
                    <w:rPr>
                      <w:sz w:val="21"/>
                      <w:szCs w:val="21"/>
                      <w:u w:val="none"/>
                    </w:rPr>
                  </w:pPr>
                  <w:r>
                    <w:rPr>
                      <w:sz w:val="21"/>
                      <w:szCs w:val="21"/>
                      <w:u w:val="none"/>
                    </w:rPr>
                    <w:t>0.5</w:t>
                  </w:r>
                </w:p>
              </w:tc>
              <w:tc>
                <w:tcPr>
                  <w:tcW w:w="1245" w:type="dxa"/>
                  <w:tcBorders>
                    <w:top w:val="single" w:color="auto" w:sz="4" w:space="0"/>
                    <w:right w:val="single" w:color="auto" w:sz="4" w:space="0"/>
                  </w:tcBorders>
                  <w:vAlign w:val="center"/>
                </w:tcPr>
                <w:p>
                  <w:pPr>
                    <w:jc w:val="center"/>
                    <w:rPr>
                      <w:sz w:val="21"/>
                      <w:szCs w:val="21"/>
                      <w:u w:val="none"/>
                    </w:rPr>
                  </w:pPr>
                  <w:r>
                    <w:rPr>
                      <w:sz w:val="21"/>
                      <w:szCs w:val="21"/>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84" w:type="dxa"/>
                  <w:vMerge w:val="continue"/>
                  <w:tcBorders>
                    <w:left w:val="single" w:color="auto" w:sz="4" w:space="0"/>
                    <w:tl2br w:val="single" w:color="auto" w:sz="4" w:space="0"/>
                  </w:tcBorders>
                  <w:vAlign w:val="center"/>
                </w:tcPr>
                <w:p>
                  <w:pPr>
                    <w:rPr>
                      <w:sz w:val="21"/>
                      <w:szCs w:val="21"/>
                      <w:u w:val="none"/>
                    </w:rPr>
                  </w:pPr>
                </w:p>
              </w:tc>
              <w:tc>
                <w:tcPr>
                  <w:tcW w:w="1245" w:type="dxa"/>
                  <w:vAlign w:val="center"/>
                </w:tcPr>
                <w:p>
                  <w:pPr>
                    <w:jc w:val="center"/>
                    <w:rPr>
                      <w:sz w:val="21"/>
                      <w:szCs w:val="21"/>
                      <w:u w:val="none"/>
                    </w:rPr>
                  </w:pPr>
                  <w:r>
                    <w:rPr>
                      <w:sz w:val="21"/>
                      <w:szCs w:val="21"/>
                      <w:u w:val="none"/>
                    </w:rPr>
                    <w:t>(kg/m</w:t>
                  </w:r>
                  <w:r>
                    <w:rPr>
                      <w:sz w:val="21"/>
                      <w:szCs w:val="21"/>
                      <w:u w:val="none"/>
                      <w:vertAlign w:val="superscript"/>
                    </w:rPr>
                    <w:t>2</w:t>
                  </w:r>
                  <w:r>
                    <w:rPr>
                      <w:sz w:val="21"/>
                      <w:szCs w:val="21"/>
                      <w:u w:val="none"/>
                    </w:rPr>
                    <w:t>)</w:t>
                  </w:r>
                </w:p>
              </w:tc>
              <w:tc>
                <w:tcPr>
                  <w:tcW w:w="1247" w:type="dxa"/>
                  <w:vAlign w:val="center"/>
                </w:tcPr>
                <w:p>
                  <w:pPr>
                    <w:jc w:val="center"/>
                    <w:rPr>
                      <w:sz w:val="21"/>
                      <w:szCs w:val="21"/>
                      <w:u w:val="none"/>
                    </w:rPr>
                  </w:pPr>
                  <w:r>
                    <w:rPr>
                      <w:sz w:val="21"/>
                      <w:szCs w:val="21"/>
                      <w:u w:val="none"/>
                    </w:rPr>
                    <w:t>(kg/m</w:t>
                  </w:r>
                  <w:r>
                    <w:rPr>
                      <w:sz w:val="21"/>
                      <w:szCs w:val="21"/>
                      <w:u w:val="none"/>
                      <w:vertAlign w:val="superscript"/>
                    </w:rPr>
                    <w:t>2</w:t>
                  </w:r>
                  <w:r>
                    <w:rPr>
                      <w:sz w:val="21"/>
                      <w:szCs w:val="21"/>
                      <w:u w:val="none"/>
                    </w:rPr>
                    <w:t>)</w:t>
                  </w:r>
                </w:p>
              </w:tc>
              <w:tc>
                <w:tcPr>
                  <w:tcW w:w="1247" w:type="dxa"/>
                  <w:vAlign w:val="center"/>
                </w:tcPr>
                <w:p>
                  <w:pPr>
                    <w:jc w:val="center"/>
                    <w:rPr>
                      <w:sz w:val="21"/>
                      <w:szCs w:val="21"/>
                      <w:u w:val="none"/>
                    </w:rPr>
                  </w:pPr>
                  <w:r>
                    <w:rPr>
                      <w:sz w:val="21"/>
                      <w:szCs w:val="21"/>
                      <w:u w:val="none"/>
                    </w:rPr>
                    <w:t>(kg/m</w:t>
                  </w:r>
                  <w:r>
                    <w:rPr>
                      <w:sz w:val="21"/>
                      <w:szCs w:val="21"/>
                      <w:u w:val="none"/>
                      <w:vertAlign w:val="superscript"/>
                    </w:rPr>
                    <w:t>2</w:t>
                  </w:r>
                  <w:r>
                    <w:rPr>
                      <w:sz w:val="21"/>
                      <w:szCs w:val="21"/>
                      <w:u w:val="none"/>
                    </w:rPr>
                    <w:t>)</w:t>
                  </w:r>
                </w:p>
              </w:tc>
              <w:tc>
                <w:tcPr>
                  <w:tcW w:w="1248" w:type="dxa"/>
                  <w:vAlign w:val="center"/>
                </w:tcPr>
                <w:p>
                  <w:pPr>
                    <w:jc w:val="center"/>
                    <w:rPr>
                      <w:sz w:val="21"/>
                      <w:szCs w:val="21"/>
                      <w:u w:val="none"/>
                    </w:rPr>
                  </w:pPr>
                  <w:r>
                    <w:rPr>
                      <w:sz w:val="21"/>
                      <w:szCs w:val="21"/>
                      <w:u w:val="none"/>
                    </w:rPr>
                    <w:t>(kg/m</w:t>
                  </w:r>
                  <w:r>
                    <w:rPr>
                      <w:sz w:val="21"/>
                      <w:szCs w:val="21"/>
                      <w:u w:val="none"/>
                      <w:vertAlign w:val="superscript"/>
                    </w:rPr>
                    <w:t>2</w:t>
                  </w:r>
                  <w:r>
                    <w:rPr>
                      <w:sz w:val="21"/>
                      <w:szCs w:val="21"/>
                      <w:u w:val="none"/>
                    </w:rPr>
                    <w:t>)</w:t>
                  </w:r>
                </w:p>
              </w:tc>
              <w:tc>
                <w:tcPr>
                  <w:tcW w:w="1247" w:type="dxa"/>
                  <w:vAlign w:val="center"/>
                </w:tcPr>
                <w:p>
                  <w:pPr>
                    <w:jc w:val="center"/>
                    <w:rPr>
                      <w:sz w:val="21"/>
                      <w:szCs w:val="21"/>
                      <w:u w:val="none"/>
                    </w:rPr>
                  </w:pPr>
                  <w:r>
                    <w:rPr>
                      <w:sz w:val="21"/>
                      <w:szCs w:val="21"/>
                      <w:u w:val="none"/>
                    </w:rPr>
                    <w:t>(kg/m</w:t>
                  </w:r>
                  <w:r>
                    <w:rPr>
                      <w:sz w:val="21"/>
                      <w:szCs w:val="21"/>
                      <w:u w:val="none"/>
                      <w:vertAlign w:val="superscript"/>
                    </w:rPr>
                    <w:t>2</w:t>
                  </w:r>
                  <w:r>
                    <w:rPr>
                      <w:sz w:val="21"/>
                      <w:szCs w:val="21"/>
                      <w:u w:val="none"/>
                    </w:rPr>
                    <w:t>)</w:t>
                  </w:r>
                </w:p>
              </w:tc>
              <w:tc>
                <w:tcPr>
                  <w:tcW w:w="1245" w:type="dxa"/>
                  <w:tcBorders>
                    <w:right w:val="single" w:color="auto" w:sz="4" w:space="0"/>
                  </w:tcBorders>
                  <w:vAlign w:val="center"/>
                </w:tcPr>
                <w:p>
                  <w:pPr>
                    <w:jc w:val="center"/>
                    <w:rPr>
                      <w:sz w:val="21"/>
                      <w:szCs w:val="21"/>
                      <w:u w:val="none"/>
                    </w:rPr>
                  </w:pPr>
                  <w:r>
                    <w:rPr>
                      <w:sz w:val="21"/>
                      <w:szCs w:val="21"/>
                      <w:u w:val="none"/>
                    </w:rPr>
                    <w:t>(kg/m</w:t>
                  </w:r>
                  <w:r>
                    <w:rPr>
                      <w:sz w:val="21"/>
                      <w:szCs w:val="21"/>
                      <w:u w:val="none"/>
                      <w:vertAlign w:val="superscript"/>
                    </w:rPr>
                    <w:t>2</w:t>
                  </w:r>
                  <w:r>
                    <w:rPr>
                      <w:sz w:val="21"/>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84" w:type="dxa"/>
                  <w:tcBorders>
                    <w:left w:val="single" w:color="auto" w:sz="4" w:space="0"/>
                  </w:tcBorders>
                  <w:vAlign w:val="center"/>
                </w:tcPr>
                <w:p>
                  <w:pPr>
                    <w:jc w:val="center"/>
                    <w:rPr>
                      <w:sz w:val="21"/>
                      <w:szCs w:val="21"/>
                      <w:u w:val="none"/>
                    </w:rPr>
                  </w:pPr>
                  <w:r>
                    <w:rPr>
                      <w:sz w:val="21"/>
                      <w:szCs w:val="21"/>
                      <w:u w:val="none"/>
                    </w:rPr>
                    <w:t>5(km/h)</w:t>
                  </w:r>
                </w:p>
              </w:tc>
              <w:tc>
                <w:tcPr>
                  <w:tcW w:w="1245" w:type="dxa"/>
                  <w:vAlign w:val="center"/>
                </w:tcPr>
                <w:p>
                  <w:pPr>
                    <w:jc w:val="center"/>
                    <w:rPr>
                      <w:sz w:val="21"/>
                      <w:szCs w:val="21"/>
                      <w:u w:val="none"/>
                    </w:rPr>
                  </w:pPr>
                  <w:r>
                    <w:rPr>
                      <w:sz w:val="21"/>
                      <w:szCs w:val="21"/>
                      <w:u w:val="none"/>
                    </w:rPr>
                    <w:t>0.0511</w:t>
                  </w:r>
                </w:p>
              </w:tc>
              <w:tc>
                <w:tcPr>
                  <w:tcW w:w="1247" w:type="dxa"/>
                  <w:vAlign w:val="center"/>
                </w:tcPr>
                <w:p>
                  <w:pPr>
                    <w:jc w:val="center"/>
                    <w:rPr>
                      <w:sz w:val="21"/>
                      <w:szCs w:val="21"/>
                      <w:u w:val="none"/>
                    </w:rPr>
                  </w:pPr>
                  <w:r>
                    <w:rPr>
                      <w:sz w:val="21"/>
                      <w:szCs w:val="21"/>
                      <w:u w:val="none"/>
                    </w:rPr>
                    <w:t>0.089</w:t>
                  </w:r>
                </w:p>
              </w:tc>
              <w:tc>
                <w:tcPr>
                  <w:tcW w:w="1247" w:type="dxa"/>
                  <w:vAlign w:val="center"/>
                </w:tcPr>
                <w:p>
                  <w:pPr>
                    <w:jc w:val="center"/>
                    <w:rPr>
                      <w:sz w:val="21"/>
                      <w:szCs w:val="21"/>
                      <w:u w:val="none"/>
                    </w:rPr>
                  </w:pPr>
                  <w:r>
                    <w:rPr>
                      <w:sz w:val="21"/>
                      <w:szCs w:val="21"/>
                      <w:u w:val="none"/>
                    </w:rPr>
                    <w:t>0.1164</w:t>
                  </w:r>
                </w:p>
              </w:tc>
              <w:tc>
                <w:tcPr>
                  <w:tcW w:w="1248" w:type="dxa"/>
                  <w:vAlign w:val="center"/>
                </w:tcPr>
                <w:p>
                  <w:pPr>
                    <w:jc w:val="center"/>
                    <w:rPr>
                      <w:sz w:val="21"/>
                      <w:szCs w:val="21"/>
                      <w:u w:val="none"/>
                    </w:rPr>
                  </w:pPr>
                  <w:r>
                    <w:rPr>
                      <w:sz w:val="21"/>
                      <w:szCs w:val="21"/>
                      <w:u w:val="none"/>
                    </w:rPr>
                    <w:t>0.1444</w:t>
                  </w:r>
                </w:p>
              </w:tc>
              <w:tc>
                <w:tcPr>
                  <w:tcW w:w="1247" w:type="dxa"/>
                  <w:vAlign w:val="center"/>
                </w:tcPr>
                <w:p>
                  <w:pPr>
                    <w:jc w:val="center"/>
                    <w:rPr>
                      <w:sz w:val="21"/>
                      <w:szCs w:val="21"/>
                      <w:u w:val="none"/>
                    </w:rPr>
                  </w:pPr>
                  <w:r>
                    <w:rPr>
                      <w:sz w:val="21"/>
                      <w:szCs w:val="21"/>
                      <w:u w:val="none"/>
                    </w:rPr>
                    <w:t>0.1707</w:t>
                  </w:r>
                </w:p>
              </w:tc>
              <w:tc>
                <w:tcPr>
                  <w:tcW w:w="1245" w:type="dxa"/>
                  <w:tcBorders>
                    <w:right w:val="single" w:color="auto" w:sz="4" w:space="0"/>
                  </w:tcBorders>
                  <w:vAlign w:val="center"/>
                </w:tcPr>
                <w:p>
                  <w:pPr>
                    <w:jc w:val="center"/>
                    <w:rPr>
                      <w:sz w:val="21"/>
                      <w:szCs w:val="21"/>
                      <w:u w:val="none"/>
                    </w:rPr>
                  </w:pPr>
                  <w:r>
                    <w:rPr>
                      <w:rFonts w:hint="eastAsia"/>
                      <w:sz w:val="21"/>
                      <w:szCs w:val="21"/>
                      <w:u w:val="none"/>
                    </w:rPr>
                    <w:t>0</w:t>
                  </w:r>
                  <w:r>
                    <w:rPr>
                      <w:sz w:val="21"/>
                      <w:szCs w:val="21"/>
                      <w:u w:val="none"/>
                    </w:rPr>
                    <w:t>.2871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84" w:type="dxa"/>
                  <w:tcBorders>
                    <w:left w:val="single" w:color="auto" w:sz="4" w:space="0"/>
                  </w:tcBorders>
                  <w:vAlign w:val="center"/>
                </w:tcPr>
                <w:p>
                  <w:pPr>
                    <w:jc w:val="center"/>
                    <w:rPr>
                      <w:sz w:val="21"/>
                      <w:szCs w:val="21"/>
                      <w:u w:val="none"/>
                    </w:rPr>
                  </w:pPr>
                  <w:r>
                    <w:rPr>
                      <w:sz w:val="21"/>
                      <w:szCs w:val="21"/>
                      <w:u w:val="none"/>
                    </w:rPr>
                    <w:t>10(km/h)</w:t>
                  </w:r>
                </w:p>
              </w:tc>
              <w:tc>
                <w:tcPr>
                  <w:tcW w:w="1245" w:type="dxa"/>
                  <w:vAlign w:val="center"/>
                </w:tcPr>
                <w:p>
                  <w:pPr>
                    <w:jc w:val="center"/>
                    <w:rPr>
                      <w:sz w:val="21"/>
                      <w:szCs w:val="21"/>
                      <w:u w:val="none"/>
                    </w:rPr>
                  </w:pPr>
                  <w:r>
                    <w:rPr>
                      <w:rFonts w:hint="eastAsia"/>
                      <w:sz w:val="21"/>
                      <w:szCs w:val="21"/>
                      <w:u w:val="none"/>
                    </w:rPr>
                    <w:t>0.</w:t>
                  </w:r>
                  <w:r>
                    <w:rPr>
                      <w:sz w:val="21"/>
                      <w:szCs w:val="21"/>
                      <w:u w:val="none"/>
                    </w:rPr>
                    <w:t>1021</w:t>
                  </w:r>
                </w:p>
              </w:tc>
              <w:tc>
                <w:tcPr>
                  <w:tcW w:w="1247" w:type="dxa"/>
                  <w:vAlign w:val="center"/>
                </w:tcPr>
                <w:p>
                  <w:pPr>
                    <w:jc w:val="center"/>
                    <w:rPr>
                      <w:sz w:val="21"/>
                      <w:szCs w:val="21"/>
                      <w:u w:val="none"/>
                    </w:rPr>
                  </w:pPr>
                  <w:r>
                    <w:rPr>
                      <w:sz w:val="21"/>
                      <w:szCs w:val="21"/>
                      <w:u w:val="none"/>
                    </w:rPr>
                    <w:t>0.1717</w:t>
                  </w:r>
                </w:p>
              </w:tc>
              <w:tc>
                <w:tcPr>
                  <w:tcW w:w="1247" w:type="dxa"/>
                  <w:vAlign w:val="center"/>
                </w:tcPr>
                <w:p>
                  <w:pPr>
                    <w:jc w:val="center"/>
                    <w:rPr>
                      <w:sz w:val="21"/>
                      <w:szCs w:val="21"/>
                      <w:u w:val="none"/>
                    </w:rPr>
                  </w:pPr>
                  <w:r>
                    <w:rPr>
                      <w:sz w:val="21"/>
                      <w:szCs w:val="21"/>
                      <w:u w:val="none"/>
                    </w:rPr>
                    <w:t>0.2328</w:t>
                  </w:r>
                </w:p>
              </w:tc>
              <w:tc>
                <w:tcPr>
                  <w:tcW w:w="1248" w:type="dxa"/>
                  <w:vAlign w:val="center"/>
                </w:tcPr>
                <w:p>
                  <w:pPr>
                    <w:jc w:val="center"/>
                    <w:rPr>
                      <w:sz w:val="21"/>
                      <w:szCs w:val="21"/>
                      <w:u w:val="none"/>
                    </w:rPr>
                  </w:pPr>
                  <w:r>
                    <w:rPr>
                      <w:sz w:val="21"/>
                      <w:szCs w:val="21"/>
                      <w:u w:val="none"/>
                    </w:rPr>
                    <w:t>0.2888</w:t>
                  </w:r>
                </w:p>
              </w:tc>
              <w:tc>
                <w:tcPr>
                  <w:tcW w:w="1247" w:type="dxa"/>
                  <w:vAlign w:val="center"/>
                </w:tcPr>
                <w:p>
                  <w:pPr>
                    <w:jc w:val="center"/>
                    <w:rPr>
                      <w:sz w:val="21"/>
                      <w:szCs w:val="21"/>
                      <w:u w:val="none"/>
                    </w:rPr>
                  </w:pPr>
                  <w:r>
                    <w:rPr>
                      <w:sz w:val="21"/>
                      <w:szCs w:val="21"/>
                      <w:u w:val="none"/>
                    </w:rPr>
                    <w:t>0.3414</w:t>
                  </w:r>
                </w:p>
              </w:tc>
              <w:tc>
                <w:tcPr>
                  <w:tcW w:w="1245" w:type="dxa"/>
                  <w:tcBorders>
                    <w:right w:val="single" w:color="auto" w:sz="4" w:space="0"/>
                  </w:tcBorders>
                  <w:vAlign w:val="center"/>
                </w:tcPr>
                <w:p>
                  <w:pPr>
                    <w:jc w:val="center"/>
                    <w:rPr>
                      <w:sz w:val="21"/>
                      <w:szCs w:val="21"/>
                      <w:u w:val="none"/>
                    </w:rPr>
                  </w:pPr>
                  <w:r>
                    <w:rPr>
                      <w:sz w:val="21"/>
                      <w:szCs w:val="21"/>
                      <w:u w:val="none"/>
                    </w:rPr>
                    <w:t>0.5742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84" w:type="dxa"/>
                  <w:tcBorders>
                    <w:left w:val="single" w:color="auto" w:sz="4" w:space="0"/>
                  </w:tcBorders>
                  <w:vAlign w:val="center"/>
                </w:tcPr>
                <w:p>
                  <w:pPr>
                    <w:jc w:val="center"/>
                    <w:rPr>
                      <w:sz w:val="21"/>
                      <w:szCs w:val="21"/>
                      <w:u w:val="none"/>
                    </w:rPr>
                  </w:pPr>
                  <w:r>
                    <w:rPr>
                      <w:sz w:val="21"/>
                      <w:szCs w:val="21"/>
                      <w:u w:val="none"/>
                    </w:rPr>
                    <w:t>15(km/h)</w:t>
                  </w:r>
                </w:p>
              </w:tc>
              <w:tc>
                <w:tcPr>
                  <w:tcW w:w="1245" w:type="dxa"/>
                  <w:vAlign w:val="center"/>
                </w:tcPr>
                <w:p>
                  <w:pPr>
                    <w:jc w:val="center"/>
                    <w:rPr>
                      <w:sz w:val="21"/>
                      <w:szCs w:val="21"/>
                      <w:u w:val="none"/>
                    </w:rPr>
                  </w:pPr>
                  <w:r>
                    <w:rPr>
                      <w:sz w:val="21"/>
                      <w:szCs w:val="21"/>
                      <w:u w:val="none"/>
                    </w:rPr>
                    <w:t>0.1532</w:t>
                  </w:r>
                </w:p>
              </w:tc>
              <w:tc>
                <w:tcPr>
                  <w:tcW w:w="1247" w:type="dxa"/>
                  <w:vAlign w:val="center"/>
                </w:tcPr>
                <w:p>
                  <w:pPr>
                    <w:jc w:val="center"/>
                    <w:rPr>
                      <w:sz w:val="21"/>
                      <w:szCs w:val="21"/>
                      <w:u w:val="none"/>
                    </w:rPr>
                  </w:pPr>
                  <w:r>
                    <w:rPr>
                      <w:sz w:val="21"/>
                      <w:szCs w:val="21"/>
                      <w:u w:val="none"/>
                    </w:rPr>
                    <w:t>0.2576</w:t>
                  </w:r>
                </w:p>
              </w:tc>
              <w:tc>
                <w:tcPr>
                  <w:tcW w:w="1247" w:type="dxa"/>
                  <w:vAlign w:val="center"/>
                </w:tcPr>
                <w:p>
                  <w:pPr>
                    <w:jc w:val="center"/>
                    <w:rPr>
                      <w:sz w:val="21"/>
                      <w:szCs w:val="21"/>
                      <w:u w:val="none"/>
                    </w:rPr>
                  </w:pPr>
                  <w:r>
                    <w:rPr>
                      <w:sz w:val="21"/>
                      <w:szCs w:val="21"/>
                      <w:u w:val="none"/>
                    </w:rPr>
                    <w:t>0.3491</w:t>
                  </w:r>
                </w:p>
              </w:tc>
              <w:tc>
                <w:tcPr>
                  <w:tcW w:w="1248" w:type="dxa"/>
                  <w:vAlign w:val="center"/>
                </w:tcPr>
                <w:p>
                  <w:pPr>
                    <w:jc w:val="center"/>
                    <w:rPr>
                      <w:sz w:val="21"/>
                      <w:szCs w:val="21"/>
                      <w:u w:val="none"/>
                    </w:rPr>
                  </w:pPr>
                  <w:r>
                    <w:rPr>
                      <w:sz w:val="21"/>
                      <w:szCs w:val="21"/>
                      <w:u w:val="none"/>
                    </w:rPr>
                    <w:t>0.4332</w:t>
                  </w:r>
                </w:p>
              </w:tc>
              <w:tc>
                <w:tcPr>
                  <w:tcW w:w="1247" w:type="dxa"/>
                  <w:vAlign w:val="center"/>
                </w:tcPr>
                <w:p>
                  <w:pPr>
                    <w:jc w:val="center"/>
                    <w:rPr>
                      <w:sz w:val="21"/>
                      <w:szCs w:val="21"/>
                      <w:u w:val="none"/>
                    </w:rPr>
                  </w:pPr>
                  <w:r>
                    <w:rPr>
                      <w:sz w:val="21"/>
                      <w:szCs w:val="21"/>
                      <w:u w:val="none"/>
                    </w:rPr>
                    <w:t>0.5121</w:t>
                  </w:r>
                </w:p>
              </w:tc>
              <w:tc>
                <w:tcPr>
                  <w:tcW w:w="1245" w:type="dxa"/>
                  <w:tcBorders>
                    <w:right w:val="single" w:color="auto" w:sz="4" w:space="0"/>
                  </w:tcBorders>
                  <w:vAlign w:val="center"/>
                </w:tcPr>
                <w:p>
                  <w:pPr>
                    <w:jc w:val="center"/>
                    <w:rPr>
                      <w:sz w:val="21"/>
                      <w:szCs w:val="21"/>
                      <w:u w:val="none"/>
                    </w:rPr>
                  </w:pPr>
                  <w:r>
                    <w:rPr>
                      <w:sz w:val="21"/>
                      <w:szCs w:val="21"/>
                      <w:u w:val="none"/>
                    </w:rPr>
                    <w:t>0.8613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84" w:type="dxa"/>
                  <w:tcBorders>
                    <w:left w:val="single" w:color="auto" w:sz="4" w:space="0"/>
                    <w:bottom w:val="single" w:color="auto" w:sz="4" w:space="0"/>
                  </w:tcBorders>
                  <w:vAlign w:val="center"/>
                </w:tcPr>
                <w:p>
                  <w:pPr>
                    <w:jc w:val="center"/>
                    <w:rPr>
                      <w:sz w:val="21"/>
                      <w:szCs w:val="21"/>
                      <w:u w:val="none"/>
                    </w:rPr>
                  </w:pPr>
                  <w:r>
                    <w:rPr>
                      <w:sz w:val="21"/>
                      <w:szCs w:val="21"/>
                      <w:u w:val="none"/>
                    </w:rPr>
                    <w:t>25(km/h)</w:t>
                  </w:r>
                </w:p>
              </w:tc>
              <w:tc>
                <w:tcPr>
                  <w:tcW w:w="1245" w:type="dxa"/>
                  <w:tcBorders>
                    <w:bottom w:val="single" w:color="auto" w:sz="4" w:space="0"/>
                  </w:tcBorders>
                  <w:vAlign w:val="center"/>
                </w:tcPr>
                <w:p>
                  <w:pPr>
                    <w:jc w:val="center"/>
                    <w:rPr>
                      <w:sz w:val="21"/>
                      <w:szCs w:val="21"/>
                      <w:u w:val="none"/>
                    </w:rPr>
                  </w:pPr>
                  <w:r>
                    <w:rPr>
                      <w:sz w:val="21"/>
                      <w:szCs w:val="21"/>
                      <w:u w:val="none"/>
                    </w:rPr>
                    <w:t>0.2553</w:t>
                  </w:r>
                </w:p>
              </w:tc>
              <w:tc>
                <w:tcPr>
                  <w:tcW w:w="1247" w:type="dxa"/>
                  <w:tcBorders>
                    <w:bottom w:val="single" w:color="auto" w:sz="4" w:space="0"/>
                  </w:tcBorders>
                  <w:vAlign w:val="center"/>
                </w:tcPr>
                <w:p>
                  <w:pPr>
                    <w:jc w:val="center"/>
                    <w:rPr>
                      <w:sz w:val="21"/>
                      <w:szCs w:val="21"/>
                      <w:u w:val="none"/>
                    </w:rPr>
                  </w:pPr>
                  <w:r>
                    <w:rPr>
                      <w:sz w:val="21"/>
                      <w:szCs w:val="21"/>
                      <w:u w:val="none"/>
                    </w:rPr>
                    <w:t>0.4293</w:t>
                  </w:r>
                </w:p>
              </w:tc>
              <w:tc>
                <w:tcPr>
                  <w:tcW w:w="1247" w:type="dxa"/>
                  <w:tcBorders>
                    <w:bottom w:val="single" w:color="auto" w:sz="4" w:space="0"/>
                  </w:tcBorders>
                  <w:vAlign w:val="center"/>
                </w:tcPr>
                <w:p>
                  <w:pPr>
                    <w:jc w:val="center"/>
                    <w:rPr>
                      <w:sz w:val="21"/>
                      <w:szCs w:val="21"/>
                      <w:u w:val="none"/>
                    </w:rPr>
                  </w:pPr>
                  <w:r>
                    <w:rPr>
                      <w:sz w:val="21"/>
                      <w:szCs w:val="21"/>
                      <w:u w:val="none"/>
                    </w:rPr>
                    <w:t>0.5819</w:t>
                  </w:r>
                </w:p>
              </w:tc>
              <w:tc>
                <w:tcPr>
                  <w:tcW w:w="1248" w:type="dxa"/>
                  <w:tcBorders>
                    <w:bottom w:val="single" w:color="auto" w:sz="4" w:space="0"/>
                  </w:tcBorders>
                  <w:vAlign w:val="center"/>
                </w:tcPr>
                <w:p>
                  <w:pPr>
                    <w:jc w:val="center"/>
                    <w:rPr>
                      <w:sz w:val="21"/>
                      <w:szCs w:val="21"/>
                      <w:u w:val="none"/>
                    </w:rPr>
                  </w:pPr>
                  <w:r>
                    <w:rPr>
                      <w:sz w:val="21"/>
                      <w:szCs w:val="21"/>
                      <w:u w:val="none"/>
                    </w:rPr>
                    <w:t>0.7220</w:t>
                  </w:r>
                </w:p>
              </w:tc>
              <w:tc>
                <w:tcPr>
                  <w:tcW w:w="1247" w:type="dxa"/>
                  <w:tcBorders>
                    <w:bottom w:val="single" w:color="auto" w:sz="4" w:space="0"/>
                  </w:tcBorders>
                  <w:vAlign w:val="center"/>
                </w:tcPr>
                <w:p>
                  <w:pPr>
                    <w:jc w:val="center"/>
                    <w:rPr>
                      <w:sz w:val="21"/>
                      <w:szCs w:val="21"/>
                      <w:u w:val="none"/>
                    </w:rPr>
                  </w:pPr>
                  <w:r>
                    <w:rPr>
                      <w:sz w:val="21"/>
                      <w:szCs w:val="21"/>
                      <w:u w:val="none"/>
                    </w:rPr>
                    <w:t>0.8536</w:t>
                  </w:r>
                </w:p>
              </w:tc>
              <w:tc>
                <w:tcPr>
                  <w:tcW w:w="1245" w:type="dxa"/>
                  <w:tcBorders>
                    <w:bottom w:val="single" w:color="auto" w:sz="4" w:space="0"/>
                    <w:right w:val="single" w:color="auto" w:sz="4" w:space="0"/>
                  </w:tcBorders>
                  <w:vAlign w:val="center"/>
                </w:tcPr>
                <w:p>
                  <w:pPr>
                    <w:jc w:val="center"/>
                    <w:rPr>
                      <w:sz w:val="21"/>
                      <w:szCs w:val="21"/>
                      <w:u w:val="none"/>
                    </w:rPr>
                  </w:pPr>
                  <w:r>
                    <w:rPr>
                      <w:sz w:val="21"/>
                      <w:szCs w:val="21"/>
                      <w:u w:val="none"/>
                    </w:rPr>
                    <w:t>1.4355</w:t>
                  </w:r>
                </w:p>
              </w:tc>
            </w:tr>
          </w:tbl>
          <w:p>
            <w:pPr>
              <w:pStyle w:val="95"/>
              <w:spacing w:line="240" w:lineRule="auto"/>
              <w:rPr>
                <w:rFonts w:hAnsi="Times New Roman" w:cs="Times New Roman"/>
                <w:u w:val="none"/>
              </w:rPr>
            </w:pPr>
            <w:r>
              <w:rPr>
                <w:rFonts w:hAnsi="Times New Roman" w:cs="Times New Roman"/>
                <w:u w:val="none"/>
              </w:rPr>
              <w:t>如果施工阶段对汽车行驶路面勤洒水(每天4～5次)，可以使空气中粉尘量减少70%左右，可</w:t>
            </w:r>
            <w:r>
              <w:rPr>
                <w:rFonts w:hint="eastAsia" w:hAnsi="Times New Roman" w:cs="Times New Roman"/>
                <w:u w:val="none"/>
              </w:rPr>
              <w:t>起到</w:t>
            </w:r>
            <w:r>
              <w:rPr>
                <w:rFonts w:hAnsi="Times New Roman" w:cs="Times New Roman"/>
                <w:u w:val="none"/>
              </w:rPr>
              <w:t>很好的降尘效果。参考同类工程调查报告，洒水的试验资料如表</w:t>
            </w:r>
            <w:r>
              <w:rPr>
                <w:rFonts w:hint="eastAsia" w:hAnsi="Times New Roman" w:cs="Times New Roman"/>
                <w:u w:val="none"/>
              </w:rPr>
              <w:t>34</w:t>
            </w:r>
            <w:r>
              <w:rPr>
                <w:rFonts w:hAnsi="Times New Roman" w:cs="Times New Roman"/>
                <w:u w:val="none"/>
              </w:rPr>
              <w:t>。当施工场地洒水频率为4～5次/天时，扬尘造成的TSP污染距离可缩小到20～50m范围内。</w:t>
            </w:r>
          </w:p>
          <w:p>
            <w:pPr>
              <w:pStyle w:val="104"/>
              <w:rPr>
                <w:rFonts w:eastAsia="宋体"/>
                <w:b/>
                <w:bCs/>
                <w:u w:val="none"/>
              </w:rPr>
            </w:pPr>
            <w:r>
              <w:rPr>
                <w:rFonts w:eastAsia="宋体"/>
                <w:b/>
                <w:bCs/>
                <w:u w:val="none"/>
              </w:rPr>
              <w:t>表</w:t>
            </w:r>
            <w:r>
              <w:rPr>
                <w:rFonts w:hint="eastAsia" w:eastAsia="宋体"/>
                <w:b/>
                <w:bCs/>
                <w:u w:val="none"/>
                <w:lang w:val="en-US" w:eastAsia="zh-CN"/>
              </w:rPr>
              <w:t>7-2</w:t>
            </w:r>
            <w:r>
              <w:rPr>
                <w:rFonts w:eastAsia="宋体"/>
                <w:b/>
                <w:bCs/>
                <w:u w:val="none"/>
              </w:rPr>
              <w:t xml:space="preserve"> </w:t>
            </w:r>
            <w:r>
              <w:rPr>
                <w:rFonts w:hint="eastAsia" w:eastAsia="宋体"/>
                <w:b/>
                <w:bCs/>
                <w:u w:val="none"/>
              </w:rPr>
              <w:t xml:space="preserve"> </w:t>
            </w:r>
            <w:r>
              <w:rPr>
                <w:rFonts w:eastAsia="宋体"/>
                <w:b/>
                <w:bCs/>
                <w:u w:val="none"/>
              </w:rPr>
              <w:t xml:space="preserve"> 施工阶段使用洒水车降尘试验结果</w:t>
            </w:r>
          </w:p>
          <w:tbl>
            <w:tblPr>
              <w:tblStyle w:val="43"/>
              <w:tblW w:w="90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396"/>
              <w:gridCol w:w="1599"/>
              <w:gridCol w:w="1599"/>
              <w:gridCol w:w="1599"/>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9" w:hRule="atLeast"/>
                <w:jc w:val="center"/>
              </w:trPr>
              <w:tc>
                <w:tcPr>
                  <w:tcW w:w="2701" w:type="dxa"/>
                  <w:gridSpan w:val="2"/>
                  <w:vAlign w:val="center"/>
                </w:tcPr>
                <w:p>
                  <w:pPr>
                    <w:jc w:val="center"/>
                    <w:rPr>
                      <w:sz w:val="21"/>
                      <w:szCs w:val="21"/>
                      <w:u w:val="none"/>
                    </w:rPr>
                  </w:pPr>
                  <w:r>
                    <w:rPr>
                      <w:sz w:val="21"/>
                      <w:szCs w:val="21"/>
                      <w:u w:val="none"/>
                    </w:rPr>
                    <w:t>距路边距离(m)</w:t>
                  </w:r>
                </w:p>
              </w:tc>
              <w:tc>
                <w:tcPr>
                  <w:tcW w:w="1599" w:type="dxa"/>
                  <w:vAlign w:val="center"/>
                </w:tcPr>
                <w:p>
                  <w:pPr>
                    <w:jc w:val="center"/>
                    <w:rPr>
                      <w:sz w:val="21"/>
                      <w:szCs w:val="21"/>
                      <w:u w:val="none"/>
                    </w:rPr>
                  </w:pPr>
                  <w:r>
                    <w:rPr>
                      <w:sz w:val="21"/>
                      <w:szCs w:val="21"/>
                      <w:u w:val="none"/>
                    </w:rPr>
                    <w:t>5</w:t>
                  </w:r>
                </w:p>
              </w:tc>
              <w:tc>
                <w:tcPr>
                  <w:tcW w:w="1599" w:type="dxa"/>
                  <w:vAlign w:val="center"/>
                </w:tcPr>
                <w:p>
                  <w:pPr>
                    <w:jc w:val="center"/>
                    <w:rPr>
                      <w:sz w:val="21"/>
                      <w:szCs w:val="21"/>
                      <w:u w:val="none"/>
                    </w:rPr>
                  </w:pPr>
                  <w:r>
                    <w:rPr>
                      <w:sz w:val="21"/>
                      <w:szCs w:val="21"/>
                      <w:u w:val="none"/>
                    </w:rPr>
                    <w:t>20</w:t>
                  </w:r>
                </w:p>
              </w:tc>
              <w:tc>
                <w:tcPr>
                  <w:tcW w:w="1599" w:type="dxa"/>
                  <w:vAlign w:val="center"/>
                </w:tcPr>
                <w:p>
                  <w:pPr>
                    <w:jc w:val="center"/>
                    <w:rPr>
                      <w:sz w:val="21"/>
                      <w:szCs w:val="21"/>
                      <w:u w:val="none"/>
                    </w:rPr>
                  </w:pPr>
                  <w:r>
                    <w:rPr>
                      <w:sz w:val="21"/>
                      <w:szCs w:val="21"/>
                      <w:u w:val="none"/>
                    </w:rPr>
                    <w:t>50</w:t>
                  </w:r>
                </w:p>
              </w:tc>
              <w:tc>
                <w:tcPr>
                  <w:tcW w:w="1599" w:type="dxa"/>
                  <w:vAlign w:val="center"/>
                </w:tcPr>
                <w:p>
                  <w:pPr>
                    <w:jc w:val="center"/>
                    <w:rPr>
                      <w:sz w:val="21"/>
                      <w:szCs w:val="21"/>
                      <w:u w:val="none"/>
                    </w:rPr>
                  </w:pPr>
                  <w:r>
                    <w:rPr>
                      <w:sz w:val="21"/>
                      <w:szCs w:val="21"/>
                      <w:u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9" w:hRule="atLeast"/>
                <w:jc w:val="center"/>
              </w:trPr>
              <w:tc>
                <w:tcPr>
                  <w:tcW w:w="1305" w:type="dxa"/>
                  <w:vMerge w:val="restart"/>
                  <w:vAlign w:val="center"/>
                </w:tcPr>
                <w:p>
                  <w:pPr>
                    <w:jc w:val="center"/>
                    <w:rPr>
                      <w:sz w:val="21"/>
                      <w:szCs w:val="21"/>
                      <w:u w:val="none"/>
                    </w:rPr>
                  </w:pPr>
                  <w:r>
                    <w:rPr>
                      <w:sz w:val="21"/>
                      <w:szCs w:val="21"/>
                      <w:u w:val="none"/>
                    </w:rPr>
                    <w:t>TSP浓度</w:t>
                  </w:r>
                </w:p>
                <w:p>
                  <w:pPr>
                    <w:jc w:val="center"/>
                    <w:rPr>
                      <w:sz w:val="21"/>
                      <w:szCs w:val="21"/>
                      <w:u w:val="none"/>
                    </w:rPr>
                  </w:pPr>
                  <w:r>
                    <w:rPr>
                      <w:sz w:val="21"/>
                      <w:szCs w:val="21"/>
                      <w:u w:val="none"/>
                    </w:rPr>
                    <w:t>(mg/m</w:t>
                  </w:r>
                  <w:r>
                    <w:rPr>
                      <w:sz w:val="21"/>
                      <w:szCs w:val="21"/>
                      <w:u w:val="none"/>
                      <w:vertAlign w:val="superscript"/>
                    </w:rPr>
                    <w:t>3</w:t>
                  </w:r>
                  <w:r>
                    <w:rPr>
                      <w:sz w:val="21"/>
                      <w:szCs w:val="21"/>
                      <w:u w:val="none"/>
                    </w:rPr>
                    <w:t>)</w:t>
                  </w:r>
                </w:p>
              </w:tc>
              <w:tc>
                <w:tcPr>
                  <w:tcW w:w="1396" w:type="dxa"/>
                  <w:vAlign w:val="center"/>
                </w:tcPr>
                <w:p>
                  <w:pPr>
                    <w:jc w:val="center"/>
                    <w:rPr>
                      <w:sz w:val="21"/>
                      <w:szCs w:val="21"/>
                      <w:u w:val="none"/>
                    </w:rPr>
                  </w:pPr>
                  <w:r>
                    <w:rPr>
                      <w:sz w:val="21"/>
                      <w:szCs w:val="21"/>
                      <w:u w:val="none"/>
                    </w:rPr>
                    <w:t>不洒水</w:t>
                  </w:r>
                </w:p>
              </w:tc>
              <w:tc>
                <w:tcPr>
                  <w:tcW w:w="1599" w:type="dxa"/>
                  <w:vAlign w:val="center"/>
                </w:tcPr>
                <w:p>
                  <w:pPr>
                    <w:jc w:val="center"/>
                    <w:rPr>
                      <w:sz w:val="21"/>
                      <w:szCs w:val="21"/>
                      <w:u w:val="none"/>
                    </w:rPr>
                  </w:pPr>
                  <w:r>
                    <w:rPr>
                      <w:sz w:val="21"/>
                      <w:szCs w:val="21"/>
                      <w:u w:val="none"/>
                    </w:rPr>
                    <w:t>10.14</w:t>
                  </w:r>
                </w:p>
              </w:tc>
              <w:tc>
                <w:tcPr>
                  <w:tcW w:w="1599" w:type="dxa"/>
                  <w:vAlign w:val="center"/>
                </w:tcPr>
                <w:p>
                  <w:pPr>
                    <w:jc w:val="center"/>
                    <w:rPr>
                      <w:sz w:val="21"/>
                      <w:szCs w:val="21"/>
                      <w:u w:val="none"/>
                    </w:rPr>
                  </w:pPr>
                  <w:r>
                    <w:rPr>
                      <w:sz w:val="21"/>
                      <w:szCs w:val="21"/>
                      <w:u w:val="none"/>
                    </w:rPr>
                    <w:t>2.81</w:t>
                  </w:r>
                </w:p>
              </w:tc>
              <w:tc>
                <w:tcPr>
                  <w:tcW w:w="1599" w:type="dxa"/>
                  <w:vAlign w:val="center"/>
                </w:tcPr>
                <w:p>
                  <w:pPr>
                    <w:jc w:val="center"/>
                    <w:rPr>
                      <w:sz w:val="21"/>
                      <w:szCs w:val="21"/>
                      <w:u w:val="none"/>
                    </w:rPr>
                  </w:pPr>
                  <w:r>
                    <w:rPr>
                      <w:sz w:val="21"/>
                      <w:szCs w:val="21"/>
                      <w:u w:val="none"/>
                    </w:rPr>
                    <w:t>1.15</w:t>
                  </w:r>
                </w:p>
              </w:tc>
              <w:tc>
                <w:tcPr>
                  <w:tcW w:w="1599" w:type="dxa"/>
                  <w:vAlign w:val="center"/>
                </w:tcPr>
                <w:p>
                  <w:pPr>
                    <w:jc w:val="center"/>
                    <w:rPr>
                      <w:sz w:val="21"/>
                      <w:szCs w:val="21"/>
                      <w:u w:val="none"/>
                    </w:rPr>
                  </w:pPr>
                  <w:r>
                    <w:rPr>
                      <w:sz w:val="21"/>
                      <w:szCs w:val="21"/>
                      <w:u w:val="none"/>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 w:hRule="atLeast"/>
                <w:jc w:val="center"/>
              </w:trPr>
              <w:tc>
                <w:tcPr>
                  <w:tcW w:w="1305" w:type="dxa"/>
                  <w:vMerge w:val="continue"/>
                  <w:vAlign w:val="center"/>
                </w:tcPr>
                <w:p>
                  <w:pPr>
                    <w:ind w:firstLine="420" w:firstLineChars="200"/>
                    <w:jc w:val="center"/>
                    <w:rPr>
                      <w:sz w:val="21"/>
                      <w:szCs w:val="21"/>
                      <w:u w:val="none"/>
                    </w:rPr>
                  </w:pPr>
                </w:p>
              </w:tc>
              <w:tc>
                <w:tcPr>
                  <w:tcW w:w="1396" w:type="dxa"/>
                  <w:vAlign w:val="center"/>
                </w:tcPr>
                <w:p>
                  <w:pPr>
                    <w:jc w:val="center"/>
                    <w:rPr>
                      <w:sz w:val="21"/>
                      <w:szCs w:val="21"/>
                      <w:u w:val="none"/>
                    </w:rPr>
                  </w:pPr>
                  <w:r>
                    <w:rPr>
                      <w:sz w:val="21"/>
                      <w:szCs w:val="21"/>
                      <w:u w:val="none"/>
                    </w:rPr>
                    <w:t>洒水</w:t>
                  </w:r>
                </w:p>
              </w:tc>
              <w:tc>
                <w:tcPr>
                  <w:tcW w:w="1599" w:type="dxa"/>
                  <w:vAlign w:val="center"/>
                </w:tcPr>
                <w:p>
                  <w:pPr>
                    <w:jc w:val="center"/>
                    <w:rPr>
                      <w:sz w:val="21"/>
                      <w:szCs w:val="21"/>
                      <w:u w:val="none"/>
                    </w:rPr>
                  </w:pPr>
                  <w:r>
                    <w:rPr>
                      <w:sz w:val="21"/>
                      <w:szCs w:val="21"/>
                      <w:u w:val="none"/>
                    </w:rPr>
                    <w:t>2.01</w:t>
                  </w:r>
                </w:p>
              </w:tc>
              <w:tc>
                <w:tcPr>
                  <w:tcW w:w="1599" w:type="dxa"/>
                  <w:vAlign w:val="center"/>
                </w:tcPr>
                <w:p>
                  <w:pPr>
                    <w:jc w:val="center"/>
                    <w:rPr>
                      <w:sz w:val="21"/>
                      <w:szCs w:val="21"/>
                      <w:u w:val="none"/>
                    </w:rPr>
                  </w:pPr>
                  <w:r>
                    <w:rPr>
                      <w:sz w:val="21"/>
                      <w:szCs w:val="21"/>
                      <w:u w:val="none"/>
                    </w:rPr>
                    <w:t>1.40</w:t>
                  </w:r>
                </w:p>
              </w:tc>
              <w:tc>
                <w:tcPr>
                  <w:tcW w:w="1599" w:type="dxa"/>
                  <w:vAlign w:val="center"/>
                </w:tcPr>
                <w:p>
                  <w:pPr>
                    <w:jc w:val="center"/>
                    <w:rPr>
                      <w:sz w:val="21"/>
                      <w:szCs w:val="21"/>
                      <w:u w:val="none"/>
                    </w:rPr>
                  </w:pPr>
                  <w:r>
                    <w:rPr>
                      <w:sz w:val="21"/>
                      <w:szCs w:val="21"/>
                      <w:u w:val="none"/>
                    </w:rPr>
                    <w:t>0.68</w:t>
                  </w:r>
                </w:p>
              </w:tc>
              <w:tc>
                <w:tcPr>
                  <w:tcW w:w="1599" w:type="dxa"/>
                  <w:vAlign w:val="center"/>
                </w:tcPr>
                <w:p>
                  <w:pPr>
                    <w:jc w:val="center"/>
                    <w:rPr>
                      <w:sz w:val="21"/>
                      <w:szCs w:val="21"/>
                      <w:u w:val="none"/>
                    </w:rPr>
                  </w:pPr>
                  <w:r>
                    <w:rPr>
                      <w:sz w:val="21"/>
                      <w:szCs w:val="21"/>
                      <w:u w:val="none"/>
                    </w:rPr>
                    <w:t>0.60</w:t>
                  </w:r>
                </w:p>
              </w:tc>
            </w:tr>
          </w:tbl>
          <w:p>
            <w:pPr>
              <w:pStyle w:val="14"/>
              <w:spacing w:after="0"/>
              <w:ind w:firstLine="480" w:firstLineChars="200"/>
              <w:rPr>
                <w:rFonts w:cs="宋体"/>
                <w:sz w:val="24"/>
                <w:u w:val="none"/>
              </w:rPr>
            </w:pPr>
            <w:r>
              <w:rPr>
                <w:rFonts w:hint="eastAsia" w:cs="宋体"/>
                <w:sz w:val="24"/>
                <w:u w:val="none"/>
              </w:rPr>
              <w:t>另外，粉状筑路材料若遮盖不严在运输过程中也会随风起尘，对运输道路两侧的环境保护目标产生影响，特别是大风天气，影响将更为严重。因此要加强对粉状施工材料的运输管理，使用帆布密封或采用罐体车运输，以最大限度的减少原材料运输过程中产生的扬尘。</w:t>
            </w:r>
          </w:p>
          <w:p>
            <w:pPr>
              <w:pStyle w:val="14"/>
              <w:spacing w:after="0"/>
              <w:ind w:firstLine="480" w:firstLineChars="200"/>
              <w:rPr>
                <w:rFonts w:cs="宋体"/>
                <w:sz w:val="24"/>
                <w:u w:val="none"/>
              </w:rPr>
            </w:pPr>
            <w:r>
              <w:rPr>
                <w:rFonts w:hint="eastAsia" w:cs="宋体"/>
                <w:sz w:val="24"/>
                <w:u w:val="none"/>
              </w:rPr>
              <w:t>通过对施工道路扬尘需采取一定的抑尘措施，如加强运输车辆的管理、在人口稠密集中点，起尘量大的施工路段采取经常洒水降尘措施，可以有效地抑制扬尘的扩散。</w:t>
            </w:r>
          </w:p>
          <w:p>
            <w:pPr>
              <w:pStyle w:val="14"/>
              <w:spacing w:after="0"/>
              <w:ind w:firstLine="480" w:firstLineChars="200"/>
              <w:rPr>
                <w:rFonts w:cs="宋体"/>
                <w:sz w:val="24"/>
                <w:u w:val="none"/>
              </w:rPr>
            </w:pPr>
            <w:r>
              <w:rPr>
                <w:rFonts w:hint="eastAsia" w:cs="宋体"/>
                <w:sz w:val="24"/>
                <w:u w:val="none"/>
              </w:rPr>
              <w:t>（2）堆场扬尘</w:t>
            </w:r>
          </w:p>
          <w:p>
            <w:pPr>
              <w:pStyle w:val="14"/>
              <w:spacing w:after="0"/>
              <w:ind w:firstLine="480" w:firstLineChars="200"/>
              <w:rPr>
                <w:rFonts w:cs="宋体"/>
                <w:sz w:val="24"/>
                <w:u w:val="none"/>
              </w:rPr>
            </w:pPr>
            <w:r>
              <w:rPr>
                <w:rFonts w:hint="eastAsia" w:cs="宋体"/>
                <w:sz w:val="24"/>
                <w:u w:val="none"/>
              </w:rPr>
              <w:t>施工阶段扬尘的另一个主要来源是露天堆场和裸露场地的风力扬尘。由于施工需要，一些建筑材料需露天堆放，一些施工作业点表层土壤需人工开挖且临时堆放，在气候干燥又有风的情况下，会产生扬尘，堆场物料的种类、性质及风速与起尘量有很大关系，比重小的物料容易受扰动而起尘，物料中小颗粒比例大时起尘量相应也大。堆场的扬尘包括料堆的风吹扬尘、装卸扬尘和过往车辆引起路面积尘二次扬尘等，这将产生较大的扬尘污染，会对周围环境带来一定的影响，但通过洒水可有效地抑制扬尘量，可使扬尘量减少70%。此外，对一些粉状材料采取一些防风措施也将有效减少扬尘污染。</w:t>
            </w:r>
          </w:p>
          <w:p>
            <w:pPr>
              <w:pStyle w:val="95"/>
              <w:spacing w:line="240" w:lineRule="auto"/>
              <w:rPr>
                <w:rFonts w:hAnsi="Times New Roman"/>
                <w:u w:val="none"/>
              </w:rPr>
            </w:pPr>
            <w:r>
              <w:rPr>
                <w:rFonts w:hint="eastAsia" w:hAnsi="Times New Roman"/>
                <w:u w:val="none"/>
              </w:rPr>
              <w:t>堆场扬尘量可按堆场起尘的经验公式计算：</w:t>
            </w:r>
          </w:p>
          <w:p>
            <w:pPr>
              <w:jc w:val="center"/>
              <w:rPr>
                <w:rFonts w:cs="宋体"/>
                <w:spacing w:val="4"/>
                <w:u w:val="none"/>
              </w:rPr>
            </w:pPr>
            <w:r>
              <w:rPr>
                <w:rFonts w:hint="eastAsia" w:cs="宋体"/>
                <w:spacing w:val="4"/>
                <w:position w:val="-12"/>
                <w:u w:val="none"/>
              </w:rPr>
              <w:object>
                <v:shape id="_x0000_i1027" o:spt="75" type="#_x0000_t75" style="height:21.75pt;width:136.5pt;" o:ole="t" fillcolor="#6D6D6D"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7" r:id="rId17">
                  <o:LockedField>false</o:LockedField>
                </o:OLEObject>
              </w:object>
            </w:r>
          </w:p>
          <w:p>
            <w:pPr>
              <w:ind w:firstLine="496" w:firstLineChars="200"/>
              <w:rPr>
                <w:spacing w:val="4"/>
                <w:sz w:val="24"/>
                <w:u w:val="none"/>
              </w:rPr>
            </w:pPr>
            <w:r>
              <w:rPr>
                <w:spacing w:val="4"/>
                <w:sz w:val="24"/>
                <w:u w:val="none"/>
              </w:rPr>
              <w:t>式中：</w:t>
            </w:r>
            <w:r>
              <w:rPr>
                <w:i/>
                <w:spacing w:val="4"/>
                <w:sz w:val="24"/>
                <w:u w:val="none"/>
              </w:rPr>
              <w:t>Q</w:t>
            </w:r>
            <w:r>
              <w:rPr>
                <w:spacing w:val="4"/>
                <w:sz w:val="24"/>
                <w:u w:val="none"/>
              </w:rPr>
              <w:t>——起尘量，kg/吨·年；</w:t>
            </w:r>
          </w:p>
          <w:p>
            <w:pPr>
              <w:ind w:firstLine="496" w:firstLineChars="200"/>
              <w:rPr>
                <w:spacing w:val="4"/>
                <w:sz w:val="24"/>
                <w:u w:val="none"/>
              </w:rPr>
            </w:pPr>
            <w:r>
              <w:rPr>
                <w:i/>
                <w:spacing w:val="4"/>
                <w:sz w:val="24"/>
                <w:u w:val="none"/>
              </w:rPr>
              <w:t>V</w:t>
            </w:r>
            <w:r>
              <w:rPr>
                <w:spacing w:val="4"/>
                <w:sz w:val="24"/>
                <w:u w:val="none"/>
                <w:vertAlign w:val="subscript"/>
              </w:rPr>
              <w:t>50</w:t>
            </w:r>
            <w:r>
              <w:rPr>
                <w:spacing w:val="4"/>
                <w:sz w:val="24"/>
                <w:u w:val="none"/>
              </w:rPr>
              <w:t>——距地面50m处风速，m/s；</w:t>
            </w:r>
          </w:p>
          <w:p>
            <w:pPr>
              <w:ind w:firstLine="496" w:firstLineChars="200"/>
              <w:rPr>
                <w:spacing w:val="4"/>
                <w:sz w:val="24"/>
                <w:u w:val="none"/>
              </w:rPr>
            </w:pPr>
            <w:r>
              <w:rPr>
                <w:i/>
                <w:spacing w:val="4"/>
                <w:sz w:val="24"/>
                <w:u w:val="none"/>
              </w:rPr>
              <w:t>V</w:t>
            </w:r>
            <w:r>
              <w:rPr>
                <w:spacing w:val="4"/>
                <w:sz w:val="24"/>
                <w:u w:val="none"/>
                <w:vertAlign w:val="subscript"/>
              </w:rPr>
              <w:t>0</w:t>
            </w:r>
            <w:r>
              <w:rPr>
                <w:spacing w:val="4"/>
                <w:sz w:val="24"/>
                <w:u w:val="none"/>
              </w:rPr>
              <w:t>——起尘风速，m/s；</w:t>
            </w:r>
          </w:p>
          <w:p>
            <w:pPr>
              <w:ind w:firstLine="496" w:firstLineChars="200"/>
              <w:rPr>
                <w:spacing w:val="4"/>
                <w:sz w:val="24"/>
                <w:u w:val="none"/>
              </w:rPr>
            </w:pPr>
            <w:r>
              <w:rPr>
                <w:i/>
                <w:spacing w:val="4"/>
                <w:sz w:val="24"/>
                <w:u w:val="none"/>
              </w:rPr>
              <w:t>W</w:t>
            </w:r>
            <w:r>
              <w:rPr>
                <w:spacing w:val="4"/>
                <w:sz w:val="24"/>
                <w:u w:val="none"/>
              </w:rPr>
              <w:t>——尘粒的含水率，%。</w:t>
            </w:r>
          </w:p>
          <w:p>
            <w:pPr>
              <w:pStyle w:val="95"/>
              <w:spacing w:line="240" w:lineRule="auto"/>
              <w:rPr>
                <w:rFonts w:hAnsi="Times New Roman" w:cs="Times New Roman"/>
                <w:u w:val="none"/>
              </w:rPr>
            </w:pPr>
            <w:r>
              <w:rPr>
                <w:rFonts w:hAnsi="Times New Roman" w:cs="Times New Roman"/>
                <w:u w:val="none"/>
              </w:rPr>
              <w:t>起尘风速与粒径和含水率有关，因此，减少露天堆放和保证一定的含水率及减少裸露地面是减少风力起尘的有效手段。粉尘在空气中的扩散稀释与风速等气象条件有关，也与粉尘本身的沉降速度有关。不同粒径粉尘的沉降速度见表</w:t>
            </w:r>
            <w:r>
              <w:rPr>
                <w:rFonts w:hint="eastAsia" w:hAnsi="Times New Roman" w:cs="Times New Roman"/>
                <w:u w:val="none"/>
              </w:rPr>
              <w:t>35</w:t>
            </w:r>
            <w:r>
              <w:rPr>
                <w:rFonts w:hAnsi="Times New Roman" w:cs="Times New Roman"/>
                <w:u w:val="none"/>
              </w:rPr>
              <w:t>。由表可知，粉尘的沉降速度随粒径的增大而迅速增大。当粒径为250</w:t>
            </w:r>
            <w:r>
              <w:rPr>
                <w:rFonts w:hAnsi="Times New Roman" w:cs="Times New Roman"/>
                <w:u w:val="none"/>
              </w:rPr>
              <w:sym w:font="Symbol" w:char="F06D"/>
            </w:r>
            <w:r>
              <w:rPr>
                <w:rFonts w:hAnsi="Times New Roman" w:cs="Times New Roman"/>
                <w:u w:val="none"/>
              </w:rPr>
              <w:t>m时，沉降速度为1.005m/s，因此可以认为当尘粒大于250</w:t>
            </w:r>
            <w:r>
              <w:rPr>
                <w:rFonts w:hAnsi="Times New Roman" w:cs="Times New Roman"/>
                <w:u w:val="none"/>
              </w:rPr>
              <w:sym w:font="Symbol" w:char="F06D"/>
            </w:r>
            <w:r>
              <w:rPr>
                <w:rFonts w:hAnsi="Times New Roman" w:cs="Times New Roman"/>
                <w:u w:val="none"/>
              </w:rPr>
              <w:t>m时，主要影响范围在扬尘点下风向近距离范围内，而真正对外环境产生影响的是一些微小粒径的粉尘。</w:t>
            </w:r>
          </w:p>
          <w:p>
            <w:pPr>
              <w:pStyle w:val="104"/>
              <w:rPr>
                <w:rFonts w:eastAsia="宋体"/>
                <w:b/>
                <w:bCs/>
                <w:u w:val="none"/>
              </w:rPr>
            </w:pPr>
            <w:r>
              <w:rPr>
                <w:rFonts w:eastAsia="宋体"/>
                <w:b/>
                <w:bCs/>
                <w:u w:val="none"/>
              </w:rPr>
              <w:t>表</w:t>
            </w:r>
            <w:r>
              <w:rPr>
                <w:rFonts w:hint="eastAsia" w:eastAsia="宋体"/>
                <w:b/>
                <w:bCs/>
                <w:u w:val="none"/>
                <w:lang w:val="en-US" w:eastAsia="zh-CN"/>
              </w:rPr>
              <w:t>7-3</w:t>
            </w:r>
            <w:r>
              <w:rPr>
                <w:rFonts w:hint="eastAsia" w:eastAsia="宋体"/>
                <w:b/>
                <w:bCs/>
                <w:u w:val="none"/>
              </w:rPr>
              <w:t xml:space="preserve"> </w:t>
            </w:r>
            <w:r>
              <w:rPr>
                <w:rFonts w:eastAsia="宋体"/>
                <w:b/>
                <w:bCs/>
                <w:u w:val="none"/>
              </w:rPr>
              <w:t xml:space="preserve"> 不同粒径尘粒的沉降速度</w:t>
            </w:r>
          </w:p>
          <w:tbl>
            <w:tblPr>
              <w:tblStyle w:val="43"/>
              <w:tblW w:w="90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1"/>
              <w:gridCol w:w="1030"/>
              <w:gridCol w:w="1029"/>
              <w:gridCol w:w="1030"/>
              <w:gridCol w:w="1032"/>
              <w:gridCol w:w="1030"/>
              <w:gridCol w:w="1029"/>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1851" w:type="dxa"/>
                  <w:vAlign w:val="center"/>
                </w:tcPr>
                <w:p>
                  <w:pPr>
                    <w:jc w:val="center"/>
                    <w:rPr>
                      <w:sz w:val="21"/>
                      <w:szCs w:val="21"/>
                      <w:u w:val="none"/>
                    </w:rPr>
                  </w:pPr>
                  <w:r>
                    <w:rPr>
                      <w:sz w:val="21"/>
                      <w:szCs w:val="21"/>
                      <w:u w:val="none"/>
                    </w:rPr>
                    <w:t>粉尘粒径 (</w:t>
                  </w:r>
                  <w:r>
                    <w:rPr>
                      <w:sz w:val="21"/>
                      <w:szCs w:val="21"/>
                      <w:u w:val="none"/>
                    </w:rPr>
                    <w:sym w:font="Symbol" w:char="F06D"/>
                  </w:r>
                  <w:r>
                    <w:rPr>
                      <w:sz w:val="21"/>
                      <w:szCs w:val="21"/>
                      <w:u w:val="none"/>
                    </w:rPr>
                    <w:t>m)</w:t>
                  </w:r>
                </w:p>
              </w:tc>
              <w:tc>
                <w:tcPr>
                  <w:tcW w:w="1030" w:type="dxa"/>
                  <w:vAlign w:val="center"/>
                </w:tcPr>
                <w:p>
                  <w:pPr>
                    <w:jc w:val="center"/>
                    <w:rPr>
                      <w:sz w:val="21"/>
                      <w:szCs w:val="21"/>
                      <w:u w:val="none"/>
                    </w:rPr>
                  </w:pPr>
                  <w:r>
                    <w:rPr>
                      <w:sz w:val="21"/>
                      <w:szCs w:val="21"/>
                      <w:u w:val="none"/>
                    </w:rPr>
                    <w:t>10</w:t>
                  </w:r>
                </w:p>
              </w:tc>
              <w:tc>
                <w:tcPr>
                  <w:tcW w:w="1029" w:type="dxa"/>
                  <w:vAlign w:val="center"/>
                </w:tcPr>
                <w:p>
                  <w:pPr>
                    <w:jc w:val="center"/>
                    <w:rPr>
                      <w:sz w:val="21"/>
                      <w:szCs w:val="21"/>
                      <w:u w:val="none"/>
                    </w:rPr>
                  </w:pPr>
                  <w:r>
                    <w:rPr>
                      <w:sz w:val="21"/>
                      <w:szCs w:val="21"/>
                      <w:u w:val="none"/>
                    </w:rPr>
                    <w:t>20</w:t>
                  </w:r>
                </w:p>
              </w:tc>
              <w:tc>
                <w:tcPr>
                  <w:tcW w:w="1030" w:type="dxa"/>
                  <w:vAlign w:val="center"/>
                </w:tcPr>
                <w:p>
                  <w:pPr>
                    <w:jc w:val="center"/>
                    <w:rPr>
                      <w:sz w:val="21"/>
                      <w:szCs w:val="21"/>
                      <w:u w:val="none"/>
                    </w:rPr>
                  </w:pPr>
                  <w:r>
                    <w:rPr>
                      <w:sz w:val="21"/>
                      <w:szCs w:val="21"/>
                      <w:u w:val="none"/>
                    </w:rPr>
                    <w:t>30</w:t>
                  </w:r>
                </w:p>
              </w:tc>
              <w:tc>
                <w:tcPr>
                  <w:tcW w:w="1032" w:type="dxa"/>
                  <w:vAlign w:val="center"/>
                </w:tcPr>
                <w:p>
                  <w:pPr>
                    <w:jc w:val="center"/>
                    <w:rPr>
                      <w:sz w:val="21"/>
                      <w:szCs w:val="21"/>
                      <w:u w:val="none"/>
                    </w:rPr>
                  </w:pPr>
                  <w:r>
                    <w:rPr>
                      <w:sz w:val="21"/>
                      <w:szCs w:val="21"/>
                      <w:u w:val="none"/>
                    </w:rPr>
                    <w:t>40</w:t>
                  </w:r>
                </w:p>
              </w:tc>
              <w:tc>
                <w:tcPr>
                  <w:tcW w:w="1030" w:type="dxa"/>
                  <w:vAlign w:val="center"/>
                </w:tcPr>
                <w:p>
                  <w:pPr>
                    <w:jc w:val="center"/>
                    <w:rPr>
                      <w:sz w:val="21"/>
                      <w:szCs w:val="21"/>
                      <w:u w:val="none"/>
                    </w:rPr>
                  </w:pPr>
                  <w:r>
                    <w:rPr>
                      <w:sz w:val="21"/>
                      <w:szCs w:val="21"/>
                      <w:u w:val="none"/>
                    </w:rPr>
                    <w:t>50</w:t>
                  </w:r>
                </w:p>
              </w:tc>
              <w:tc>
                <w:tcPr>
                  <w:tcW w:w="1029" w:type="dxa"/>
                  <w:vAlign w:val="center"/>
                </w:tcPr>
                <w:p>
                  <w:pPr>
                    <w:jc w:val="center"/>
                    <w:rPr>
                      <w:sz w:val="21"/>
                      <w:szCs w:val="21"/>
                      <w:u w:val="none"/>
                    </w:rPr>
                  </w:pPr>
                  <w:r>
                    <w:rPr>
                      <w:sz w:val="21"/>
                      <w:szCs w:val="21"/>
                      <w:u w:val="none"/>
                    </w:rPr>
                    <w:t>60</w:t>
                  </w:r>
                </w:p>
              </w:tc>
              <w:tc>
                <w:tcPr>
                  <w:tcW w:w="1032" w:type="dxa"/>
                  <w:vAlign w:val="center"/>
                </w:tcPr>
                <w:p>
                  <w:pPr>
                    <w:jc w:val="center"/>
                    <w:rPr>
                      <w:sz w:val="21"/>
                      <w:szCs w:val="21"/>
                      <w:u w:val="none"/>
                    </w:rPr>
                  </w:pPr>
                  <w:r>
                    <w:rPr>
                      <w:sz w:val="21"/>
                      <w:szCs w:val="21"/>
                      <w:u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1851" w:type="dxa"/>
                  <w:vAlign w:val="center"/>
                </w:tcPr>
                <w:p>
                  <w:pPr>
                    <w:jc w:val="center"/>
                    <w:rPr>
                      <w:sz w:val="21"/>
                      <w:szCs w:val="21"/>
                      <w:u w:val="none"/>
                    </w:rPr>
                  </w:pPr>
                  <w:r>
                    <w:rPr>
                      <w:sz w:val="21"/>
                      <w:szCs w:val="21"/>
                      <w:u w:val="none"/>
                    </w:rPr>
                    <w:t>沉降速度 (m/s)</w:t>
                  </w:r>
                </w:p>
              </w:tc>
              <w:tc>
                <w:tcPr>
                  <w:tcW w:w="1030" w:type="dxa"/>
                  <w:vAlign w:val="center"/>
                </w:tcPr>
                <w:p>
                  <w:pPr>
                    <w:jc w:val="center"/>
                    <w:rPr>
                      <w:sz w:val="21"/>
                      <w:szCs w:val="21"/>
                      <w:u w:val="none"/>
                    </w:rPr>
                  </w:pPr>
                  <w:r>
                    <w:rPr>
                      <w:sz w:val="21"/>
                      <w:szCs w:val="21"/>
                      <w:u w:val="none"/>
                    </w:rPr>
                    <w:t>0.003</w:t>
                  </w:r>
                </w:p>
              </w:tc>
              <w:tc>
                <w:tcPr>
                  <w:tcW w:w="1029" w:type="dxa"/>
                  <w:vAlign w:val="center"/>
                </w:tcPr>
                <w:p>
                  <w:pPr>
                    <w:jc w:val="center"/>
                    <w:rPr>
                      <w:sz w:val="21"/>
                      <w:szCs w:val="21"/>
                      <w:u w:val="none"/>
                    </w:rPr>
                  </w:pPr>
                  <w:r>
                    <w:rPr>
                      <w:sz w:val="21"/>
                      <w:szCs w:val="21"/>
                      <w:u w:val="none"/>
                    </w:rPr>
                    <w:t>0.012</w:t>
                  </w:r>
                </w:p>
              </w:tc>
              <w:tc>
                <w:tcPr>
                  <w:tcW w:w="1030" w:type="dxa"/>
                  <w:vAlign w:val="center"/>
                </w:tcPr>
                <w:p>
                  <w:pPr>
                    <w:jc w:val="center"/>
                    <w:rPr>
                      <w:sz w:val="21"/>
                      <w:szCs w:val="21"/>
                      <w:u w:val="none"/>
                    </w:rPr>
                  </w:pPr>
                  <w:r>
                    <w:rPr>
                      <w:sz w:val="21"/>
                      <w:szCs w:val="21"/>
                      <w:u w:val="none"/>
                    </w:rPr>
                    <w:t>0.027</w:t>
                  </w:r>
                </w:p>
              </w:tc>
              <w:tc>
                <w:tcPr>
                  <w:tcW w:w="1032" w:type="dxa"/>
                  <w:vAlign w:val="center"/>
                </w:tcPr>
                <w:p>
                  <w:pPr>
                    <w:jc w:val="center"/>
                    <w:rPr>
                      <w:sz w:val="21"/>
                      <w:szCs w:val="21"/>
                      <w:u w:val="none"/>
                    </w:rPr>
                  </w:pPr>
                  <w:r>
                    <w:rPr>
                      <w:sz w:val="21"/>
                      <w:szCs w:val="21"/>
                      <w:u w:val="none"/>
                    </w:rPr>
                    <w:t>0.048</w:t>
                  </w:r>
                </w:p>
              </w:tc>
              <w:tc>
                <w:tcPr>
                  <w:tcW w:w="1030" w:type="dxa"/>
                  <w:vAlign w:val="center"/>
                </w:tcPr>
                <w:p>
                  <w:pPr>
                    <w:jc w:val="center"/>
                    <w:rPr>
                      <w:sz w:val="21"/>
                      <w:szCs w:val="21"/>
                      <w:u w:val="none"/>
                    </w:rPr>
                  </w:pPr>
                  <w:r>
                    <w:rPr>
                      <w:sz w:val="21"/>
                      <w:szCs w:val="21"/>
                      <w:u w:val="none"/>
                    </w:rPr>
                    <w:t>0.075</w:t>
                  </w:r>
                </w:p>
              </w:tc>
              <w:tc>
                <w:tcPr>
                  <w:tcW w:w="1029" w:type="dxa"/>
                  <w:vAlign w:val="center"/>
                </w:tcPr>
                <w:p>
                  <w:pPr>
                    <w:jc w:val="center"/>
                    <w:rPr>
                      <w:sz w:val="21"/>
                      <w:szCs w:val="21"/>
                      <w:u w:val="none"/>
                    </w:rPr>
                  </w:pPr>
                  <w:r>
                    <w:rPr>
                      <w:sz w:val="21"/>
                      <w:szCs w:val="21"/>
                      <w:u w:val="none"/>
                    </w:rPr>
                    <w:t>0.108</w:t>
                  </w:r>
                </w:p>
              </w:tc>
              <w:tc>
                <w:tcPr>
                  <w:tcW w:w="1032" w:type="dxa"/>
                  <w:vAlign w:val="center"/>
                </w:tcPr>
                <w:p>
                  <w:pPr>
                    <w:jc w:val="center"/>
                    <w:rPr>
                      <w:sz w:val="21"/>
                      <w:szCs w:val="21"/>
                      <w:u w:val="none"/>
                    </w:rPr>
                  </w:pPr>
                  <w:r>
                    <w:rPr>
                      <w:sz w:val="21"/>
                      <w:szCs w:val="21"/>
                      <w:u w:val="none"/>
                    </w:rPr>
                    <w:t>0.147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1851" w:type="dxa"/>
                  <w:vAlign w:val="center"/>
                </w:tcPr>
                <w:p>
                  <w:pPr>
                    <w:jc w:val="center"/>
                    <w:rPr>
                      <w:sz w:val="21"/>
                      <w:szCs w:val="21"/>
                      <w:u w:val="none"/>
                    </w:rPr>
                  </w:pPr>
                  <w:r>
                    <w:rPr>
                      <w:sz w:val="21"/>
                      <w:szCs w:val="21"/>
                      <w:u w:val="none"/>
                    </w:rPr>
                    <w:t>粉尘粒径 (</w:t>
                  </w:r>
                  <w:r>
                    <w:rPr>
                      <w:sz w:val="21"/>
                      <w:szCs w:val="21"/>
                      <w:u w:val="none"/>
                    </w:rPr>
                    <w:sym w:font="Symbol" w:char="F06D"/>
                  </w:r>
                  <w:r>
                    <w:rPr>
                      <w:sz w:val="21"/>
                      <w:szCs w:val="21"/>
                      <w:u w:val="none"/>
                    </w:rPr>
                    <w:t>m)</w:t>
                  </w:r>
                </w:p>
              </w:tc>
              <w:tc>
                <w:tcPr>
                  <w:tcW w:w="1030" w:type="dxa"/>
                  <w:vAlign w:val="center"/>
                </w:tcPr>
                <w:p>
                  <w:pPr>
                    <w:jc w:val="center"/>
                    <w:rPr>
                      <w:sz w:val="21"/>
                      <w:szCs w:val="21"/>
                      <w:u w:val="none"/>
                    </w:rPr>
                  </w:pPr>
                  <w:r>
                    <w:rPr>
                      <w:sz w:val="21"/>
                      <w:szCs w:val="21"/>
                      <w:u w:val="none"/>
                    </w:rPr>
                    <w:t>80</w:t>
                  </w:r>
                </w:p>
              </w:tc>
              <w:tc>
                <w:tcPr>
                  <w:tcW w:w="1029" w:type="dxa"/>
                  <w:vAlign w:val="center"/>
                </w:tcPr>
                <w:p>
                  <w:pPr>
                    <w:jc w:val="center"/>
                    <w:rPr>
                      <w:sz w:val="21"/>
                      <w:szCs w:val="21"/>
                      <w:u w:val="none"/>
                    </w:rPr>
                  </w:pPr>
                  <w:r>
                    <w:rPr>
                      <w:sz w:val="21"/>
                      <w:szCs w:val="21"/>
                      <w:u w:val="none"/>
                    </w:rPr>
                    <w:t>90</w:t>
                  </w:r>
                </w:p>
              </w:tc>
              <w:tc>
                <w:tcPr>
                  <w:tcW w:w="1030" w:type="dxa"/>
                  <w:vAlign w:val="center"/>
                </w:tcPr>
                <w:p>
                  <w:pPr>
                    <w:jc w:val="center"/>
                    <w:rPr>
                      <w:sz w:val="21"/>
                      <w:szCs w:val="21"/>
                      <w:u w:val="none"/>
                    </w:rPr>
                  </w:pPr>
                  <w:r>
                    <w:rPr>
                      <w:sz w:val="21"/>
                      <w:szCs w:val="21"/>
                      <w:u w:val="none"/>
                    </w:rPr>
                    <w:t>100</w:t>
                  </w:r>
                </w:p>
              </w:tc>
              <w:tc>
                <w:tcPr>
                  <w:tcW w:w="1032" w:type="dxa"/>
                  <w:vAlign w:val="center"/>
                </w:tcPr>
                <w:p>
                  <w:pPr>
                    <w:jc w:val="center"/>
                    <w:rPr>
                      <w:sz w:val="21"/>
                      <w:szCs w:val="21"/>
                      <w:u w:val="none"/>
                    </w:rPr>
                  </w:pPr>
                  <w:r>
                    <w:rPr>
                      <w:sz w:val="21"/>
                      <w:szCs w:val="21"/>
                      <w:u w:val="none"/>
                    </w:rPr>
                    <w:t>150</w:t>
                  </w:r>
                </w:p>
              </w:tc>
              <w:tc>
                <w:tcPr>
                  <w:tcW w:w="1030" w:type="dxa"/>
                  <w:vAlign w:val="center"/>
                </w:tcPr>
                <w:p>
                  <w:pPr>
                    <w:jc w:val="center"/>
                    <w:rPr>
                      <w:sz w:val="21"/>
                      <w:szCs w:val="21"/>
                      <w:u w:val="none"/>
                    </w:rPr>
                  </w:pPr>
                  <w:r>
                    <w:rPr>
                      <w:sz w:val="21"/>
                      <w:szCs w:val="21"/>
                      <w:u w:val="none"/>
                    </w:rPr>
                    <w:t>200</w:t>
                  </w:r>
                </w:p>
              </w:tc>
              <w:tc>
                <w:tcPr>
                  <w:tcW w:w="1029" w:type="dxa"/>
                  <w:vAlign w:val="center"/>
                </w:tcPr>
                <w:p>
                  <w:pPr>
                    <w:jc w:val="center"/>
                    <w:rPr>
                      <w:sz w:val="21"/>
                      <w:szCs w:val="21"/>
                      <w:u w:val="none"/>
                    </w:rPr>
                  </w:pPr>
                  <w:r>
                    <w:rPr>
                      <w:sz w:val="21"/>
                      <w:szCs w:val="21"/>
                      <w:u w:val="none"/>
                    </w:rPr>
                    <w:t>250</w:t>
                  </w:r>
                </w:p>
              </w:tc>
              <w:tc>
                <w:tcPr>
                  <w:tcW w:w="1032" w:type="dxa"/>
                  <w:vAlign w:val="center"/>
                </w:tcPr>
                <w:p>
                  <w:pPr>
                    <w:jc w:val="center"/>
                    <w:rPr>
                      <w:sz w:val="21"/>
                      <w:szCs w:val="21"/>
                      <w:u w:val="none"/>
                    </w:rPr>
                  </w:pPr>
                  <w:r>
                    <w:rPr>
                      <w:sz w:val="21"/>
                      <w:szCs w:val="21"/>
                      <w:u w:val="none"/>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1851" w:type="dxa"/>
                  <w:vAlign w:val="center"/>
                </w:tcPr>
                <w:p>
                  <w:pPr>
                    <w:jc w:val="center"/>
                    <w:rPr>
                      <w:sz w:val="21"/>
                      <w:szCs w:val="21"/>
                      <w:u w:val="none"/>
                    </w:rPr>
                  </w:pPr>
                  <w:r>
                    <w:rPr>
                      <w:sz w:val="21"/>
                      <w:szCs w:val="21"/>
                      <w:u w:val="none"/>
                    </w:rPr>
                    <w:t>沉降速度 (m/s)</w:t>
                  </w:r>
                </w:p>
              </w:tc>
              <w:tc>
                <w:tcPr>
                  <w:tcW w:w="1030" w:type="dxa"/>
                  <w:vAlign w:val="center"/>
                </w:tcPr>
                <w:p>
                  <w:pPr>
                    <w:jc w:val="center"/>
                    <w:rPr>
                      <w:sz w:val="21"/>
                      <w:szCs w:val="21"/>
                      <w:u w:val="none"/>
                    </w:rPr>
                  </w:pPr>
                  <w:r>
                    <w:rPr>
                      <w:sz w:val="21"/>
                      <w:szCs w:val="21"/>
                      <w:u w:val="none"/>
                    </w:rPr>
                    <w:t>0.158</w:t>
                  </w:r>
                </w:p>
              </w:tc>
              <w:tc>
                <w:tcPr>
                  <w:tcW w:w="1029" w:type="dxa"/>
                  <w:vAlign w:val="center"/>
                </w:tcPr>
                <w:p>
                  <w:pPr>
                    <w:jc w:val="center"/>
                    <w:rPr>
                      <w:sz w:val="21"/>
                      <w:szCs w:val="21"/>
                      <w:u w:val="none"/>
                    </w:rPr>
                  </w:pPr>
                  <w:r>
                    <w:rPr>
                      <w:sz w:val="21"/>
                      <w:szCs w:val="21"/>
                      <w:u w:val="none"/>
                    </w:rPr>
                    <w:t>0.170</w:t>
                  </w:r>
                </w:p>
              </w:tc>
              <w:tc>
                <w:tcPr>
                  <w:tcW w:w="1030" w:type="dxa"/>
                  <w:vAlign w:val="center"/>
                </w:tcPr>
                <w:p>
                  <w:pPr>
                    <w:jc w:val="center"/>
                    <w:rPr>
                      <w:sz w:val="21"/>
                      <w:szCs w:val="21"/>
                      <w:u w:val="none"/>
                    </w:rPr>
                  </w:pPr>
                  <w:r>
                    <w:rPr>
                      <w:sz w:val="21"/>
                      <w:szCs w:val="21"/>
                      <w:u w:val="none"/>
                    </w:rPr>
                    <w:t>0.182</w:t>
                  </w:r>
                </w:p>
              </w:tc>
              <w:tc>
                <w:tcPr>
                  <w:tcW w:w="1032" w:type="dxa"/>
                  <w:vAlign w:val="center"/>
                </w:tcPr>
                <w:p>
                  <w:pPr>
                    <w:jc w:val="center"/>
                    <w:rPr>
                      <w:sz w:val="21"/>
                      <w:szCs w:val="21"/>
                      <w:u w:val="none"/>
                    </w:rPr>
                  </w:pPr>
                  <w:r>
                    <w:rPr>
                      <w:sz w:val="21"/>
                      <w:szCs w:val="21"/>
                      <w:u w:val="none"/>
                    </w:rPr>
                    <w:t>0.239</w:t>
                  </w:r>
                </w:p>
              </w:tc>
              <w:tc>
                <w:tcPr>
                  <w:tcW w:w="1030" w:type="dxa"/>
                  <w:vAlign w:val="center"/>
                </w:tcPr>
                <w:p>
                  <w:pPr>
                    <w:jc w:val="center"/>
                    <w:rPr>
                      <w:sz w:val="21"/>
                      <w:szCs w:val="21"/>
                      <w:u w:val="none"/>
                    </w:rPr>
                  </w:pPr>
                  <w:r>
                    <w:rPr>
                      <w:sz w:val="21"/>
                      <w:szCs w:val="21"/>
                      <w:u w:val="none"/>
                    </w:rPr>
                    <w:t>0.804</w:t>
                  </w:r>
                </w:p>
              </w:tc>
              <w:tc>
                <w:tcPr>
                  <w:tcW w:w="1029" w:type="dxa"/>
                  <w:vAlign w:val="center"/>
                </w:tcPr>
                <w:p>
                  <w:pPr>
                    <w:jc w:val="center"/>
                    <w:rPr>
                      <w:sz w:val="21"/>
                      <w:szCs w:val="21"/>
                      <w:u w:val="none"/>
                    </w:rPr>
                  </w:pPr>
                  <w:r>
                    <w:rPr>
                      <w:sz w:val="21"/>
                      <w:szCs w:val="21"/>
                      <w:u w:val="none"/>
                    </w:rPr>
                    <w:t>1.005</w:t>
                  </w:r>
                </w:p>
              </w:tc>
              <w:tc>
                <w:tcPr>
                  <w:tcW w:w="1032" w:type="dxa"/>
                  <w:vAlign w:val="center"/>
                </w:tcPr>
                <w:p>
                  <w:pPr>
                    <w:jc w:val="center"/>
                    <w:rPr>
                      <w:sz w:val="21"/>
                      <w:szCs w:val="21"/>
                      <w:u w:val="none"/>
                    </w:rPr>
                  </w:pPr>
                  <w:r>
                    <w:rPr>
                      <w:sz w:val="21"/>
                      <w:szCs w:val="21"/>
                      <w:u w:val="none"/>
                    </w:rPr>
                    <w:t>1.829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1851" w:type="dxa"/>
                  <w:vAlign w:val="center"/>
                </w:tcPr>
                <w:p>
                  <w:pPr>
                    <w:jc w:val="center"/>
                    <w:rPr>
                      <w:sz w:val="21"/>
                      <w:szCs w:val="21"/>
                      <w:u w:val="none"/>
                    </w:rPr>
                  </w:pPr>
                  <w:r>
                    <w:rPr>
                      <w:sz w:val="21"/>
                      <w:szCs w:val="21"/>
                      <w:u w:val="none"/>
                    </w:rPr>
                    <w:t>粉尘粒径 (</w:t>
                  </w:r>
                  <w:r>
                    <w:rPr>
                      <w:sz w:val="21"/>
                      <w:szCs w:val="21"/>
                      <w:u w:val="none"/>
                    </w:rPr>
                    <w:sym w:font="Symbol" w:char="F06D"/>
                  </w:r>
                  <w:r>
                    <w:rPr>
                      <w:sz w:val="21"/>
                      <w:szCs w:val="21"/>
                      <w:u w:val="none"/>
                    </w:rPr>
                    <w:t>m)</w:t>
                  </w:r>
                </w:p>
              </w:tc>
              <w:tc>
                <w:tcPr>
                  <w:tcW w:w="1030" w:type="dxa"/>
                  <w:vAlign w:val="center"/>
                </w:tcPr>
                <w:p>
                  <w:pPr>
                    <w:jc w:val="center"/>
                    <w:rPr>
                      <w:sz w:val="21"/>
                      <w:szCs w:val="21"/>
                      <w:u w:val="none"/>
                    </w:rPr>
                  </w:pPr>
                  <w:r>
                    <w:rPr>
                      <w:sz w:val="21"/>
                      <w:szCs w:val="21"/>
                      <w:u w:val="none"/>
                    </w:rPr>
                    <w:t>450</w:t>
                  </w:r>
                </w:p>
              </w:tc>
              <w:tc>
                <w:tcPr>
                  <w:tcW w:w="1029" w:type="dxa"/>
                  <w:vAlign w:val="center"/>
                </w:tcPr>
                <w:p>
                  <w:pPr>
                    <w:jc w:val="center"/>
                    <w:rPr>
                      <w:sz w:val="21"/>
                      <w:szCs w:val="21"/>
                      <w:u w:val="none"/>
                    </w:rPr>
                  </w:pPr>
                  <w:r>
                    <w:rPr>
                      <w:sz w:val="21"/>
                      <w:szCs w:val="21"/>
                      <w:u w:val="none"/>
                    </w:rPr>
                    <w:t>550</w:t>
                  </w:r>
                </w:p>
              </w:tc>
              <w:tc>
                <w:tcPr>
                  <w:tcW w:w="1030" w:type="dxa"/>
                  <w:vAlign w:val="center"/>
                </w:tcPr>
                <w:p>
                  <w:pPr>
                    <w:jc w:val="center"/>
                    <w:rPr>
                      <w:sz w:val="21"/>
                      <w:szCs w:val="21"/>
                      <w:u w:val="none"/>
                    </w:rPr>
                  </w:pPr>
                  <w:r>
                    <w:rPr>
                      <w:sz w:val="21"/>
                      <w:szCs w:val="21"/>
                      <w:u w:val="none"/>
                    </w:rPr>
                    <w:t>650</w:t>
                  </w:r>
                </w:p>
              </w:tc>
              <w:tc>
                <w:tcPr>
                  <w:tcW w:w="1032" w:type="dxa"/>
                  <w:vAlign w:val="center"/>
                </w:tcPr>
                <w:p>
                  <w:pPr>
                    <w:jc w:val="center"/>
                    <w:rPr>
                      <w:sz w:val="21"/>
                      <w:szCs w:val="21"/>
                      <w:u w:val="none"/>
                    </w:rPr>
                  </w:pPr>
                  <w:r>
                    <w:rPr>
                      <w:sz w:val="21"/>
                      <w:szCs w:val="21"/>
                      <w:u w:val="none"/>
                    </w:rPr>
                    <w:t>750</w:t>
                  </w:r>
                </w:p>
              </w:tc>
              <w:tc>
                <w:tcPr>
                  <w:tcW w:w="1030" w:type="dxa"/>
                  <w:vAlign w:val="center"/>
                </w:tcPr>
                <w:p>
                  <w:pPr>
                    <w:jc w:val="center"/>
                    <w:rPr>
                      <w:sz w:val="21"/>
                      <w:szCs w:val="21"/>
                      <w:u w:val="none"/>
                    </w:rPr>
                  </w:pPr>
                  <w:r>
                    <w:rPr>
                      <w:sz w:val="21"/>
                      <w:szCs w:val="21"/>
                      <w:u w:val="none"/>
                    </w:rPr>
                    <w:t>850</w:t>
                  </w:r>
                </w:p>
              </w:tc>
              <w:tc>
                <w:tcPr>
                  <w:tcW w:w="1029" w:type="dxa"/>
                  <w:vAlign w:val="center"/>
                </w:tcPr>
                <w:p>
                  <w:pPr>
                    <w:jc w:val="center"/>
                    <w:rPr>
                      <w:sz w:val="21"/>
                      <w:szCs w:val="21"/>
                      <w:u w:val="none"/>
                    </w:rPr>
                  </w:pPr>
                  <w:r>
                    <w:rPr>
                      <w:sz w:val="21"/>
                      <w:szCs w:val="21"/>
                      <w:u w:val="none"/>
                    </w:rPr>
                    <w:t>950</w:t>
                  </w:r>
                </w:p>
              </w:tc>
              <w:tc>
                <w:tcPr>
                  <w:tcW w:w="1032" w:type="dxa"/>
                  <w:vAlign w:val="center"/>
                </w:tcPr>
                <w:p>
                  <w:pPr>
                    <w:jc w:val="center"/>
                    <w:rPr>
                      <w:sz w:val="21"/>
                      <w:szCs w:val="21"/>
                      <w:u w:val="none"/>
                    </w:rPr>
                  </w:pPr>
                  <w:r>
                    <w:rPr>
                      <w:sz w:val="21"/>
                      <w:szCs w:val="21"/>
                      <w:u w:val="none"/>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1851" w:type="dxa"/>
                  <w:vAlign w:val="center"/>
                </w:tcPr>
                <w:p>
                  <w:pPr>
                    <w:jc w:val="center"/>
                    <w:rPr>
                      <w:sz w:val="21"/>
                      <w:szCs w:val="21"/>
                      <w:u w:val="none"/>
                    </w:rPr>
                  </w:pPr>
                  <w:r>
                    <w:rPr>
                      <w:sz w:val="21"/>
                      <w:szCs w:val="21"/>
                      <w:u w:val="none"/>
                    </w:rPr>
                    <w:t>沉降速度 (m/s)</w:t>
                  </w:r>
                </w:p>
              </w:tc>
              <w:tc>
                <w:tcPr>
                  <w:tcW w:w="1030" w:type="dxa"/>
                  <w:vAlign w:val="center"/>
                </w:tcPr>
                <w:p>
                  <w:pPr>
                    <w:jc w:val="center"/>
                    <w:rPr>
                      <w:sz w:val="21"/>
                      <w:szCs w:val="21"/>
                      <w:u w:val="none"/>
                    </w:rPr>
                  </w:pPr>
                  <w:r>
                    <w:rPr>
                      <w:sz w:val="21"/>
                      <w:szCs w:val="21"/>
                      <w:u w:val="none"/>
                    </w:rPr>
                    <w:t>2.211</w:t>
                  </w:r>
                </w:p>
              </w:tc>
              <w:tc>
                <w:tcPr>
                  <w:tcW w:w="1029" w:type="dxa"/>
                  <w:vAlign w:val="center"/>
                </w:tcPr>
                <w:p>
                  <w:pPr>
                    <w:jc w:val="center"/>
                    <w:rPr>
                      <w:sz w:val="21"/>
                      <w:szCs w:val="21"/>
                      <w:u w:val="none"/>
                    </w:rPr>
                  </w:pPr>
                  <w:r>
                    <w:rPr>
                      <w:sz w:val="21"/>
                      <w:szCs w:val="21"/>
                      <w:u w:val="none"/>
                    </w:rPr>
                    <w:t>2.614</w:t>
                  </w:r>
                </w:p>
              </w:tc>
              <w:tc>
                <w:tcPr>
                  <w:tcW w:w="1030" w:type="dxa"/>
                  <w:vAlign w:val="center"/>
                </w:tcPr>
                <w:p>
                  <w:pPr>
                    <w:jc w:val="center"/>
                    <w:rPr>
                      <w:sz w:val="21"/>
                      <w:szCs w:val="21"/>
                      <w:u w:val="none"/>
                    </w:rPr>
                  </w:pPr>
                  <w:r>
                    <w:rPr>
                      <w:sz w:val="21"/>
                      <w:szCs w:val="21"/>
                      <w:u w:val="none"/>
                    </w:rPr>
                    <w:t>3.016</w:t>
                  </w:r>
                </w:p>
              </w:tc>
              <w:tc>
                <w:tcPr>
                  <w:tcW w:w="1032" w:type="dxa"/>
                  <w:vAlign w:val="center"/>
                </w:tcPr>
                <w:p>
                  <w:pPr>
                    <w:jc w:val="center"/>
                    <w:rPr>
                      <w:sz w:val="21"/>
                      <w:szCs w:val="21"/>
                      <w:u w:val="none"/>
                    </w:rPr>
                  </w:pPr>
                  <w:r>
                    <w:rPr>
                      <w:sz w:val="21"/>
                      <w:szCs w:val="21"/>
                      <w:u w:val="none"/>
                    </w:rPr>
                    <w:t>3.418</w:t>
                  </w:r>
                </w:p>
              </w:tc>
              <w:tc>
                <w:tcPr>
                  <w:tcW w:w="1030" w:type="dxa"/>
                  <w:vAlign w:val="center"/>
                </w:tcPr>
                <w:p>
                  <w:pPr>
                    <w:jc w:val="center"/>
                    <w:rPr>
                      <w:sz w:val="21"/>
                      <w:szCs w:val="21"/>
                      <w:u w:val="none"/>
                    </w:rPr>
                  </w:pPr>
                  <w:r>
                    <w:rPr>
                      <w:sz w:val="21"/>
                      <w:szCs w:val="21"/>
                      <w:u w:val="none"/>
                    </w:rPr>
                    <w:t>3.820</w:t>
                  </w:r>
                </w:p>
              </w:tc>
              <w:tc>
                <w:tcPr>
                  <w:tcW w:w="1029" w:type="dxa"/>
                  <w:vAlign w:val="center"/>
                </w:tcPr>
                <w:p>
                  <w:pPr>
                    <w:jc w:val="center"/>
                    <w:rPr>
                      <w:sz w:val="21"/>
                      <w:szCs w:val="21"/>
                      <w:u w:val="none"/>
                    </w:rPr>
                  </w:pPr>
                  <w:r>
                    <w:rPr>
                      <w:sz w:val="21"/>
                      <w:szCs w:val="21"/>
                      <w:u w:val="none"/>
                    </w:rPr>
                    <w:t>4.222</w:t>
                  </w:r>
                </w:p>
              </w:tc>
              <w:tc>
                <w:tcPr>
                  <w:tcW w:w="1032" w:type="dxa"/>
                  <w:vAlign w:val="center"/>
                </w:tcPr>
                <w:p>
                  <w:pPr>
                    <w:jc w:val="center"/>
                    <w:rPr>
                      <w:sz w:val="21"/>
                      <w:szCs w:val="21"/>
                      <w:u w:val="none"/>
                    </w:rPr>
                  </w:pPr>
                  <w:r>
                    <w:rPr>
                      <w:sz w:val="21"/>
                      <w:szCs w:val="21"/>
                      <w:u w:val="none"/>
                    </w:rPr>
                    <w:t>4.624</w:t>
                  </w:r>
                </w:p>
              </w:tc>
            </w:tr>
          </w:tbl>
          <w:p>
            <w:pPr>
              <w:pStyle w:val="15"/>
              <w:ind w:firstLine="480"/>
              <w:rPr>
                <w:sz w:val="24"/>
                <w:u w:val="none"/>
              </w:rPr>
            </w:pPr>
            <w:r>
              <w:rPr>
                <w:sz w:val="24"/>
                <w:u w:val="none"/>
              </w:rPr>
              <w:t>本环评建议施工过程中尽量减少施工材料的堆存时间和堆存量，加快物料的周转速度，最大限度减少路面扬尘的产生量。对于运输过程应使用帆布遮盖，避免物料沿途遗洒，减少运输二次扬尘对周围环境的影响。</w:t>
            </w:r>
          </w:p>
          <w:p>
            <w:pPr>
              <w:pStyle w:val="15"/>
              <w:ind w:firstLine="480"/>
              <w:rPr>
                <w:sz w:val="24"/>
                <w:u w:val="none"/>
              </w:rPr>
            </w:pPr>
            <w:r>
              <w:rPr>
                <w:sz w:val="24"/>
                <w:u w:val="none"/>
              </w:rPr>
              <w:t>（</w:t>
            </w:r>
            <w:r>
              <w:rPr>
                <w:rFonts w:hint="eastAsia"/>
                <w:sz w:val="24"/>
                <w:u w:val="none"/>
              </w:rPr>
              <w:t>3</w:t>
            </w:r>
            <w:r>
              <w:rPr>
                <w:sz w:val="24"/>
                <w:u w:val="none"/>
              </w:rPr>
              <w:t>）施工现场扬尘</w:t>
            </w:r>
          </w:p>
          <w:p>
            <w:pPr>
              <w:pStyle w:val="95"/>
              <w:spacing w:line="240" w:lineRule="auto"/>
              <w:rPr>
                <w:rFonts w:hAnsi="Times New Roman" w:cs="Times New Roman"/>
                <w:u w:val="none"/>
              </w:rPr>
            </w:pPr>
            <w:r>
              <w:rPr>
                <w:rFonts w:hAnsi="Times New Roman" w:cs="Times New Roman"/>
                <w:u w:val="none"/>
              </w:rPr>
              <w:t>在修筑路面时，未完成路面也有可能产生一定的扬尘影响，主要是由于路面的初期开挖及填方过程中由于路面土壤的暴露，在有风天气产生的扬尘影响，随着施工进程的不同，其对环境空气的影响程度也不同。由于扬尘影响情况的不确定性，类比道路施工期不同阶段扬尘监测结果分析本项目施工现场的扬尘污染情况，具体详见表</w:t>
            </w:r>
            <w:r>
              <w:rPr>
                <w:rFonts w:hint="eastAsia" w:hAnsi="Times New Roman" w:cs="Times New Roman"/>
                <w:u w:val="none"/>
              </w:rPr>
              <w:t>36</w:t>
            </w:r>
            <w:r>
              <w:rPr>
                <w:rFonts w:hAnsi="Times New Roman" w:cs="Times New Roman"/>
                <w:u w:val="none"/>
              </w:rPr>
              <w:t>。</w:t>
            </w:r>
          </w:p>
          <w:p>
            <w:pPr>
              <w:pStyle w:val="104"/>
              <w:rPr>
                <w:rFonts w:eastAsia="宋体"/>
                <w:b/>
                <w:bCs/>
                <w:u w:val="none"/>
              </w:rPr>
            </w:pPr>
            <w:r>
              <w:rPr>
                <w:rFonts w:eastAsia="宋体"/>
                <w:b/>
                <w:bCs/>
                <w:u w:val="none"/>
              </w:rPr>
              <w:t>表</w:t>
            </w:r>
            <w:r>
              <w:rPr>
                <w:rFonts w:hint="eastAsia" w:eastAsia="宋体"/>
                <w:b/>
                <w:bCs/>
                <w:u w:val="none"/>
                <w:lang w:val="en-US" w:eastAsia="zh-CN"/>
              </w:rPr>
              <w:t>7-4</w:t>
            </w:r>
            <w:r>
              <w:rPr>
                <w:rFonts w:eastAsia="宋体"/>
                <w:b/>
                <w:bCs/>
                <w:u w:val="none"/>
              </w:rPr>
              <w:t xml:space="preserve">  施工期不同阶段扬尘监测结果表</w:t>
            </w:r>
          </w:p>
          <w:tbl>
            <w:tblPr>
              <w:tblStyle w:val="43"/>
              <w:tblW w:w="905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95"/>
              <w:gridCol w:w="1985"/>
              <w:gridCol w:w="2409"/>
              <w:gridCol w:w="23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2295" w:type="dxa"/>
                  <w:vAlign w:val="center"/>
                </w:tcPr>
                <w:p>
                  <w:pPr>
                    <w:pStyle w:val="14"/>
                    <w:spacing w:after="0" w:line="0" w:lineRule="atLeast"/>
                    <w:ind w:firstLine="0" w:firstLineChars="0"/>
                    <w:jc w:val="center"/>
                    <w:rPr>
                      <w:szCs w:val="21"/>
                      <w:u w:val="none"/>
                    </w:rPr>
                  </w:pPr>
                  <w:r>
                    <w:rPr>
                      <w:szCs w:val="21"/>
                      <w:u w:val="none"/>
                    </w:rPr>
                    <w:t>施工类型</w:t>
                  </w:r>
                </w:p>
              </w:tc>
              <w:tc>
                <w:tcPr>
                  <w:tcW w:w="1985" w:type="dxa"/>
                  <w:vAlign w:val="center"/>
                </w:tcPr>
                <w:p>
                  <w:pPr>
                    <w:pStyle w:val="14"/>
                    <w:spacing w:after="0" w:line="0" w:lineRule="atLeast"/>
                    <w:ind w:firstLine="0" w:firstLineChars="0"/>
                    <w:jc w:val="center"/>
                    <w:rPr>
                      <w:szCs w:val="21"/>
                      <w:u w:val="none"/>
                    </w:rPr>
                  </w:pPr>
                  <w:r>
                    <w:rPr>
                      <w:szCs w:val="21"/>
                      <w:u w:val="none"/>
                    </w:rPr>
                    <w:t>与</w:t>
                  </w:r>
                  <w:r>
                    <w:rPr>
                      <w:rFonts w:hint="eastAsia"/>
                      <w:szCs w:val="21"/>
                      <w:u w:val="none"/>
                      <w:lang w:eastAsia="zh-CN"/>
                    </w:rPr>
                    <w:t>厂区</w:t>
                  </w:r>
                  <w:r>
                    <w:rPr>
                      <w:szCs w:val="21"/>
                      <w:u w:val="none"/>
                    </w:rPr>
                    <w:t>边界距离（m）</w:t>
                  </w:r>
                </w:p>
              </w:tc>
              <w:tc>
                <w:tcPr>
                  <w:tcW w:w="2409" w:type="dxa"/>
                  <w:vAlign w:val="center"/>
                </w:tcPr>
                <w:p>
                  <w:pPr>
                    <w:pStyle w:val="14"/>
                    <w:spacing w:after="0" w:line="0" w:lineRule="atLeast"/>
                    <w:ind w:firstLine="0" w:firstLineChars="0"/>
                    <w:jc w:val="center"/>
                    <w:rPr>
                      <w:szCs w:val="21"/>
                      <w:u w:val="none"/>
                    </w:rPr>
                  </w:pPr>
                  <w:r>
                    <w:rPr>
                      <w:szCs w:val="21"/>
                      <w:u w:val="none"/>
                    </w:rPr>
                    <w:t>PM</w:t>
                  </w:r>
                  <w:r>
                    <w:rPr>
                      <w:szCs w:val="21"/>
                      <w:u w:val="none"/>
                      <w:vertAlign w:val="subscript"/>
                    </w:rPr>
                    <w:t>10</w:t>
                  </w:r>
                  <w:r>
                    <w:rPr>
                      <w:szCs w:val="21"/>
                      <w:u w:val="none"/>
                    </w:rPr>
                    <w:t>日均值（mg/Nm</w:t>
                  </w:r>
                  <w:r>
                    <w:rPr>
                      <w:szCs w:val="21"/>
                      <w:u w:val="none"/>
                      <w:vertAlign w:val="superscript"/>
                    </w:rPr>
                    <w:t>3</w:t>
                  </w:r>
                  <w:r>
                    <w:rPr>
                      <w:szCs w:val="21"/>
                      <w:u w:val="none"/>
                    </w:rPr>
                    <w:t>）</w:t>
                  </w:r>
                </w:p>
              </w:tc>
              <w:tc>
                <w:tcPr>
                  <w:tcW w:w="2368" w:type="dxa"/>
                  <w:vAlign w:val="center"/>
                </w:tcPr>
                <w:p>
                  <w:pPr>
                    <w:pStyle w:val="14"/>
                    <w:spacing w:after="0" w:line="0" w:lineRule="atLeast"/>
                    <w:ind w:firstLine="0" w:firstLineChars="0"/>
                    <w:jc w:val="center"/>
                    <w:rPr>
                      <w:szCs w:val="21"/>
                      <w:u w:val="none"/>
                    </w:rPr>
                  </w:pPr>
                  <w:r>
                    <w:rPr>
                      <w:szCs w:val="21"/>
                      <w:u w:val="none"/>
                    </w:rPr>
                    <w:t>TSP日均值（mg/Nm</w:t>
                  </w:r>
                  <w:r>
                    <w:rPr>
                      <w:szCs w:val="21"/>
                      <w:u w:val="none"/>
                      <w:vertAlign w:val="superscript"/>
                    </w:rPr>
                    <w:t>3</w:t>
                  </w:r>
                  <w:r>
                    <w:rPr>
                      <w:szCs w:val="21"/>
                      <w:u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2295" w:type="dxa"/>
                  <w:vAlign w:val="center"/>
                </w:tcPr>
                <w:p>
                  <w:pPr>
                    <w:pStyle w:val="14"/>
                    <w:spacing w:after="0" w:line="0" w:lineRule="atLeast"/>
                    <w:ind w:firstLine="0" w:firstLineChars="0"/>
                    <w:jc w:val="center"/>
                    <w:rPr>
                      <w:szCs w:val="21"/>
                      <w:u w:val="none"/>
                    </w:rPr>
                  </w:pPr>
                  <w:r>
                    <w:rPr>
                      <w:szCs w:val="21"/>
                      <w:u w:val="none"/>
                    </w:rPr>
                    <w:t>路面工程</w:t>
                  </w:r>
                </w:p>
              </w:tc>
              <w:tc>
                <w:tcPr>
                  <w:tcW w:w="1985" w:type="dxa"/>
                  <w:vAlign w:val="center"/>
                </w:tcPr>
                <w:p>
                  <w:pPr>
                    <w:pStyle w:val="14"/>
                    <w:spacing w:after="0" w:line="0" w:lineRule="atLeast"/>
                    <w:ind w:firstLine="0" w:firstLineChars="0"/>
                    <w:jc w:val="center"/>
                    <w:rPr>
                      <w:szCs w:val="21"/>
                      <w:u w:val="none"/>
                    </w:rPr>
                  </w:pPr>
                  <w:r>
                    <w:rPr>
                      <w:szCs w:val="21"/>
                      <w:u w:val="none"/>
                    </w:rPr>
                    <w:t>20</w:t>
                  </w:r>
                </w:p>
              </w:tc>
              <w:tc>
                <w:tcPr>
                  <w:tcW w:w="2409" w:type="dxa"/>
                  <w:vAlign w:val="center"/>
                </w:tcPr>
                <w:p>
                  <w:pPr>
                    <w:pStyle w:val="14"/>
                    <w:spacing w:after="0" w:line="0" w:lineRule="atLeast"/>
                    <w:ind w:firstLine="0" w:firstLineChars="0"/>
                    <w:jc w:val="center"/>
                    <w:rPr>
                      <w:szCs w:val="21"/>
                      <w:u w:val="none"/>
                    </w:rPr>
                  </w:pPr>
                  <w:r>
                    <w:rPr>
                      <w:szCs w:val="21"/>
                      <w:u w:val="none"/>
                    </w:rPr>
                    <w:t>0.12～0.24</w:t>
                  </w:r>
                </w:p>
              </w:tc>
              <w:tc>
                <w:tcPr>
                  <w:tcW w:w="2368" w:type="dxa"/>
                  <w:vAlign w:val="center"/>
                </w:tcPr>
                <w:p>
                  <w:pPr>
                    <w:pStyle w:val="14"/>
                    <w:spacing w:after="0" w:line="0" w:lineRule="atLeast"/>
                    <w:ind w:firstLine="0" w:firstLineChars="0"/>
                    <w:jc w:val="center"/>
                    <w:rPr>
                      <w:szCs w:val="21"/>
                      <w:u w:val="none"/>
                    </w:rPr>
                  </w:pPr>
                  <w:r>
                    <w:rPr>
                      <w:szCs w:val="21"/>
                      <w:u w:val="none"/>
                    </w:rPr>
                    <w:t>0.27～0.53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2295" w:type="dxa"/>
                  <w:vAlign w:val="center"/>
                </w:tcPr>
                <w:p>
                  <w:pPr>
                    <w:pStyle w:val="14"/>
                    <w:spacing w:after="0" w:line="0" w:lineRule="atLeast"/>
                    <w:ind w:firstLine="0" w:firstLineChars="0"/>
                    <w:jc w:val="center"/>
                    <w:rPr>
                      <w:szCs w:val="21"/>
                      <w:u w:val="none"/>
                    </w:rPr>
                  </w:pPr>
                  <w:r>
                    <w:rPr>
                      <w:szCs w:val="21"/>
                      <w:u w:val="none"/>
                    </w:rPr>
                    <w:t>路基平整</w:t>
                  </w:r>
                </w:p>
              </w:tc>
              <w:tc>
                <w:tcPr>
                  <w:tcW w:w="1985" w:type="dxa"/>
                  <w:vAlign w:val="center"/>
                </w:tcPr>
                <w:p>
                  <w:pPr>
                    <w:pStyle w:val="14"/>
                    <w:spacing w:after="0" w:line="0" w:lineRule="atLeast"/>
                    <w:ind w:firstLine="0" w:firstLineChars="0"/>
                    <w:jc w:val="center"/>
                    <w:rPr>
                      <w:szCs w:val="21"/>
                      <w:u w:val="none"/>
                    </w:rPr>
                  </w:pPr>
                  <w:r>
                    <w:rPr>
                      <w:szCs w:val="21"/>
                      <w:u w:val="none"/>
                    </w:rPr>
                    <w:t>20</w:t>
                  </w:r>
                </w:p>
              </w:tc>
              <w:tc>
                <w:tcPr>
                  <w:tcW w:w="2409" w:type="dxa"/>
                  <w:vAlign w:val="center"/>
                </w:tcPr>
                <w:p>
                  <w:pPr>
                    <w:pStyle w:val="14"/>
                    <w:spacing w:after="0" w:line="0" w:lineRule="atLeast"/>
                    <w:ind w:firstLine="0" w:firstLineChars="0"/>
                    <w:jc w:val="center"/>
                    <w:rPr>
                      <w:szCs w:val="21"/>
                      <w:u w:val="none"/>
                    </w:rPr>
                  </w:pPr>
                  <w:r>
                    <w:rPr>
                      <w:szCs w:val="21"/>
                      <w:u w:val="none"/>
                    </w:rPr>
                    <w:t>0.10～0.11</w:t>
                  </w:r>
                </w:p>
              </w:tc>
              <w:tc>
                <w:tcPr>
                  <w:tcW w:w="2368" w:type="dxa"/>
                  <w:vAlign w:val="center"/>
                </w:tcPr>
                <w:p>
                  <w:pPr>
                    <w:pStyle w:val="14"/>
                    <w:spacing w:after="0" w:line="0" w:lineRule="atLeast"/>
                    <w:ind w:firstLine="0" w:firstLineChars="0"/>
                    <w:jc w:val="center"/>
                    <w:rPr>
                      <w:szCs w:val="21"/>
                      <w:u w:val="none"/>
                    </w:rPr>
                  </w:pPr>
                  <w:r>
                    <w:rPr>
                      <w:szCs w:val="21"/>
                      <w:u w:val="none"/>
                    </w:rPr>
                    <w:t>0.20～0.22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2295" w:type="dxa"/>
                  <w:vAlign w:val="center"/>
                </w:tcPr>
                <w:p>
                  <w:pPr>
                    <w:pStyle w:val="14"/>
                    <w:spacing w:after="0" w:line="0" w:lineRule="atLeast"/>
                    <w:ind w:firstLine="0" w:firstLineChars="0"/>
                    <w:jc w:val="center"/>
                    <w:rPr>
                      <w:szCs w:val="21"/>
                      <w:u w:val="none"/>
                    </w:rPr>
                  </w:pPr>
                  <w:r>
                    <w:rPr>
                      <w:szCs w:val="21"/>
                      <w:u w:val="none"/>
                    </w:rPr>
                    <w:t>平整路面</w:t>
                  </w:r>
                </w:p>
              </w:tc>
              <w:tc>
                <w:tcPr>
                  <w:tcW w:w="1985" w:type="dxa"/>
                  <w:vAlign w:val="center"/>
                </w:tcPr>
                <w:p>
                  <w:pPr>
                    <w:pStyle w:val="14"/>
                    <w:spacing w:after="0" w:line="0" w:lineRule="atLeast"/>
                    <w:ind w:firstLine="0" w:firstLineChars="0"/>
                    <w:jc w:val="center"/>
                    <w:rPr>
                      <w:szCs w:val="21"/>
                      <w:u w:val="none"/>
                    </w:rPr>
                  </w:pPr>
                  <w:r>
                    <w:rPr>
                      <w:szCs w:val="21"/>
                      <w:u w:val="none"/>
                    </w:rPr>
                    <w:t>20</w:t>
                  </w:r>
                </w:p>
              </w:tc>
              <w:tc>
                <w:tcPr>
                  <w:tcW w:w="2409" w:type="dxa"/>
                  <w:vAlign w:val="center"/>
                </w:tcPr>
                <w:p>
                  <w:pPr>
                    <w:pStyle w:val="14"/>
                    <w:spacing w:after="0" w:line="0" w:lineRule="atLeast"/>
                    <w:ind w:firstLine="0" w:firstLineChars="0"/>
                    <w:jc w:val="center"/>
                    <w:rPr>
                      <w:szCs w:val="21"/>
                      <w:u w:val="none"/>
                    </w:rPr>
                  </w:pPr>
                  <w:r>
                    <w:rPr>
                      <w:szCs w:val="21"/>
                      <w:u w:val="none"/>
                    </w:rPr>
                    <w:t>0.11～0.12</w:t>
                  </w:r>
                </w:p>
              </w:tc>
              <w:tc>
                <w:tcPr>
                  <w:tcW w:w="2368" w:type="dxa"/>
                  <w:vAlign w:val="center"/>
                </w:tcPr>
                <w:p>
                  <w:pPr>
                    <w:pStyle w:val="14"/>
                    <w:spacing w:after="0" w:line="0" w:lineRule="atLeast"/>
                    <w:ind w:firstLine="0" w:firstLineChars="0"/>
                    <w:jc w:val="center"/>
                    <w:rPr>
                      <w:szCs w:val="21"/>
                      <w:u w:val="none"/>
                    </w:rPr>
                  </w:pPr>
                  <w:r>
                    <w:rPr>
                      <w:szCs w:val="21"/>
                      <w:u w:val="none"/>
                    </w:rPr>
                    <w:t>0.22～0.23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2295" w:type="dxa"/>
                  <w:vAlign w:val="center"/>
                </w:tcPr>
                <w:p>
                  <w:pPr>
                    <w:pStyle w:val="14"/>
                    <w:spacing w:after="0" w:line="0" w:lineRule="atLeast"/>
                    <w:ind w:firstLine="0" w:firstLineChars="0"/>
                    <w:jc w:val="center"/>
                    <w:rPr>
                      <w:szCs w:val="21"/>
                      <w:u w:val="none"/>
                    </w:rPr>
                  </w:pPr>
                  <w:r>
                    <w:rPr>
                      <w:szCs w:val="21"/>
                      <w:u w:val="none"/>
                    </w:rPr>
                    <w:t>边坡修整、护栏施工</w:t>
                  </w:r>
                </w:p>
              </w:tc>
              <w:tc>
                <w:tcPr>
                  <w:tcW w:w="1985" w:type="dxa"/>
                  <w:vAlign w:val="center"/>
                </w:tcPr>
                <w:p>
                  <w:pPr>
                    <w:pStyle w:val="14"/>
                    <w:spacing w:after="0" w:line="0" w:lineRule="atLeast"/>
                    <w:ind w:firstLine="0" w:firstLineChars="0"/>
                    <w:jc w:val="center"/>
                    <w:rPr>
                      <w:szCs w:val="21"/>
                      <w:u w:val="none"/>
                    </w:rPr>
                  </w:pPr>
                  <w:r>
                    <w:rPr>
                      <w:szCs w:val="21"/>
                      <w:u w:val="none"/>
                    </w:rPr>
                    <w:t>20</w:t>
                  </w:r>
                </w:p>
              </w:tc>
              <w:tc>
                <w:tcPr>
                  <w:tcW w:w="2409" w:type="dxa"/>
                  <w:vAlign w:val="center"/>
                </w:tcPr>
                <w:p>
                  <w:pPr>
                    <w:pStyle w:val="14"/>
                    <w:spacing w:after="0" w:line="0" w:lineRule="atLeast"/>
                    <w:ind w:firstLine="0" w:firstLineChars="0"/>
                    <w:jc w:val="center"/>
                    <w:rPr>
                      <w:szCs w:val="21"/>
                      <w:u w:val="none"/>
                    </w:rPr>
                  </w:pPr>
                  <w:r>
                    <w:rPr>
                      <w:szCs w:val="21"/>
                      <w:u w:val="none"/>
                    </w:rPr>
                    <w:t>0.05～0.11</w:t>
                  </w:r>
                </w:p>
              </w:tc>
              <w:tc>
                <w:tcPr>
                  <w:tcW w:w="2368" w:type="dxa"/>
                  <w:vAlign w:val="center"/>
                </w:tcPr>
                <w:p>
                  <w:pPr>
                    <w:pStyle w:val="14"/>
                    <w:spacing w:after="0" w:line="0" w:lineRule="atLeast"/>
                    <w:ind w:firstLine="0" w:firstLineChars="0"/>
                    <w:jc w:val="center"/>
                    <w:rPr>
                      <w:szCs w:val="21"/>
                      <w:u w:val="none"/>
                    </w:rPr>
                  </w:pPr>
                  <w:r>
                    <w:rPr>
                      <w:szCs w:val="21"/>
                      <w:u w:val="none"/>
                    </w:rPr>
                    <w:t>0.12～0.13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52" w:hRule="atLeast"/>
              </w:trPr>
              <w:tc>
                <w:tcPr>
                  <w:tcW w:w="2295" w:type="dxa"/>
                  <w:vAlign w:val="center"/>
                </w:tcPr>
                <w:p>
                  <w:pPr>
                    <w:pStyle w:val="14"/>
                    <w:spacing w:after="0" w:line="0" w:lineRule="atLeast"/>
                    <w:ind w:firstLine="0" w:firstLineChars="0"/>
                    <w:jc w:val="center"/>
                    <w:rPr>
                      <w:szCs w:val="21"/>
                      <w:u w:val="none"/>
                    </w:rPr>
                  </w:pPr>
                  <w:r>
                    <w:rPr>
                      <w:szCs w:val="21"/>
                      <w:u w:val="none"/>
                    </w:rPr>
                    <w:t>路面清整</w:t>
                  </w:r>
                </w:p>
              </w:tc>
              <w:tc>
                <w:tcPr>
                  <w:tcW w:w="1985" w:type="dxa"/>
                  <w:vAlign w:val="center"/>
                </w:tcPr>
                <w:p>
                  <w:pPr>
                    <w:pStyle w:val="14"/>
                    <w:spacing w:after="0" w:line="0" w:lineRule="atLeast"/>
                    <w:ind w:firstLine="0" w:firstLineChars="0"/>
                    <w:jc w:val="center"/>
                    <w:rPr>
                      <w:szCs w:val="21"/>
                      <w:u w:val="none"/>
                    </w:rPr>
                  </w:pPr>
                  <w:r>
                    <w:rPr>
                      <w:szCs w:val="21"/>
                      <w:u w:val="none"/>
                    </w:rPr>
                    <w:t>20</w:t>
                  </w:r>
                </w:p>
              </w:tc>
              <w:tc>
                <w:tcPr>
                  <w:tcW w:w="2409" w:type="dxa"/>
                  <w:vAlign w:val="center"/>
                </w:tcPr>
                <w:p>
                  <w:pPr>
                    <w:pStyle w:val="14"/>
                    <w:spacing w:after="0" w:line="0" w:lineRule="atLeast"/>
                    <w:ind w:firstLine="0" w:firstLineChars="0"/>
                    <w:jc w:val="center"/>
                    <w:rPr>
                      <w:szCs w:val="21"/>
                      <w:u w:val="none"/>
                    </w:rPr>
                  </w:pPr>
                  <w:r>
                    <w:rPr>
                      <w:szCs w:val="21"/>
                      <w:u w:val="none"/>
                    </w:rPr>
                    <w:t>0.10～0.12</w:t>
                  </w:r>
                </w:p>
              </w:tc>
              <w:tc>
                <w:tcPr>
                  <w:tcW w:w="2368" w:type="dxa"/>
                  <w:vAlign w:val="center"/>
                </w:tcPr>
                <w:p>
                  <w:pPr>
                    <w:pStyle w:val="14"/>
                    <w:spacing w:after="0" w:line="0" w:lineRule="atLeast"/>
                    <w:ind w:firstLine="0" w:firstLineChars="0"/>
                    <w:jc w:val="center"/>
                    <w:rPr>
                      <w:szCs w:val="21"/>
                      <w:u w:val="none"/>
                    </w:rPr>
                  </w:pPr>
                  <w:r>
                    <w:rPr>
                      <w:szCs w:val="21"/>
                      <w:u w:val="none"/>
                    </w:rPr>
                    <w:t>0.18～0.19</w:t>
                  </w:r>
                </w:p>
              </w:tc>
            </w:tr>
          </w:tbl>
          <w:p>
            <w:pPr>
              <w:pStyle w:val="95"/>
              <w:spacing w:line="240" w:lineRule="auto"/>
              <w:rPr>
                <w:rFonts w:hAnsi="Times New Roman" w:cs="Times New Roman"/>
                <w:szCs w:val="24"/>
                <w:u w:val="none"/>
              </w:rPr>
            </w:pPr>
            <w:r>
              <w:rPr>
                <w:rFonts w:hAnsi="Times New Roman" w:cs="Times New Roman"/>
                <w:szCs w:val="24"/>
                <w:u w:val="none"/>
              </w:rPr>
              <w:t>由表</w:t>
            </w:r>
            <w:r>
              <w:rPr>
                <w:rFonts w:hint="eastAsia" w:hAnsi="Times New Roman" w:cs="Times New Roman"/>
                <w:szCs w:val="24"/>
                <w:u w:val="none"/>
              </w:rPr>
              <w:t>36</w:t>
            </w:r>
            <w:r>
              <w:rPr>
                <w:rFonts w:hAnsi="Times New Roman" w:cs="Times New Roman"/>
                <w:szCs w:val="24"/>
                <w:u w:val="none"/>
              </w:rPr>
              <w:t>可见，路基平整、平整路面、边坡修整、护栏施工、路面清整阶段距离</w:t>
            </w:r>
            <w:r>
              <w:rPr>
                <w:rFonts w:hint="eastAsia" w:hAnsi="Times New Roman" w:cs="Times New Roman"/>
                <w:szCs w:val="24"/>
                <w:u w:val="none"/>
                <w:lang w:eastAsia="zh-CN"/>
              </w:rPr>
              <w:t>厂区</w:t>
            </w:r>
            <w:r>
              <w:rPr>
                <w:rFonts w:hAnsi="Times New Roman" w:cs="Times New Roman"/>
                <w:szCs w:val="24"/>
                <w:u w:val="none"/>
              </w:rPr>
              <w:t>边界20m外PM</w:t>
            </w:r>
            <w:r>
              <w:rPr>
                <w:rFonts w:hAnsi="Times New Roman" w:cs="Times New Roman"/>
                <w:szCs w:val="24"/>
                <w:u w:val="none"/>
                <w:vertAlign w:val="subscript"/>
              </w:rPr>
              <w:t>l0</w:t>
            </w:r>
            <w:r>
              <w:rPr>
                <w:rFonts w:hAnsi="Times New Roman" w:cs="Times New Roman"/>
                <w:szCs w:val="24"/>
                <w:u w:val="none"/>
              </w:rPr>
              <w:t>、TSP日均值均符合《环境空气质量标准》(GB3095-2012)二级标准；工程施工阶段距离</w:t>
            </w:r>
            <w:r>
              <w:rPr>
                <w:rFonts w:hint="eastAsia" w:hAnsi="Times New Roman" w:cs="Times New Roman"/>
                <w:szCs w:val="24"/>
                <w:u w:val="none"/>
                <w:lang w:eastAsia="zh-CN"/>
              </w:rPr>
              <w:t>厂区</w:t>
            </w:r>
            <w:r>
              <w:rPr>
                <w:rFonts w:hAnsi="Times New Roman" w:cs="Times New Roman"/>
                <w:szCs w:val="24"/>
                <w:u w:val="none"/>
              </w:rPr>
              <w:t>边界2</w:t>
            </w:r>
            <w:r>
              <w:rPr>
                <w:rFonts w:hint="eastAsia" w:hAnsi="Times New Roman" w:cs="Times New Roman"/>
                <w:szCs w:val="24"/>
                <w:u w:val="none"/>
              </w:rPr>
              <w:t>5</w:t>
            </w:r>
            <w:r>
              <w:rPr>
                <w:rFonts w:hAnsi="Times New Roman" w:cs="Times New Roman"/>
                <w:szCs w:val="24"/>
                <w:u w:val="none"/>
              </w:rPr>
              <w:t>m外PM</w:t>
            </w:r>
            <w:r>
              <w:rPr>
                <w:rFonts w:hAnsi="Times New Roman" w:cs="Times New Roman"/>
                <w:szCs w:val="24"/>
                <w:u w:val="none"/>
                <w:vertAlign w:val="subscript"/>
              </w:rPr>
              <w:t>10</w:t>
            </w:r>
            <w:r>
              <w:rPr>
                <w:rFonts w:hAnsi="Times New Roman" w:cs="Times New Roman"/>
                <w:szCs w:val="24"/>
                <w:u w:val="none"/>
              </w:rPr>
              <w:t>、TSP有可能现象，其余施工阶段均无超标。因此，应合理安排施工，在敏感点附近路段施工时，应选择无风或风较小的天气，并避免将扬尘量大的工序安排在敏感点的正上风向。</w:t>
            </w:r>
          </w:p>
          <w:p>
            <w:pPr>
              <w:pStyle w:val="95"/>
              <w:spacing w:line="240" w:lineRule="auto"/>
              <w:rPr>
                <w:rFonts w:hAnsi="Times New Roman" w:cs="Times New Roman"/>
                <w:szCs w:val="24"/>
                <w:u w:val="none"/>
              </w:rPr>
            </w:pPr>
            <w:r>
              <w:rPr>
                <w:rFonts w:hint="eastAsia" w:hAnsi="Times New Roman" w:cs="Times New Roman"/>
                <w:szCs w:val="24"/>
                <w:u w:val="none"/>
              </w:rPr>
              <w:t>根据《株洲市2019年建筑施工工地“扬尘防治攻坚战”实施方案》，建筑施工现场扬尘污染防控措施全面落实到位。全面落实建筑施工工地“8个100%”抑尘措施：施工工地现场围挡和外架防护100%全封闭，围挡保持整洁美观，外架安全网无破损;施工现场出入口及车行道路100%硬化;施工现场出入口100%设置车辆冲洗设施;易起扬尘作业面100%湿法施工;裸露黄土及易起尘物料100%覆盖；渣土实施100%密封运输;建筑垃圾100%规范管理，必须集中堆放、及时清运，严禁高空抛洒和焚烧;非道路移动工程机械尾气排放100%达标，严禁使用劣质油品，严禁冒烟作业。</w:t>
            </w:r>
          </w:p>
          <w:p>
            <w:pPr>
              <w:pStyle w:val="95"/>
              <w:spacing w:line="240" w:lineRule="auto"/>
              <w:rPr>
                <w:rFonts w:hAnsi="Times New Roman" w:cs="Times New Roman"/>
                <w:szCs w:val="24"/>
                <w:u w:val="none"/>
              </w:rPr>
            </w:pPr>
            <w:r>
              <w:rPr>
                <w:rFonts w:hint="eastAsia" w:hAnsi="Times New Roman" w:cs="Times New Roman"/>
                <w:szCs w:val="24"/>
                <w:u w:val="none"/>
              </w:rPr>
              <w:t>按照《株洲市人民政府办公室关于印发株洲市城区扬尘污染防治管理试行办法的通知》的要求，施工单位应当对施工现场设置高度不得低于1.8m 的封闭围挡。工程脚手架外侧必须使用密目式安全网进行封闭。施工现场堆放砂、石等散体物料，应当设置高度不低于50cm的堆放池。施工现场产生的余土，应当设置高度不低于30cm的堆放池集中堆放，堆放地点不得靠近围档，堆放高度不得超过 2m，并应当采取覆盖、固化或者绿化措施。禁止在施工现场从事消化石灰、搅拌石灰土和其他有严重粉尘污染的施工作业，禁止现场搅拌混凝土，本项目应使用预拌混凝土（商品混凝土）。从事平整场地、清运建筑垃圾和渣土等施工作业时，应当采取边施工边洒水等防止扬尘污染的作业方式。根据建设单位提供资料，施工现场将设置 1 个车辆冲洗平台，本环评建议设置在本项目终点处。车辆驶出场地前，应当冲洗车体，净车出场。风力在 5 级以上的大风天气应当暂停从事平整场地、清运建筑垃圾和渣土等施工作业。环评建议本项目施工现场一般天气洒水车辆必须洒水 3~4 次，风速超过四级以上天气和炎热干燥天气应加强洒水降尘工作，确保现场无扬尘。</w:t>
            </w:r>
            <w:r>
              <w:rPr>
                <w:rFonts w:hint="eastAsia"/>
                <w:u w:val="none"/>
              </w:rPr>
              <w:t>在项目施工场地、主要运输路段设置雾炮机，进行扬尘控制。同时要求施工期在建设工地安装扬尘在线监测装置。</w:t>
            </w:r>
          </w:p>
          <w:p>
            <w:pPr>
              <w:pStyle w:val="95"/>
              <w:spacing w:line="240" w:lineRule="auto"/>
              <w:rPr>
                <w:rFonts w:hAnsi="Times New Roman" w:cs="Times New Roman"/>
                <w:szCs w:val="24"/>
                <w:u w:val="none"/>
              </w:rPr>
            </w:pPr>
            <w:r>
              <w:rPr>
                <w:rFonts w:hAnsi="Times New Roman" w:cs="Times New Roman"/>
                <w:szCs w:val="24"/>
                <w:u w:val="none"/>
              </w:rPr>
              <w:t>采取以上预防措施后，施工现场扬尘对周围敏感点的影响较小。</w:t>
            </w:r>
          </w:p>
          <w:p>
            <w:pPr>
              <w:pStyle w:val="95"/>
              <w:spacing w:line="240" w:lineRule="auto"/>
              <w:ind w:firstLine="496"/>
              <w:rPr>
                <w:rFonts w:hAnsi="Times New Roman" w:cs="Times New Roman"/>
                <w:spacing w:val="4"/>
                <w:szCs w:val="24"/>
              </w:rPr>
            </w:pPr>
            <w:r>
              <w:rPr>
                <w:rFonts w:hAnsi="Times New Roman" w:cs="Times New Roman"/>
                <w:spacing w:val="4"/>
                <w:szCs w:val="24"/>
              </w:rPr>
              <w:t>（</w:t>
            </w:r>
            <w:r>
              <w:rPr>
                <w:rFonts w:hint="eastAsia" w:hAnsi="Times New Roman" w:cs="Times New Roman"/>
                <w:spacing w:val="4"/>
                <w:szCs w:val="24"/>
                <w:lang w:val="en-US" w:eastAsia="zh-CN"/>
              </w:rPr>
              <w:t>4</w:t>
            </w:r>
            <w:r>
              <w:rPr>
                <w:rFonts w:hAnsi="Times New Roman" w:cs="Times New Roman"/>
                <w:spacing w:val="4"/>
                <w:szCs w:val="24"/>
              </w:rPr>
              <w:t>）施工机械</w:t>
            </w:r>
            <w:r>
              <w:rPr>
                <w:rFonts w:hint="eastAsia" w:hAnsi="Times New Roman" w:cs="Times New Roman"/>
                <w:spacing w:val="4"/>
                <w:szCs w:val="24"/>
              </w:rPr>
              <w:t>级运输车辆</w:t>
            </w:r>
            <w:r>
              <w:rPr>
                <w:rFonts w:hAnsi="Times New Roman" w:cs="Times New Roman"/>
                <w:spacing w:val="4"/>
                <w:szCs w:val="24"/>
              </w:rPr>
              <w:t>尾气</w:t>
            </w:r>
          </w:p>
          <w:p>
            <w:pPr>
              <w:pStyle w:val="95"/>
              <w:spacing w:line="240" w:lineRule="auto"/>
              <w:rPr>
                <w:rFonts w:hAnsi="Times New Roman" w:cs="Times New Roman"/>
                <w:szCs w:val="24"/>
              </w:rPr>
            </w:pPr>
            <w:r>
              <w:rPr>
                <w:rFonts w:hAnsi="Times New Roman" w:cs="Times New Roman"/>
                <w:szCs w:val="24"/>
              </w:rPr>
              <w:t>项目施工过程中以燃油为动力的施工机械为主，运输车辆会在施工场地附近排放少量燃油废气，施工单位应加强施工机械设备的维护，选用合格的燃油，避免排放未完全燃烧的黑烟，减轻施工机械尾气对周围空气环境的影响。另外，施工现场场地地形开阔，有利于燃油废气的扩散。因此，施工期机械</w:t>
            </w:r>
            <w:r>
              <w:rPr>
                <w:rFonts w:hint="eastAsia" w:hAnsi="Times New Roman" w:cs="Times New Roman"/>
                <w:szCs w:val="24"/>
              </w:rPr>
              <w:t>及运输车辆</w:t>
            </w:r>
            <w:r>
              <w:rPr>
                <w:rFonts w:hAnsi="Times New Roman" w:cs="Times New Roman"/>
                <w:szCs w:val="24"/>
              </w:rPr>
              <w:t>尾气对沿线大气环境质量影响</w:t>
            </w:r>
            <w:r>
              <w:rPr>
                <w:rFonts w:hint="eastAsia" w:hAnsi="Times New Roman" w:cs="Times New Roman"/>
                <w:szCs w:val="24"/>
              </w:rPr>
              <w:t>较小</w:t>
            </w:r>
            <w:r>
              <w:rPr>
                <w:rFonts w:hAnsi="Times New Roman" w:cs="Times New Roman"/>
                <w:szCs w:val="24"/>
              </w:rPr>
              <w:t>，且影响是短暂的，随着施工的结束而消失。</w:t>
            </w:r>
          </w:p>
          <w:p>
            <w:pPr>
              <w:pStyle w:val="95"/>
              <w:spacing w:line="240" w:lineRule="auto"/>
              <w:ind w:firstLine="482"/>
              <w:rPr>
                <w:rFonts w:hAnsi="Times New Roman" w:cs="Times New Roman"/>
                <w:b/>
                <w:szCs w:val="24"/>
              </w:rPr>
            </w:pPr>
            <w:r>
              <w:rPr>
                <w:rFonts w:hint="eastAsia" w:hAnsi="Times New Roman" w:cs="Times New Roman"/>
                <w:b/>
                <w:szCs w:val="24"/>
              </w:rPr>
              <w:t>三</w:t>
            </w:r>
            <w:r>
              <w:rPr>
                <w:rFonts w:hAnsi="Times New Roman" w:cs="Times New Roman"/>
                <w:b/>
                <w:szCs w:val="24"/>
              </w:rPr>
              <w:t>、声环境影响分析</w:t>
            </w:r>
          </w:p>
          <w:p>
            <w:pPr>
              <w:pStyle w:val="95"/>
              <w:spacing w:line="240" w:lineRule="auto"/>
              <w:rPr>
                <w:rFonts w:hAnsi="Times New Roman"/>
              </w:rPr>
            </w:pPr>
            <w:r>
              <w:rPr>
                <w:rFonts w:hAnsi="Times New Roman" w:cs="Times New Roman"/>
                <w:szCs w:val="24"/>
              </w:rPr>
              <w:t>施工噪声主要为各种作业机械（破碎机、挖掘机等）和运输车辆施工产生的噪声。</w:t>
            </w:r>
            <w:r>
              <w:rPr>
                <w:rFonts w:hAnsi="Times New Roman"/>
              </w:rPr>
              <w:t>施工期噪声源为点声源，其传播过程中主要影响因素为距离衰减，其次为其他环境因素，预测模式为：</w:t>
            </w:r>
          </w:p>
          <w:p>
            <w:pPr>
              <w:pStyle w:val="15"/>
              <w:adjustRightInd w:val="0"/>
              <w:snapToGrid w:val="0"/>
              <w:ind w:firstLine="0" w:firstLineChars="0"/>
              <w:jc w:val="center"/>
              <w:rPr>
                <w:sz w:val="24"/>
              </w:rPr>
            </w:pPr>
            <w:r>
              <w:rPr>
                <w:sz w:val="24"/>
              </w:rPr>
              <w:t>L</w:t>
            </w:r>
            <w:r>
              <w:rPr>
                <w:sz w:val="24"/>
                <w:vertAlign w:val="subscript"/>
              </w:rPr>
              <w:t>受</w:t>
            </w:r>
            <w:r>
              <w:rPr>
                <w:sz w:val="24"/>
              </w:rPr>
              <w:t>=L</w:t>
            </w:r>
            <w:r>
              <w:rPr>
                <w:sz w:val="24"/>
                <w:vertAlign w:val="subscript"/>
              </w:rPr>
              <w:t>测</w:t>
            </w:r>
            <w:r>
              <w:rPr>
                <w:sz w:val="24"/>
              </w:rPr>
              <w:t>－20lg(r</w:t>
            </w:r>
            <w:r>
              <w:rPr>
                <w:sz w:val="24"/>
                <w:vertAlign w:val="subscript"/>
              </w:rPr>
              <w:t>受</w:t>
            </w:r>
            <w:r>
              <w:rPr>
                <w:sz w:val="24"/>
              </w:rPr>
              <w:t>/r</w:t>
            </w:r>
            <w:r>
              <w:rPr>
                <w:sz w:val="24"/>
                <w:vertAlign w:val="subscript"/>
              </w:rPr>
              <w:t>测</w:t>
            </w:r>
            <w:r>
              <w:rPr>
                <w:sz w:val="24"/>
              </w:rPr>
              <w:t>)-</w:t>
            </w:r>
            <w:r>
              <w:rPr>
                <w:rFonts w:hint="eastAsia" w:ascii="宋体" w:hAnsi="宋体" w:cs="宋体"/>
                <w:sz w:val="24"/>
              </w:rPr>
              <w:t>△</w:t>
            </w:r>
            <w:r>
              <w:rPr>
                <w:sz w:val="24"/>
              </w:rPr>
              <w:t>L</w:t>
            </w:r>
          </w:p>
          <w:p>
            <w:pPr>
              <w:pStyle w:val="15"/>
              <w:ind w:firstLine="480"/>
              <w:rPr>
                <w:sz w:val="24"/>
              </w:rPr>
            </w:pPr>
            <w:r>
              <w:rPr>
                <w:sz w:val="24"/>
              </w:rPr>
              <w:t>其中：L</w:t>
            </w:r>
            <w:r>
              <w:rPr>
                <w:sz w:val="24"/>
                <w:vertAlign w:val="subscript"/>
              </w:rPr>
              <w:t>受</w:t>
            </w:r>
            <w:r>
              <w:rPr>
                <w:sz w:val="24"/>
              </w:rPr>
              <w:t>──预测点的噪声值，dB(A)</w:t>
            </w:r>
          </w:p>
          <w:p>
            <w:pPr>
              <w:pStyle w:val="15"/>
              <w:ind w:firstLine="1200" w:firstLineChars="500"/>
              <w:rPr>
                <w:sz w:val="24"/>
              </w:rPr>
            </w:pPr>
            <w:r>
              <w:rPr>
                <w:sz w:val="24"/>
              </w:rPr>
              <w:t>L</w:t>
            </w:r>
            <w:r>
              <w:rPr>
                <w:sz w:val="24"/>
                <w:vertAlign w:val="subscript"/>
              </w:rPr>
              <w:t>测</w:t>
            </w:r>
            <w:r>
              <w:rPr>
                <w:sz w:val="24"/>
              </w:rPr>
              <w:t>──源强监测点的噪声值，dB(A)</w:t>
            </w:r>
          </w:p>
          <w:p>
            <w:pPr>
              <w:pStyle w:val="15"/>
              <w:ind w:firstLine="1200" w:firstLineChars="500"/>
              <w:rPr>
                <w:sz w:val="24"/>
              </w:rPr>
            </w:pPr>
            <w:r>
              <w:rPr>
                <w:sz w:val="24"/>
              </w:rPr>
              <w:t>r</w:t>
            </w:r>
            <w:r>
              <w:rPr>
                <w:sz w:val="24"/>
                <w:vertAlign w:val="subscript"/>
              </w:rPr>
              <w:t>受</w:t>
            </w:r>
            <w:r>
              <w:rPr>
                <w:sz w:val="24"/>
              </w:rPr>
              <w:t>──预测点离源强距离，m</w:t>
            </w:r>
          </w:p>
          <w:p>
            <w:pPr>
              <w:pStyle w:val="15"/>
              <w:ind w:firstLine="1200" w:firstLineChars="500"/>
              <w:rPr>
                <w:sz w:val="24"/>
              </w:rPr>
            </w:pPr>
            <w:r>
              <w:rPr>
                <w:sz w:val="24"/>
              </w:rPr>
              <w:t>r</w:t>
            </w:r>
            <w:r>
              <w:rPr>
                <w:sz w:val="24"/>
                <w:vertAlign w:val="subscript"/>
              </w:rPr>
              <w:t>测</w:t>
            </w:r>
            <w:r>
              <w:rPr>
                <w:sz w:val="24"/>
              </w:rPr>
              <w:t>──源强监测点离源强距离，m</w:t>
            </w:r>
          </w:p>
          <w:p>
            <w:pPr>
              <w:pStyle w:val="15"/>
              <w:ind w:firstLine="1200" w:firstLineChars="500"/>
              <w:rPr>
                <w:sz w:val="24"/>
              </w:rPr>
            </w:pPr>
            <w:r>
              <w:rPr>
                <w:rFonts w:hint="eastAsia" w:ascii="宋体" w:hAnsi="宋体" w:cs="宋体"/>
                <w:sz w:val="24"/>
              </w:rPr>
              <w:t>△</w:t>
            </w:r>
            <w:r>
              <w:rPr>
                <w:sz w:val="24"/>
              </w:rPr>
              <w:t>L──其他环境因素引起的声级值的变化，dB(A)</w:t>
            </w:r>
          </w:p>
          <w:p>
            <w:pPr>
              <w:pStyle w:val="15"/>
              <w:ind w:firstLine="480"/>
              <w:rPr>
                <w:sz w:val="24"/>
              </w:rPr>
            </w:pPr>
            <w:r>
              <w:rPr>
                <w:sz w:val="24"/>
              </w:rPr>
              <w:t>在不考虑树林及建筑物的噪声衰减量的情况下，各类施工机械在不同距离处的噪声值（未与现状值叠加）预测结果见表</w:t>
            </w:r>
            <w:r>
              <w:rPr>
                <w:rFonts w:hint="eastAsia"/>
                <w:sz w:val="24"/>
              </w:rPr>
              <w:t>37。</w:t>
            </w:r>
          </w:p>
          <w:p>
            <w:pPr>
              <w:pStyle w:val="15"/>
              <w:ind w:firstLine="480"/>
              <w:rPr>
                <w:rFonts w:hint="eastAsia"/>
                <w:sz w:val="24"/>
              </w:rPr>
            </w:pPr>
          </w:p>
          <w:p>
            <w:pPr>
              <w:pStyle w:val="104"/>
              <w:rPr>
                <w:rFonts w:eastAsia="宋体"/>
                <w:b/>
                <w:bCs/>
              </w:rPr>
            </w:pPr>
            <w:r>
              <w:rPr>
                <w:rFonts w:eastAsia="宋体"/>
                <w:b/>
                <w:bCs/>
                <w:spacing w:val="4"/>
              </w:rPr>
              <w:t>表</w:t>
            </w:r>
            <w:r>
              <w:rPr>
                <w:rFonts w:hint="eastAsia" w:eastAsia="宋体"/>
                <w:b/>
                <w:bCs/>
                <w:spacing w:val="4"/>
                <w:lang w:val="en-US" w:eastAsia="zh-CN"/>
              </w:rPr>
              <w:t>7-5</w:t>
            </w:r>
            <w:r>
              <w:rPr>
                <w:rFonts w:eastAsia="宋体"/>
                <w:b/>
                <w:bCs/>
                <w:spacing w:val="4"/>
              </w:rPr>
              <w:t xml:space="preserve">  施工机械作业期间噪声值 </w:t>
            </w:r>
            <w:r>
              <w:rPr>
                <w:rFonts w:eastAsia="宋体"/>
                <w:b/>
                <w:bCs/>
              </w:rPr>
              <w:t xml:space="preserve">   [dB(A)]</w:t>
            </w:r>
          </w:p>
          <w:tbl>
            <w:tblPr>
              <w:tblStyle w:val="43"/>
              <w:tblW w:w="8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931"/>
              <w:gridCol w:w="1284"/>
              <w:gridCol w:w="726"/>
              <w:gridCol w:w="709"/>
              <w:gridCol w:w="709"/>
              <w:gridCol w:w="709"/>
              <w:gridCol w:w="709"/>
              <w:gridCol w:w="709"/>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507" w:type="dxa"/>
                  <w:vMerge w:val="restart"/>
                  <w:vAlign w:val="center"/>
                </w:tcPr>
                <w:p>
                  <w:pPr>
                    <w:spacing w:line="0" w:lineRule="atLeast"/>
                    <w:jc w:val="center"/>
                    <w:rPr>
                      <w:sz w:val="21"/>
                      <w:szCs w:val="21"/>
                    </w:rPr>
                  </w:pPr>
                  <w:r>
                    <w:rPr>
                      <w:sz w:val="21"/>
                      <w:szCs w:val="21"/>
                    </w:rPr>
                    <w:t>序号</w:t>
                  </w:r>
                </w:p>
              </w:tc>
              <w:tc>
                <w:tcPr>
                  <w:tcW w:w="1931" w:type="dxa"/>
                  <w:vMerge w:val="restart"/>
                  <w:vAlign w:val="center"/>
                </w:tcPr>
                <w:p>
                  <w:pPr>
                    <w:spacing w:line="0" w:lineRule="atLeast"/>
                    <w:jc w:val="center"/>
                    <w:rPr>
                      <w:sz w:val="21"/>
                      <w:szCs w:val="21"/>
                    </w:rPr>
                  </w:pPr>
                  <w:r>
                    <w:rPr>
                      <w:sz w:val="21"/>
                      <w:szCs w:val="21"/>
                    </w:rPr>
                    <w:t>机 械 名 称</w:t>
                  </w:r>
                </w:p>
              </w:tc>
              <w:tc>
                <w:tcPr>
                  <w:tcW w:w="1284" w:type="dxa"/>
                  <w:vMerge w:val="restart"/>
                  <w:vAlign w:val="center"/>
                </w:tcPr>
                <w:p>
                  <w:pPr>
                    <w:spacing w:line="0" w:lineRule="atLeast"/>
                    <w:jc w:val="center"/>
                    <w:rPr>
                      <w:sz w:val="21"/>
                      <w:szCs w:val="21"/>
                    </w:rPr>
                  </w:pPr>
                  <w:r>
                    <w:rPr>
                      <w:sz w:val="21"/>
                      <w:szCs w:val="21"/>
                    </w:rPr>
                    <w:t>测点距机械距离(m)</w:t>
                  </w:r>
                </w:p>
              </w:tc>
              <w:tc>
                <w:tcPr>
                  <w:tcW w:w="726" w:type="dxa"/>
                  <w:vMerge w:val="restart"/>
                  <w:vAlign w:val="center"/>
                </w:tcPr>
                <w:p>
                  <w:pPr>
                    <w:spacing w:line="0" w:lineRule="atLeast"/>
                    <w:jc w:val="center"/>
                    <w:rPr>
                      <w:sz w:val="21"/>
                      <w:szCs w:val="21"/>
                    </w:rPr>
                  </w:pPr>
                  <w:r>
                    <w:rPr>
                      <w:sz w:val="21"/>
                      <w:szCs w:val="21"/>
                    </w:rPr>
                    <w:t>最大声级</w:t>
                  </w:r>
                </w:p>
              </w:tc>
              <w:tc>
                <w:tcPr>
                  <w:tcW w:w="4257" w:type="dxa"/>
                  <w:gridSpan w:val="6"/>
                  <w:vAlign w:val="center"/>
                </w:tcPr>
                <w:p>
                  <w:pPr>
                    <w:jc w:val="center"/>
                    <w:rPr>
                      <w:sz w:val="21"/>
                      <w:szCs w:val="21"/>
                    </w:rPr>
                  </w:pPr>
                  <w:r>
                    <w:rPr>
                      <w:sz w:val="21"/>
                      <w:szCs w:val="21"/>
                    </w:rPr>
                    <w:t>距机械不同距离的噪声级值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07" w:type="dxa"/>
                  <w:vMerge w:val="continue"/>
                  <w:vAlign w:val="center"/>
                </w:tcPr>
                <w:p>
                  <w:pPr>
                    <w:jc w:val="center"/>
                    <w:rPr>
                      <w:sz w:val="21"/>
                      <w:szCs w:val="21"/>
                    </w:rPr>
                  </w:pPr>
                </w:p>
              </w:tc>
              <w:tc>
                <w:tcPr>
                  <w:tcW w:w="1931" w:type="dxa"/>
                  <w:vMerge w:val="continue"/>
                  <w:vAlign w:val="center"/>
                </w:tcPr>
                <w:p>
                  <w:pPr>
                    <w:jc w:val="center"/>
                    <w:rPr>
                      <w:sz w:val="21"/>
                      <w:szCs w:val="21"/>
                    </w:rPr>
                  </w:pPr>
                </w:p>
              </w:tc>
              <w:tc>
                <w:tcPr>
                  <w:tcW w:w="1284" w:type="dxa"/>
                  <w:vMerge w:val="continue"/>
                  <w:vAlign w:val="center"/>
                </w:tcPr>
                <w:p>
                  <w:pPr>
                    <w:jc w:val="center"/>
                    <w:rPr>
                      <w:sz w:val="21"/>
                      <w:szCs w:val="21"/>
                    </w:rPr>
                  </w:pPr>
                </w:p>
              </w:tc>
              <w:tc>
                <w:tcPr>
                  <w:tcW w:w="726" w:type="dxa"/>
                  <w:vMerge w:val="continue"/>
                  <w:vAlign w:val="center"/>
                </w:tcPr>
                <w:p>
                  <w:pPr>
                    <w:jc w:val="center"/>
                    <w:rPr>
                      <w:sz w:val="21"/>
                      <w:szCs w:val="21"/>
                    </w:rPr>
                  </w:pPr>
                </w:p>
              </w:tc>
              <w:tc>
                <w:tcPr>
                  <w:tcW w:w="709" w:type="dxa"/>
                  <w:vAlign w:val="center"/>
                </w:tcPr>
                <w:p>
                  <w:pPr>
                    <w:jc w:val="center"/>
                    <w:rPr>
                      <w:sz w:val="21"/>
                      <w:szCs w:val="21"/>
                    </w:rPr>
                  </w:pPr>
                  <w:r>
                    <w:rPr>
                      <w:sz w:val="21"/>
                      <w:szCs w:val="21"/>
                    </w:rPr>
                    <w:t>10m</w:t>
                  </w:r>
                </w:p>
              </w:tc>
              <w:tc>
                <w:tcPr>
                  <w:tcW w:w="709" w:type="dxa"/>
                  <w:vAlign w:val="center"/>
                </w:tcPr>
                <w:p>
                  <w:pPr>
                    <w:jc w:val="center"/>
                    <w:rPr>
                      <w:sz w:val="21"/>
                      <w:szCs w:val="21"/>
                    </w:rPr>
                  </w:pPr>
                  <w:r>
                    <w:rPr>
                      <w:sz w:val="21"/>
                      <w:szCs w:val="21"/>
                    </w:rPr>
                    <w:t>20m</w:t>
                  </w:r>
                </w:p>
              </w:tc>
              <w:tc>
                <w:tcPr>
                  <w:tcW w:w="709" w:type="dxa"/>
                  <w:vAlign w:val="center"/>
                </w:tcPr>
                <w:p>
                  <w:pPr>
                    <w:jc w:val="center"/>
                    <w:rPr>
                      <w:sz w:val="21"/>
                      <w:szCs w:val="21"/>
                    </w:rPr>
                  </w:pPr>
                  <w:r>
                    <w:rPr>
                      <w:sz w:val="21"/>
                      <w:szCs w:val="21"/>
                    </w:rPr>
                    <w:t>30m</w:t>
                  </w:r>
                </w:p>
              </w:tc>
              <w:tc>
                <w:tcPr>
                  <w:tcW w:w="709" w:type="dxa"/>
                  <w:vAlign w:val="center"/>
                </w:tcPr>
                <w:p>
                  <w:pPr>
                    <w:jc w:val="center"/>
                    <w:rPr>
                      <w:sz w:val="21"/>
                      <w:szCs w:val="21"/>
                    </w:rPr>
                  </w:pPr>
                  <w:r>
                    <w:rPr>
                      <w:sz w:val="21"/>
                      <w:szCs w:val="21"/>
                    </w:rPr>
                    <w:t>50m</w:t>
                  </w:r>
                </w:p>
              </w:tc>
              <w:tc>
                <w:tcPr>
                  <w:tcW w:w="709" w:type="dxa"/>
                  <w:vAlign w:val="center"/>
                </w:tcPr>
                <w:p>
                  <w:pPr>
                    <w:jc w:val="center"/>
                    <w:rPr>
                      <w:sz w:val="21"/>
                      <w:szCs w:val="21"/>
                    </w:rPr>
                  </w:pPr>
                  <w:r>
                    <w:rPr>
                      <w:sz w:val="21"/>
                      <w:szCs w:val="21"/>
                    </w:rPr>
                    <w:t>100m</w:t>
                  </w:r>
                </w:p>
              </w:tc>
              <w:tc>
                <w:tcPr>
                  <w:tcW w:w="712" w:type="dxa"/>
                  <w:vAlign w:val="center"/>
                </w:tcPr>
                <w:p>
                  <w:pPr>
                    <w:jc w:val="center"/>
                    <w:rPr>
                      <w:sz w:val="21"/>
                      <w:szCs w:val="21"/>
                    </w:rPr>
                  </w:pPr>
                  <w:r>
                    <w:rPr>
                      <w:sz w:val="21"/>
                      <w:szCs w:val="21"/>
                    </w:rPr>
                    <w:t>150m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07" w:type="dxa"/>
                  <w:vAlign w:val="center"/>
                </w:tcPr>
                <w:p>
                  <w:pPr>
                    <w:jc w:val="center"/>
                    <w:rPr>
                      <w:sz w:val="21"/>
                      <w:szCs w:val="21"/>
                    </w:rPr>
                  </w:pPr>
                  <w:r>
                    <w:rPr>
                      <w:sz w:val="21"/>
                      <w:szCs w:val="21"/>
                    </w:rPr>
                    <w:t>1</w:t>
                  </w:r>
                </w:p>
              </w:tc>
              <w:tc>
                <w:tcPr>
                  <w:tcW w:w="1931" w:type="dxa"/>
                  <w:vAlign w:val="center"/>
                </w:tcPr>
                <w:p>
                  <w:pPr>
                    <w:jc w:val="center"/>
                    <w:rPr>
                      <w:sz w:val="21"/>
                      <w:szCs w:val="21"/>
                    </w:rPr>
                  </w:pPr>
                  <w:r>
                    <w:rPr>
                      <w:sz w:val="21"/>
                      <w:szCs w:val="21"/>
                    </w:rPr>
                    <w:t>轮式装载机</w:t>
                  </w:r>
                </w:p>
              </w:tc>
              <w:tc>
                <w:tcPr>
                  <w:tcW w:w="1284" w:type="dxa"/>
                  <w:vAlign w:val="center"/>
                </w:tcPr>
                <w:p>
                  <w:pPr>
                    <w:jc w:val="center"/>
                    <w:rPr>
                      <w:sz w:val="21"/>
                      <w:szCs w:val="21"/>
                    </w:rPr>
                  </w:pPr>
                  <w:r>
                    <w:rPr>
                      <w:sz w:val="21"/>
                      <w:szCs w:val="21"/>
                    </w:rPr>
                    <w:t>5</w:t>
                  </w:r>
                </w:p>
              </w:tc>
              <w:tc>
                <w:tcPr>
                  <w:tcW w:w="726" w:type="dxa"/>
                  <w:vAlign w:val="center"/>
                </w:tcPr>
                <w:p>
                  <w:pPr>
                    <w:jc w:val="center"/>
                    <w:rPr>
                      <w:sz w:val="21"/>
                      <w:szCs w:val="21"/>
                    </w:rPr>
                  </w:pPr>
                  <w:r>
                    <w:rPr>
                      <w:sz w:val="21"/>
                      <w:szCs w:val="21"/>
                    </w:rPr>
                    <w:t>90</w:t>
                  </w:r>
                </w:p>
              </w:tc>
              <w:tc>
                <w:tcPr>
                  <w:tcW w:w="709" w:type="dxa"/>
                  <w:vAlign w:val="center"/>
                </w:tcPr>
                <w:p>
                  <w:pPr>
                    <w:jc w:val="center"/>
                    <w:rPr>
                      <w:sz w:val="21"/>
                      <w:szCs w:val="21"/>
                    </w:rPr>
                  </w:pPr>
                  <w:r>
                    <w:rPr>
                      <w:sz w:val="21"/>
                      <w:szCs w:val="21"/>
                    </w:rPr>
                    <w:t>84</w:t>
                  </w:r>
                </w:p>
              </w:tc>
              <w:tc>
                <w:tcPr>
                  <w:tcW w:w="709" w:type="dxa"/>
                  <w:vAlign w:val="center"/>
                </w:tcPr>
                <w:p>
                  <w:pPr>
                    <w:jc w:val="center"/>
                    <w:rPr>
                      <w:sz w:val="21"/>
                      <w:szCs w:val="21"/>
                    </w:rPr>
                  </w:pPr>
                  <w:r>
                    <w:rPr>
                      <w:sz w:val="21"/>
                      <w:szCs w:val="21"/>
                    </w:rPr>
                    <w:t>78</w:t>
                  </w:r>
                </w:p>
              </w:tc>
              <w:tc>
                <w:tcPr>
                  <w:tcW w:w="709" w:type="dxa"/>
                  <w:vAlign w:val="center"/>
                </w:tcPr>
                <w:p>
                  <w:pPr>
                    <w:jc w:val="center"/>
                    <w:rPr>
                      <w:sz w:val="21"/>
                      <w:szCs w:val="21"/>
                    </w:rPr>
                  </w:pPr>
                  <w:r>
                    <w:rPr>
                      <w:sz w:val="21"/>
                      <w:szCs w:val="21"/>
                    </w:rPr>
                    <w:t>74.5</w:t>
                  </w:r>
                </w:p>
              </w:tc>
              <w:tc>
                <w:tcPr>
                  <w:tcW w:w="709" w:type="dxa"/>
                  <w:vAlign w:val="center"/>
                </w:tcPr>
                <w:p>
                  <w:pPr>
                    <w:jc w:val="center"/>
                    <w:rPr>
                      <w:sz w:val="21"/>
                      <w:szCs w:val="21"/>
                    </w:rPr>
                  </w:pPr>
                  <w:r>
                    <w:rPr>
                      <w:sz w:val="21"/>
                      <w:szCs w:val="21"/>
                    </w:rPr>
                    <w:t>70</w:t>
                  </w:r>
                </w:p>
              </w:tc>
              <w:tc>
                <w:tcPr>
                  <w:tcW w:w="709" w:type="dxa"/>
                  <w:vAlign w:val="center"/>
                </w:tcPr>
                <w:p>
                  <w:pPr>
                    <w:jc w:val="center"/>
                    <w:rPr>
                      <w:sz w:val="21"/>
                      <w:szCs w:val="21"/>
                    </w:rPr>
                  </w:pPr>
                  <w:r>
                    <w:rPr>
                      <w:sz w:val="21"/>
                      <w:szCs w:val="21"/>
                    </w:rPr>
                    <w:t>64</w:t>
                  </w:r>
                </w:p>
              </w:tc>
              <w:tc>
                <w:tcPr>
                  <w:tcW w:w="712" w:type="dxa"/>
                  <w:vAlign w:val="center"/>
                </w:tcPr>
                <w:p>
                  <w:pPr>
                    <w:jc w:val="center"/>
                    <w:rPr>
                      <w:sz w:val="21"/>
                      <w:szCs w:val="21"/>
                    </w:rPr>
                  </w:pPr>
                  <w:r>
                    <w:rPr>
                      <w:sz w:val="21"/>
                      <w:szCs w:val="21"/>
                    </w:rPr>
                    <w:t>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07" w:type="dxa"/>
                  <w:vAlign w:val="center"/>
                </w:tcPr>
                <w:p>
                  <w:pPr>
                    <w:jc w:val="center"/>
                    <w:rPr>
                      <w:sz w:val="21"/>
                      <w:szCs w:val="21"/>
                    </w:rPr>
                  </w:pPr>
                  <w:r>
                    <w:rPr>
                      <w:sz w:val="21"/>
                      <w:szCs w:val="21"/>
                    </w:rPr>
                    <w:t>2</w:t>
                  </w:r>
                </w:p>
              </w:tc>
              <w:tc>
                <w:tcPr>
                  <w:tcW w:w="1931" w:type="dxa"/>
                  <w:vAlign w:val="center"/>
                </w:tcPr>
                <w:p>
                  <w:pPr>
                    <w:jc w:val="center"/>
                    <w:rPr>
                      <w:sz w:val="21"/>
                      <w:szCs w:val="21"/>
                    </w:rPr>
                  </w:pPr>
                  <w:r>
                    <w:rPr>
                      <w:sz w:val="21"/>
                      <w:szCs w:val="21"/>
                    </w:rPr>
                    <w:t>平地机</w:t>
                  </w:r>
                </w:p>
              </w:tc>
              <w:tc>
                <w:tcPr>
                  <w:tcW w:w="1284" w:type="dxa"/>
                  <w:vAlign w:val="center"/>
                </w:tcPr>
                <w:p>
                  <w:pPr>
                    <w:jc w:val="center"/>
                    <w:rPr>
                      <w:sz w:val="21"/>
                      <w:szCs w:val="21"/>
                    </w:rPr>
                  </w:pPr>
                  <w:r>
                    <w:rPr>
                      <w:sz w:val="21"/>
                      <w:szCs w:val="21"/>
                    </w:rPr>
                    <w:t>5</w:t>
                  </w:r>
                </w:p>
              </w:tc>
              <w:tc>
                <w:tcPr>
                  <w:tcW w:w="726" w:type="dxa"/>
                  <w:vAlign w:val="center"/>
                </w:tcPr>
                <w:p>
                  <w:pPr>
                    <w:jc w:val="center"/>
                    <w:rPr>
                      <w:sz w:val="21"/>
                      <w:szCs w:val="21"/>
                    </w:rPr>
                  </w:pPr>
                  <w:r>
                    <w:rPr>
                      <w:sz w:val="21"/>
                      <w:szCs w:val="21"/>
                    </w:rPr>
                    <w:t>90</w:t>
                  </w:r>
                </w:p>
              </w:tc>
              <w:tc>
                <w:tcPr>
                  <w:tcW w:w="709" w:type="dxa"/>
                  <w:vAlign w:val="center"/>
                </w:tcPr>
                <w:p>
                  <w:pPr>
                    <w:jc w:val="center"/>
                    <w:rPr>
                      <w:sz w:val="21"/>
                      <w:szCs w:val="21"/>
                    </w:rPr>
                  </w:pPr>
                  <w:r>
                    <w:rPr>
                      <w:sz w:val="21"/>
                      <w:szCs w:val="21"/>
                    </w:rPr>
                    <w:t>84</w:t>
                  </w:r>
                </w:p>
              </w:tc>
              <w:tc>
                <w:tcPr>
                  <w:tcW w:w="709" w:type="dxa"/>
                  <w:vAlign w:val="center"/>
                </w:tcPr>
                <w:p>
                  <w:pPr>
                    <w:jc w:val="center"/>
                    <w:rPr>
                      <w:sz w:val="21"/>
                      <w:szCs w:val="21"/>
                    </w:rPr>
                  </w:pPr>
                  <w:r>
                    <w:rPr>
                      <w:sz w:val="21"/>
                      <w:szCs w:val="21"/>
                    </w:rPr>
                    <w:t>78</w:t>
                  </w:r>
                </w:p>
              </w:tc>
              <w:tc>
                <w:tcPr>
                  <w:tcW w:w="709" w:type="dxa"/>
                  <w:vAlign w:val="center"/>
                </w:tcPr>
                <w:p>
                  <w:pPr>
                    <w:jc w:val="center"/>
                    <w:rPr>
                      <w:sz w:val="21"/>
                      <w:szCs w:val="21"/>
                    </w:rPr>
                  </w:pPr>
                  <w:r>
                    <w:rPr>
                      <w:sz w:val="21"/>
                      <w:szCs w:val="21"/>
                    </w:rPr>
                    <w:t>74.5</w:t>
                  </w:r>
                </w:p>
              </w:tc>
              <w:tc>
                <w:tcPr>
                  <w:tcW w:w="709" w:type="dxa"/>
                  <w:vAlign w:val="center"/>
                </w:tcPr>
                <w:p>
                  <w:pPr>
                    <w:jc w:val="center"/>
                    <w:rPr>
                      <w:sz w:val="21"/>
                      <w:szCs w:val="21"/>
                    </w:rPr>
                  </w:pPr>
                  <w:r>
                    <w:rPr>
                      <w:sz w:val="21"/>
                      <w:szCs w:val="21"/>
                    </w:rPr>
                    <w:t>70</w:t>
                  </w:r>
                </w:p>
              </w:tc>
              <w:tc>
                <w:tcPr>
                  <w:tcW w:w="709" w:type="dxa"/>
                  <w:vAlign w:val="center"/>
                </w:tcPr>
                <w:p>
                  <w:pPr>
                    <w:jc w:val="center"/>
                    <w:rPr>
                      <w:sz w:val="21"/>
                      <w:szCs w:val="21"/>
                    </w:rPr>
                  </w:pPr>
                  <w:r>
                    <w:rPr>
                      <w:sz w:val="21"/>
                      <w:szCs w:val="21"/>
                    </w:rPr>
                    <w:t>64</w:t>
                  </w:r>
                </w:p>
              </w:tc>
              <w:tc>
                <w:tcPr>
                  <w:tcW w:w="712" w:type="dxa"/>
                  <w:vAlign w:val="center"/>
                </w:tcPr>
                <w:p>
                  <w:pPr>
                    <w:jc w:val="center"/>
                    <w:rPr>
                      <w:sz w:val="21"/>
                      <w:szCs w:val="21"/>
                    </w:rPr>
                  </w:pPr>
                  <w:r>
                    <w:rPr>
                      <w:sz w:val="21"/>
                      <w:szCs w:val="21"/>
                    </w:rPr>
                    <w:t>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07" w:type="dxa"/>
                  <w:vAlign w:val="center"/>
                </w:tcPr>
                <w:p>
                  <w:pPr>
                    <w:jc w:val="center"/>
                    <w:rPr>
                      <w:sz w:val="21"/>
                      <w:szCs w:val="21"/>
                    </w:rPr>
                  </w:pPr>
                  <w:r>
                    <w:rPr>
                      <w:sz w:val="21"/>
                      <w:szCs w:val="21"/>
                    </w:rPr>
                    <w:t>3</w:t>
                  </w:r>
                </w:p>
              </w:tc>
              <w:tc>
                <w:tcPr>
                  <w:tcW w:w="1931" w:type="dxa"/>
                  <w:vAlign w:val="center"/>
                </w:tcPr>
                <w:p>
                  <w:pPr>
                    <w:jc w:val="center"/>
                    <w:rPr>
                      <w:sz w:val="21"/>
                      <w:szCs w:val="21"/>
                    </w:rPr>
                  </w:pPr>
                  <w:r>
                    <w:rPr>
                      <w:sz w:val="21"/>
                      <w:szCs w:val="21"/>
                    </w:rPr>
                    <w:t>振动式压路机</w:t>
                  </w:r>
                </w:p>
              </w:tc>
              <w:tc>
                <w:tcPr>
                  <w:tcW w:w="1284" w:type="dxa"/>
                  <w:vAlign w:val="center"/>
                </w:tcPr>
                <w:p>
                  <w:pPr>
                    <w:jc w:val="center"/>
                    <w:rPr>
                      <w:sz w:val="21"/>
                      <w:szCs w:val="21"/>
                    </w:rPr>
                  </w:pPr>
                  <w:r>
                    <w:rPr>
                      <w:sz w:val="21"/>
                      <w:szCs w:val="21"/>
                    </w:rPr>
                    <w:t>5</w:t>
                  </w:r>
                </w:p>
              </w:tc>
              <w:tc>
                <w:tcPr>
                  <w:tcW w:w="726" w:type="dxa"/>
                  <w:vAlign w:val="center"/>
                </w:tcPr>
                <w:p>
                  <w:pPr>
                    <w:jc w:val="center"/>
                    <w:rPr>
                      <w:sz w:val="21"/>
                      <w:szCs w:val="21"/>
                    </w:rPr>
                  </w:pPr>
                  <w:r>
                    <w:rPr>
                      <w:sz w:val="21"/>
                      <w:szCs w:val="21"/>
                    </w:rPr>
                    <w:t>86</w:t>
                  </w:r>
                </w:p>
              </w:tc>
              <w:tc>
                <w:tcPr>
                  <w:tcW w:w="709" w:type="dxa"/>
                  <w:vAlign w:val="center"/>
                </w:tcPr>
                <w:p>
                  <w:pPr>
                    <w:jc w:val="center"/>
                    <w:rPr>
                      <w:sz w:val="21"/>
                      <w:szCs w:val="21"/>
                    </w:rPr>
                  </w:pPr>
                  <w:r>
                    <w:rPr>
                      <w:sz w:val="21"/>
                      <w:szCs w:val="21"/>
                    </w:rPr>
                    <w:t>80</w:t>
                  </w:r>
                </w:p>
              </w:tc>
              <w:tc>
                <w:tcPr>
                  <w:tcW w:w="709" w:type="dxa"/>
                  <w:vAlign w:val="center"/>
                </w:tcPr>
                <w:p>
                  <w:pPr>
                    <w:jc w:val="center"/>
                    <w:rPr>
                      <w:sz w:val="21"/>
                      <w:szCs w:val="21"/>
                    </w:rPr>
                  </w:pPr>
                  <w:r>
                    <w:rPr>
                      <w:sz w:val="21"/>
                      <w:szCs w:val="21"/>
                    </w:rPr>
                    <w:t>74</w:t>
                  </w:r>
                </w:p>
              </w:tc>
              <w:tc>
                <w:tcPr>
                  <w:tcW w:w="709" w:type="dxa"/>
                  <w:vAlign w:val="center"/>
                </w:tcPr>
                <w:p>
                  <w:pPr>
                    <w:jc w:val="center"/>
                    <w:rPr>
                      <w:sz w:val="21"/>
                      <w:szCs w:val="21"/>
                    </w:rPr>
                  </w:pPr>
                  <w:r>
                    <w:rPr>
                      <w:sz w:val="21"/>
                      <w:szCs w:val="21"/>
                    </w:rPr>
                    <w:t>70.5</w:t>
                  </w:r>
                </w:p>
              </w:tc>
              <w:tc>
                <w:tcPr>
                  <w:tcW w:w="709" w:type="dxa"/>
                  <w:vAlign w:val="center"/>
                </w:tcPr>
                <w:p>
                  <w:pPr>
                    <w:jc w:val="center"/>
                    <w:rPr>
                      <w:sz w:val="21"/>
                      <w:szCs w:val="21"/>
                    </w:rPr>
                  </w:pPr>
                  <w:r>
                    <w:rPr>
                      <w:sz w:val="21"/>
                      <w:szCs w:val="21"/>
                    </w:rPr>
                    <w:t>66</w:t>
                  </w:r>
                </w:p>
              </w:tc>
              <w:tc>
                <w:tcPr>
                  <w:tcW w:w="709" w:type="dxa"/>
                  <w:vAlign w:val="center"/>
                </w:tcPr>
                <w:p>
                  <w:pPr>
                    <w:jc w:val="center"/>
                    <w:rPr>
                      <w:sz w:val="21"/>
                      <w:szCs w:val="21"/>
                    </w:rPr>
                  </w:pPr>
                  <w:r>
                    <w:rPr>
                      <w:sz w:val="21"/>
                      <w:szCs w:val="21"/>
                    </w:rPr>
                    <w:t>60</w:t>
                  </w:r>
                </w:p>
              </w:tc>
              <w:tc>
                <w:tcPr>
                  <w:tcW w:w="712" w:type="dxa"/>
                  <w:vAlign w:val="center"/>
                </w:tcPr>
                <w:p>
                  <w:pPr>
                    <w:jc w:val="center"/>
                    <w:rPr>
                      <w:sz w:val="21"/>
                      <w:szCs w:val="21"/>
                    </w:rPr>
                  </w:pPr>
                  <w:r>
                    <w:rPr>
                      <w:sz w:val="21"/>
                      <w:szCs w:val="21"/>
                    </w:rPr>
                    <w:t>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07" w:type="dxa"/>
                  <w:vAlign w:val="center"/>
                </w:tcPr>
                <w:p>
                  <w:pPr>
                    <w:jc w:val="center"/>
                    <w:rPr>
                      <w:sz w:val="21"/>
                      <w:szCs w:val="21"/>
                    </w:rPr>
                  </w:pPr>
                  <w:r>
                    <w:rPr>
                      <w:sz w:val="21"/>
                      <w:szCs w:val="21"/>
                    </w:rPr>
                    <w:t>4</w:t>
                  </w:r>
                </w:p>
              </w:tc>
              <w:tc>
                <w:tcPr>
                  <w:tcW w:w="1931" w:type="dxa"/>
                  <w:vAlign w:val="center"/>
                </w:tcPr>
                <w:p>
                  <w:pPr>
                    <w:jc w:val="center"/>
                    <w:rPr>
                      <w:sz w:val="21"/>
                      <w:szCs w:val="21"/>
                    </w:rPr>
                  </w:pPr>
                  <w:r>
                    <w:rPr>
                      <w:sz w:val="21"/>
                      <w:szCs w:val="21"/>
                    </w:rPr>
                    <w:t>双轮双振压路机</w:t>
                  </w:r>
                </w:p>
              </w:tc>
              <w:tc>
                <w:tcPr>
                  <w:tcW w:w="1284" w:type="dxa"/>
                  <w:vAlign w:val="center"/>
                </w:tcPr>
                <w:p>
                  <w:pPr>
                    <w:jc w:val="center"/>
                    <w:rPr>
                      <w:sz w:val="21"/>
                      <w:szCs w:val="21"/>
                    </w:rPr>
                  </w:pPr>
                  <w:r>
                    <w:rPr>
                      <w:sz w:val="21"/>
                      <w:szCs w:val="21"/>
                    </w:rPr>
                    <w:t>5</w:t>
                  </w:r>
                </w:p>
              </w:tc>
              <w:tc>
                <w:tcPr>
                  <w:tcW w:w="726" w:type="dxa"/>
                  <w:vAlign w:val="center"/>
                </w:tcPr>
                <w:p>
                  <w:pPr>
                    <w:jc w:val="center"/>
                    <w:rPr>
                      <w:sz w:val="21"/>
                      <w:szCs w:val="21"/>
                    </w:rPr>
                  </w:pPr>
                  <w:r>
                    <w:rPr>
                      <w:sz w:val="21"/>
                      <w:szCs w:val="21"/>
                    </w:rPr>
                    <w:t>81</w:t>
                  </w:r>
                </w:p>
              </w:tc>
              <w:tc>
                <w:tcPr>
                  <w:tcW w:w="709" w:type="dxa"/>
                  <w:vAlign w:val="center"/>
                </w:tcPr>
                <w:p>
                  <w:pPr>
                    <w:jc w:val="center"/>
                    <w:rPr>
                      <w:sz w:val="21"/>
                      <w:szCs w:val="21"/>
                    </w:rPr>
                  </w:pPr>
                  <w:r>
                    <w:rPr>
                      <w:sz w:val="21"/>
                      <w:szCs w:val="21"/>
                    </w:rPr>
                    <w:t>75</w:t>
                  </w:r>
                </w:p>
              </w:tc>
              <w:tc>
                <w:tcPr>
                  <w:tcW w:w="709" w:type="dxa"/>
                  <w:vAlign w:val="center"/>
                </w:tcPr>
                <w:p>
                  <w:pPr>
                    <w:jc w:val="center"/>
                    <w:rPr>
                      <w:sz w:val="21"/>
                      <w:szCs w:val="21"/>
                    </w:rPr>
                  </w:pPr>
                  <w:r>
                    <w:rPr>
                      <w:sz w:val="21"/>
                      <w:szCs w:val="21"/>
                    </w:rPr>
                    <w:t>69</w:t>
                  </w:r>
                </w:p>
              </w:tc>
              <w:tc>
                <w:tcPr>
                  <w:tcW w:w="709" w:type="dxa"/>
                  <w:vAlign w:val="center"/>
                </w:tcPr>
                <w:p>
                  <w:pPr>
                    <w:jc w:val="center"/>
                    <w:rPr>
                      <w:sz w:val="21"/>
                      <w:szCs w:val="21"/>
                    </w:rPr>
                  </w:pPr>
                  <w:r>
                    <w:rPr>
                      <w:sz w:val="21"/>
                      <w:szCs w:val="21"/>
                    </w:rPr>
                    <w:t>65.5</w:t>
                  </w:r>
                </w:p>
              </w:tc>
              <w:tc>
                <w:tcPr>
                  <w:tcW w:w="709" w:type="dxa"/>
                  <w:vAlign w:val="center"/>
                </w:tcPr>
                <w:p>
                  <w:pPr>
                    <w:jc w:val="center"/>
                    <w:rPr>
                      <w:sz w:val="21"/>
                      <w:szCs w:val="21"/>
                    </w:rPr>
                  </w:pPr>
                  <w:r>
                    <w:rPr>
                      <w:sz w:val="21"/>
                      <w:szCs w:val="21"/>
                    </w:rPr>
                    <w:t>61</w:t>
                  </w:r>
                </w:p>
              </w:tc>
              <w:tc>
                <w:tcPr>
                  <w:tcW w:w="709" w:type="dxa"/>
                  <w:vAlign w:val="center"/>
                </w:tcPr>
                <w:p>
                  <w:pPr>
                    <w:jc w:val="center"/>
                    <w:rPr>
                      <w:sz w:val="21"/>
                      <w:szCs w:val="21"/>
                    </w:rPr>
                  </w:pPr>
                  <w:r>
                    <w:rPr>
                      <w:sz w:val="21"/>
                      <w:szCs w:val="21"/>
                    </w:rPr>
                    <w:t>55</w:t>
                  </w:r>
                </w:p>
              </w:tc>
              <w:tc>
                <w:tcPr>
                  <w:tcW w:w="712" w:type="dxa"/>
                  <w:vAlign w:val="center"/>
                </w:tcPr>
                <w:p>
                  <w:pPr>
                    <w:jc w:val="center"/>
                    <w:rPr>
                      <w:sz w:val="21"/>
                      <w:szCs w:val="21"/>
                    </w:rPr>
                  </w:pPr>
                  <w:r>
                    <w:rPr>
                      <w:sz w:val="21"/>
                      <w:szCs w:val="21"/>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07" w:type="dxa"/>
                  <w:vAlign w:val="center"/>
                </w:tcPr>
                <w:p>
                  <w:pPr>
                    <w:jc w:val="center"/>
                    <w:rPr>
                      <w:sz w:val="21"/>
                      <w:szCs w:val="21"/>
                    </w:rPr>
                  </w:pPr>
                  <w:r>
                    <w:rPr>
                      <w:sz w:val="21"/>
                      <w:szCs w:val="21"/>
                    </w:rPr>
                    <w:t>5</w:t>
                  </w:r>
                </w:p>
              </w:tc>
              <w:tc>
                <w:tcPr>
                  <w:tcW w:w="1931" w:type="dxa"/>
                  <w:vAlign w:val="center"/>
                </w:tcPr>
                <w:p>
                  <w:pPr>
                    <w:jc w:val="center"/>
                    <w:rPr>
                      <w:sz w:val="21"/>
                      <w:szCs w:val="21"/>
                    </w:rPr>
                  </w:pPr>
                  <w:r>
                    <w:rPr>
                      <w:sz w:val="21"/>
                      <w:szCs w:val="21"/>
                    </w:rPr>
                    <w:t>三轮压路机</w:t>
                  </w:r>
                </w:p>
              </w:tc>
              <w:tc>
                <w:tcPr>
                  <w:tcW w:w="1284" w:type="dxa"/>
                  <w:vAlign w:val="center"/>
                </w:tcPr>
                <w:p>
                  <w:pPr>
                    <w:jc w:val="center"/>
                    <w:rPr>
                      <w:sz w:val="21"/>
                      <w:szCs w:val="21"/>
                    </w:rPr>
                  </w:pPr>
                  <w:r>
                    <w:rPr>
                      <w:sz w:val="21"/>
                      <w:szCs w:val="21"/>
                    </w:rPr>
                    <w:t>5</w:t>
                  </w:r>
                </w:p>
              </w:tc>
              <w:tc>
                <w:tcPr>
                  <w:tcW w:w="726" w:type="dxa"/>
                  <w:vAlign w:val="center"/>
                </w:tcPr>
                <w:p>
                  <w:pPr>
                    <w:jc w:val="center"/>
                    <w:rPr>
                      <w:sz w:val="21"/>
                      <w:szCs w:val="21"/>
                    </w:rPr>
                  </w:pPr>
                  <w:r>
                    <w:rPr>
                      <w:sz w:val="21"/>
                      <w:szCs w:val="21"/>
                    </w:rPr>
                    <w:t>81</w:t>
                  </w:r>
                </w:p>
              </w:tc>
              <w:tc>
                <w:tcPr>
                  <w:tcW w:w="709" w:type="dxa"/>
                  <w:vAlign w:val="center"/>
                </w:tcPr>
                <w:p>
                  <w:pPr>
                    <w:jc w:val="center"/>
                    <w:rPr>
                      <w:sz w:val="21"/>
                      <w:szCs w:val="21"/>
                    </w:rPr>
                  </w:pPr>
                  <w:r>
                    <w:rPr>
                      <w:sz w:val="21"/>
                      <w:szCs w:val="21"/>
                    </w:rPr>
                    <w:t>75</w:t>
                  </w:r>
                </w:p>
              </w:tc>
              <w:tc>
                <w:tcPr>
                  <w:tcW w:w="709" w:type="dxa"/>
                  <w:vAlign w:val="center"/>
                </w:tcPr>
                <w:p>
                  <w:pPr>
                    <w:jc w:val="center"/>
                    <w:rPr>
                      <w:sz w:val="21"/>
                      <w:szCs w:val="21"/>
                    </w:rPr>
                  </w:pPr>
                  <w:r>
                    <w:rPr>
                      <w:sz w:val="21"/>
                      <w:szCs w:val="21"/>
                    </w:rPr>
                    <w:t>69</w:t>
                  </w:r>
                </w:p>
              </w:tc>
              <w:tc>
                <w:tcPr>
                  <w:tcW w:w="709" w:type="dxa"/>
                  <w:vAlign w:val="center"/>
                </w:tcPr>
                <w:p>
                  <w:pPr>
                    <w:jc w:val="center"/>
                    <w:rPr>
                      <w:sz w:val="21"/>
                      <w:szCs w:val="21"/>
                    </w:rPr>
                  </w:pPr>
                  <w:r>
                    <w:rPr>
                      <w:sz w:val="21"/>
                      <w:szCs w:val="21"/>
                    </w:rPr>
                    <w:t>65.5</w:t>
                  </w:r>
                </w:p>
              </w:tc>
              <w:tc>
                <w:tcPr>
                  <w:tcW w:w="709" w:type="dxa"/>
                  <w:vAlign w:val="center"/>
                </w:tcPr>
                <w:p>
                  <w:pPr>
                    <w:jc w:val="center"/>
                    <w:rPr>
                      <w:sz w:val="21"/>
                      <w:szCs w:val="21"/>
                    </w:rPr>
                  </w:pPr>
                  <w:r>
                    <w:rPr>
                      <w:sz w:val="21"/>
                      <w:szCs w:val="21"/>
                    </w:rPr>
                    <w:t>61</w:t>
                  </w:r>
                </w:p>
              </w:tc>
              <w:tc>
                <w:tcPr>
                  <w:tcW w:w="709" w:type="dxa"/>
                  <w:vAlign w:val="center"/>
                </w:tcPr>
                <w:p>
                  <w:pPr>
                    <w:jc w:val="center"/>
                    <w:rPr>
                      <w:sz w:val="21"/>
                      <w:szCs w:val="21"/>
                    </w:rPr>
                  </w:pPr>
                  <w:r>
                    <w:rPr>
                      <w:sz w:val="21"/>
                      <w:szCs w:val="21"/>
                    </w:rPr>
                    <w:t>55</w:t>
                  </w:r>
                </w:p>
              </w:tc>
              <w:tc>
                <w:tcPr>
                  <w:tcW w:w="712" w:type="dxa"/>
                  <w:vAlign w:val="center"/>
                </w:tcPr>
                <w:p>
                  <w:pPr>
                    <w:jc w:val="center"/>
                    <w:rPr>
                      <w:sz w:val="21"/>
                      <w:szCs w:val="21"/>
                    </w:rPr>
                  </w:pPr>
                  <w:r>
                    <w:rPr>
                      <w:sz w:val="21"/>
                      <w:szCs w:val="21"/>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07" w:type="dxa"/>
                  <w:vAlign w:val="center"/>
                </w:tcPr>
                <w:p>
                  <w:pPr>
                    <w:jc w:val="center"/>
                    <w:rPr>
                      <w:sz w:val="21"/>
                      <w:szCs w:val="21"/>
                    </w:rPr>
                  </w:pPr>
                  <w:r>
                    <w:rPr>
                      <w:sz w:val="21"/>
                      <w:szCs w:val="21"/>
                    </w:rPr>
                    <w:t>6</w:t>
                  </w:r>
                </w:p>
              </w:tc>
              <w:tc>
                <w:tcPr>
                  <w:tcW w:w="1931" w:type="dxa"/>
                  <w:vAlign w:val="center"/>
                </w:tcPr>
                <w:p>
                  <w:pPr>
                    <w:jc w:val="center"/>
                    <w:rPr>
                      <w:sz w:val="21"/>
                      <w:szCs w:val="21"/>
                    </w:rPr>
                  </w:pPr>
                  <w:r>
                    <w:rPr>
                      <w:sz w:val="21"/>
                      <w:szCs w:val="21"/>
                    </w:rPr>
                    <w:t>轮胎压路机</w:t>
                  </w:r>
                </w:p>
              </w:tc>
              <w:tc>
                <w:tcPr>
                  <w:tcW w:w="1284" w:type="dxa"/>
                  <w:vAlign w:val="center"/>
                </w:tcPr>
                <w:p>
                  <w:pPr>
                    <w:jc w:val="center"/>
                    <w:rPr>
                      <w:sz w:val="21"/>
                      <w:szCs w:val="21"/>
                    </w:rPr>
                  </w:pPr>
                  <w:r>
                    <w:rPr>
                      <w:sz w:val="21"/>
                      <w:szCs w:val="21"/>
                    </w:rPr>
                    <w:t>5</w:t>
                  </w:r>
                </w:p>
              </w:tc>
              <w:tc>
                <w:tcPr>
                  <w:tcW w:w="726" w:type="dxa"/>
                  <w:vAlign w:val="center"/>
                </w:tcPr>
                <w:p>
                  <w:pPr>
                    <w:jc w:val="center"/>
                    <w:rPr>
                      <w:sz w:val="21"/>
                      <w:szCs w:val="21"/>
                    </w:rPr>
                  </w:pPr>
                  <w:r>
                    <w:rPr>
                      <w:sz w:val="21"/>
                      <w:szCs w:val="21"/>
                    </w:rPr>
                    <w:t>76</w:t>
                  </w:r>
                </w:p>
              </w:tc>
              <w:tc>
                <w:tcPr>
                  <w:tcW w:w="709" w:type="dxa"/>
                  <w:vAlign w:val="center"/>
                </w:tcPr>
                <w:p>
                  <w:pPr>
                    <w:jc w:val="center"/>
                    <w:rPr>
                      <w:sz w:val="21"/>
                      <w:szCs w:val="21"/>
                    </w:rPr>
                  </w:pPr>
                  <w:r>
                    <w:rPr>
                      <w:sz w:val="21"/>
                      <w:szCs w:val="21"/>
                    </w:rPr>
                    <w:t>70</w:t>
                  </w:r>
                </w:p>
              </w:tc>
              <w:tc>
                <w:tcPr>
                  <w:tcW w:w="709" w:type="dxa"/>
                  <w:vAlign w:val="center"/>
                </w:tcPr>
                <w:p>
                  <w:pPr>
                    <w:jc w:val="center"/>
                    <w:rPr>
                      <w:sz w:val="21"/>
                      <w:szCs w:val="21"/>
                    </w:rPr>
                  </w:pPr>
                  <w:r>
                    <w:rPr>
                      <w:sz w:val="21"/>
                      <w:szCs w:val="21"/>
                    </w:rPr>
                    <w:t>64</w:t>
                  </w:r>
                </w:p>
              </w:tc>
              <w:tc>
                <w:tcPr>
                  <w:tcW w:w="709" w:type="dxa"/>
                  <w:vAlign w:val="center"/>
                </w:tcPr>
                <w:p>
                  <w:pPr>
                    <w:jc w:val="center"/>
                    <w:rPr>
                      <w:sz w:val="21"/>
                      <w:szCs w:val="21"/>
                    </w:rPr>
                  </w:pPr>
                  <w:r>
                    <w:rPr>
                      <w:sz w:val="21"/>
                      <w:szCs w:val="21"/>
                    </w:rPr>
                    <w:t>60.5</w:t>
                  </w:r>
                </w:p>
              </w:tc>
              <w:tc>
                <w:tcPr>
                  <w:tcW w:w="709" w:type="dxa"/>
                  <w:vAlign w:val="center"/>
                </w:tcPr>
                <w:p>
                  <w:pPr>
                    <w:jc w:val="center"/>
                    <w:rPr>
                      <w:sz w:val="21"/>
                      <w:szCs w:val="21"/>
                    </w:rPr>
                  </w:pPr>
                  <w:r>
                    <w:rPr>
                      <w:sz w:val="21"/>
                      <w:szCs w:val="21"/>
                    </w:rPr>
                    <w:t>56</w:t>
                  </w:r>
                </w:p>
              </w:tc>
              <w:tc>
                <w:tcPr>
                  <w:tcW w:w="709" w:type="dxa"/>
                  <w:vAlign w:val="center"/>
                </w:tcPr>
                <w:p>
                  <w:pPr>
                    <w:jc w:val="center"/>
                    <w:rPr>
                      <w:sz w:val="21"/>
                      <w:szCs w:val="21"/>
                    </w:rPr>
                  </w:pPr>
                  <w:r>
                    <w:rPr>
                      <w:sz w:val="21"/>
                      <w:szCs w:val="21"/>
                    </w:rPr>
                    <w:t>50</w:t>
                  </w:r>
                </w:p>
              </w:tc>
              <w:tc>
                <w:tcPr>
                  <w:tcW w:w="712" w:type="dxa"/>
                  <w:vAlign w:val="center"/>
                </w:tcPr>
                <w:p>
                  <w:pPr>
                    <w:jc w:val="center"/>
                    <w:rPr>
                      <w:sz w:val="21"/>
                      <w:szCs w:val="21"/>
                    </w:rPr>
                  </w:pPr>
                  <w:r>
                    <w:rPr>
                      <w:sz w:val="21"/>
                      <w:szCs w:val="21"/>
                    </w:rP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07" w:type="dxa"/>
                  <w:vAlign w:val="center"/>
                </w:tcPr>
                <w:p>
                  <w:pPr>
                    <w:jc w:val="center"/>
                    <w:rPr>
                      <w:sz w:val="21"/>
                      <w:szCs w:val="21"/>
                    </w:rPr>
                  </w:pPr>
                  <w:r>
                    <w:rPr>
                      <w:sz w:val="21"/>
                      <w:szCs w:val="21"/>
                    </w:rPr>
                    <w:t>7</w:t>
                  </w:r>
                </w:p>
              </w:tc>
              <w:tc>
                <w:tcPr>
                  <w:tcW w:w="1931" w:type="dxa"/>
                  <w:vAlign w:val="center"/>
                </w:tcPr>
                <w:p>
                  <w:pPr>
                    <w:jc w:val="center"/>
                    <w:rPr>
                      <w:sz w:val="21"/>
                      <w:szCs w:val="21"/>
                    </w:rPr>
                  </w:pPr>
                  <w:r>
                    <w:rPr>
                      <w:sz w:val="21"/>
                      <w:szCs w:val="21"/>
                    </w:rPr>
                    <w:t>推土机</w:t>
                  </w:r>
                </w:p>
              </w:tc>
              <w:tc>
                <w:tcPr>
                  <w:tcW w:w="1284" w:type="dxa"/>
                  <w:vAlign w:val="center"/>
                </w:tcPr>
                <w:p>
                  <w:pPr>
                    <w:jc w:val="center"/>
                    <w:rPr>
                      <w:sz w:val="21"/>
                      <w:szCs w:val="21"/>
                    </w:rPr>
                  </w:pPr>
                  <w:r>
                    <w:rPr>
                      <w:sz w:val="21"/>
                      <w:szCs w:val="21"/>
                    </w:rPr>
                    <w:t>5</w:t>
                  </w:r>
                </w:p>
              </w:tc>
              <w:tc>
                <w:tcPr>
                  <w:tcW w:w="726" w:type="dxa"/>
                  <w:vAlign w:val="center"/>
                </w:tcPr>
                <w:p>
                  <w:pPr>
                    <w:jc w:val="center"/>
                    <w:rPr>
                      <w:sz w:val="21"/>
                      <w:szCs w:val="21"/>
                    </w:rPr>
                  </w:pPr>
                  <w:r>
                    <w:rPr>
                      <w:sz w:val="21"/>
                      <w:szCs w:val="21"/>
                    </w:rPr>
                    <w:t>86</w:t>
                  </w:r>
                </w:p>
              </w:tc>
              <w:tc>
                <w:tcPr>
                  <w:tcW w:w="709" w:type="dxa"/>
                  <w:vAlign w:val="center"/>
                </w:tcPr>
                <w:p>
                  <w:pPr>
                    <w:jc w:val="center"/>
                    <w:rPr>
                      <w:sz w:val="21"/>
                      <w:szCs w:val="21"/>
                    </w:rPr>
                  </w:pPr>
                  <w:r>
                    <w:rPr>
                      <w:sz w:val="21"/>
                      <w:szCs w:val="21"/>
                    </w:rPr>
                    <w:t>80</w:t>
                  </w:r>
                </w:p>
              </w:tc>
              <w:tc>
                <w:tcPr>
                  <w:tcW w:w="709" w:type="dxa"/>
                  <w:vAlign w:val="center"/>
                </w:tcPr>
                <w:p>
                  <w:pPr>
                    <w:jc w:val="center"/>
                    <w:rPr>
                      <w:sz w:val="21"/>
                      <w:szCs w:val="21"/>
                    </w:rPr>
                  </w:pPr>
                  <w:r>
                    <w:rPr>
                      <w:sz w:val="21"/>
                      <w:szCs w:val="21"/>
                    </w:rPr>
                    <w:t>74</w:t>
                  </w:r>
                </w:p>
              </w:tc>
              <w:tc>
                <w:tcPr>
                  <w:tcW w:w="709" w:type="dxa"/>
                  <w:vAlign w:val="center"/>
                </w:tcPr>
                <w:p>
                  <w:pPr>
                    <w:jc w:val="center"/>
                    <w:rPr>
                      <w:sz w:val="21"/>
                      <w:szCs w:val="21"/>
                    </w:rPr>
                  </w:pPr>
                  <w:r>
                    <w:rPr>
                      <w:sz w:val="21"/>
                      <w:szCs w:val="21"/>
                    </w:rPr>
                    <w:t>70.5</w:t>
                  </w:r>
                </w:p>
              </w:tc>
              <w:tc>
                <w:tcPr>
                  <w:tcW w:w="709" w:type="dxa"/>
                  <w:vAlign w:val="center"/>
                </w:tcPr>
                <w:p>
                  <w:pPr>
                    <w:jc w:val="center"/>
                    <w:rPr>
                      <w:sz w:val="21"/>
                      <w:szCs w:val="21"/>
                    </w:rPr>
                  </w:pPr>
                  <w:r>
                    <w:rPr>
                      <w:sz w:val="21"/>
                      <w:szCs w:val="21"/>
                    </w:rPr>
                    <w:t>66</w:t>
                  </w:r>
                </w:p>
              </w:tc>
              <w:tc>
                <w:tcPr>
                  <w:tcW w:w="709" w:type="dxa"/>
                  <w:vAlign w:val="center"/>
                </w:tcPr>
                <w:p>
                  <w:pPr>
                    <w:jc w:val="center"/>
                    <w:rPr>
                      <w:sz w:val="21"/>
                      <w:szCs w:val="21"/>
                    </w:rPr>
                  </w:pPr>
                  <w:r>
                    <w:rPr>
                      <w:sz w:val="21"/>
                      <w:szCs w:val="21"/>
                    </w:rPr>
                    <w:t>60</w:t>
                  </w:r>
                </w:p>
              </w:tc>
              <w:tc>
                <w:tcPr>
                  <w:tcW w:w="712" w:type="dxa"/>
                  <w:vAlign w:val="center"/>
                </w:tcPr>
                <w:p>
                  <w:pPr>
                    <w:jc w:val="center"/>
                    <w:rPr>
                      <w:sz w:val="21"/>
                      <w:szCs w:val="21"/>
                    </w:rPr>
                  </w:pPr>
                  <w:r>
                    <w:rPr>
                      <w:sz w:val="21"/>
                      <w:szCs w:val="21"/>
                    </w:rPr>
                    <w:t>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07" w:type="dxa"/>
                  <w:vAlign w:val="center"/>
                </w:tcPr>
                <w:p>
                  <w:pPr>
                    <w:jc w:val="center"/>
                    <w:rPr>
                      <w:sz w:val="21"/>
                      <w:szCs w:val="21"/>
                    </w:rPr>
                  </w:pPr>
                  <w:r>
                    <w:rPr>
                      <w:sz w:val="21"/>
                      <w:szCs w:val="21"/>
                    </w:rPr>
                    <w:t>8</w:t>
                  </w:r>
                </w:p>
              </w:tc>
              <w:tc>
                <w:tcPr>
                  <w:tcW w:w="1931" w:type="dxa"/>
                  <w:vAlign w:val="center"/>
                </w:tcPr>
                <w:p>
                  <w:pPr>
                    <w:jc w:val="center"/>
                    <w:rPr>
                      <w:sz w:val="21"/>
                      <w:szCs w:val="21"/>
                    </w:rPr>
                  </w:pPr>
                  <w:r>
                    <w:rPr>
                      <w:sz w:val="21"/>
                      <w:szCs w:val="21"/>
                    </w:rPr>
                    <w:t>轮胎式液压挖掘机</w:t>
                  </w:r>
                </w:p>
              </w:tc>
              <w:tc>
                <w:tcPr>
                  <w:tcW w:w="1284" w:type="dxa"/>
                  <w:vAlign w:val="center"/>
                </w:tcPr>
                <w:p>
                  <w:pPr>
                    <w:jc w:val="center"/>
                    <w:rPr>
                      <w:sz w:val="21"/>
                      <w:szCs w:val="21"/>
                    </w:rPr>
                  </w:pPr>
                  <w:r>
                    <w:rPr>
                      <w:sz w:val="21"/>
                      <w:szCs w:val="21"/>
                    </w:rPr>
                    <w:t>5</w:t>
                  </w:r>
                </w:p>
              </w:tc>
              <w:tc>
                <w:tcPr>
                  <w:tcW w:w="726" w:type="dxa"/>
                  <w:vAlign w:val="center"/>
                </w:tcPr>
                <w:p>
                  <w:pPr>
                    <w:jc w:val="center"/>
                    <w:rPr>
                      <w:sz w:val="21"/>
                      <w:szCs w:val="21"/>
                    </w:rPr>
                  </w:pPr>
                  <w:r>
                    <w:rPr>
                      <w:sz w:val="21"/>
                      <w:szCs w:val="21"/>
                    </w:rPr>
                    <w:t>84</w:t>
                  </w:r>
                </w:p>
              </w:tc>
              <w:tc>
                <w:tcPr>
                  <w:tcW w:w="709" w:type="dxa"/>
                  <w:vAlign w:val="center"/>
                </w:tcPr>
                <w:p>
                  <w:pPr>
                    <w:jc w:val="center"/>
                    <w:rPr>
                      <w:sz w:val="21"/>
                      <w:szCs w:val="21"/>
                    </w:rPr>
                  </w:pPr>
                  <w:r>
                    <w:rPr>
                      <w:sz w:val="21"/>
                      <w:szCs w:val="21"/>
                    </w:rPr>
                    <w:t>78</w:t>
                  </w:r>
                </w:p>
              </w:tc>
              <w:tc>
                <w:tcPr>
                  <w:tcW w:w="709" w:type="dxa"/>
                  <w:vAlign w:val="center"/>
                </w:tcPr>
                <w:p>
                  <w:pPr>
                    <w:jc w:val="center"/>
                    <w:rPr>
                      <w:sz w:val="21"/>
                      <w:szCs w:val="21"/>
                    </w:rPr>
                  </w:pPr>
                  <w:r>
                    <w:rPr>
                      <w:sz w:val="21"/>
                      <w:szCs w:val="21"/>
                    </w:rPr>
                    <w:t>72</w:t>
                  </w:r>
                </w:p>
              </w:tc>
              <w:tc>
                <w:tcPr>
                  <w:tcW w:w="709" w:type="dxa"/>
                  <w:vAlign w:val="center"/>
                </w:tcPr>
                <w:p>
                  <w:pPr>
                    <w:jc w:val="center"/>
                    <w:rPr>
                      <w:sz w:val="21"/>
                      <w:szCs w:val="21"/>
                    </w:rPr>
                  </w:pPr>
                  <w:r>
                    <w:rPr>
                      <w:sz w:val="21"/>
                      <w:szCs w:val="21"/>
                    </w:rPr>
                    <w:t>68.5</w:t>
                  </w:r>
                </w:p>
              </w:tc>
              <w:tc>
                <w:tcPr>
                  <w:tcW w:w="709" w:type="dxa"/>
                  <w:vAlign w:val="center"/>
                </w:tcPr>
                <w:p>
                  <w:pPr>
                    <w:jc w:val="center"/>
                    <w:rPr>
                      <w:sz w:val="21"/>
                      <w:szCs w:val="21"/>
                    </w:rPr>
                  </w:pPr>
                  <w:r>
                    <w:rPr>
                      <w:sz w:val="21"/>
                      <w:szCs w:val="21"/>
                    </w:rPr>
                    <w:t>64</w:t>
                  </w:r>
                </w:p>
              </w:tc>
              <w:tc>
                <w:tcPr>
                  <w:tcW w:w="709" w:type="dxa"/>
                  <w:vAlign w:val="center"/>
                </w:tcPr>
                <w:p>
                  <w:pPr>
                    <w:jc w:val="center"/>
                    <w:rPr>
                      <w:sz w:val="21"/>
                      <w:szCs w:val="21"/>
                    </w:rPr>
                  </w:pPr>
                  <w:r>
                    <w:rPr>
                      <w:sz w:val="21"/>
                      <w:szCs w:val="21"/>
                    </w:rPr>
                    <w:t>58</w:t>
                  </w:r>
                </w:p>
              </w:tc>
              <w:tc>
                <w:tcPr>
                  <w:tcW w:w="712" w:type="dxa"/>
                  <w:vAlign w:val="center"/>
                </w:tcPr>
                <w:p>
                  <w:pPr>
                    <w:jc w:val="center"/>
                    <w:rPr>
                      <w:sz w:val="21"/>
                      <w:szCs w:val="21"/>
                    </w:rPr>
                  </w:pPr>
                  <w:r>
                    <w:rPr>
                      <w:sz w:val="21"/>
                      <w:szCs w:val="21"/>
                    </w:rPr>
                    <w:t>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 w:hRule="atLeast"/>
              </w:trPr>
              <w:tc>
                <w:tcPr>
                  <w:tcW w:w="507" w:type="dxa"/>
                  <w:vAlign w:val="center"/>
                </w:tcPr>
                <w:p>
                  <w:pPr>
                    <w:jc w:val="center"/>
                    <w:rPr>
                      <w:sz w:val="21"/>
                      <w:szCs w:val="21"/>
                    </w:rPr>
                  </w:pPr>
                  <w:r>
                    <w:rPr>
                      <w:sz w:val="21"/>
                      <w:szCs w:val="21"/>
                    </w:rPr>
                    <w:t>9</w:t>
                  </w:r>
                </w:p>
              </w:tc>
              <w:tc>
                <w:tcPr>
                  <w:tcW w:w="1931" w:type="dxa"/>
                  <w:vAlign w:val="center"/>
                </w:tcPr>
                <w:p>
                  <w:pPr>
                    <w:jc w:val="center"/>
                    <w:rPr>
                      <w:sz w:val="21"/>
                      <w:szCs w:val="21"/>
                    </w:rPr>
                  </w:pPr>
                  <w:r>
                    <w:rPr>
                      <w:sz w:val="21"/>
                      <w:szCs w:val="21"/>
                    </w:rPr>
                    <w:t>摊铺机</w:t>
                  </w:r>
                </w:p>
              </w:tc>
              <w:tc>
                <w:tcPr>
                  <w:tcW w:w="1284" w:type="dxa"/>
                  <w:vAlign w:val="center"/>
                </w:tcPr>
                <w:p>
                  <w:pPr>
                    <w:jc w:val="center"/>
                    <w:rPr>
                      <w:sz w:val="21"/>
                      <w:szCs w:val="21"/>
                    </w:rPr>
                  </w:pPr>
                  <w:r>
                    <w:rPr>
                      <w:sz w:val="21"/>
                      <w:szCs w:val="21"/>
                    </w:rPr>
                    <w:t>5</w:t>
                  </w:r>
                </w:p>
              </w:tc>
              <w:tc>
                <w:tcPr>
                  <w:tcW w:w="726" w:type="dxa"/>
                  <w:vAlign w:val="center"/>
                </w:tcPr>
                <w:p>
                  <w:pPr>
                    <w:jc w:val="center"/>
                    <w:rPr>
                      <w:sz w:val="21"/>
                      <w:szCs w:val="21"/>
                    </w:rPr>
                  </w:pPr>
                  <w:r>
                    <w:rPr>
                      <w:sz w:val="21"/>
                      <w:szCs w:val="21"/>
                    </w:rPr>
                    <w:t>82</w:t>
                  </w:r>
                </w:p>
              </w:tc>
              <w:tc>
                <w:tcPr>
                  <w:tcW w:w="709" w:type="dxa"/>
                  <w:vAlign w:val="center"/>
                </w:tcPr>
                <w:p>
                  <w:pPr>
                    <w:jc w:val="center"/>
                    <w:rPr>
                      <w:sz w:val="21"/>
                      <w:szCs w:val="21"/>
                    </w:rPr>
                  </w:pPr>
                  <w:r>
                    <w:rPr>
                      <w:sz w:val="21"/>
                      <w:szCs w:val="21"/>
                    </w:rPr>
                    <w:t>76</w:t>
                  </w:r>
                </w:p>
              </w:tc>
              <w:tc>
                <w:tcPr>
                  <w:tcW w:w="709" w:type="dxa"/>
                  <w:vAlign w:val="center"/>
                </w:tcPr>
                <w:p>
                  <w:pPr>
                    <w:jc w:val="center"/>
                    <w:rPr>
                      <w:sz w:val="21"/>
                      <w:szCs w:val="21"/>
                    </w:rPr>
                  </w:pPr>
                  <w:r>
                    <w:rPr>
                      <w:sz w:val="21"/>
                      <w:szCs w:val="21"/>
                    </w:rPr>
                    <w:t>70</w:t>
                  </w:r>
                </w:p>
              </w:tc>
              <w:tc>
                <w:tcPr>
                  <w:tcW w:w="709" w:type="dxa"/>
                  <w:vAlign w:val="center"/>
                </w:tcPr>
                <w:p>
                  <w:pPr>
                    <w:jc w:val="center"/>
                    <w:rPr>
                      <w:sz w:val="21"/>
                      <w:szCs w:val="21"/>
                    </w:rPr>
                  </w:pPr>
                  <w:r>
                    <w:rPr>
                      <w:sz w:val="21"/>
                      <w:szCs w:val="21"/>
                    </w:rPr>
                    <w:t>66.5</w:t>
                  </w:r>
                </w:p>
              </w:tc>
              <w:tc>
                <w:tcPr>
                  <w:tcW w:w="709" w:type="dxa"/>
                  <w:vAlign w:val="center"/>
                </w:tcPr>
                <w:p>
                  <w:pPr>
                    <w:jc w:val="center"/>
                    <w:rPr>
                      <w:sz w:val="21"/>
                      <w:szCs w:val="21"/>
                    </w:rPr>
                  </w:pPr>
                  <w:r>
                    <w:rPr>
                      <w:sz w:val="21"/>
                      <w:szCs w:val="21"/>
                    </w:rPr>
                    <w:t>62</w:t>
                  </w:r>
                </w:p>
              </w:tc>
              <w:tc>
                <w:tcPr>
                  <w:tcW w:w="709" w:type="dxa"/>
                  <w:vAlign w:val="center"/>
                </w:tcPr>
                <w:p>
                  <w:pPr>
                    <w:jc w:val="center"/>
                    <w:rPr>
                      <w:sz w:val="21"/>
                      <w:szCs w:val="21"/>
                    </w:rPr>
                  </w:pPr>
                  <w:r>
                    <w:rPr>
                      <w:sz w:val="21"/>
                      <w:szCs w:val="21"/>
                    </w:rPr>
                    <w:t>56</w:t>
                  </w:r>
                </w:p>
              </w:tc>
              <w:tc>
                <w:tcPr>
                  <w:tcW w:w="712" w:type="dxa"/>
                  <w:vAlign w:val="center"/>
                </w:tcPr>
                <w:p>
                  <w:pPr>
                    <w:jc w:val="center"/>
                    <w:rPr>
                      <w:sz w:val="21"/>
                      <w:szCs w:val="21"/>
                    </w:rPr>
                  </w:pPr>
                  <w:r>
                    <w:rPr>
                      <w:sz w:val="21"/>
                      <w:szCs w:val="21"/>
                    </w:rPr>
                    <w:t>52.5</w:t>
                  </w:r>
                </w:p>
              </w:tc>
            </w:tr>
          </w:tbl>
          <w:p>
            <w:pPr>
              <w:pStyle w:val="95"/>
              <w:spacing w:line="240" w:lineRule="auto"/>
              <w:rPr>
                <w:rFonts w:hAnsi="Times New Roman" w:cs="Times New Roman"/>
                <w:szCs w:val="24"/>
              </w:rPr>
            </w:pPr>
            <w:r>
              <w:rPr>
                <w:rFonts w:hAnsi="Times New Roman" w:cs="Times New Roman"/>
                <w:szCs w:val="24"/>
              </w:rPr>
              <w:t>由于施工机械声压级较高，施工时对施工现场及周围环境将产生一定影响，同时对现场施工人员、拟建道路沿线两侧居民的生活环境造成影响。</w:t>
            </w:r>
          </w:p>
          <w:p>
            <w:pPr>
              <w:pStyle w:val="95"/>
              <w:spacing w:line="240" w:lineRule="auto"/>
              <w:rPr>
                <w:rFonts w:hAnsi="Times New Roman" w:cs="Times New Roman"/>
                <w:szCs w:val="24"/>
              </w:rPr>
            </w:pPr>
            <w:r>
              <w:rPr>
                <w:rFonts w:hAnsi="Times New Roman" w:cs="Times New Roman"/>
                <w:szCs w:val="24"/>
              </w:rPr>
              <w:t>根据《建筑施工场界环境噪声排放标准》（GB12523-2011），项目主要施工设备噪声大部分超标。源强为90dB(A) 以上的噪声源距其50m以内的环境噪声预测值超标。由此可见，道路施工噪声对施工场地周围50m范围内的环境影响较大，本项目</w:t>
            </w:r>
            <w:r>
              <w:rPr>
                <w:rFonts w:hint="eastAsia" w:hAnsi="Times New Roman" w:cs="Times New Roman"/>
                <w:szCs w:val="24"/>
              </w:rPr>
              <w:t>北侧和西侧现均有居民</w:t>
            </w:r>
            <w:r>
              <w:rPr>
                <w:rFonts w:hAnsi="Times New Roman" w:cs="Times New Roman"/>
                <w:szCs w:val="24"/>
              </w:rPr>
              <w:t>，</w:t>
            </w:r>
            <w:r>
              <w:rPr>
                <w:rFonts w:hint="eastAsia" w:hAnsi="Times New Roman" w:cs="Times New Roman"/>
                <w:szCs w:val="24"/>
              </w:rPr>
              <w:t>施工单位应合理规划施工过程与高噪声设备和工艺的使用时间，避开居民休息、学习时间，禁止夜间（</w:t>
            </w:r>
            <w:r>
              <w:rPr>
                <w:rFonts w:hAnsi="Times New Roman" w:cs="Times New Roman"/>
                <w:szCs w:val="24"/>
              </w:rPr>
              <w:t>22</w:t>
            </w:r>
            <w:r>
              <w:rPr>
                <w:rFonts w:hint="eastAsia" w:hAnsi="Times New Roman" w:cs="Times New Roman"/>
                <w:szCs w:val="24"/>
              </w:rPr>
              <w:t>：</w:t>
            </w:r>
            <w:r>
              <w:rPr>
                <w:rFonts w:hAnsi="Times New Roman" w:cs="Times New Roman"/>
                <w:szCs w:val="24"/>
              </w:rPr>
              <w:t>00-</w:t>
            </w:r>
            <w:r>
              <w:rPr>
                <w:rFonts w:hint="eastAsia" w:hAnsi="Times New Roman" w:cs="Times New Roman"/>
                <w:szCs w:val="24"/>
              </w:rPr>
              <w:t>次日</w:t>
            </w:r>
            <w:r>
              <w:rPr>
                <w:rFonts w:hAnsi="Times New Roman" w:cs="Times New Roman"/>
                <w:szCs w:val="24"/>
              </w:rPr>
              <w:t>6</w:t>
            </w:r>
            <w:r>
              <w:rPr>
                <w:rFonts w:hint="eastAsia" w:hAnsi="Times New Roman" w:cs="Times New Roman"/>
                <w:szCs w:val="24"/>
              </w:rPr>
              <w:t>：</w:t>
            </w:r>
            <w:r>
              <w:rPr>
                <w:rFonts w:hAnsi="Times New Roman" w:cs="Times New Roman"/>
                <w:szCs w:val="24"/>
              </w:rPr>
              <w:t>00</w:t>
            </w:r>
            <w:r>
              <w:rPr>
                <w:rFonts w:hint="eastAsia" w:hAnsi="Times New Roman" w:cs="Times New Roman"/>
                <w:szCs w:val="24"/>
              </w:rPr>
              <w:t>）施工，以减轻施工噪声对各敏感点的影响。</w:t>
            </w:r>
          </w:p>
          <w:p>
            <w:pPr>
              <w:pStyle w:val="95"/>
              <w:spacing w:line="240" w:lineRule="auto"/>
              <w:rPr>
                <w:rFonts w:hAnsi="Times New Roman" w:cs="Times New Roman"/>
                <w:szCs w:val="24"/>
              </w:rPr>
            </w:pPr>
            <w:r>
              <w:rPr>
                <w:rFonts w:hAnsi="Times New Roman" w:cs="Times New Roman"/>
                <w:szCs w:val="24"/>
              </w:rPr>
              <w:t>相对于营运期来说，施工期的噪声具有无规则、强度大的特点，对于某一时间段、某一区域的暂时性突出。随着施工活动的结束，施工噪声也就随之结束。但是施工期噪声对周围声环境的影响较大，超标较为严重，将干扰附近居民生活的安静环境，并有可能产等不良现象。为了避免该类事情的发生，该项目的施工单位必须对施工噪声产生的危害性引起足够的重视，必须严格禁止夜间施工，并严格采取措施，最大限度地降低施工噪声对环境保护目标的影响，争取项目沿线敏感点居民的谅解。</w:t>
            </w:r>
          </w:p>
          <w:p>
            <w:pPr>
              <w:pStyle w:val="95"/>
              <w:spacing w:line="240" w:lineRule="auto"/>
              <w:ind w:firstLine="482"/>
              <w:rPr>
                <w:rFonts w:hAnsi="Times New Roman" w:cs="Times New Roman"/>
                <w:b/>
                <w:szCs w:val="24"/>
              </w:rPr>
            </w:pPr>
            <w:r>
              <w:rPr>
                <w:rFonts w:hint="eastAsia" w:hAnsi="Times New Roman" w:cs="Times New Roman"/>
                <w:b/>
                <w:szCs w:val="24"/>
              </w:rPr>
              <w:t>四</w:t>
            </w:r>
            <w:r>
              <w:rPr>
                <w:rFonts w:hAnsi="Times New Roman" w:cs="Times New Roman"/>
                <w:b/>
                <w:szCs w:val="24"/>
              </w:rPr>
              <w:t>、固体废物影响分析</w:t>
            </w:r>
          </w:p>
          <w:p>
            <w:pPr>
              <w:ind w:firstLine="480" w:firstLineChars="200"/>
              <w:rPr>
                <w:sz w:val="24"/>
              </w:rPr>
            </w:pPr>
            <w:r>
              <w:rPr>
                <w:sz w:val="24"/>
              </w:rPr>
              <w:t>施工期产生的路基清表。施工过程中产生的临时堆放土方、外运土方、表层土等固体废物的临时堆放对环境的影响主要表现在雨季防护不当造成水土流失的发生，起风时干燥土方可能会因防护不当起尘，影响大气环境。针对这些影响，需要采取必要的防护措施，包括临时堆场的防护措施如：修筑临时堆渣场围挡、四周开挖边沟防止水土流失、覆盖篷布等防护物资。</w:t>
            </w:r>
          </w:p>
          <w:p>
            <w:pPr>
              <w:ind w:firstLine="480" w:firstLineChars="200"/>
              <w:rPr>
                <w:sz w:val="24"/>
              </w:rPr>
            </w:pPr>
            <w:r>
              <w:rPr>
                <w:rFonts w:hint="eastAsia"/>
                <w:sz w:val="24"/>
              </w:rPr>
              <w:t>本项目的</w:t>
            </w:r>
            <w:r>
              <w:rPr>
                <w:sz w:val="24"/>
              </w:rPr>
              <w:t>建筑垃圾</w:t>
            </w:r>
            <w:r>
              <w:rPr>
                <w:rFonts w:hint="eastAsia"/>
                <w:sz w:val="24"/>
              </w:rPr>
              <w:t>主要为</w:t>
            </w:r>
            <w:r>
              <w:rPr>
                <w:sz w:val="24"/>
              </w:rPr>
              <w:t>清理场地阶段</w:t>
            </w:r>
            <w:r>
              <w:rPr>
                <w:rFonts w:hint="eastAsia"/>
                <w:sz w:val="24"/>
              </w:rPr>
              <w:t>产生的建筑垃圾及</w:t>
            </w:r>
            <w:r>
              <w:rPr>
                <w:sz w:val="24"/>
              </w:rPr>
              <w:t>杂草树木，</w:t>
            </w:r>
            <w:r>
              <w:rPr>
                <w:rFonts w:hint="eastAsia"/>
                <w:sz w:val="24"/>
              </w:rPr>
              <w:t>以及</w:t>
            </w:r>
            <w:r>
              <w:rPr>
                <w:sz w:val="24"/>
              </w:rPr>
              <w:t>剩余的筑路材料</w:t>
            </w:r>
            <w:r>
              <w:rPr>
                <w:rFonts w:hint="eastAsia"/>
                <w:sz w:val="24"/>
              </w:rPr>
              <w:t>，</w:t>
            </w:r>
            <w:r>
              <w:rPr>
                <w:sz w:val="24"/>
              </w:rPr>
              <w:t>包括石料、砂、石灰、水泥、钢材、木料、预制构件等。</w:t>
            </w:r>
            <w:r>
              <w:rPr>
                <w:rFonts w:hint="eastAsia"/>
                <w:sz w:val="24"/>
              </w:rPr>
              <w:t>为</w:t>
            </w:r>
            <w:r>
              <w:rPr>
                <w:sz w:val="24"/>
              </w:rPr>
              <w:t>减轻建筑垃圾对环境的影响</w:t>
            </w:r>
            <w:r>
              <w:rPr>
                <w:rFonts w:hint="eastAsia"/>
                <w:sz w:val="24"/>
              </w:rPr>
              <w:t>，</w:t>
            </w:r>
            <w:r>
              <w:rPr>
                <w:sz w:val="24"/>
              </w:rPr>
              <w:t>对施工的建筑垃圾尽量做到回用，若不能回用，</w:t>
            </w:r>
            <w:r>
              <w:rPr>
                <w:rFonts w:hint="eastAsia"/>
                <w:sz w:val="24"/>
              </w:rPr>
              <w:t>委托有资质的渣土公司处理</w:t>
            </w:r>
            <w:r>
              <w:rPr>
                <w:sz w:val="24"/>
              </w:rPr>
              <w:t>。</w:t>
            </w:r>
          </w:p>
          <w:p>
            <w:pPr>
              <w:ind w:firstLine="480" w:firstLineChars="200"/>
              <w:rPr>
                <w:sz w:val="24"/>
              </w:rPr>
            </w:pPr>
            <w:r>
              <w:rPr>
                <w:rFonts w:hint="eastAsia"/>
                <w:sz w:val="24"/>
              </w:rPr>
              <w:t>生活垃圾应定点收集，集中管理，定期由环卫部门统一清运。</w:t>
            </w:r>
          </w:p>
          <w:p>
            <w:pPr>
              <w:ind w:firstLine="480" w:firstLineChars="200"/>
              <w:rPr>
                <w:sz w:val="24"/>
              </w:rPr>
            </w:pPr>
            <w:r>
              <w:rPr>
                <w:rFonts w:hint="eastAsia"/>
                <w:sz w:val="24"/>
              </w:rPr>
              <w:t>采取上述措施后，施工期固体废物均能得到合理处置，对外环境影响较小。</w:t>
            </w:r>
          </w:p>
          <w:p>
            <w:pPr>
              <w:pStyle w:val="95"/>
              <w:spacing w:line="240" w:lineRule="auto"/>
              <w:ind w:firstLine="482"/>
              <w:rPr>
                <w:rFonts w:hAnsi="Times New Roman" w:cs="Times New Roman"/>
                <w:b/>
              </w:rPr>
            </w:pPr>
            <w:r>
              <w:rPr>
                <w:rFonts w:hint="eastAsia" w:hAnsi="Times New Roman" w:cs="Times New Roman"/>
                <w:b/>
                <w:lang w:eastAsia="zh-CN"/>
              </w:rPr>
              <w:t>六</w:t>
            </w:r>
            <w:r>
              <w:rPr>
                <w:rFonts w:hAnsi="Times New Roman" w:cs="Times New Roman"/>
                <w:b/>
              </w:rPr>
              <w:t>、施工期环境保护措施</w:t>
            </w:r>
          </w:p>
          <w:p>
            <w:pPr>
              <w:pStyle w:val="95"/>
              <w:spacing w:line="240" w:lineRule="auto"/>
              <w:ind w:firstLine="482"/>
              <w:rPr>
                <w:rFonts w:hAnsi="Times New Roman" w:cs="Times New Roman"/>
                <w:b/>
              </w:rPr>
            </w:pPr>
            <w:r>
              <w:rPr>
                <w:rFonts w:hint="eastAsia" w:hAnsi="Times New Roman" w:cs="Times New Roman"/>
                <w:b/>
              </w:rPr>
              <w:t>1、</w:t>
            </w:r>
            <w:r>
              <w:rPr>
                <w:rFonts w:hAnsi="Times New Roman" w:cs="Times New Roman"/>
                <w:b/>
              </w:rPr>
              <w:t>施工期环境空气保护措施</w:t>
            </w:r>
          </w:p>
          <w:p>
            <w:pPr>
              <w:tabs>
                <w:tab w:val="left" w:pos="1900"/>
              </w:tabs>
              <w:ind w:firstLine="480" w:firstLineChars="200"/>
              <w:rPr>
                <w:sz w:val="24"/>
                <w:u w:val="none"/>
              </w:rPr>
            </w:pPr>
            <w:r>
              <w:rPr>
                <w:sz w:val="24"/>
                <w:u w:val="none"/>
              </w:rPr>
              <w:t>（1）施工单位扬尘污染控制区(保洁责任区）的范围</w:t>
            </w:r>
          </w:p>
          <w:p>
            <w:pPr>
              <w:tabs>
                <w:tab w:val="left" w:pos="1900"/>
              </w:tabs>
              <w:ind w:firstLine="480" w:firstLineChars="200"/>
              <w:rPr>
                <w:sz w:val="24"/>
                <w:u w:val="none"/>
              </w:rPr>
            </w:pPr>
            <w:r>
              <w:rPr>
                <w:sz w:val="24"/>
                <w:u w:val="none"/>
              </w:rPr>
              <w:t>应根据施工扬尘影响情况确定，一般设在施工工地周围20米范围内。</w:t>
            </w:r>
          </w:p>
          <w:p>
            <w:pPr>
              <w:tabs>
                <w:tab w:val="left" w:pos="1900"/>
              </w:tabs>
              <w:ind w:firstLine="480" w:firstLineChars="200"/>
              <w:rPr>
                <w:sz w:val="24"/>
                <w:u w:val="none"/>
              </w:rPr>
            </w:pPr>
            <w:r>
              <w:rPr>
                <w:sz w:val="24"/>
                <w:u w:val="none"/>
              </w:rPr>
              <w:t>（2）设置施工环境保护标志牌，落实施工扬尘控制管理人员</w:t>
            </w:r>
          </w:p>
          <w:p>
            <w:pPr>
              <w:tabs>
                <w:tab w:val="left" w:pos="1900"/>
              </w:tabs>
              <w:ind w:firstLine="480" w:firstLineChars="200"/>
              <w:rPr>
                <w:sz w:val="24"/>
                <w:u w:val="none"/>
              </w:rPr>
            </w:pPr>
            <w:r>
              <w:rPr>
                <w:sz w:val="24"/>
                <w:u w:val="none"/>
              </w:rPr>
              <w:t>施工单位应根据《株洲市建筑施工防治扬尘污染责任书》的规定规格和内容设置项目施工环境保护标志牌，内容包括：建设单位、施工单位、工期、防治扬尘污染现场管理人员名单、监督电话牌及有关防尘措施等。</w:t>
            </w:r>
          </w:p>
          <w:p>
            <w:pPr>
              <w:tabs>
                <w:tab w:val="left" w:pos="1900"/>
              </w:tabs>
              <w:ind w:firstLine="480" w:firstLineChars="200"/>
              <w:rPr>
                <w:sz w:val="24"/>
                <w:u w:val="none"/>
              </w:rPr>
            </w:pPr>
            <w:r>
              <w:rPr>
                <w:sz w:val="24"/>
                <w:u w:val="none"/>
              </w:rPr>
              <w:t>本项目根据施工工期、阶段和进度，整个施工期必须设专职保洁员4人。</w:t>
            </w:r>
          </w:p>
          <w:p>
            <w:pPr>
              <w:tabs>
                <w:tab w:val="left" w:pos="1900"/>
              </w:tabs>
              <w:ind w:firstLine="480" w:firstLineChars="200"/>
              <w:rPr>
                <w:sz w:val="24"/>
                <w:u w:val="none"/>
              </w:rPr>
            </w:pPr>
            <w:r>
              <w:rPr>
                <w:sz w:val="24"/>
                <w:u w:val="none"/>
              </w:rPr>
              <w:t>主要职责：车辆进出场冲洗、项目施工场地洒水降尘、场内裸露堆场覆盖、场内裸露地面覆盖、道路冲洗清扫及日常扬尘控制管理。</w:t>
            </w:r>
          </w:p>
          <w:p>
            <w:pPr>
              <w:tabs>
                <w:tab w:val="left" w:pos="1900"/>
              </w:tabs>
              <w:ind w:firstLine="480" w:firstLineChars="200"/>
              <w:rPr>
                <w:sz w:val="24"/>
                <w:u w:val="none"/>
              </w:rPr>
            </w:pPr>
            <w:r>
              <w:rPr>
                <w:sz w:val="24"/>
                <w:u w:val="none"/>
              </w:rPr>
              <w:t>（3）</w:t>
            </w:r>
            <w:r>
              <w:rPr>
                <w:rFonts w:hint="eastAsia"/>
                <w:sz w:val="24"/>
                <w:u w:val="none"/>
              </w:rPr>
              <w:t>按照《株洲市人民政府办公室关于印发株洲市城区扬尘污染防治管理试行办法的通知》的要求，施工单位应当对施工现场设置高度不得低于1.8m 的封闭围挡。工程脚手架外侧必须使用密目式安全网进行封闭。施工现场堆放砂、石等散体物料，应当设置高度不低于50cm 的堆放池。施工现场产生的余土，应当设置高度不低于30cm的堆放池集中堆放，堆放地点不得靠近围档，堆放高度不得超过 2m，并应当采取覆盖、固化或者绿化措施。</w:t>
            </w:r>
          </w:p>
          <w:p>
            <w:pPr>
              <w:tabs>
                <w:tab w:val="left" w:pos="1900"/>
              </w:tabs>
              <w:ind w:firstLine="480" w:firstLineChars="200"/>
              <w:rPr>
                <w:sz w:val="24"/>
                <w:u w:val="none"/>
              </w:rPr>
            </w:pPr>
            <w:r>
              <w:rPr>
                <w:sz w:val="24"/>
                <w:u w:val="none"/>
              </w:rPr>
              <w:t>（4）施工场地洒水</w:t>
            </w:r>
          </w:p>
          <w:p>
            <w:pPr>
              <w:tabs>
                <w:tab w:val="left" w:pos="1900"/>
              </w:tabs>
              <w:ind w:firstLine="480" w:firstLineChars="200"/>
              <w:rPr>
                <w:sz w:val="24"/>
                <w:u w:val="none"/>
              </w:rPr>
            </w:pPr>
            <w:r>
              <w:rPr>
                <w:sz w:val="24"/>
                <w:u w:val="none"/>
              </w:rPr>
              <w:t>场地内施工区采用人力洒水车或水枪洒水，辅以洒水压尘，尽量缩短起尘操作时间。遇到四级或四级以上大风天气，应停止土方作业，同时作业处覆以防尘网。</w:t>
            </w:r>
          </w:p>
          <w:p>
            <w:pPr>
              <w:tabs>
                <w:tab w:val="left" w:pos="1900"/>
              </w:tabs>
              <w:ind w:firstLine="480" w:firstLineChars="200"/>
              <w:rPr>
                <w:sz w:val="24"/>
                <w:u w:val="none"/>
              </w:rPr>
            </w:pPr>
            <w:r>
              <w:rPr>
                <w:sz w:val="24"/>
                <w:u w:val="none"/>
              </w:rPr>
              <w:t>施工场地洒水、保洁频次应根据季节气候变化及空气污染情况进行调整，晴朗天气时，当空气污染指数大于100时不许土方作业和人工干扫。在空气污染指数80-100时应每隔4个小时保洁一次，洒水与清扫交替使用。当空气污染指数大于100时，应加密保洁。当空气污染指数低于50时，可以在保持清洁的前提下适度降低保洁强度。</w:t>
            </w:r>
          </w:p>
          <w:p>
            <w:pPr>
              <w:pStyle w:val="95"/>
              <w:spacing w:line="240" w:lineRule="auto"/>
              <w:rPr>
                <w:rFonts w:hAnsi="Times New Roman" w:cs="Times New Roman"/>
                <w:szCs w:val="24"/>
                <w:u w:val="none"/>
              </w:rPr>
            </w:pPr>
            <w:r>
              <w:rPr>
                <w:rFonts w:hint="eastAsia"/>
                <w:u w:val="none"/>
              </w:rPr>
              <w:t>在项目施工场地、主要运输路段设置雾炮机，进行扬尘控制。同时要求施工期在建设工地安装扬尘在线监测装置。</w:t>
            </w:r>
          </w:p>
          <w:p>
            <w:pPr>
              <w:tabs>
                <w:tab w:val="left" w:pos="1900"/>
              </w:tabs>
              <w:ind w:firstLine="480" w:firstLineChars="200"/>
              <w:rPr>
                <w:sz w:val="24"/>
                <w:u w:val="none"/>
              </w:rPr>
            </w:pPr>
            <w:r>
              <w:rPr>
                <w:sz w:val="24"/>
                <w:u w:val="none"/>
              </w:rPr>
              <w:t>（5）项目渣土堆、裸地防尘措施</w:t>
            </w:r>
          </w:p>
          <w:p>
            <w:pPr>
              <w:tabs>
                <w:tab w:val="left" w:pos="1900"/>
              </w:tabs>
              <w:ind w:firstLine="480" w:firstLineChars="200"/>
              <w:rPr>
                <w:sz w:val="24"/>
                <w:u w:val="none"/>
              </w:rPr>
            </w:pPr>
            <w:r>
              <w:rPr>
                <w:sz w:val="24"/>
                <w:u w:val="none"/>
              </w:rPr>
              <w:t>A、短期（3个月内，以土地平整、基坑开挖为主）</w:t>
            </w:r>
          </w:p>
          <w:p>
            <w:pPr>
              <w:tabs>
                <w:tab w:val="left" w:pos="1900"/>
              </w:tabs>
              <w:ind w:firstLine="480" w:firstLineChars="200"/>
              <w:rPr>
                <w:sz w:val="24"/>
                <w:u w:val="none"/>
              </w:rPr>
            </w:pPr>
            <w:r>
              <w:rPr>
                <w:sz w:val="24"/>
                <w:u w:val="none"/>
              </w:rPr>
              <w:t>工程渣土在48小时内不能完成清运的，必须设置临时堆放场，并采取围挡、覆盖等防尘措施。</w:t>
            </w:r>
          </w:p>
          <w:p>
            <w:pPr>
              <w:tabs>
                <w:tab w:val="left" w:pos="1900"/>
              </w:tabs>
              <w:ind w:firstLine="480" w:firstLineChars="200"/>
              <w:rPr>
                <w:sz w:val="24"/>
                <w:u w:val="none"/>
              </w:rPr>
            </w:pPr>
            <w:r>
              <w:rPr>
                <w:sz w:val="24"/>
                <w:u w:val="none"/>
              </w:rPr>
              <w:t>暴露时间在3个月以内的渣土堆、开挖及平整后裸地应使用定期喷水压尘或定期喷涂凝固剂和使用防尘布或铺设礁渣、细石或其他功能相当的材料覆盖等方式防尘。</w:t>
            </w:r>
          </w:p>
          <w:p>
            <w:pPr>
              <w:tabs>
                <w:tab w:val="left" w:pos="1900"/>
              </w:tabs>
              <w:ind w:firstLine="480" w:firstLineChars="200"/>
              <w:rPr>
                <w:sz w:val="24"/>
                <w:u w:val="none"/>
              </w:rPr>
            </w:pPr>
            <w:r>
              <w:rPr>
                <w:sz w:val="24"/>
                <w:u w:val="none"/>
              </w:rPr>
              <w:t>晴朗天气时使用定期喷水压尘，视情况每天洒水二至六次，扬尘严重时应加大洒水。</w:t>
            </w:r>
          </w:p>
          <w:p>
            <w:pPr>
              <w:tabs>
                <w:tab w:val="left" w:pos="1900"/>
              </w:tabs>
              <w:ind w:firstLine="480" w:firstLineChars="200"/>
              <w:rPr>
                <w:sz w:val="24"/>
                <w:u w:val="none"/>
              </w:rPr>
            </w:pPr>
            <w:r>
              <w:rPr>
                <w:sz w:val="24"/>
                <w:u w:val="none"/>
              </w:rPr>
              <w:t>B、中期（3个月以上至主体工程竣工，包含基础施工、主体施工）</w:t>
            </w:r>
          </w:p>
          <w:p>
            <w:pPr>
              <w:tabs>
                <w:tab w:val="left" w:pos="1900"/>
              </w:tabs>
              <w:ind w:firstLine="480" w:firstLineChars="200"/>
              <w:rPr>
                <w:sz w:val="24"/>
                <w:u w:val="none"/>
              </w:rPr>
            </w:pPr>
            <w:r>
              <w:rPr>
                <w:sz w:val="24"/>
                <w:u w:val="none"/>
              </w:rPr>
              <w:t>暴露时间在3个月以上至主体工程竣工的渣土堆、开挖及平整后暂不施工裸地应使用防尘布覆盖或铺设礁渣、细石或其他功能相当的材料覆盖和简易绿化等方式防尘。</w:t>
            </w:r>
          </w:p>
          <w:p>
            <w:pPr>
              <w:tabs>
                <w:tab w:val="left" w:pos="1900"/>
              </w:tabs>
              <w:ind w:firstLine="480" w:firstLineChars="200"/>
              <w:rPr>
                <w:sz w:val="24"/>
                <w:u w:val="none"/>
              </w:rPr>
            </w:pPr>
            <w:r>
              <w:rPr>
                <w:sz w:val="24"/>
                <w:u w:val="none"/>
              </w:rPr>
              <w:t>C、长期（主体工程竣工以后，包含道路配套附属工程）</w:t>
            </w:r>
          </w:p>
          <w:p>
            <w:pPr>
              <w:tabs>
                <w:tab w:val="left" w:pos="1900"/>
              </w:tabs>
              <w:ind w:firstLine="480" w:firstLineChars="200"/>
              <w:rPr>
                <w:sz w:val="24"/>
                <w:u w:val="none"/>
              </w:rPr>
            </w:pPr>
            <w:r>
              <w:rPr>
                <w:sz w:val="24"/>
                <w:u w:val="none"/>
              </w:rPr>
              <w:t>项目主体工程建筑施工完工后，应在30天内完成渣土清理和绿化、硬化防尘措施，裸地必须按照《城市绿化条例》、《株洲市城市绿线管理条例》相关规定采用草皮、植被全面绿化覆盖，工程竣工验收时不得有裸地。</w:t>
            </w:r>
          </w:p>
          <w:p>
            <w:pPr>
              <w:tabs>
                <w:tab w:val="left" w:pos="1900"/>
              </w:tabs>
              <w:ind w:firstLine="480" w:firstLineChars="200"/>
              <w:rPr>
                <w:sz w:val="24"/>
                <w:u w:val="none"/>
              </w:rPr>
            </w:pPr>
            <w:r>
              <w:rPr>
                <w:sz w:val="24"/>
                <w:u w:val="none"/>
              </w:rPr>
              <w:t>本项目不同时期的渣土堆、裸地防尘措施如下表</w:t>
            </w:r>
            <w:r>
              <w:rPr>
                <w:rFonts w:hint="eastAsia"/>
                <w:sz w:val="24"/>
                <w:u w:val="none"/>
              </w:rPr>
              <w:t>。</w:t>
            </w:r>
          </w:p>
          <w:p>
            <w:pPr>
              <w:pStyle w:val="95"/>
              <w:spacing w:line="240" w:lineRule="auto"/>
              <w:ind w:firstLine="0" w:firstLineChars="0"/>
              <w:jc w:val="center"/>
              <w:rPr>
                <w:rFonts w:hAnsi="Times New Roman" w:cs="Times New Roman"/>
                <w:b/>
                <w:szCs w:val="24"/>
                <w:u w:val="none"/>
              </w:rPr>
            </w:pPr>
            <w:r>
              <w:rPr>
                <w:rFonts w:hAnsi="Times New Roman" w:cs="Times New Roman"/>
                <w:b/>
                <w:szCs w:val="24"/>
                <w:u w:val="none"/>
              </w:rPr>
              <w:t>表</w:t>
            </w:r>
            <w:r>
              <w:rPr>
                <w:rFonts w:hint="eastAsia" w:hAnsi="Times New Roman" w:cs="Times New Roman"/>
                <w:b/>
                <w:szCs w:val="24"/>
                <w:u w:val="none"/>
                <w:lang w:val="en-US" w:eastAsia="zh-CN"/>
              </w:rPr>
              <w:t>7-6</w:t>
            </w:r>
            <w:r>
              <w:rPr>
                <w:rFonts w:hAnsi="Times New Roman" w:cs="Times New Roman"/>
                <w:b/>
                <w:szCs w:val="24"/>
                <w:u w:val="none"/>
              </w:rPr>
              <w:t xml:space="preserve">   本项目渣土堆、裸地防尘措施</w:t>
            </w:r>
          </w:p>
          <w:tbl>
            <w:tblPr>
              <w:tblStyle w:val="43"/>
              <w:tblW w:w="90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3226"/>
              <w:gridCol w:w="4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24" w:type="dxa"/>
                  <w:vAlign w:val="center"/>
                </w:tcPr>
                <w:p>
                  <w:pPr>
                    <w:pStyle w:val="95"/>
                    <w:spacing w:line="240" w:lineRule="auto"/>
                    <w:ind w:firstLine="0" w:firstLineChars="0"/>
                    <w:jc w:val="center"/>
                    <w:rPr>
                      <w:rFonts w:hAnsi="Times New Roman"/>
                      <w:sz w:val="21"/>
                      <w:szCs w:val="21"/>
                      <w:u w:val="none"/>
                    </w:rPr>
                  </w:pPr>
                  <w:r>
                    <w:rPr>
                      <w:rFonts w:hint="eastAsia" w:hAnsi="Times New Roman"/>
                      <w:sz w:val="21"/>
                      <w:szCs w:val="21"/>
                      <w:u w:val="none"/>
                    </w:rPr>
                    <w:t>时段</w:t>
                  </w:r>
                </w:p>
              </w:tc>
              <w:tc>
                <w:tcPr>
                  <w:tcW w:w="3226" w:type="dxa"/>
                  <w:vAlign w:val="center"/>
                </w:tcPr>
                <w:p>
                  <w:pPr>
                    <w:pStyle w:val="95"/>
                    <w:spacing w:line="240" w:lineRule="auto"/>
                    <w:ind w:firstLine="0" w:firstLineChars="0"/>
                    <w:jc w:val="center"/>
                    <w:rPr>
                      <w:rFonts w:hAnsi="Times New Roman"/>
                      <w:sz w:val="21"/>
                      <w:szCs w:val="21"/>
                      <w:u w:val="none"/>
                    </w:rPr>
                  </w:pPr>
                  <w:r>
                    <w:rPr>
                      <w:rFonts w:hint="eastAsia" w:hAnsi="Times New Roman"/>
                      <w:sz w:val="21"/>
                      <w:szCs w:val="21"/>
                      <w:u w:val="none"/>
                    </w:rPr>
                    <w:t>施工阶段</w:t>
                  </w:r>
                </w:p>
              </w:tc>
              <w:tc>
                <w:tcPr>
                  <w:tcW w:w="4713" w:type="dxa"/>
                  <w:vAlign w:val="center"/>
                </w:tcPr>
                <w:p>
                  <w:pPr>
                    <w:pStyle w:val="95"/>
                    <w:spacing w:line="240" w:lineRule="auto"/>
                    <w:ind w:firstLine="0" w:firstLineChars="0"/>
                    <w:jc w:val="center"/>
                    <w:rPr>
                      <w:rFonts w:hAnsi="Times New Roman"/>
                      <w:sz w:val="21"/>
                      <w:szCs w:val="21"/>
                      <w:u w:val="none"/>
                    </w:rPr>
                  </w:pPr>
                  <w:r>
                    <w:rPr>
                      <w:rFonts w:hint="eastAsia" w:hAnsi="Times New Roman"/>
                      <w:sz w:val="21"/>
                      <w:szCs w:val="21"/>
                      <w:u w:val="none"/>
                    </w:rPr>
                    <w:t>主要防尘措施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24" w:type="dxa"/>
                  <w:vMerge w:val="restart"/>
                  <w:vAlign w:val="center"/>
                </w:tcPr>
                <w:p>
                  <w:pPr>
                    <w:pStyle w:val="95"/>
                    <w:spacing w:line="240" w:lineRule="auto"/>
                    <w:ind w:firstLine="0" w:firstLineChars="0"/>
                    <w:jc w:val="center"/>
                    <w:rPr>
                      <w:rFonts w:hAnsi="Times New Roman"/>
                      <w:sz w:val="21"/>
                      <w:szCs w:val="21"/>
                      <w:u w:val="none"/>
                    </w:rPr>
                  </w:pPr>
                  <w:r>
                    <w:rPr>
                      <w:rFonts w:hint="eastAsia" w:hAnsi="Times New Roman"/>
                      <w:sz w:val="21"/>
                      <w:szCs w:val="21"/>
                      <w:u w:val="none"/>
                    </w:rPr>
                    <w:t>短期</w:t>
                  </w:r>
                </w:p>
              </w:tc>
              <w:tc>
                <w:tcPr>
                  <w:tcW w:w="3226" w:type="dxa"/>
                  <w:vAlign w:val="center"/>
                </w:tcPr>
                <w:p>
                  <w:pPr>
                    <w:pStyle w:val="95"/>
                    <w:spacing w:line="240" w:lineRule="auto"/>
                    <w:ind w:firstLine="0" w:firstLineChars="0"/>
                    <w:jc w:val="center"/>
                    <w:rPr>
                      <w:rFonts w:hAnsi="Times New Roman"/>
                      <w:sz w:val="21"/>
                      <w:szCs w:val="21"/>
                      <w:u w:val="none"/>
                    </w:rPr>
                  </w:pPr>
                  <w:r>
                    <w:rPr>
                      <w:rFonts w:hint="eastAsia" w:hAnsi="Times New Roman"/>
                      <w:sz w:val="21"/>
                      <w:szCs w:val="21"/>
                      <w:u w:val="none"/>
                    </w:rPr>
                    <w:t>土地平整及路基工程</w:t>
                  </w:r>
                </w:p>
              </w:tc>
              <w:tc>
                <w:tcPr>
                  <w:tcW w:w="4713" w:type="dxa"/>
                  <w:vAlign w:val="center"/>
                </w:tcPr>
                <w:p>
                  <w:pPr>
                    <w:pStyle w:val="95"/>
                    <w:spacing w:line="240" w:lineRule="auto"/>
                    <w:ind w:firstLine="0" w:firstLineChars="0"/>
                    <w:jc w:val="center"/>
                    <w:rPr>
                      <w:rFonts w:hAnsi="Times New Roman"/>
                      <w:sz w:val="21"/>
                      <w:szCs w:val="21"/>
                      <w:u w:val="none"/>
                    </w:rPr>
                  </w:pPr>
                  <w:r>
                    <w:rPr>
                      <w:rFonts w:hint="eastAsia" w:hAnsi="Times New Roman"/>
                      <w:sz w:val="21"/>
                      <w:szCs w:val="21"/>
                      <w:u w:val="none"/>
                    </w:rPr>
                    <w:t>喷水洒水、压尘，辅以局部硬化、防尘布覆盖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24" w:type="dxa"/>
                  <w:vMerge w:val="continue"/>
                  <w:vAlign w:val="center"/>
                </w:tcPr>
                <w:p>
                  <w:pPr>
                    <w:pStyle w:val="95"/>
                    <w:spacing w:line="240" w:lineRule="auto"/>
                    <w:ind w:firstLine="0" w:firstLineChars="0"/>
                    <w:jc w:val="center"/>
                    <w:rPr>
                      <w:rFonts w:hAnsi="Times New Roman"/>
                      <w:sz w:val="21"/>
                      <w:szCs w:val="21"/>
                      <w:u w:val="none"/>
                    </w:rPr>
                  </w:pPr>
                </w:p>
              </w:tc>
              <w:tc>
                <w:tcPr>
                  <w:tcW w:w="3226" w:type="dxa"/>
                  <w:vAlign w:val="center"/>
                </w:tcPr>
                <w:p>
                  <w:pPr>
                    <w:pStyle w:val="95"/>
                    <w:spacing w:line="240" w:lineRule="auto"/>
                    <w:ind w:firstLine="0" w:firstLineChars="0"/>
                    <w:jc w:val="center"/>
                    <w:rPr>
                      <w:rFonts w:hAnsi="Times New Roman"/>
                      <w:sz w:val="21"/>
                      <w:szCs w:val="21"/>
                      <w:u w:val="none"/>
                    </w:rPr>
                  </w:pPr>
                  <w:r>
                    <w:rPr>
                      <w:rFonts w:hint="eastAsia" w:hAnsi="Times New Roman"/>
                      <w:sz w:val="21"/>
                      <w:szCs w:val="21"/>
                      <w:u w:val="none"/>
                    </w:rPr>
                    <w:t>渣土临时堆场</w:t>
                  </w:r>
                </w:p>
              </w:tc>
              <w:tc>
                <w:tcPr>
                  <w:tcW w:w="4713" w:type="dxa"/>
                  <w:vAlign w:val="center"/>
                </w:tcPr>
                <w:p>
                  <w:pPr>
                    <w:pStyle w:val="95"/>
                    <w:spacing w:line="240" w:lineRule="auto"/>
                    <w:ind w:firstLine="0" w:firstLineChars="0"/>
                    <w:jc w:val="center"/>
                    <w:rPr>
                      <w:rFonts w:hAnsi="Times New Roman"/>
                      <w:sz w:val="21"/>
                      <w:szCs w:val="21"/>
                      <w:u w:val="none"/>
                    </w:rPr>
                  </w:pPr>
                  <w:r>
                    <w:rPr>
                      <w:rFonts w:hint="eastAsia" w:hAnsi="Times New Roman"/>
                      <w:sz w:val="21"/>
                      <w:szCs w:val="21"/>
                      <w:u w:val="none"/>
                    </w:rPr>
                    <w:t>围挡、喷水洒水、压尘，防尘布覆盖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24" w:type="dxa"/>
                  <w:vAlign w:val="center"/>
                </w:tcPr>
                <w:p>
                  <w:pPr>
                    <w:pStyle w:val="95"/>
                    <w:spacing w:line="240" w:lineRule="auto"/>
                    <w:ind w:firstLine="0" w:firstLineChars="0"/>
                    <w:jc w:val="center"/>
                    <w:rPr>
                      <w:rFonts w:hAnsi="Times New Roman"/>
                      <w:sz w:val="21"/>
                      <w:szCs w:val="21"/>
                      <w:u w:val="none"/>
                    </w:rPr>
                  </w:pPr>
                  <w:r>
                    <w:rPr>
                      <w:rFonts w:hint="eastAsia" w:hAnsi="Times New Roman"/>
                      <w:sz w:val="21"/>
                      <w:szCs w:val="21"/>
                      <w:u w:val="none"/>
                    </w:rPr>
                    <w:t>中期</w:t>
                  </w:r>
                </w:p>
              </w:tc>
              <w:tc>
                <w:tcPr>
                  <w:tcW w:w="3226" w:type="dxa"/>
                  <w:vAlign w:val="center"/>
                </w:tcPr>
                <w:p>
                  <w:pPr>
                    <w:pStyle w:val="95"/>
                    <w:spacing w:line="240" w:lineRule="auto"/>
                    <w:ind w:firstLine="0" w:firstLineChars="0"/>
                    <w:jc w:val="center"/>
                    <w:rPr>
                      <w:rFonts w:hAnsi="Times New Roman"/>
                      <w:sz w:val="21"/>
                      <w:szCs w:val="21"/>
                      <w:u w:val="none"/>
                    </w:rPr>
                  </w:pPr>
                  <w:r>
                    <w:rPr>
                      <w:rFonts w:hint="eastAsia" w:hAnsi="Times New Roman"/>
                      <w:sz w:val="21"/>
                      <w:szCs w:val="21"/>
                      <w:u w:val="none"/>
                    </w:rPr>
                    <w:t>基础、</w:t>
                  </w:r>
                  <w:r>
                    <w:rPr>
                      <w:rFonts w:hint="eastAsia" w:hAnsi="Times New Roman"/>
                      <w:sz w:val="21"/>
                      <w:szCs w:val="21"/>
                      <w:u w:val="none"/>
                      <w:lang w:eastAsia="zh-CN"/>
                    </w:rPr>
                    <w:t>建筑</w:t>
                  </w:r>
                  <w:r>
                    <w:rPr>
                      <w:rFonts w:hint="eastAsia" w:hAnsi="Times New Roman"/>
                      <w:sz w:val="21"/>
                      <w:szCs w:val="21"/>
                      <w:u w:val="none"/>
                    </w:rPr>
                    <w:t>施工</w:t>
                  </w:r>
                </w:p>
              </w:tc>
              <w:tc>
                <w:tcPr>
                  <w:tcW w:w="4713" w:type="dxa"/>
                  <w:vAlign w:val="center"/>
                </w:tcPr>
                <w:p>
                  <w:pPr>
                    <w:pStyle w:val="95"/>
                    <w:spacing w:line="240" w:lineRule="auto"/>
                    <w:ind w:firstLine="0" w:firstLineChars="0"/>
                    <w:jc w:val="center"/>
                    <w:rPr>
                      <w:rFonts w:hAnsi="Times New Roman"/>
                      <w:sz w:val="21"/>
                      <w:szCs w:val="21"/>
                      <w:u w:val="none"/>
                    </w:rPr>
                  </w:pPr>
                  <w:r>
                    <w:rPr>
                      <w:rFonts w:hint="eastAsia" w:hAnsi="Times New Roman"/>
                      <w:sz w:val="21"/>
                      <w:szCs w:val="21"/>
                      <w:u w:val="none"/>
                    </w:rPr>
                    <w:t>防尘布覆盖，局部硬化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24" w:type="dxa"/>
                  <w:vAlign w:val="center"/>
                </w:tcPr>
                <w:p>
                  <w:pPr>
                    <w:pStyle w:val="95"/>
                    <w:spacing w:line="240" w:lineRule="auto"/>
                    <w:ind w:firstLine="0" w:firstLineChars="0"/>
                    <w:jc w:val="center"/>
                    <w:rPr>
                      <w:rFonts w:hAnsi="Times New Roman"/>
                      <w:sz w:val="21"/>
                      <w:szCs w:val="21"/>
                      <w:u w:val="none"/>
                    </w:rPr>
                  </w:pPr>
                  <w:r>
                    <w:rPr>
                      <w:rFonts w:hint="eastAsia" w:hAnsi="Times New Roman"/>
                      <w:sz w:val="21"/>
                      <w:szCs w:val="21"/>
                      <w:u w:val="none"/>
                    </w:rPr>
                    <w:t>长期</w:t>
                  </w:r>
                </w:p>
              </w:tc>
              <w:tc>
                <w:tcPr>
                  <w:tcW w:w="3226" w:type="dxa"/>
                  <w:vAlign w:val="center"/>
                </w:tcPr>
                <w:p>
                  <w:pPr>
                    <w:pStyle w:val="95"/>
                    <w:spacing w:line="240" w:lineRule="auto"/>
                    <w:ind w:firstLine="0" w:firstLineChars="0"/>
                    <w:jc w:val="center"/>
                    <w:rPr>
                      <w:rFonts w:hAnsi="Times New Roman"/>
                      <w:sz w:val="21"/>
                      <w:szCs w:val="21"/>
                      <w:u w:val="none"/>
                    </w:rPr>
                  </w:pPr>
                  <w:r>
                    <w:rPr>
                      <w:rFonts w:hint="eastAsia" w:hAnsi="Times New Roman"/>
                      <w:sz w:val="21"/>
                      <w:szCs w:val="21"/>
                      <w:u w:val="none"/>
                    </w:rPr>
                    <w:t>附属工程施工至竣工</w:t>
                  </w:r>
                </w:p>
              </w:tc>
              <w:tc>
                <w:tcPr>
                  <w:tcW w:w="4713" w:type="dxa"/>
                  <w:vAlign w:val="center"/>
                </w:tcPr>
                <w:p>
                  <w:pPr>
                    <w:pStyle w:val="95"/>
                    <w:spacing w:line="240" w:lineRule="auto"/>
                    <w:ind w:firstLine="0" w:firstLineChars="0"/>
                    <w:jc w:val="center"/>
                    <w:rPr>
                      <w:rFonts w:hAnsi="Times New Roman"/>
                      <w:sz w:val="21"/>
                      <w:szCs w:val="21"/>
                      <w:u w:val="none"/>
                    </w:rPr>
                  </w:pPr>
                  <w:r>
                    <w:rPr>
                      <w:rFonts w:hint="eastAsia" w:hAnsi="Times New Roman"/>
                      <w:sz w:val="21"/>
                      <w:szCs w:val="21"/>
                      <w:u w:val="none"/>
                    </w:rPr>
                    <w:t>防尘布覆盖，局部硬化</w:t>
                  </w:r>
                </w:p>
              </w:tc>
            </w:tr>
          </w:tbl>
          <w:p>
            <w:pPr>
              <w:tabs>
                <w:tab w:val="left" w:pos="1900"/>
              </w:tabs>
              <w:ind w:firstLine="480" w:firstLineChars="200"/>
              <w:rPr>
                <w:sz w:val="24"/>
                <w:u w:val="none"/>
              </w:rPr>
            </w:pPr>
            <w:r>
              <w:rPr>
                <w:sz w:val="24"/>
                <w:u w:val="none"/>
              </w:rPr>
              <w:t>（6）地面及临时道路硬化</w:t>
            </w:r>
          </w:p>
          <w:p>
            <w:pPr>
              <w:tabs>
                <w:tab w:val="left" w:pos="1900"/>
              </w:tabs>
              <w:ind w:firstLine="480" w:firstLineChars="200"/>
              <w:rPr>
                <w:sz w:val="24"/>
                <w:u w:val="none"/>
              </w:rPr>
            </w:pPr>
            <w:r>
              <w:rPr>
                <w:sz w:val="24"/>
                <w:u w:val="none"/>
              </w:rPr>
              <w:t>施工工地作业地面和连接进出道路和场地内渣土运输道路目前为已硬化处理状态。施工期间，施工工地内及工地出口至铺装道路间的车行道路，应保持路面清洁，防止机动车扬尘：</w:t>
            </w:r>
          </w:p>
          <w:p>
            <w:pPr>
              <w:tabs>
                <w:tab w:val="left" w:pos="1900"/>
              </w:tabs>
              <w:ind w:firstLine="480" w:firstLineChars="200"/>
              <w:rPr>
                <w:sz w:val="24"/>
                <w:u w:val="none"/>
              </w:rPr>
            </w:pPr>
            <w:r>
              <w:rPr>
                <w:sz w:val="24"/>
                <w:u w:val="none"/>
              </w:rPr>
              <w:t>（7）工程车辆洗车、装载、运输扬尘防治</w:t>
            </w:r>
          </w:p>
          <w:p>
            <w:pPr>
              <w:tabs>
                <w:tab w:val="left" w:pos="1900"/>
              </w:tabs>
              <w:ind w:firstLine="480" w:firstLineChars="200"/>
              <w:rPr>
                <w:sz w:val="24"/>
                <w:u w:val="none"/>
              </w:rPr>
            </w:pPr>
            <w:r>
              <w:rPr>
                <w:sz w:val="24"/>
                <w:u w:val="none"/>
              </w:rPr>
              <w:t>A、规范施工场地进出口设置，进出口处设置有一座洗车平台洗车位置，冲洗点必须配置清洗机和清洗员2名（一边一人）。</w:t>
            </w:r>
          </w:p>
          <w:p>
            <w:pPr>
              <w:tabs>
                <w:tab w:val="left" w:pos="1900"/>
              </w:tabs>
              <w:ind w:firstLine="480" w:firstLineChars="200"/>
              <w:rPr>
                <w:sz w:val="24"/>
                <w:u w:val="none"/>
              </w:rPr>
            </w:pPr>
            <w:r>
              <w:rPr>
                <w:sz w:val="24"/>
                <w:u w:val="none"/>
              </w:rPr>
              <w:t>B、完善排水设施，禁止将施工污水直接排入自然水体，洗车平台四周应设置防溢座、废水导流渠、废水收集池、沉淀池及其它防治设施，收集洗车、施工以及降水过程中产生的废水和泥浆，泥浆不得外流，每周进行一次泥浆清理，清理后的废泥浆应采取密闭式罐车外运。</w:t>
            </w:r>
          </w:p>
          <w:p>
            <w:pPr>
              <w:tabs>
                <w:tab w:val="left" w:pos="1900"/>
              </w:tabs>
              <w:ind w:firstLine="480" w:firstLineChars="200"/>
              <w:rPr>
                <w:sz w:val="24"/>
                <w:u w:val="none"/>
              </w:rPr>
            </w:pPr>
            <w:r>
              <w:rPr>
                <w:sz w:val="24"/>
                <w:u w:val="none"/>
              </w:rPr>
              <w:t>洗车台尺寸为：10×5m</w:t>
            </w:r>
            <w:r>
              <w:rPr>
                <w:rFonts w:hint="eastAsia"/>
                <w:sz w:val="24"/>
                <w:u w:val="none"/>
              </w:rPr>
              <w:t>，</w:t>
            </w:r>
            <w:r>
              <w:rPr>
                <w:sz w:val="24"/>
                <w:u w:val="none"/>
              </w:rPr>
              <w:t>一座</w:t>
            </w:r>
          </w:p>
          <w:p>
            <w:pPr>
              <w:tabs>
                <w:tab w:val="left" w:pos="1900"/>
              </w:tabs>
              <w:ind w:firstLine="480" w:firstLineChars="200"/>
              <w:rPr>
                <w:sz w:val="24"/>
                <w:u w:val="none"/>
              </w:rPr>
            </w:pPr>
            <w:r>
              <w:rPr>
                <w:sz w:val="24"/>
                <w:u w:val="none"/>
              </w:rPr>
              <w:t>沉淀池尺寸为：5×2m，一座，污水沉淀时间应大于2小时。</w:t>
            </w:r>
          </w:p>
          <w:p>
            <w:pPr>
              <w:tabs>
                <w:tab w:val="left" w:pos="1900"/>
              </w:tabs>
              <w:ind w:firstLine="480" w:firstLineChars="200"/>
              <w:rPr>
                <w:sz w:val="24"/>
                <w:u w:val="none"/>
              </w:rPr>
            </w:pPr>
            <w:r>
              <w:rPr>
                <w:sz w:val="24"/>
                <w:u w:val="none"/>
              </w:rPr>
              <w:t>施工作业废水经沉淀后回用于场地内洒水。</w:t>
            </w:r>
          </w:p>
          <w:p>
            <w:pPr>
              <w:tabs>
                <w:tab w:val="left" w:pos="1900"/>
              </w:tabs>
              <w:ind w:firstLine="480" w:firstLineChars="200"/>
              <w:rPr>
                <w:sz w:val="24"/>
                <w:u w:val="none"/>
              </w:rPr>
            </w:pPr>
            <w:r>
              <w:rPr>
                <w:sz w:val="24"/>
                <w:u w:val="none"/>
              </w:rPr>
              <w:t>C、工地出口处连接城市道路不得有粘土泥水带。</w:t>
            </w:r>
          </w:p>
          <w:p>
            <w:pPr>
              <w:tabs>
                <w:tab w:val="left" w:pos="1900"/>
              </w:tabs>
              <w:ind w:firstLine="480" w:firstLineChars="200"/>
              <w:rPr>
                <w:sz w:val="24"/>
                <w:u w:val="none"/>
              </w:rPr>
            </w:pPr>
            <w:r>
              <w:rPr>
                <w:sz w:val="24"/>
                <w:u w:val="none"/>
              </w:rPr>
              <w:t>施工场地进出口处采用草垫或麻布毯进行铺垫，以吸附运输车辆夹带的泥土、泥浆水，确保车辆出场不带泥水。</w:t>
            </w:r>
          </w:p>
          <w:p>
            <w:pPr>
              <w:tabs>
                <w:tab w:val="left" w:pos="1900"/>
              </w:tabs>
              <w:ind w:firstLine="480" w:firstLineChars="200"/>
              <w:rPr>
                <w:sz w:val="24"/>
                <w:u w:val="none"/>
              </w:rPr>
            </w:pPr>
            <w:r>
              <w:rPr>
                <w:sz w:val="24"/>
                <w:u w:val="none"/>
              </w:rPr>
              <w:t>草垫或麻布毯铺垫面积须为5×20m。</w:t>
            </w:r>
          </w:p>
          <w:p>
            <w:pPr>
              <w:tabs>
                <w:tab w:val="left" w:pos="1900"/>
              </w:tabs>
              <w:ind w:firstLine="480" w:firstLineChars="200"/>
              <w:rPr>
                <w:sz w:val="24"/>
                <w:u w:val="none"/>
              </w:rPr>
            </w:pPr>
            <w:r>
              <w:rPr>
                <w:sz w:val="24"/>
                <w:u w:val="none"/>
              </w:rPr>
              <w:t>D、进出工地的物料、渣土、垃圾运输车辆，应尽可能采用密闭车斗，并保证物料不遗撒外漏。若无密闭车斗，物料、垃圾、渣土的装载高度不得超过车辆槽帮上沿，车斗应用苫布遮盖严实。苫布边缘至少要遮住槽帮上沿以下15厘米，保证物料、渣土、垃圾等不露出。</w:t>
            </w:r>
          </w:p>
          <w:p>
            <w:pPr>
              <w:tabs>
                <w:tab w:val="left" w:pos="1900"/>
              </w:tabs>
              <w:ind w:firstLine="480" w:firstLineChars="200"/>
              <w:rPr>
                <w:sz w:val="24"/>
                <w:u w:val="none"/>
              </w:rPr>
            </w:pPr>
            <w:r>
              <w:rPr>
                <w:sz w:val="24"/>
                <w:u w:val="none"/>
              </w:rPr>
              <w:t>E、配置专人对工地出入口及车辆运输道路进行清扫、冲洗，并有专人进行检查把关，以避免基建扬尘由点源变成沿运输线路的线源污染。</w:t>
            </w:r>
          </w:p>
          <w:p>
            <w:pPr>
              <w:tabs>
                <w:tab w:val="left" w:pos="1900"/>
              </w:tabs>
              <w:ind w:firstLine="480" w:firstLineChars="200"/>
              <w:rPr>
                <w:sz w:val="24"/>
                <w:u w:val="none"/>
              </w:rPr>
            </w:pPr>
            <w:r>
              <w:rPr>
                <w:sz w:val="24"/>
                <w:u w:val="none"/>
              </w:rPr>
              <w:t>F、对渣土处理要求办理《株洲建筑垃圾处理许可证》，车辆应按照批准的路线和时间进行物料、渣土、垃圾的运输。</w:t>
            </w:r>
          </w:p>
          <w:p>
            <w:pPr>
              <w:tabs>
                <w:tab w:val="left" w:pos="1900"/>
              </w:tabs>
              <w:ind w:firstLine="480" w:firstLineChars="200"/>
              <w:rPr>
                <w:sz w:val="24"/>
                <w:u w:val="none"/>
              </w:rPr>
            </w:pPr>
            <w:r>
              <w:rPr>
                <w:sz w:val="24"/>
                <w:u w:val="none"/>
              </w:rPr>
              <w:t>（</w:t>
            </w:r>
            <w:r>
              <w:rPr>
                <w:rFonts w:hint="eastAsia"/>
                <w:sz w:val="24"/>
                <w:u w:val="none"/>
              </w:rPr>
              <w:t>8</w:t>
            </w:r>
            <w:r>
              <w:rPr>
                <w:sz w:val="24"/>
                <w:u w:val="none"/>
              </w:rPr>
              <w:t>）建筑材料的防尘管理措施</w:t>
            </w:r>
          </w:p>
          <w:p>
            <w:pPr>
              <w:tabs>
                <w:tab w:val="left" w:pos="1900"/>
              </w:tabs>
              <w:ind w:firstLine="480" w:firstLineChars="200"/>
              <w:rPr>
                <w:sz w:val="24"/>
                <w:u w:val="none"/>
              </w:rPr>
            </w:pPr>
            <w:r>
              <w:rPr>
                <w:sz w:val="24"/>
                <w:u w:val="none"/>
              </w:rPr>
              <w:t>施工过程中使用水泥、石灰、砂石、涂料、铺装材料等易产生扬尘的建筑材料，需合理布置临时料场位置，并应采取下列措施之一：</w:t>
            </w:r>
          </w:p>
          <w:p>
            <w:pPr>
              <w:tabs>
                <w:tab w:val="left" w:pos="1900"/>
              </w:tabs>
              <w:ind w:firstLine="480" w:firstLineChars="200"/>
              <w:rPr>
                <w:sz w:val="24"/>
                <w:u w:val="none"/>
              </w:rPr>
            </w:pPr>
            <w:r>
              <w:rPr>
                <w:sz w:val="24"/>
                <w:u w:val="none"/>
              </w:rPr>
              <w:t>a) 密闭方式存储及运输；</w:t>
            </w:r>
          </w:p>
          <w:p>
            <w:pPr>
              <w:tabs>
                <w:tab w:val="left" w:pos="1900"/>
              </w:tabs>
              <w:ind w:firstLine="480" w:firstLineChars="200"/>
              <w:rPr>
                <w:sz w:val="24"/>
                <w:u w:val="none"/>
              </w:rPr>
            </w:pPr>
            <w:r>
              <w:rPr>
                <w:sz w:val="24"/>
                <w:u w:val="none"/>
              </w:rPr>
              <w:t>b) 设置围挡或堆砌围墙；</w:t>
            </w:r>
          </w:p>
          <w:p>
            <w:pPr>
              <w:tabs>
                <w:tab w:val="left" w:pos="1900"/>
              </w:tabs>
              <w:ind w:firstLine="480" w:firstLineChars="200"/>
              <w:rPr>
                <w:sz w:val="24"/>
                <w:u w:val="none"/>
              </w:rPr>
            </w:pPr>
            <w:r>
              <w:rPr>
                <w:sz w:val="24"/>
                <w:u w:val="none"/>
              </w:rPr>
              <w:t>c) 采用防尘布苫盖；</w:t>
            </w:r>
          </w:p>
          <w:p>
            <w:pPr>
              <w:tabs>
                <w:tab w:val="left" w:pos="1900"/>
              </w:tabs>
              <w:ind w:firstLine="480" w:firstLineChars="200"/>
              <w:rPr>
                <w:sz w:val="24"/>
                <w:u w:val="none"/>
              </w:rPr>
            </w:pPr>
            <w:r>
              <w:rPr>
                <w:sz w:val="24"/>
                <w:u w:val="none"/>
              </w:rPr>
              <w:t>d) 其他有效的防尘措施。</w:t>
            </w:r>
          </w:p>
          <w:p>
            <w:pPr>
              <w:tabs>
                <w:tab w:val="left" w:pos="1900"/>
              </w:tabs>
              <w:ind w:firstLine="480" w:firstLineChars="200"/>
              <w:rPr>
                <w:sz w:val="24"/>
                <w:u w:val="none"/>
              </w:rPr>
            </w:pPr>
            <w:r>
              <w:rPr>
                <w:sz w:val="24"/>
                <w:u w:val="none"/>
              </w:rPr>
              <w:t>项目施工现场不设置搅拌站，全路段全部采用商品混凝土。</w:t>
            </w:r>
          </w:p>
          <w:p>
            <w:pPr>
              <w:tabs>
                <w:tab w:val="left" w:pos="1900"/>
              </w:tabs>
              <w:ind w:firstLine="480" w:firstLineChars="200"/>
              <w:rPr>
                <w:sz w:val="24"/>
                <w:u w:val="none"/>
              </w:rPr>
            </w:pPr>
            <w:r>
              <w:rPr>
                <w:sz w:val="24"/>
                <w:u w:val="none"/>
              </w:rPr>
              <w:t>（</w:t>
            </w:r>
            <w:r>
              <w:rPr>
                <w:rFonts w:hint="eastAsia"/>
                <w:sz w:val="24"/>
                <w:u w:val="none"/>
              </w:rPr>
              <w:t>9</w:t>
            </w:r>
            <w:r>
              <w:rPr>
                <w:sz w:val="24"/>
                <w:u w:val="none"/>
              </w:rPr>
              <w:t>）道路绿化工程防尘措施</w:t>
            </w:r>
          </w:p>
          <w:p>
            <w:pPr>
              <w:tabs>
                <w:tab w:val="left" w:pos="1900"/>
              </w:tabs>
              <w:ind w:firstLine="480" w:firstLineChars="200"/>
              <w:rPr>
                <w:sz w:val="24"/>
                <w:u w:val="none"/>
              </w:rPr>
            </w:pPr>
            <w:r>
              <w:rPr>
                <w:sz w:val="24"/>
                <w:u w:val="none"/>
              </w:rPr>
              <w:t>a) 绿化工地应根据现场情况采取围挡等降尘措施。</w:t>
            </w:r>
          </w:p>
          <w:p>
            <w:pPr>
              <w:tabs>
                <w:tab w:val="left" w:pos="1900"/>
              </w:tabs>
              <w:ind w:firstLine="480" w:firstLineChars="200"/>
              <w:rPr>
                <w:sz w:val="24"/>
                <w:u w:val="none"/>
              </w:rPr>
            </w:pPr>
            <w:r>
              <w:rPr>
                <w:sz w:val="24"/>
                <w:u w:val="none"/>
              </w:rPr>
              <w:t>b) 四级及四级以上大风天气，须停止土地平整、换土、原土过筛等作业。</w:t>
            </w:r>
          </w:p>
          <w:p>
            <w:pPr>
              <w:tabs>
                <w:tab w:val="left" w:pos="1900"/>
              </w:tabs>
              <w:ind w:firstLine="480" w:firstLineChars="200"/>
              <w:rPr>
                <w:sz w:val="24"/>
                <w:u w:val="none"/>
              </w:rPr>
            </w:pPr>
            <w:r>
              <w:rPr>
                <w:sz w:val="24"/>
                <w:u w:val="none"/>
              </w:rPr>
              <w:t>c) 土地平整后，一周内要进行下一步建植工作；土地整理工作已结束，未进行建植工程期间，要每天洒水一至两次，如遇四级及四级以上大风天气必须及时洒水防尘或加以覆盖。</w:t>
            </w:r>
          </w:p>
          <w:p>
            <w:pPr>
              <w:tabs>
                <w:tab w:val="left" w:pos="1900"/>
              </w:tabs>
              <w:ind w:firstLine="480" w:firstLineChars="200"/>
              <w:rPr>
                <w:sz w:val="24"/>
                <w:u w:val="none"/>
              </w:rPr>
            </w:pPr>
            <w:r>
              <w:rPr>
                <w:sz w:val="24"/>
                <w:u w:val="none"/>
              </w:rPr>
              <w:t>d) 植树树穴所出穴坑土，要加以整理或拍实；如遇特殊情况无法建植，穴坑土要加以覆盖，确保不扬尘。种植完成后，树坑应覆盖卵石、木屑、挡板、草皮，或者作其它覆盖、围栏处理等。</w:t>
            </w:r>
          </w:p>
          <w:p>
            <w:pPr>
              <w:tabs>
                <w:tab w:val="left" w:pos="1900"/>
              </w:tabs>
              <w:ind w:firstLine="480" w:firstLineChars="200"/>
              <w:rPr>
                <w:sz w:val="24"/>
                <w:u w:val="none"/>
              </w:rPr>
            </w:pPr>
            <w:r>
              <w:rPr>
                <w:sz w:val="24"/>
                <w:u w:val="none"/>
              </w:rPr>
              <w:t>e) 道路或绿地内各类管线敷设工程完工后，一周内要恢复路面或景观，不得留裸土地面。</w:t>
            </w:r>
          </w:p>
          <w:p>
            <w:pPr>
              <w:tabs>
                <w:tab w:val="left" w:pos="1900"/>
              </w:tabs>
              <w:ind w:firstLine="480" w:firstLineChars="200"/>
              <w:rPr>
                <w:rFonts w:hint="eastAsia"/>
                <w:sz w:val="24"/>
                <w:u w:val="single"/>
              </w:rPr>
            </w:pPr>
            <w:r>
              <w:rPr>
                <w:sz w:val="24"/>
                <w:u w:val="none"/>
              </w:rPr>
              <w:t>f) 绿化产生的垃圾，做到当天清除。</w:t>
            </w:r>
          </w:p>
          <w:p>
            <w:pPr>
              <w:pStyle w:val="95"/>
              <w:spacing w:line="240" w:lineRule="auto"/>
              <w:ind w:firstLine="482"/>
              <w:rPr>
                <w:rFonts w:hAnsi="Times New Roman" w:cs="Times New Roman"/>
                <w:b/>
                <w:szCs w:val="24"/>
              </w:rPr>
            </w:pPr>
            <w:r>
              <w:rPr>
                <w:rFonts w:hint="eastAsia" w:hAnsi="Times New Roman" w:cs="Times New Roman"/>
                <w:b/>
                <w:szCs w:val="24"/>
              </w:rPr>
              <w:t>2、</w:t>
            </w:r>
            <w:r>
              <w:rPr>
                <w:rFonts w:hAnsi="Times New Roman" w:cs="Times New Roman"/>
                <w:b/>
                <w:szCs w:val="24"/>
              </w:rPr>
              <w:t>施工期水污染防治措施</w:t>
            </w:r>
          </w:p>
          <w:p>
            <w:pPr>
              <w:tabs>
                <w:tab w:val="left" w:pos="1900"/>
              </w:tabs>
              <w:ind w:firstLine="480" w:firstLineChars="200"/>
              <w:rPr>
                <w:sz w:val="24"/>
              </w:rPr>
            </w:pPr>
            <w:r>
              <w:rPr>
                <w:sz w:val="24"/>
              </w:rPr>
              <w:t xml:space="preserve">（1）路堑边坡开挖前，预先做好截、排水工程，堑顶为土质或含有软弱夹层岩石时，天沟及时铺砌或采取其它防渗措旌，以减少雨水对堑坡面的冲刷。对高填以及不良地质路基等水土流失易发地带，要合理安排施工季节，尽量避免雨季施工；不能避免时，保证其施工期间排水通畅，不出现秘水浸泡工作面的现象。如防护不能紧跟开挖完成时，对开挖面采取加覆盖物等防护措施。 </w:t>
            </w:r>
          </w:p>
          <w:p>
            <w:pPr>
              <w:tabs>
                <w:tab w:val="left" w:pos="1900"/>
              </w:tabs>
              <w:ind w:firstLine="480" w:firstLineChars="200"/>
              <w:rPr>
                <w:sz w:val="24"/>
              </w:rPr>
            </w:pPr>
            <w:r>
              <w:rPr>
                <w:sz w:val="24"/>
              </w:rPr>
              <w:t xml:space="preserve">（2）施工材料如油料、化学品物质等的堆放地点应远离沿线水体，并应备有临时遮挡的帆布或采取其他防止雨水冲刷的措施；含有害物质的建材如沥青、水泥等不准堆放在沿线水体附近，并应设蓬盖，必要时设围栏，防止被雨水冲刷入水体。 </w:t>
            </w:r>
          </w:p>
          <w:p>
            <w:pPr>
              <w:tabs>
                <w:tab w:val="left" w:pos="1900"/>
              </w:tabs>
              <w:ind w:firstLine="480" w:firstLineChars="200"/>
              <w:rPr>
                <w:sz w:val="24"/>
              </w:rPr>
            </w:pPr>
            <w:r>
              <w:rPr>
                <w:sz w:val="24"/>
              </w:rPr>
              <w:t xml:space="preserve">（3）对机械和车辆冲洗废水，可在施工场地设临时蒸发池(可就近利用废弃的沟、坑)，等施工结束覆土掩埋。 </w:t>
            </w:r>
          </w:p>
          <w:p>
            <w:pPr>
              <w:tabs>
                <w:tab w:val="left" w:pos="1900"/>
              </w:tabs>
              <w:ind w:firstLine="480" w:firstLineChars="200"/>
              <w:rPr>
                <w:sz w:val="24"/>
              </w:rPr>
            </w:pPr>
            <w:r>
              <w:rPr>
                <w:sz w:val="24"/>
              </w:rPr>
              <w:t xml:space="preserve">（4）施工中的废油及其它固体废物不得随意倾倒或排入水体，也不得堆放在水体旁，应及时清运至当地允许放置的地点。施工物料堆场应远离地表水体，并设置在径流不易冲刷处，粉状物料堆场应配有草包蓬布等遮盖物并在周围挖设明沟防止径流冲刷。 </w:t>
            </w:r>
          </w:p>
          <w:p>
            <w:pPr>
              <w:tabs>
                <w:tab w:val="left" w:pos="1900"/>
              </w:tabs>
              <w:ind w:firstLine="480" w:firstLineChars="200"/>
              <w:rPr>
                <w:sz w:val="24"/>
              </w:rPr>
            </w:pPr>
            <w:r>
              <w:rPr>
                <w:sz w:val="24"/>
              </w:rPr>
              <w:t xml:space="preserve">（5）加强对施工机械的管理。防止机械跑、冒、滴、漏，防止施工船只油料倾倒水体中引起水污染。 </w:t>
            </w:r>
          </w:p>
          <w:p>
            <w:pPr>
              <w:tabs>
                <w:tab w:val="left" w:pos="1900"/>
              </w:tabs>
              <w:ind w:firstLine="480" w:firstLineChars="200"/>
              <w:rPr>
                <w:sz w:val="24"/>
              </w:rPr>
            </w:pPr>
            <w:r>
              <w:rPr>
                <w:sz w:val="24"/>
              </w:rPr>
              <w:t>（6）施工废水经除油、沉淀后全部回用于洒水抑尘。</w:t>
            </w:r>
          </w:p>
          <w:p>
            <w:pPr>
              <w:tabs>
                <w:tab w:val="left" w:pos="1900"/>
              </w:tabs>
              <w:ind w:firstLine="480" w:firstLineChars="200"/>
              <w:rPr>
                <w:sz w:val="24"/>
              </w:rPr>
            </w:pPr>
            <w:r>
              <w:rPr>
                <w:rFonts w:hint="eastAsia"/>
                <w:sz w:val="24"/>
              </w:rPr>
              <w:t>（7）凡是被路基侵占、隔断的灌溉沟渠，必须采取补救措施，在不压缩原有河沟泄水断面、不影响原灌溉渠道使用功能的前提下进行改移，并应保证先通后拆。</w:t>
            </w:r>
          </w:p>
          <w:p>
            <w:pPr>
              <w:tabs>
                <w:tab w:val="left" w:pos="1900"/>
              </w:tabs>
              <w:ind w:firstLine="480" w:firstLineChars="200"/>
              <w:rPr>
                <w:sz w:val="24"/>
              </w:rPr>
            </w:pPr>
            <w:r>
              <w:rPr>
                <w:rFonts w:hint="eastAsia"/>
                <w:sz w:val="24"/>
              </w:rPr>
              <w:t>（8）在建筑材料堆放地设置一定的防渗区域，专门存放油料及化学品物质。</w:t>
            </w:r>
          </w:p>
          <w:p>
            <w:pPr>
              <w:tabs>
                <w:tab w:val="left" w:pos="1900"/>
              </w:tabs>
              <w:ind w:firstLine="480" w:firstLineChars="200"/>
              <w:rPr>
                <w:sz w:val="24"/>
              </w:rPr>
            </w:pPr>
            <w:r>
              <w:rPr>
                <w:sz w:val="24"/>
              </w:rPr>
              <w:t>综上所述，在采取上述措施后可有效减少施工废水对水环境的污染影响。</w:t>
            </w:r>
          </w:p>
          <w:p>
            <w:pPr>
              <w:pStyle w:val="95"/>
              <w:spacing w:line="240" w:lineRule="auto"/>
              <w:ind w:firstLine="482"/>
              <w:rPr>
                <w:rFonts w:hAnsi="Times New Roman" w:cs="Times New Roman"/>
                <w:b/>
                <w:szCs w:val="24"/>
              </w:rPr>
            </w:pPr>
            <w:r>
              <w:rPr>
                <w:rFonts w:hint="eastAsia" w:hAnsi="Times New Roman" w:cs="Times New Roman"/>
                <w:b/>
                <w:szCs w:val="24"/>
              </w:rPr>
              <w:t>3、</w:t>
            </w:r>
            <w:r>
              <w:rPr>
                <w:rFonts w:hAnsi="Times New Roman" w:cs="Times New Roman"/>
                <w:b/>
                <w:szCs w:val="24"/>
              </w:rPr>
              <w:t>施工期声环境保护措施</w:t>
            </w:r>
          </w:p>
          <w:p>
            <w:pPr>
              <w:pStyle w:val="95"/>
              <w:spacing w:line="240" w:lineRule="auto"/>
              <w:rPr>
                <w:rFonts w:hAnsi="Times New Roman" w:cs="Times New Roman"/>
                <w:szCs w:val="24"/>
              </w:rPr>
            </w:pPr>
            <w:r>
              <w:rPr>
                <w:rFonts w:hAnsi="Times New Roman" w:cs="Times New Roman"/>
                <w:szCs w:val="24"/>
              </w:rPr>
              <w:t>（1）合理安排施工时间：避免高噪声设备同时施工，夜间禁止施工。</w:t>
            </w:r>
          </w:p>
          <w:p>
            <w:pPr>
              <w:pStyle w:val="95"/>
              <w:spacing w:line="240" w:lineRule="auto"/>
              <w:rPr>
                <w:rFonts w:hAnsi="Times New Roman" w:cs="Times New Roman"/>
                <w:szCs w:val="24"/>
              </w:rPr>
            </w:pPr>
            <w:r>
              <w:rPr>
                <w:rFonts w:hAnsi="Times New Roman" w:cs="Times New Roman"/>
                <w:szCs w:val="24"/>
              </w:rPr>
              <w:t>（2）合理布局现场：避免在同一地点安排大量动力机械设备，是局部声级过高，噪声较大的设备尽量远离敏感点。</w:t>
            </w:r>
          </w:p>
          <w:p>
            <w:pPr>
              <w:pStyle w:val="95"/>
              <w:spacing w:line="240" w:lineRule="auto"/>
              <w:rPr>
                <w:rFonts w:hAnsi="Times New Roman" w:cs="Times New Roman"/>
                <w:szCs w:val="24"/>
              </w:rPr>
            </w:pPr>
            <w:r>
              <w:rPr>
                <w:rFonts w:hAnsi="Times New Roman" w:cs="Times New Roman"/>
                <w:szCs w:val="24"/>
              </w:rPr>
              <w:t>（3）选用低噪声设备，降低设备声级：加强检查、维护和保养机械设备，保持润滑，紧固各部件，并于地面保持良好接触，使用减振机座、围墙等措施，降低噪声。对设备定期保养，严格操作规范。</w:t>
            </w:r>
          </w:p>
          <w:p>
            <w:pPr>
              <w:pStyle w:val="95"/>
              <w:spacing w:line="240" w:lineRule="auto"/>
              <w:rPr>
                <w:rFonts w:hAnsi="Times New Roman" w:cs="Times New Roman"/>
                <w:szCs w:val="24"/>
              </w:rPr>
            </w:pPr>
            <w:r>
              <w:rPr>
                <w:rFonts w:hAnsi="Times New Roman" w:cs="Times New Roman"/>
                <w:szCs w:val="24"/>
              </w:rPr>
              <w:t>（4）设置围挡：项目在道路两侧、物料堆场周围设置的临时围挡防护物也可在一定程度上起到隔声作用。</w:t>
            </w:r>
          </w:p>
          <w:p>
            <w:pPr>
              <w:pStyle w:val="95"/>
              <w:spacing w:line="240" w:lineRule="auto"/>
              <w:rPr>
                <w:rFonts w:hAnsi="Times New Roman" w:cs="Times New Roman"/>
                <w:szCs w:val="24"/>
              </w:rPr>
            </w:pPr>
            <w:r>
              <w:rPr>
                <w:rFonts w:hAnsi="Times New Roman" w:cs="Times New Roman"/>
                <w:szCs w:val="24"/>
              </w:rPr>
              <w:t>（5）文明施工：建筑材料使用和施工过程中做到轻拿轻放，以减少撞击噪声。</w:t>
            </w:r>
          </w:p>
          <w:p>
            <w:pPr>
              <w:pStyle w:val="95"/>
              <w:spacing w:line="240" w:lineRule="auto"/>
              <w:rPr>
                <w:rFonts w:hAnsi="Times New Roman" w:cs="Times New Roman"/>
                <w:szCs w:val="24"/>
              </w:rPr>
            </w:pPr>
            <w:r>
              <w:rPr>
                <w:rFonts w:hAnsi="Times New Roman" w:cs="Times New Roman"/>
                <w:szCs w:val="24"/>
              </w:rPr>
              <w:t>（6）采取个人防护措施：对高噪声设备附近工作的施工人员，采用配备、使用耳塞、耳机、放声头盔等防噪用具。</w:t>
            </w:r>
          </w:p>
          <w:p>
            <w:pPr>
              <w:pStyle w:val="95"/>
              <w:spacing w:line="240" w:lineRule="auto"/>
              <w:rPr>
                <w:rFonts w:hAnsi="Times New Roman" w:cs="Times New Roman"/>
                <w:szCs w:val="24"/>
              </w:rPr>
            </w:pPr>
            <w:r>
              <w:rPr>
                <w:rFonts w:hAnsi="Times New Roman" w:cs="Times New Roman"/>
                <w:szCs w:val="24"/>
              </w:rPr>
              <w:t>（7）减少施工交通噪声：对运输车辆定期维修、养护，减少或杜绝鸣笛，合理安排运输路线。</w:t>
            </w:r>
          </w:p>
          <w:p>
            <w:pPr>
              <w:pStyle w:val="95"/>
              <w:spacing w:line="240" w:lineRule="auto"/>
              <w:rPr>
                <w:rFonts w:hAnsi="Times New Roman" w:cs="Times New Roman"/>
                <w:szCs w:val="24"/>
              </w:rPr>
            </w:pPr>
            <w:r>
              <w:rPr>
                <w:rFonts w:hAnsi="Times New Roman" w:cs="Times New Roman"/>
                <w:szCs w:val="24"/>
              </w:rPr>
              <w:t>（8）采取上述措施后，预计项目厂界噪声可达到《建筑施工场界环境噪声排放标准》（GB12523-2011）要求，对周围声环境影响较小，且影响随着施工的结束而消失。</w:t>
            </w:r>
          </w:p>
          <w:p>
            <w:pPr>
              <w:pStyle w:val="95"/>
              <w:spacing w:line="240" w:lineRule="auto"/>
              <w:rPr>
                <w:rFonts w:hAnsi="Times New Roman" w:cs="Times New Roman"/>
                <w:szCs w:val="24"/>
              </w:rPr>
            </w:pPr>
            <w:r>
              <w:rPr>
                <w:rFonts w:hAnsi="Times New Roman" w:cs="Times New Roman"/>
                <w:szCs w:val="24"/>
              </w:rPr>
              <w:t>采取上述噪声污染防治措施后，可最大限度减小施工噪声对周围敏感点的污染影响。</w:t>
            </w:r>
          </w:p>
          <w:p>
            <w:pPr>
              <w:pStyle w:val="95"/>
              <w:spacing w:line="240" w:lineRule="auto"/>
              <w:ind w:firstLine="482"/>
              <w:rPr>
                <w:rFonts w:hAnsi="Times New Roman" w:cs="Times New Roman"/>
                <w:b/>
                <w:szCs w:val="24"/>
              </w:rPr>
            </w:pPr>
            <w:r>
              <w:rPr>
                <w:rFonts w:hint="eastAsia" w:hAnsi="Times New Roman" w:cs="Times New Roman"/>
                <w:b/>
                <w:szCs w:val="24"/>
              </w:rPr>
              <w:t>4、</w:t>
            </w:r>
            <w:r>
              <w:rPr>
                <w:rFonts w:hAnsi="Times New Roman" w:cs="Times New Roman"/>
                <w:b/>
                <w:szCs w:val="24"/>
              </w:rPr>
              <w:t>施工期固体废物保护措施</w:t>
            </w:r>
          </w:p>
          <w:p>
            <w:pPr>
              <w:tabs>
                <w:tab w:val="left" w:pos="1900"/>
              </w:tabs>
              <w:ind w:firstLine="480" w:firstLineChars="200"/>
              <w:rPr>
                <w:sz w:val="24"/>
              </w:rPr>
            </w:pPr>
            <w:r>
              <w:rPr>
                <w:rFonts w:hint="eastAsia"/>
                <w:sz w:val="24"/>
              </w:rPr>
              <w:t>路基清表产生的表土暂时堆存于施工场地的表土堆场，作为后期道路绿化的表土回填。建筑垃圾应按《株洲市城市建筑垃圾管理规定》的要求处置，应与具有相关资质的渣土处置公司签订渣土处置协议，统一清运。</w:t>
            </w:r>
          </w:p>
          <w:p>
            <w:pPr>
              <w:tabs>
                <w:tab w:val="left" w:pos="1900"/>
              </w:tabs>
              <w:ind w:firstLine="480" w:firstLineChars="200"/>
              <w:rPr>
                <w:sz w:val="24"/>
              </w:rPr>
            </w:pPr>
            <w:r>
              <w:rPr>
                <w:rFonts w:hint="eastAsia"/>
                <w:sz w:val="24"/>
              </w:rPr>
              <w:t>通过采取上述措施，固体废物对外环境影响较小。因此，上述固体废物防治措施可行。</w:t>
            </w:r>
          </w:p>
          <w:p>
            <w:pPr>
              <w:tabs>
                <w:tab w:val="left" w:pos="1900"/>
              </w:tabs>
              <w:ind w:firstLine="482" w:firstLineChars="200"/>
              <w:rPr>
                <w:b/>
                <w:bCs/>
                <w:sz w:val="24"/>
              </w:rPr>
            </w:pPr>
            <w:r>
              <w:rPr>
                <w:rFonts w:hint="eastAsia"/>
                <w:b/>
                <w:bCs/>
                <w:sz w:val="24"/>
                <w:lang w:eastAsia="zh-CN"/>
              </w:rPr>
              <w:t>七</w:t>
            </w:r>
            <w:r>
              <w:rPr>
                <w:b/>
                <w:bCs/>
                <w:sz w:val="24"/>
              </w:rPr>
              <w:t>、施工期环境影响分析总结论</w:t>
            </w:r>
          </w:p>
          <w:p>
            <w:pPr>
              <w:tabs>
                <w:tab w:val="left" w:pos="1900"/>
              </w:tabs>
              <w:ind w:firstLine="480" w:firstLineChars="200"/>
              <w:rPr>
                <w:sz w:val="24"/>
              </w:rPr>
            </w:pPr>
            <w:r>
              <w:rPr>
                <w:sz w:val="24"/>
              </w:rPr>
              <w:t>施工期主要污染包括施工扬尘、施工废水、施工机械噪声及施工引起的水土流失。在落实本次环评提出的措施的前提下，项目施工扬尘可以得到有效控制，能够达标排放，废水均能综合利用不外排，施工场地场界噪声能够达标排放，水土流失量可以大大降低。因此项目施工期对外环境的影响较小。</w:t>
            </w:r>
          </w:p>
          <w:p>
            <w:pPr>
              <w:jc w:val="left"/>
              <w:rPr>
                <w:b/>
                <w:bCs/>
                <w:sz w:val="28"/>
                <w:szCs w:val="28"/>
              </w:rPr>
            </w:pPr>
          </w:p>
          <w:p>
            <w:pPr>
              <w:jc w:val="left"/>
              <w:rPr>
                <w:b/>
                <w:bCs/>
                <w:sz w:val="28"/>
                <w:szCs w:val="28"/>
              </w:rPr>
            </w:pPr>
          </w:p>
          <w:p>
            <w:pPr>
              <w:jc w:val="left"/>
              <w:rPr>
                <w:b/>
                <w:bCs/>
                <w:sz w:val="28"/>
                <w:szCs w:val="28"/>
              </w:rPr>
            </w:pPr>
          </w:p>
          <w:p>
            <w:pPr>
              <w:jc w:val="left"/>
              <w:rPr>
                <w:b/>
                <w:bCs/>
                <w:sz w:val="28"/>
                <w:szCs w:val="28"/>
              </w:rPr>
            </w:pPr>
          </w:p>
          <w:p>
            <w:pPr>
              <w:jc w:val="left"/>
              <w:rPr>
                <w:b/>
                <w:bCs/>
                <w:sz w:val="28"/>
                <w:szCs w:val="28"/>
              </w:rPr>
            </w:pPr>
          </w:p>
          <w:p>
            <w:pPr>
              <w:jc w:val="left"/>
              <w:rPr>
                <w:b/>
                <w:bCs/>
                <w:sz w:val="28"/>
                <w:szCs w:val="28"/>
              </w:rPr>
            </w:pPr>
          </w:p>
          <w:p>
            <w:pPr>
              <w:jc w:val="left"/>
              <w:rPr>
                <w:b/>
                <w:bCs/>
                <w:sz w:val="28"/>
                <w:szCs w:val="28"/>
              </w:rPr>
            </w:pPr>
          </w:p>
          <w:p>
            <w:pPr>
              <w:jc w:val="left"/>
              <w:rPr>
                <w:b/>
                <w:bCs/>
                <w:sz w:val="28"/>
                <w:szCs w:val="28"/>
              </w:rPr>
            </w:pPr>
          </w:p>
          <w:p>
            <w:pPr>
              <w:jc w:val="left"/>
              <w:rPr>
                <w:b/>
                <w:bCs/>
                <w:sz w:val="28"/>
                <w:szCs w:val="28"/>
              </w:rPr>
            </w:pPr>
          </w:p>
          <w:p>
            <w:pPr>
              <w:jc w:val="left"/>
              <w:rPr>
                <w:b/>
                <w:bCs/>
                <w:sz w:val="28"/>
                <w:szCs w:val="28"/>
              </w:rPr>
            </w:pPr>
          </w:p>
          <w:p>
            <w:pPr>
              <w:jc w:val="left"/>
              <w:rPr>
                <w:b/>
                <w:bCs/>
                <w:sz w:val="28"/>
                <w:szCs w:val="28"/>
              </w:rPr>
            </w:pPr>
          </w:p>
          <w:p>
            <w:pPr>
              <w:jc w:val="left"/>
              <w:rPr>
                <w:b/>
                <w:bCs/>
                <w:sz w:val="28"/>
                <w:szCs w:val="28"/>
              </w:rPr>
            </w:pPr>
          </w:p>
          <w:p>
            <w:pPr>
              <w:jc w:val="left"/>
              <w:rPr>
                <w:b/>
                <w:bCs/>
                <w:sz w:val="28"/>
                <w:szCs w:val="28"/>
              </w:rPr>
            </w:pPr>
          </w:p>
          <w:p>
            <w:pPr>
              <w:jc w:val="left"/>
              <w:rPr>
                <w:b/>
                <w:bCs/>
                <w:sz w:val="28"/>
                <w:szCs w:val="28"/>
              </w:rPr>
            </w:pPr>
          </w:p>
          <w:p>
            <w:pPr>
              <w:jc w:val="left"/>
              <w:rPr>
                <w:b/>
                <w:bCs/>
                <w:sz w:val="28"/>
                <w:szCs w:val="28"/>
              </w:rPr>
            </w:pPr>
          </w:p>
          <w:p>
            <w:pPr>
              <w:jc w:val="left"/>
              <w:rPr>
                <w:b/>
                <w:bCs/>
                <w:sz w:val="28"/>
                <w:szCs w:val="28"/>
              </w:rPr>
            </w:pPr>
          </w:p>
          <w:p>
            <w:pPr>
              <w:jc w:val="left"/>
              <w:rPr>
                <w:b/>
                <w:bCs/>
                <w:sz w:val="28"/>
                <w:szCs w:val="28"/>
              </w:rPr>
            </w:pPr>
          </w:p>
          <w:p>
            <w:pPr>
              <w:jc w:val="left"/>
              <w:rPr>
                <w:b/>
                <w:bCs/>
                <w:sz w:val="28"/>
                <w:szCs w:val="28"/>
              </w:rPr>
            </w:pPr>
          </w:p>
          <w:p>
            <w:pPr>
              <w:jc w:val="left"/>
              <w:rPr>
                <w:b/>
                <w:bCs/>
                <w:sz w:val="28"/>
                <w:szCs w:val="28"/>
              </w:rPr>
            </w:pPr>
          </w:p>
          <w:p>
            <w:pPr>
              <w:jc w:val="left"/>
              <w:rPr>
                <w:b/>
                <w:bCs/>
                <w:sz w:val="28"/>
                <w:szCs w:val="28"/>
              </w:rPr>
            </w:pPr>
          </w:p>
          <w:p>
            <w:pPr>
              <w:jc w:val="left"/>
              <w:rPr>
                <w:b/>
                <w:bCs/>
                <w:sz w:val="28"/>
                <w:szCs w:val="28"/>
              </w:rPr>
            </w:pPr>
          </w:p>
          <w:p>
            <w:pPr>
              <w:jc w:val="left"/>
              <w:rPr>
                <w:b/>
                <w:bCs/>
                <w:sz w:val="28"/>
                <w:szCs w:val="28"/>
              </w:rPr>
            </w:pPr>
          </w:p>
          <w:p>
            <w:pPr>
              <w:jc w:val="left"/>
              <w:rPr>
                <w:b/>
                <w:bCs/>
                <w:sz w:val="28"/>
                <w:szCs w:val="28"/>
              </w:rPr>
            </w:pPr>
          </w:p>
          <w:p>
            <w:pPr>
              <w:jc w:val="left"/>
              <w:rPr>
                <w:b/>
                <w:bCs/>
                <w:sz w:val="28"/>
                <w:szCs w:val="28"/>
              </w:rPr>
            </w:pPr>
          </w:p>
          <w:p>
            <w:pPr>
              <w:jc w:val="left"/>
              <w:rPr>
                <w:b/>
                <w:bCs/>
                <w:sz w:val="28"/>
                <w:szCs w:val="28"/>
              </w:rPr>
            </w:pPr>
          </w:p>
          <w:p>
            <w:pPr>
              <w:jc w:val="left"/>
              <w:rPr>
                <w:b/>
                <w:bCs/>
                <w:sz w:val="28"/>
                <w:szCs w:val="28"/>
              </w:rPr>
            </w:pPr>
          </w:p>
          <w:p>
            <w:pPr>
              <w:jc w:val="left"/>
              <w:rPr>
                <w:b/>
                <w:bCs/>
                <w:sz w:val="28"/>
                <w:szCs w:val="28"/>
              </w:rPr>
            </w:pPr>
            <w:r>
              <w:rPr>
                <w:b/>
                <w:bCs/>
                <w:sz w:val="28"/>
                <w:szCs w:val="28"/>
              </w:rPr>
              <w:t>营运期环境影响分析</w:t>
            </w:r>
          </w:p>
          <w:p>
            <w:pPr>
              <w:pStyle w:val="95"/>
              <w:spacing w:line="240" w:lineRule="auto"/>
              <w:ind w:firstLine="482"/>
              <w:rPr>
                <w:rFonts w:hint="eastAsia" w:hAnsi="Times New Roman" w:eastAsia="宋体" w:cs="Times New Roman"/>
                <w:b/>
                <w:lang w:eastAsia="zh-CN"/>
              </w:rPr>
            </w:pPr>
            <w:r>
              <w:rPr>
                <w:rFonts w:hint="eastAsia" w:hAnsi="Times New Roman" w:cs="Times New Roman"/>
                <w:b/>
                <w:lang w:eastAsia="zh-CN"/>
              </w:rPr>
              <w:t>（</w:t>
            </w:r>
            <w:r>
              <w:rPr>
                <w:rFonts w:hint="eastAsia" w:hAnsi="Times New Roman" w:cs="Times New Roman"/>
                <w:b/>
                <w:lang w:val="en-US" w:eastAsia="zh-CN"/>
              </w:rPr>
              <w:t>一</w:t>
            </w:r>
            <w:r>
              <w:rPr>
                <w:rFonts w:hint="eastAsia" w:hAnsi="Times New Roman" w:cs="Times New Roman"/>
                <w:b/>
                <w:lang w:eastAsia="zh-CN"/>
              </w:rPr>
              <w:t>）混凝土</w:t>
            </w:r>
          </w:p>
          <w:p>
            <w:pPr>
              <w:ind w:firstLine="482"/>
              <w:rPr>
                <w:b/>
                <w:bCs/>
                <w:color w:val="000000"/>
                <w:sz w:val="24"/>
                <w:szCs w:val="24"/>
              </w:rPr>
            </w:pPr>
            <w:r>
              <w:rPr>
                <w:rFonts w:eastAsia="宋体"/>
                <w:b/>
                <w:bCs/>
                <w:color w:val="000000"/>
                <w:sz w:val="24"/>
                <w:szCs w:val="24"/>
              </w:rPr>
              <w:t>1</w:t>
            </w:r>
            <w:r>
              <w:rPr>
                <w:rFonts w:hint="eastAsia"/>
                <w:b/>
                <w:bCs/>
                <w:color w:val="000000"/>
                <w:sz w:val="24"/>
                <w:szCs w:val="24"/>
                <w:lang w:eastAsia="zh-CN"/>
              </w:rPr>
              <w:t>.</w:t>
            </w:r>
            <w:r>
              <w:rPr>
                <w:rFonts w:eastAsia="宋体"/>
                <w:b/>
                <w:bCs/>
                <w:color w:val="000000"/>
                <w:sz w:val="24"/>
                <w:szCs w:val="24"/>
              </w:rPr>
              <w:t>大气环境影响分析</w:t>
            </w:r>
          </w:p>
          <w:p>
            <w:pPr>
              <w:pStyle w:val="21"/>
              <w:ind w:firstLine="567" w:firstLineChars="0"/>
              <w:rPr>
                <w:rFonts w:hint="eastAsia"/>
                <w:b/>
                <w:color w:val="000000"/>
                <w:sz w:val="24"/>
                <w:szCs w:val="22"/>
                <w:lang w:val="en-US" w:eastAsia="zh-CN"/>
              </w:rPr>
            </w:pPr>
            <w:r>
              <w:rPr>
                <w:rFonts w:hint="eastAsia"/>
                <w:b/>
                <w:color w:val="000000"/>
                <w:sz w:val="24"/>
                <w:szCs w:val="22"/>
                <w:lang w:val="en-US" w:eastAsia="zh-CN"/>
              </w:rPr>
              <w:t>1.1</w:t>
            </w:r>
            <w:r>
              <w:rPr>
                <w:rFonts w:eastAsia="宋体"/>
                <w:b/>
                <w:color w:val="000000"/>
                <w:sz w:val="24"/>
                <w:szCs w:val="22"/>
                <w:lang w:val="en-US" w:eastAsia="zh-CN"/>
              </w:rPr>
              <w:t>废气治理措施可行性分析</w:t>
            </w:r>
          </w:p>
          <w:p>
            <w:pPr>
              <w:tabs>
                <w:tab w:val="left" w:pos="1900"/>
              </w:tabs>
              <w:ind w:firstLine="640" w:firstLineChars="200"/>
              <w:rPr>
                <w:rFonts w:hint="eastAsia" w:ascii="Times New Roman" w:hAnsi="Times New Roman" w:cs="Times New Roman"/>
                <w:sz w:val="24"/>
                <w:lang w:val="en-US" w:eastAsia="zh-CN"/>
              </w:rPr>
            </w:pPr>
            <w:r>
              <w:rPr>
                <w:rFonts w:hint="eastAsia" w:eastAsia="宋体"/>
                <w:color w:val="000000"/>
                <w:lang w:val="en-US" w:eastAsia="zh-CN"/>
              </w:rPr>
              <w:t>（</w:t>
            </w:r>
            <w:r>
              <w:rPr>
                <w:rFonts w:hint="eastAsia" w:ascii="Times New Roman" w:hAnsi="Times New Roman" w:cs="Times New Roman"/>
                <w:sz w:val="24"/>
                <w:lang w:val="en-US" w:eastAsia="zh-CN"/>
              </w:rPr>
              <w:t>1）有组织废气</w:t>
            </w:r>
          </w:p>
          <w:p>
            <w:pPr>
              <w:tabs>
                <w:tab w:val="left" w:pos="1900"/>
              </w:tabs>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本项目不涉及有组织废气。</w:t>
            </w:r>
          </w:p>
          <w:p>
            <w:pPr>
              <w:tabs>
                <w:tab w:val="left" w:pos="1900"/>
              </w:tabs>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（2）无组织废气</w:t>
            </w:r>
          </w:p>
          <w:p>
            <w:pPr>
              <w:tabs>
                <w:tab w:val="left" w:pos="1900"/>
              </w:tabs>
              <w:ind w:firstLine="480" w:firstLineChars="200"/>
              <w:rPr>
                <w:rFonts w:hint="eastAsia" w:ascii="Times New Roman" w:hAnsi="Times New Roman" w:cs="Times New Roman"/>
                <w:sz w:val="24"/>
              </w:rPr>
            </w:pPr>
            <w:r>
              <w:rPr>
                <w:rFonts w:hint="eastAsia" w:ascii="Times New Roman" w:hAnsi="Times New Roman" w:cs="Times New Roman"/>
                <w:sz w:val="24"/>
              </w:rPr>
              <w:t>本项目无组织废气主要为</w:t>
            </w:r>
            <w:r>
              <w:rPr>
                <w:rFonts w:hint="eastAsia" w:ascii="Times New Roman" w:hAnsi="Times New Roman" w:cs="Times New Roman"/>
                <w:sz w:val="24"/>
                <w:lang w:eastAsia="zh-CN"/>
              </w:rPr>
              <w:t>仓储粉尘和投料粉尘</w:t>
            </w:r>
            <w:r>
              <w:rPr>
                <w:rFonts w:hint="eastAsia" w:ascii="Times New Roman" w:hAnsi="Times New Roman" w:cs="Times New Roman"/>
                <w:sz w:val="24"/>
              </w:rPr>
              <w:t>过程中未被收集的废气</w:t>
            </w:r>
            <w:r>
              <w:rPr>
                <w:rFonts w:hint="eastAsia" w:ascii="Times New Roman" w:hAnsi="Times New Roman" w:cs="Times New Roman"/>
                <w:sz w:val="24"/>
                <w:lang w:eastAsia="zh-CN"/>
              </w:rPr>
              <w:t>，加强车间通风</w:t>
            </w:r>
            <w:r>
              <w:rPr>
                <w:rFonts w:hint="eastAsia" w:ascii="Times New Roman" w:hAnsi="Times New Roman" w:cs="Times New Roman"/>
                <w:sz w:val="24"/>
              </w:rPr>
              <w:t>后无组织排放。</w:t>
            </w:r>
          </w:p>
          <w:p>
            <w:pPr>
              <w:tabs>
                <w:tab w:val="left" w:pos="1900"/>
              </w:tabs>
              <w:ind w:firstLine="480" w:firstLineChars="200"/>
              <w:rPr>
                <w:rFonts w:hint="eastAsia" w:ascii="Times New Roman" w:hAnsi="Times New Roman" w:cs="Times New Roman"/>
                <w:sz w:val="24"/>
              </w:rPr>
            </w:pPr>
            <w:r>
              <w:rPr>
                <w:rFonts w:hint="eastAsia" w:ascii="Times New Roman" w:hAnsi="Times New Roman" w:cs="Times New Roman"/>
                <w:sz w:val="24"/>
              </w:rPr>
              <w:t>（3）废气措施可行性分析</w:t>
            </w:r>
          </w:p>
          <w:p>
            <w:pPr>
              <w:tabs>
                <w:tab w:val="left" w:pos="1900"/>
              </w:tabs>
              <w:ind w:firstLine="480" w:firstLineChars="200"/>
              <w:rPr>
                <w:rFonts w:hint="eastAsia" w:ascii="Times New Roman" w:hAnsi="Times New Roman" w:cs="Times New Roman"/>
                <w:sz w:val="24"/>
              </w:rPr>
            </w:pPr>
            <w:r>
              <w:rPr>
                <w:rFonts w:hint="eastAsia" w:ascii="Times New Roman" w:hAnsi="Times New Roman" w:cs="Times New Roman"/>
                <w:sz w:val="24"/>
              </w:rPr>
              <w:t>①</w:t>
            </w:r>
            <w:r>
              <w:rPr>
                <w:rFonts w:hint="eastAsia" w:ascii="Times New Roman" w:hAnsi="Times New Roman" w:cs="Times New Roman"/>
                <w:sz w:val="24"/>
                <w:lang w:eastAsia="zh-CN"/>
              </w:rPr>
              <w:t>集气罩</w:t>
            </w:r>
            <w:r>
              <w:rPr>
                <w:rFonts w:hint="eastAsia" w:ascii="Times New Roman" w:hAnsi="Times New Roman" w:cs="Times New Roman"/>
                <w:sz w:val="24"/>
                <w:lang w:val="en-US" w:eastAsia="zh-CN"/>
              </w:rPr>
              <w:t>+</w:t>
            </w:r>
            <w:r>
              <w:rPr>
                <w:rFonts w:hint="eastAsia" w:ascii="Times New Roman" w:hAnsi="Times New Roman" w:cs="Times New Roman"/>
                <w:sz w:val="24"/>
              </w:rPr>
              <w:t>脉冲反吹式除尘器</w:t>
            </w:r>
          </w:p>
          <w:p>
            <w:pPr>
              <w:tabs>
                <w:tab w:val="left" w:pos="1900"/>
              </w:tabs>
              <w:ind w:firstLine="480" w:firstLineChars="200"/>
              <w:rPr>
                <w:rFonts w:hint="eastAsia" w:ascii="Times New Roman" w:hAnsi="Times New Roman" w:cs="Times New Roman"/>
                <w:sz w:val="24"/>
              </w:rPr>
            </w:pPr>
            <w:r>
              <w:rPr>
                <w:rFonts w:hint="eastAsia" w:ascii="Times New Roman" w:hAnsi="Times New Roman" w:cs="Times New Roman"/>
                <w:sz w:val="24"/>
                <w:lang w:eastAsia="zh-CN"/>
              </w:rPr>
              <w:t>集气罩</w:t>
            </w:r>
            <w:r>
              <w:rPr>
                <w:rFonts w:hint="eastAsia" w:ascii="Times New Roman" w:hAnsi="Times New Roman" w:cs="Times New Roman"/>
                <w:sz w:val="24"/>
                <w:lang w:val="en-US" w:eastAsia="zh-CN"/>
              </w:rPr>
              <w:t>+</w:t>
            </w:r>
            <w:r>
              <w:rPr>
                <w:rFonts w:hint="eastAsia" w:ascii="Times New Roman" w:hAnsi="Times New Roman" w:cs="Times New Roman"/>
                <w:sz w:val="24"/>
              </w:rPr>
              <w:t>脉冲反吹式除尘器是一种干式除尘装置,它适用于捕集细小、干燥非纤维性粉尘。滤袋采用纺织的滤布或非纺织的毡制成，利用纤维织物的过滤作用对含尘气体进行过滤，当含尘气体进入布袋除尘器，颗粒大、比重大的粉尘，由于重力的作用沉降下来 ，落入灰斗，含有较细小粉尘的气体在通过滤料时，粉尘被阻留，使气体得到净化，对细小的粉尘也能有效去除。</w:t>
            </w:r>
          </w:p>
          <w:p>
            <w:pPr>
              <w:tabs>
                <w:tab w:val="left" w:pos="1900"/>
              </w:tabs>
              <w:ind w:firstLine="480" w:firstLineChars="200"/>
              <w:rPr>
                <w:rFonts w:hint="eastAsia" w:ascii="Times New Roman" w:hAnsi="Times New Roman" w:cs="Times New Roman"/>
                <w:sz w:val="24"/>
              </w:rPr>
            </w:pPr>
            <w:r>
              <w:rPr>
                <w:rFonts w:hint="eastAsia" w:ascii="Times New Roman" w:hAnsi="Times New Roman" w:cs="Times New Roman"/>
                <w:sz w:val="24"/>
              </w:rPr>
              <w:t>本项目使用的</w:t>
            </w:r>
            <w:r>
              <w:rPr>
                <w:rFonts w:hint="eastAsia" w:ascii="Times New Roman" w:hAnsi="Times New Roman" w:cs="Times New Roman"/>
                <w:sz w:val="24"/>
                <w:lang w:eastAsia="zh-CN"/>
              </w:rPr>
              <w:t>集气罩+脉冲反吹式除尘器</w:t>
            </w:r>
            <w:r>
              <w:rPr>
                <w:rFonts w:hint="eastAsia" w:ascii="Times New Roman" w:hAnsi="Times New Roman" w:cs="Times New Roman"/>
                <w:sz w:val="24"/>
              </w:rPr>
              <w:t>，高压反吹式清灰，有效解决了普通除尘器普遍存在的滤芯清灰不净，阻力过高现象，连续式清灰保证除尘器正常运行。</w:t>
            </w:r>
          </w:p>
          <w:p>
            <w:pPr>
              <w:tabs>
                <w:tab w:val="left" w:pos="1900"/>
              </w:tabs>
              <w:ind w:firstLine="480" w:firstLineChars="200"/>
              <w:rPr>
                <w:rFonts w:hint="eastAsia" w:ascii="Times New Roman" w:hAnsi="Times New Roman" w:cs="Times New Roman"/>
                <w:sz w:val="24"/>
              </w:rPr>
            </w:pPr>
            <w:r>
              <w:rPr>
                <w:rFonts w:hint="eastAsia" w:ascii="Times New Roman" w:hAnsi="Times New Roman" w:cs="Times New Roman"/>
                <w:sz w:val="24"/>
              </w:rPr>
              <w:t>②高压自动喷雾系统</w:t>
            </w:r>
          </w:p>
          <w:p>
            <w:pPr>
              <w:tabs>
                <w:tab w:val="left" w:pos="1900"/>
              </w:tabs>
              <w:ind w:firstLine="480" w:firstLineChars="200"/>
              <w:rPr>
                <w:rFonts w:hint="eastAsia" w:ascii="Times New Roman" w:hAnsi="Times New Roman" w:cs="Times New Roman"/>
                <w:sz w:val="24"/>
              </w:rPr>
            </w:pPr>
            <w:r>
              <w:rPr>
                <w:rFonts w:hint="eastAsia" w:ascii="Times New Roman" w:hAnsi="Times New Roman" w:cs="Times New Roman"/>
                <w:sz w:val="24"/>
              </w:rPr>
              <w:t>高压喷雾除尘的工作原理是利用高压泵将经过水处理系统净化过的水加压至40公斤以上，经过高压管路传送至高压喷阻雾化，雾滴的直径仅为1-15μm，这些微小的雾化颗粒能长时间漂浮在空气中，漂浮在空间，它们具有较强的表面活性和吸附能力对悬浮在空气中的粉尘，特别是直径在5微米以下的可吸入颗粒进行有效的吸附，使粉尘受重力作用而沉降，从而达到抑尘作用。</w:t>
            </w:r>
          </w:p>
          <w:p>
            <w:pPr>
              <w:tabs>
                <w:tab w:val="left" w:pos="1900"/>
              </w:tabs>
              <w:ind w:firstLine="480" w:firstLineChars="200"/>
              <w:rPr>
                <w:rFonts w:hint="eastAsia" w:ascii="Times New Roman" w:hAnsi="Times New Roman" w:cs="Times New Roman"/>
                <w:sz w:val="24"/>
              </w:rPr>
            </w:pPr>
            <w:r>
              <w:rPr>
                <w:rFonts w:hint="eastAsia" w:cs="Times New Roman"/>
                <w:sz w:val="24"/>
                <w:lang w:val="en-US" w:eastAsia="zh-CN"/>
              </w:rPr>
              <w:t>1.</w:t>
            </w:r>
            <w:r>
              <w:rPr>
                <w:rFonts w:hint="eastAsia" w:ascii="Times New Roman" w:hAnsi="Times New Roman" w:cs="Times New Roman"/>
                <w:sz w:val="24"/>
              </w:rPr>
              <w:t>2、估算模型参数</w:t>
            </w:r>
          </w:p>
          <w:p>
            <w:pPr>
              <w:tabs>
                <w:tab w:val="left" w:pos="1900"/>
              </w:tabs>
              <w:ind w:firstLine="480" w:firstLineChars="200"/>
              <w:rPr>
                <w:rFonts w:hint="eastAsia" w:ascii="Times New Roman" w:hAnsi="Times New Roman" w:cs="Times New Roman"/>
                <w:sz w:val="24"/>
              </w:rPr>
            </w:pPr>
            <w:r>
              <w:rPr>
                <w:rFonts w:hint="eastAsia" w:ascii="Times New Roman" w:hAnsi="Times New Roman" w:cs="Times New Roman"/>
                <w:sz w:val="24"/>
              </w:rPr>
              <w:t>估算模型参数见表7</w:t>
            </w:r>
            <w:r>
              <w:rPr>
                <w:rFonts w:hint="eastAsia" w:cs="Times New Roman"/>
                <w:sz w:val="24"/>
                <w:lang w:val="en-US" w:eastAsia="zh-CN"/>
              </w:rPr>
              <w:t>.1</w:t>
            </w:r>
            <w:r>
              <w:rPr>
                <w:rFonts w:hint="eastAsia" w:ascii="Times New Roman" w:hAnsi="Times New Roman" w:cs="Times New Roman"/>
                <w:sz w:val="24"/>
              </w:rPr>
              <w:t>-</w:t>
            </w:r>
            <w:r>
              <w:rPr>
                <w:rFonts w:hint="eastAsia" w:cs="Times New Roman"/>
                <w:sz w:val="24"/>
                <w:lang w:val="en-US" w:eastAsia="zh-CN"/>
              </w:rPr>
              <w:t>1</w:t>
            </w:r>
            <w:r>
              <w:rPr>
                <w:rFonts w:hint="eastAsia" w:ascii="Times New Roman" w:hAnsi="Times New Roman" w:cs="Times New Roman"/>
                <w:sz w:val="24"/>
              </w:rPr>
              <w:t>。</w:t>
            </w:r>
          </w:p>
          <w:p>
            <w:pPr>
              <w:tabs>
                <w:tab w:val="left" w:pos="2520"/>
              </w:tabs>
              <w:spacing w:line="320" w:lineRule="exact"/>
              <w:ind w:firstLine="0" w:firstLineChars="0"/>
              <w:jc w:val="center"/>
              <w:rPr>
                <w:b/>
                <w:color w:val="000000"/>
                <w:sz w:val="21"/>
                <w:szCs w:val="21"/>
              </w:rPr>
            </w:pPr>
          </w:p>
          <w:p>
            <w:pPr>
              <w:tabs>
                <w:tab w:val="left" w:pos="2520"/>
              </w:tabs>
              <w:spacing w:line="320" w:lineRule="exact"/>
              <w:ind w:firstLine="0" w:firstLineChars="0"/>
              <w:jc w:val="center"/>
              <w:rPr>
                <w:b/>
                <w:color w:val="000000"/>
                <w:sz w:val="21"/>
                <w:szCs w:val="21"/>
              </w:rPr>
            </w:pPr>
            <w:r>
              <w:rPr>
                <w:rFonts w:eastAsia="宋体"/>
                <w:b/>
                <w:color w:val="000000"/>
                <w:sz w:val="21"/>
                <w:szCs w:val="21"/>
              </w:rPr>
              <w:t>表7</w:t>
            </w:r>
            <w:r>
              <w:rPr>
                <w:rFonts w:hint="eastAsia"/>
                <w:b/>
                <w:color w:val="000000"/>
                <w:sz w:val="21"/>
                <w:szCs w:val="21"/>
                <w:lang w:val="en-US" w:eastAsia="zh-CN"/>
              </w:rPr>
              <w:t>.1</w:t>
            </w:r>
            <w:r>
              <w:rPr>
                <w:rFonts w:eastAsia="宋体"/>
                <w:b/>
                <w:color w:val="000000"/>
                <w:sz w:val="21"/>
                <w:szCs w:val="21"/>
              </w:rPr>
              <w:t>-</w:t>
            </w:r>
            <w:r>
              <w:rPr>
                <w:rFonts w:hint="eastAsia"/>
                <w:b/>
                <w:color w:val="000000"/>
                <w:sz w:val="21"/>
                <w:szCs w:val="21"/>
                <w:lang w:val="en-US" w:eastAsia="zh-CN"/>
              </w:rPr>
              <w:t>1</w:t>
            </w:r>
            <w:r>
              <w:rPr>
                <w:rFonts w:eastAsia="宋体"/>
                <w:b/>
                <w:color w:val="000000"/>
                <w:sz w:val="21"/>
                <w:szCs w:val="21"/>
              </w:rPr>
              <w:t xml:space="preserve"> 估算模型参数表</w:t>
            </w:r>
          </w:p>
          <w:tbl>
            <w:tblPr>
              <w:tblStyle w:val="43"/>
              <w:tblW w:w="8711"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Layout w:type="fixed"/>
              <w:tblCellMar>
                <w:top w:w="0" w:type="dxa"/>
                <w:left w:w="108" w:type="dxa"/>
                <w:bottom w:w="0" w:type="dxa"/>
                <w:right w:w="108" w:type="dxa"/>
              </w:tblCellMar>
            </w:tblPr>
            <w:tblGrid>
              <w:gridCol w:w="2411"/>
              <w:gridCol w:w="3223"/>
              <w:gridCol w:w="307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Layout w:type="fixed"/>
                <w:tblCellMar>
                  <w:top w:w="0" w:type="dxa"/>
                  <w:left w:w="108" w:type="dxa"/>
                  <w:bottom w:w="0" w:type="dxa"/>
                  <w:right w:w="108" w:type="dxa"/>
                </w:tblCellMar>
              </w:tblPrEx>
              <w:trPr>
                <w:trHeight w:val="340" w:hRule="atLeast"/>
              </w:trPr>
              <w:tc>
                <w:tcPr>
                  <w:tcW w:w="5634" w:type="dxa"/>
                  <w:gridSpan w:val="2"/>
                  <w:shd w:val="clear" w:color="auto" w:fill="FFFFFF"/>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参数</w:t>
                  </w:r>
                </w:p>
              </w:tc>
              <w:tc>
                <w:tcPr>
                  <w:tcW w:w="3077" w:type="dxa"/>
                  <w:shd w:val="clear" w:color="auto" w:fill="FFFFFF"/>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取值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Layout w:type="fixed"/>
                <w:tblCellMar>
                  <w:top w:w="0" w:type="dxa"/>
                  <w:left w:w="108" w:type="dxa"/>
                  <w:bottom w:w="0" w:type="dxa"/>
                  <w:right w:w="108" w:type="dxa"/>
                </w:tblCellMar>
              </w:tblPrEx>
              <w:trPr>
                <w:trHeight w:val="340" w:hRule="atLeast"/>
              </w:trPr>
              <w:tc>
                <w:tcPr>
                  <w:tcW w:w="2411" w:type="dxa"/>
                  <w:vMerge w:val="restart"/>
                  <w:shd w:val="clear" w:color="auto" w:fill="FFFFFF"/>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城市/农村选项</w:t>
                  </w:r>
                </w:p>
              </w:tc>
              <w:tc>
                <w:tcPr>
                  <w:tcW w:w="3223" w:type="dxa"/>
                  <w:shd w:val="clear" w:color="auto" w:fill="FFFFFF"/>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城市/农村</w:t>
                  </w:r>
                </w:p>
              </w:tc>
              <w:tc>
                <w:tcPr>
                  <w:tcW w:w="3077" w:type="dxa"/>
                  <w:shd w:val="clear" w:color="auto" w:fill="FFFFFF"/>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农村</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Layout w:type="fixed"/>
                <w:tblCellMar>
                  <w:top w:w="0" w:type="dxa"/>
                  <w:left w:w="108" w:type="dxa"/>
                  <w:bottom w:w="0" w:type="dxa"/>
                  <w:right w:w="108" w:type="dxa"/>
                </w:tblCellMar>
              </w:tblPrEx>
              <w:trPr>
                <w:trHeight w:val="340" w:hRule="atLeast"/>
              </w:trPr>
              <w:tc>
                <w:tcPr>
                  <w:tcW w:w="2411" w:type="dxa"/>
                  <w:vMerge w:val="continue"/>
                  <w:shd w:val="clear" w:color="auto" w:fill="auto"/>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p>
              </w:tc>
              <w:tc>
                <w:tcPr>
                  <w:tcW w:w="3223" w:type="dxa"/>
                  <w:shd w:val="clear" w:color="auto" w:fill="FFFFFF"/>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人口数（城市选项时）</w:t>
                  </w:r>
                </w:p>
              </w:tc>
              <w:tc>
                <w:tcPr>
                  <w:tcW w:w="3077" w:type="dxa"/>
                  <w:shd w:val="clear" w:color="auto" w:fill="FFFFFF"/>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Layout w:type="fixed"/>
                <w:tblCellMar>
                  <w:top w:w="0" w:type="dxa"/>
                  <w:left w:w="108" w:type="dxa"/>
                  <w:bottom w:w="0" w:type="dxa"/>
                  <w:right w:w="108" w:type="dxa"/>
                </w:tblCellMar>
              </w:tblPrEx>
              <w:trPr>
                <w:trHeight w:val="340" w:hRule="atLeast"/>
              </w:trPr>
              <w:tc>
                <w:tcPr>
                  <w:tcW w:w="5634" w:type="dxa"/>
                  <w:gridSpan w:val="2"/>
                  <w:shd w:val="clear" w:color="auto" w:fill="FFFFFF"/>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最高环境温度/</w:t>
                  </w:r>
                  <w:r>
                    <w:rPr>
                      <w:rFonts w:hint="eastAsia" w:ascii="Times New Roman" w:hAnsi="Times New Roman" w:eastAsia="宋体" w:cs="Times New Roman"/>
                      <w:b w:val="0"/>
                      <w:bCs/>
                      <w:color w:val="000000"/>
                      <w:kern w:val="0"/>
                      <w:sz w:val="21"/>
                      <w:szCs w:val="21"/>
                    </w:rPr>
                    <w:t>℃</w:t>
                  </w:r>
                </w:p>
              </w:tc>
              <w:tc>
                <w:tcPr>
                  <w:tcW w:w="3077" w:type="dxa"/>
                  <w:shd w:val="clear" w:color="auto" w:fill="FFFFFF"/>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38.2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Layout w:type="fixed"/>
                <w:tblCellMar>
                  <w:top w:w="0" w:type="dxa"/>
                  <w:left w:w="108" w:type="dxa"/>
                  <w:bottom w:w="0" w:type="dxa"/>
                  <w:right w:w="108" w:type="dxa"/>
                </w:tblCellMar>
              </w:tblPrEx>
              <w:trPr>
                <w:trHeight w:val="340" w:hRule="atLeast"/>
              </w:trPr>
              <w:tc>
                <w:tcPr>
                  <w:tcW w:w="5634" w:type="dxa"/>
                  <w:gridSpan w:val="2"/>
                  <w:shd w:val="clear" w:color="auto" w:fill="FFFFFF"/>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最低环境温度/</w:t>
                  </w:r>
                  <w:r>
                    <w:rPr>
                      <w:rFonts w:hint="eastAsia" w:ascii="Times New Roman" w:hAnsi="Times New Roman" w:eastAsia="宋体" w:cs="Times New Roman"/>
                      <w:b w:val="0"/>
                      <w:bCs/>
                      <w:color w:val="000000"/>
                      <w:kern w:val="0"/>
                      <w:sz w:val="21"/>
                      <w:szCs w:val="21"/>
                    </w:rPr>
                    <w:t>℃</w:t>
                  </w:r>
                </w:p>
              </w:tc>
              <w:tc>
                <w:tcPr>
                  <w:tcW w:w="3077" w:type="dxa"/>
                  <w:shd w:val="clear" w:color="auto" w:fill="FFFFFF"/>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-10.8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Layout w:type="fixed"/>
                <w:tblCellMar>
                  <w:top w:w="0" w:type="dxa"/>
                  <w:left w:w="108" w:type="dxa"/>
                  <w:bottom w:w="0" w:type="dxa"/>
                  <w:right w:w="108" w:type="dxa"/>
                </w:tblCellMar>
              </w:tblPrEx>
              <w:trPr>
                <w:trHeight w:val="340" w:hRule="atLeast"/>
              </w:trPr>
              <w:tc>
                <w:tcPr>
                  <w:tcW w:w="5634" w:type="dxa"/>
                  <w:gridSpan w:val="2"/>
                  <w:shd w:val="clear" w:color="auto" w:fill="FFFFFF"/>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土地利用类型</w:t>
                  </w:r>
                </w:p>
              </w:tc>
              <w:tc>
                <w:tcPr>
                  <w:tcW w:w="3077" w:type="dxa"/>
                  <w:shd w:val="clear" w:color="auto" w:fill="FFFFFF"/>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农作地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Layout w:type="fixed"/>
                <w:tblCellMar>
                  <w:top w:w="0" w:type="dxa"/>
                  <w:left w:w="108" w:type="dxa"/>
                  <w:bottom w:w="0" w:type="dxa"/>
                  <w:right w:w="108" w:type="dxa"/>
                </w:tblCellMar>
              </w:tblPrEx>
              <w:trPr>
                <w:trHeight w:val="340" w:hRule="atLeast"/>
              </w:trPr>
              <w:tc>
                <w:tcPr>
                  <w:tcW w:w="5634" w:type="dxa"/>
                  <w:gridSpan w:val="2"/>
                  <w:shd w:val="clear" w:color="auto" w:fill="FFFFFF"/>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区域湿度条件</w:t>
                  </w:r>
                </w:p>
              </w:tc>
              <w:tc>
                <w:tcPr>
                  <w:tcW w:w="3077" w:type="dxa"/>
                  <w:shd w:val="clear" w:color="auto" w:fill="FFFFFF"/>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潮湿气候</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Layout w:type="fixed"/>
                <w:tblCellMar>
                  <w:top w:w="0" w:type="dxa"/>
                  <w:left w:w="108" w:type="dxa"/>
                  <w:bottom w:w="0" w:type="dxa"/>
                  <w:right w:w="108" w:type="dxa"/>
                </w:tblCellMar>
              </w:tblPrEx>
              <w:trPr>
                <w:trHeight w:val="340" w:hRule="atLeast"/>
              </w:trPr>
              <w:tc>
                <w:tcPr>
                  <w:tcW w:w="2411" w:type="dxa"/>
                  <w:shd w:val="clear" w:color="auto" w:fill="FFFFFF"/>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　</w:t>
                  </w:r>
                </w:p>
              </w:tc>
              <w:tc>
                <w:tcPr>
                  <w:tcW w:w="3223" w:type="dxa"/>
                  <w:shd w:val="clear" w:color="auto" w:fill="FFFFFF"/>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地形数据分辨率</w:t>
                  </w:r>
                </w:p>
              </w:tc>
              <w:tc>
                <w:tcPr>
                  <w:tcW w:w="3077" w:type="dxa"/>
                  <w:shd w:val="clear" w:color="auto" w:fill="FFFFFF"/>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Layout w:type="fixed"/>
                <w:tblCellMar>
                  <w:top w:w="0" w:type="dxa"/>
                  <w:left w:w="108" w:type="dxa"/>
                  <w:bottom w:w="0" w:type="dxa"/>
                  <w:right w:w="108" w:type="dxa"/>
                </w:tblCellMar>
              </w:tblPrEx>
              <w:trPr>
                <w:trHeight w:val="340" w:hRule="atLeast"/>
              </w:trPr>
              <w:tc>
                <w:tcPr>
                  <w:tcW w:w="2411" w:type="dxa"/>
                  <w:vMerge w:val="restart"/>
                  <w:shd w:val="clear" w:color="auto" w:fill="FFFFFF"/>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是否考虑海岸线熏烟</w:t>
                  </w:r>
                </w:p>
              </w:tc>
              <w:tc>
                <w:tcPr>
                  <w:tcW w:w="3223" w:type="dxa"/>
                  <w:shd w:val="clear" w:color="auto" w:fill="FFFFFF"/>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是/否</w:t>
                  </w:r>
                </w:p>
              </w:tc>
              <w:tc>
                <w:tcPr>
                  <w:tcW w:w="3077" w:type="dxa"/>
                  <w:shd w:val="clear" w:color="auto" w:fill="FFFFFF"/>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Layout w:type="fixed"/>
                <w:tblCellMar>
                  <w:top w:w="0" w:type="dxa"/>
                  <w:left w:w="108" w:type="dxa"/>
                  <w:bottom w:w="0" w:type="dxa"/>
                  <w:right w:w="108" w:type="dxa"/>
                </w:tblCellMar>
              </w:tblPrEx>
              <w:trPr>
                <w:trHeight w:val="340" w:hRule="atLeast"/>
              </w:trPr>
              <w:tc>
                <w:tcPr>
                  <w:tcW w:w="2411" w:type="dxa"/>
                  <w:vMerge w:val="continue"/>
                  <w:shd w:val="clear" w:color="auto" w:fill="auto"/>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p>
              </w:tc>
              <w:tc>
                <w:tcPr>
                  <w:tcW w:w="3223" w:type="dxa"/>
                  <w:shd w:val="clear" w:color="auto" w:fill="FFFFFF"/>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海岸线距离/m</w:t>
                  </w:r>
                </w:p>
              </w:tc>
              <w:tc>
                <w:tcPr>
                  <w:tcW w:w="3077" w:type="dxa"/>
                  <w:shd w:val="clear" w:color="auto" w:fill="FFFFFF"/>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Layout w:type="fixed"/>
                <w:tblCellMar>
                  <w:top w:w="0" w:type="dxa"/>
                  <w:left w:w="108" w:type="dxa"/>
                  <w:bottom w:w="0" w:type="dxa"/>
                  <w:right w:w="108" w:type="dxa"/>
                </w:tblCellMar>
              </w:tblPrEx>
              <w:trPr>
                <w:trHeight w:val="340" w:hRule="atLeast"/>
              </w:trPr>
              <w:tc>
                <w:tcPr>
                  <w:tcW w:w="2411" w:type="dxa"/>
                  <w:vMerge w:val="continue"/>
                  <w:shd w:val="clear" w:color="auto" w:fill="auto"/>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p>
              </w:tc>
              <w:tc>
                <w:tcPr>
                  <w:tcW w:w="3223" w:type="dxa"/>
                  <w:shd w:val="clear" w:color="auto" w:fill="FFFFFF"/>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海岸线方向/°</w:t>
                  </w:r>
                </w:p>
              </w:tc>
              <w:tc>
                <w:tcPr>
                  <w:tcW w:w="3077" w:type="dxa"/>
                  <w:shd w:val="clear" w:color="auto" w:fill="FFFFFF"/>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w:t>
                  </w:r>
                </w:p>
              </w:tc>
            </w:tr>
          </w:tbl>
          <w:p>
            <w:pPr>
              <w:tabs>
                <w:tab w:val="left" w:pos="1900"/>
              </w:tabs>
              <w:ind w:firstLine="480" w:firstLineChars="200"/>
              <w:rPr>
                <w:rFonts w:hint="eastAsia" w:ascii="Times New Roman" w:hAnsi="Times New Roman" w:cs="Times New Roman"/>
                <w:b w:val="0"/>
                <w:bCs w:val="0"/>
                <w:sz w:val="24"/>
                <w:lang w:val="en-US" w:eastAsia="zh-CN"/>
              </w:rPr>
            </w:pPr>
            <w:r>
              <w:rPr>
                <w:rFonts w:hint="eastAsia" w:cs="Times New Roman"/>
                <w:b w:val="0"/>
                <w:bCs w:val="0"/>
                <w:sz w:val="24"/>
                <w:lang w:val="en-US" w:eastAsia="zh-CN"/>
              </w:rPr>
              <w:t>1.</w:t>
            </w:r>
            <w:r>
              <w:rPr>
                <w:rFonts w:hint="eastAsia" w:ascii="Times New Roman" w:hAnsi="Times New Roman" w:cs="Times New Roman"/>
                <w:b w:val="0"/>
                <w:bCs w:val="0"/>
                <w:sz w:val="24"/>
                <w:lang w:val="en-US" w:eastAsia="zh-CN"/>
              </w:rPr>
              <w:t>3、环境影响识别与评价因子筛选</w:t>
            </w:r>
          </w:p>
          <w:p>
            <w:pPr>
              <w:tabs>
                <w:tab w:val="left" w:pos="1900"/>
              </w:tabs>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 xml:space="preserve">根据 HJ/T2.1《环境影响评价技术导则 总纲》的要求，选择建设项目生产过程中产生的颗粒物为大气环境影响评价因子。 </w:t>
            </w:r>
          </w:p>
          <w:p>
            <w:pPr>
              <w:tabs>
                <w:tab w:val="left" w:pos="1900"/>
              </w:tabs>
              <w:ind w:firstLine="480" w:firstLineChars="200"/>
              <w:rPr>
                <w:rFonts w:hint="eastAsia" w:ascii="Times New Roman" w:hAnsi="Times New Roman" w:cs="Times New Roman"/>
                <w:b w:val="0"/>
                <w:bCs w:val="0"/>
                <w:sz w:val="24"/>
                <w:lang w:val="en-US" w:eastAsia="zh-CN"/>
              </w:rPr>
            </w:pPr>
            <w:r>
              <w:rPr>
                <w:rFonts w:hint="eastAsia" w:cs="Times New Roman"/>
                <w:b w:val="0"/>
                <w:bCs w:val="0"/>
                <w:sz w:val="24"/>
                <w:lang w:val="en-US" w:eastAsia="zh-CN"/>
              </w:rPr>
              <w:t>1.</w:t>
            </w:r>
            <w:r>
              <w:rPr>
                <w:rFonts w:hint="eastAsia" w:ascii="Times New Roman" w:hAnsi="Times New Roman" w:cs="Times New Roman"/>
                <w:b w:val="0"/>
                <w:bCs w:val="0"/>
                <w:sz w:val="24"/>
                <w:lang w:val="en-US" w:eastAsia="zh-CN"/>
              </w:rPr>
              <w:t>4、评价标准的确定</w:t>
            </w:r>
          </w:p>
          <w:p>
            <w:pPr>
              <w:tabs>
                <w:tab w:val="left" w:pos="1900"/>
              </w:tabs>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建设项目PM10的评价标准见表4-1。</w:t>
            </w:r>
          </w:p>
          <w:p>
            <w:pPr>
              <w:tabs>
                <w:tab w:val="left" w:pos="1900"/>
              </w:tabs>
              <w:ind w:firstLine="482" w:firstLineChars="200"/>
              <w:rPr>
                <w:rFonts w:hint="eastAsia" w:ascii="Times New Roman" w:hAnsi="Times New Roman" w:cs="Times New Roman"/>
                <w:sz w:val="24"/>
                <w:lang w:val="en-US" w:eastAsia="zh-CN"/>
              </w:rPr>
            </w:pPr>
            <w:r>
              <w:rPr>
                <w:rFonts w:hint="eastAsia" w:cs="Times New Roman"/>
                <w:b/>
                <w:bCs/>
                <w:sz w:val="24"/>
                <w:lang w:val="en-US" w:eastAsia="zh-CN"/>
              </w:rPr>
              <w:t>1.</w:t>
            </w:r>
            <w:r>
              <w:rPr>
                <w:rFonts w:hint="eastAsia" w:ascii="Times New Roman" w:hAnsi="Times New Roman" w:cs="Times New Roman"/>
                <w:b/>
                <w:bCs/>
                <w:sz w:val="24"/>
                <w:lang w:val="en-US" w:eastAsia="zh-CN"/>
              </w:rPr>
              <w:t>5、预测分析内容</w:t>
            </w:r>
          </w:p>
          <w:p>
            <w:pPr>
              <w:tabs>
                <w:tab w:val="left" w:pos="1900"/>
              </w:tabs>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本报告采用从国家环境保护部环境工程评估中心环境质量模拟重点实验室网站下载的估算模式（ARESCREEN）软件进行本项目环境空气影响估算预测。</w:t>
            </w:r>
          </w:p>
          <w:p>
            <w:pPr>
              <w:tabs>
                <w:tab w:val="left" w:pos="1900"/>
              </w:tabs>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（1）污染源参数</w:t>
            </w:r>
          </w:p>
          <w:p>
            <w:pPr>
              <w:tabs>
                <w:tab w:val="left" w:pos="1900"/>
              </w:tabs>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根据工程分析本项目正常工况下无组织废气污染源强见表7</w:t>
            </w:r>
            <w:r>
              <w:rPr>
                <w:rFonts w:hint="eastAsia" w:cs="Times New Roman"/>
                <w:sz w:val="24"/>
                <w:lang w:val="en-US" w:eastAsia="zh-CN"/>
              </w:rPr>
              <w:t>.1</w:t>
            </w:r>
            <w:r>
              <w:rPr>
                <w:rFonts w:hint="eastAsia" w:ascii="Times New Roman" w:hAnsi="Times New Roman" w:cs="Times New Roman"/>
                <w:sz w:val="24"/>
                <w:lang w:val="en-US" w:eastAsia="zh-CN"/>
              </w:rPr>
              <w:t>-</w:t>
            </w:r>
            <w:r>
              <w:rPr>
                <w:rFonts w:hint="eastAsia" w:cs="Times New Roman"/>
                <w:sz w:val="24"/>
                <w:lang w:val="en-US" w:eastAsia="zh-CN"/>
              </w:rPr>
              <w:t>2</w:t>
            </w:r>
            <w:r>
              <w:rPr>
                <w:rFonts w:hint="eastAsia" w:ascii="Times New Roman" w:hAnsi="Times New Roman" w:cs="Times New Roman"/>
                <w:sz w:val="24"/>
                <w:lang w:val="en-US" w:eastAsia="zh-CN"/>
              </w:rPr>
              <w:t>。</w:t>
            </w:r>
          </w:p>
          <w:p>
            <w:pPr>
              <w:spacing w:line="320" w:lineRule="exact"/>
              <w:ind w:left="0" w:leftChars="0" w:firstLine="0" w:firstLineChars="0"/>
              <w:jc w:val="center"/>
              <w:rPr>
                <w:color w:val="000000"/>
                <w:sz w:val="21"/>
                <w:szCs w:val="21"/>
              </w:rPr>
            </w:pPr>
            <w:bookmarkStart w:id="46" w:name="_Ref359571854"/>
            <w:r>
              <w:rPr>
                <w:rFonts w:eastAsia="宋体"/>
                <w:b/>
                <w:bCs/>
                <w:color w:val="000000"/>
                <w:sz w:val="21"/>
                <w:szCs w:val="21"/>
              </w:rPr>
              <w:t>表</w:t>
            </w:r>
            <w:bookmarkEnd w:id="46"/>
            <w:r>
              <w:rPr>
                <w:rFonts w:eastAsia="宋体"/>
                <w:b/>
                <w:bCs/>
                <w:color w:val="000000"/>
                <w:sz w:val="21"/>
                <w:szCs w:val="21"/>
              </w:rPr>
              <w:t>7</w:t>
            </w:r>
            <w:r>
              <w:rPr>
                <w:rFonts w:hint="eastAsia"/>
                <w:b/>
                <w:bCs/>
                <w:color w:val="000000"/>
                <w:sz w:val="21"/>
                <w:szCs w:val="21"/>
                <w:lang w:val="en-US" w:eastAsia="zh-CN"/>
              </w:rPr>
              <w:t>.1</w:t>
            </w:r>
            <w:r>
              <w:rPr>
                <w:rFonts w:eastAsia="宋体"/>
                <w:b/>
                <w:bCs/>
                <w:color w:val="000000"/>
                <w:sz w:val="21"/>
                <w:szCs w:val="21"/>
              </w:rPr>
              <w:t>-</w:t>
            </w:r>
            <w:r>
              <w:rPr>
                <w:rFonts w:hint="eastAsia"/>
                <w:b/>
                <w:bCs/>
                <w:color w:val="000000"/>
                <w:sz w:val="21"/>
                <w:szCs w:val="21"/>
                <w:lang w:val="en-US" w:eastAsia="zh-CN"/>
              </w:rPr>
              <w:t>2</w:t>
            </w:r>
            <w:r>
              <w:rPr>
                <w:rFonts w:hint="eastAsia" w:eastAsia="宋体"/>
                <w:b/>
                <w:bCs/>
                <w:color w:val="000000"/>
                <w:sz w:val="21"/>
                <w:szCs w:val="21"/>
              </w:rPr>
              <w:t xml:space="preserve"> </w:t>
            </w:r>
            <w:r>
              <w:rPr>
                <w:rFonts w:eastAsia="宋体"/>
                <w:b/>
                <w:color w:val="000000"/>
                <w:sz w:val="21"/>
                <w:szCs w:val="21"/>
              </w:rPr>
              <w:t>建设项目无组织排放的废气源强参数</w:t>
            </w:r>
          </w:p>
          <w:tbl>
            <w:tblPr>
              <w:tblStyle w:val="43"/>
              <w:tblW w:w="8711" w:type="dxa"/>
              <w:tblInd w:w="0" w:type="dxa"/>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108" w:type="dxa"/>
                <w:bottom w:w="0" w:type="dxa"/>
                <w:right w:w="108" w:type="dxa"/>
              </w:tblCellMar>
            </w:tblPr>
            <w:tblGrid>
              <w:gridCol w:w="779"/>
              <w:gridCol w:w="1084"/>
              <w:gridCol w:w="1031"/>
              <w:gridCol w:w="675"/>
              <w:gridCol w:w="765"/>
              <w:gridCol w:w="760"/>
              <w:gridCol w:w="725"/>
              <w:gridCol w:w="825"/>
              <w:gridCol w:w="615"/>
              <w:gridCol w:w="675"/>
              <w:gridCol w:w="777"/>
            </w:tblGrid>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779"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面源名称</w:t>
                  </w:r>
                </w:p>
              </w:tc>
              <w:tc>
                <w:tcPr>
                  <w:tcW w:w="1084"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坐标</w:t>
                  </w:r>
                </w:p>
              </w:tc>
              <w:tc>
                <w:tcPr>
                  <w:tcW w:w="1031"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坐标</w:t>
                  </w:r>
                </w:p>
              </w:tc>
              <w:tc>
                <w:tcPr>
                  <w:tcW w:w="675"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面源长度</w:t>
                  </w:r>
                </w:p>
              </w:tc>
              <w:tc>
                <w:tcPr>
                  <w:tcW w:w="765"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面源</w:t>
                  </w:r>
                </w:p>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宽度</w:t>
                  </w:r>
                </w:p>
              </w:tc>
              <w:tc>
                <w:tcPr>
                  <w:tcW w:w="760"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与正北夹角</w:t>
                  </w:r>
                </w:p>
              </w:tc>
              <w:tc>
                <w:tcPr>
                  <w:tcW w:w="725"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面源初始排放高度</w:t>
                  </w:r>
                </w:p>
              </w:tc>
              <w:tc>
                <w:tcPr>
                  <w:tcW w:w="825"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年排放小时数</w:t>
                  </w:r>
                </w:p>
              </w:tc>
              <w:tc>
                <w:tcPr>
                  <w:tcW w:w="615"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排放</w:t>
                  </w:r>
                </w:p>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工况</w:t>
                  </w:r>
                </w:p>
              </w:tc>
              <w:tc>
                <w:tcPr>
                  <w:tcW w:w="1452" w:type="dxa"/>
                  <w:gridSpan w:val="2"/>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评价因子源强</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779"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单位</w:t>
                  </w:r>
                </w:p>
              </w:tc>
              <w:tc>
                <w:tcPr>
                  <w:tcW w:w="1084"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m</w:t>
                  </w:r>
                </w:p>
              </w:tc>
              <w:tc>
                <w:tcPr>
                  <w:tcW w:w="1031"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m</w:t>
                  </w:r>
                </w:p>
              </w:tc>
              <w:tc>
                <w:tcPr>
                  <w:tcW w:w="675"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m</w:t>
                  </w:r>
                </w:p>
              </w:tc>
              <w:tc>
                <w:tcPr>
                  <w:tcW w:w="765"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m</w:t>
                  </w:r>
                </w:p>
              </w:tc>
              <w:tc>
                <w:tcPr>
                  <w:tcW w:w="760"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Arc</w:t>
                  </w:r>
                </w:p>
              </w:tc>
              <w:tc>
                <w:tcPr>
                  <w:tcW w:w="725"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m</w:t>
                  </w:r>
                </w:p>
              </w:tc>
              <w:tc>
                <w:tcPr>
                  <w:tcW w:w="825"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h</w:t>
                  </w:r>
                </w:p>
              </w:tc>
              <w:tc>
                <w:tcPr>
                  <w:tcW w:w="615"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w:t>
                  </w:r>
                </w:p>
              </w:tc>
              <w:tc>
                <w:tcPr>
                  <w:tcW w:w="1452" w:type="dxa"/>
                  <w:gridSpan w:val="2"/>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kg/h</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779"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生产车间</w:t>
                  </w:r>
                </w:p>
              </w:tc>
              <w:tc>
                <w:tcPr>
                  <w:tcW w:w="1084"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rPr>
                    <w:t>120°4</w:t>
                  </w:r>
                  <w:r>
                    <w:rPr>
                      <w:rFonts w:hint="eastAsia" w:ascii="Times New Roman" w:hAnsi="Times New Roman" w:eastAsia="宋体" w:cs="Times New Roman"/>
                      <w:b w:val="0"/>
                      <w:bCs/>
                      <w:color w:val="000000"/>
                      <w:kern w:val="0"/>
                      <w:sz w:val="21"/>
                      <w:szCs w:val="21"/>
                    </w:rPr>
                    <w:t>5</w:t>
                  </w:r>
                  <w:r>
                    <w:rPr>
                      <w:rFonts w:ascii="Times New Roman" w:hAnsi="Times New Roman" w:eastAsia="宋体" w:cs="Times New Roman"/>
                      <w:b w:val="0"/>
                      <w:bCs/>
                      <w:color w:val="000000"/>
                      <w:kern w:val="0"/>
                      <w:sz w:val="21"/>
                      <w:szCs w:val="21"/>
                    </w:rPr>
                    <w:t>’</w:t>
                  </w:r>
                  <w:r>
                    <w:rPr>
                      <w:rFonts w:hint="eastAsia" w:ascii="Times New Roman" w:hAnsi="Times New Roman" w:eastAsia="宋体" w:cs="Times New Roman"/>
                      <w:b w:val="0"/>
                      <w:bCs/>
                      <w:color w:val="000000"/>
                      <w:kern w:val="0"/>
                      <w:sz w:val="21"/>
                      <w:szCs w:val="21"/>
                    </w:rPr>
                    <w:t>4</w:t>
                  </w:r>
                  <w:r>
                    <w:rPr>
                      <w:rFonts w:hint="eastAsia" w:ascii="Times New Roman" w:hAnsi="Times New Roman" w:eastAsia="宋体" w:cs="Times New Roman"/>
                      <w:b w:val="0"/>
                      <w:bCs/>
                      <w:color w:val="000000"/>
                      <w:kern w:val="0"/>
                      <w:sz w:val="21"/>
                      <w:szCs w:val="21"/>
                      <w:lang w:val="en-US" w:eastAsia="zh-CN"/>
                    </w:rPr>
                    <w:t>5</w:t>
                  </w:r>
                  <w:r>
                    <w:rPr>
                      <w:rFonts w:ascii="Times New Roman" w:hAnsi="Times New Roman" w:eastAsia="宋体" w:cs="Times New Roman"/>
                      <w:b w:val="0"/>
                      <w:bCs/>
                      <w:color w:val="000000"/>
                      <w:kern w:val="0"/>
                      <w:sz w:val="21"/>
                      <w:szCs w:val="21"/>
                    </w:rPr>
                    <w:t>.</w:t>
                  </w:r>
                  <w:r>
                    <w:rPr>
                      <w:rFonts w:hint="eastAsia" w:ascii="Times New Roman" w:hAnsi="Times New Roman" w:eastAsia="宋体" w:cs="Times New Roman"/>
                      <w:b w:val="0"/>
                      <w:bCs/>
                      <w:color w:val="000000"/>
                      <w:kern w:val="0"/>
                      <w:sz w:val="21"/>
                      <w:szCs w:val="21"/>
                      <w:lang w:val="en-US" w:eastAsia="zh-CN"/>
                    </w:rPr>
                    <w:t>45</w:t>
                  </w:r>
                  <w:r>
                    <w:rPr>
                      <w:rFonts w:ascii="Times New Roman" w:hAnsi="Times New Roman" w:eastAsia="宋体" w:cs="Times New Roman"/>
                      <w:b w:val="0"/>
                      <w:bCs/>
                      <w:color w:val="000000"/>
                      <w:kern w:val="0"/>
                      <w:sz w:val="21"/>
                      <w:szCs w:val="21"/>
                    </w:rPr>
                    <w:t>"</w:t>
                  </w:r>
                </w:p>
              </w:tc>
              <w:tc>
                <w:tcPr>
                  <w:tcW w:w="1031"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rPr>
                    <w:t>32°</w:t>
                  </w:r>
                  <w:r>
                    <w:rPr>
                      <w:rFonts w:hint="eastAsia" w:ascii="Times New Roman" w:hAnsi="Times New Roman" w:eastAsia="宋体" w:cs="Times New Roman"/>
                      <w:b w:val="0"/>
                      <w:bCs/>
                      <w:color w:val="000000"/>
                      <w:kern w:val="0"/>
                      <w:sz w:val="21"/>
                      <w:szCs w:val="21"/>
                    </w:rPr>
                    <w:t>13</w:t>
                  </w:r>
                  <w:r>
                    <w:rPr>
                      <w:rFonts w:ascii="Times New Roman" w:hAnsi="Times New Roman" w:eastAsia="宋体" w:cs="Times New Roman"/>
                      <w:b w:val="0"/>
                      <w:bCs/>
                      <w:color w:val="000000"/>
                      <w:kern w:val="0"/>
                      <w:sz w:val="21"/>
                      <w:szCs w:val="21"/>
                    </w:rPr>
                    <w:t>’</w:t>
                  </w:r>
                  <w:r>
                    <w:rPr>
                      <w:rFonts w:hint="eastAsia" w:ascii="Times New Roman" w:hAnsi="Times New Roman" w:eastAsia="宋体" w:cs="Times New Roman"/>
                      <w:b w:val="0"/>
                      <w:bCs/>
                      <w:color w:val="000000"/>
                      <w:kern w:val="0"/>
                      <w:sz w:val="21"/>
                      <w:szCs w:val="21"/>
                    </w:rPr>
                    <w:t>30</w:t>
                  </w:r>
                  <w:r>
                    <w:rPr>
                      <w:rFonts w:ascii="Times New Roman" w:hAnsi="Times New Roman" w:eastAsia="宋体" w:cs="Times New Roman"/>
                      <w:b w:val="0"/>
                      <w:bCs/>
                      <w:color w:val="000000"/>
                      <w:kern w:val="0"/>
                      <w:sz w:val="21"/>
                      <w:szCs w:val="21"/>
                    </w:rPr>
                    <w:t>.</w:t>
                  </w:r>
                  <w:r>
                    <w:rPr>
                      <w:rFonts w:hint="eastAsia" w:ascii="Times New Roman" w:hAnsi="Times New Roman" w:eastAsia="宋体" w:cs="Times New Roman"/>
                      <w:b w:val="0"/>
                      <w:bCs/>
                      <w:color w:val="000000"/>
                      <w:kern w:val="0"/>
                      <w:sz w:val="21"/>
                      <w:szCs w:val="21"/>
                      <w:lang w:val="en-US" w:eastAsia="zh-CN"/>
                    </w:rPr>
                    <w:t>79</w:t>
                  </w:r>
                  <w:r>
                    <w:rPr>
                      <w:rFonts w:ascii="Times New Roman" w:hAnsi="Times New Roman" w:eastAsia="宋体" w:cs="Times New Roman"/>
                      <w:b w:val="0"/>
                      <w:bCs/>
                      <w:color w:val="000000"/>
                      <w:kern w:val="0"/>
                      <w:sz w:val="21"/>
                      <w:szCs w:val="21"/>
                    </w:rPr>
                    <w:t>"</w:t>
                  </w:r>
                </w:p>
              </w:tc>
              <w:tc>
                <w:tcPr>
                  <w:tcW w:w="675"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70</w:t>
                  </w:r>
                </w:p>
              </w:tc>
              <w:tc>
                <w:tcPr>
                  <w:tcW w:w="765" w:type="dxa"/>
                  <w:noWrap w:val="0"/>
                  <w:vAlign w:val="center"/>
                </w:tcPr>
                <w:p>
                  <w:pPr>
                    <w:widowControl/>
                    <w:spacing w:line="320" w:lineRule="exact"/>
                    <w:ind w:firstLine="0" w:firstLineChars="0"/>
                    <w:jc w:val="center"/>
                    <w:rPr>
                      <w:rFonts w:hint="default"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42</w:t>
                  </w:r>
                </w:p>
              </w:tc>
              <w:tc>
                <w:tcPr>
                  <w:tcW w:w="760" w:type="dxa"/>
                  <w:noWrap w:val="0"/>
                  <w:vAlign w:val="center"/>
                </w:tcPr>
                <w:p>
                  <w:pPr>
                    <w:widowControl/>
                    <w:spacing w:line="320" w:lineRule="exact"/>
                    <w:ind w:firstLine="0" w:firstLineChars="0"/>
                    <w:jc w:val="center"/>
                    <w:rPr>
                      <w:rFonts w:hint="default"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0</w:t>
                  </w:r>
                </w:p>
              </w:tc>
              <w:tc>
                <w:tcPr>
                  <w:tcW w:w="725" w:type="dxa"/>
                  <w:noWrap w:val="0"/>
                  <w:vAlign w:val="center"/>
                </w:tcPr>
                <w:p>
                  <w:pPr>
                    <w:widowControl/>
                    <w:spacing w:line="320" w:lineRule="exact"/>
                    <w:ind w:firstLine="0" w:firstLineChars="0"/>
                    <w:jc w:val="center"/>
                    <w:rPr>
                      <w:rFonts w:hint="default"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15</w:t>
                  </w:r>
                </w:p>
              </w:tc>
              <w:tc>
                <w:tcPr>
                  <w:tcW w:w="825" w:type="dxa"/>
                  <w:noWrap w:val="0"/>
                  <w:vAlign w:val="center"/>
                </w:tcPr>
                <w:p>
                  <w:pPr>
                    <w:widowControl/>
                    <w:spacing w:line="320" w:lineRule="exact"/>
                    <w:ind w:firstLine="0" w:firstLineChars="0"/>
                    <w:jc w:val="center"/>
                    <w:rPr>
                      <w:rFonts w:hint="default"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4266</w:t>
                  </w:r>
                </w:p>
              </w:tc>
              <w:tc>
                <w:tcPr>
                  <w:tcW w:w="615"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正常</w:t>
                  </w:r>
                </w:p>
              </w:tc>
              <w:tc>
                <w:tcPr>
                  <w:tcW w:w="675"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PM10</w:t>
                  </w:r>
                </w:p>
              </w:tc>
              <w:tc>
                <w:tcPr>
                  <w:tcW w:w="777" w:type="dxa"/>
                  <w:noWrap w:val="0"/>
                  <w:vAlign w:val="center"/>
                </w:tcPr>
                <w:p>
                  <w:pPr>
                    <w:widowControl/>
                    <w:spacing w:line="320" w:lineRule="exact"/>
                    <w:ind w:firstLine="0" w:firstLineChars="0"/>
                    <w:jc w:val="center"/>
                    <w:rPr>
                      <w:rFonts w:hint="default"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0.07</w:t>
                  </w:r>
                </w:p>
              </w:tc>
            </w:tr>
          </w:tbl>
          <w:p>
            <w:pPr>
              <w:tabs>
                <w:tab w:val="left" w:pos="1900"/>
              </w:tabs>
              <w:ind w:firstLine="480" w:firstLineChars="200"/>
              <w:rPr>
                <w:rFonts w:hint="eastAsia" w:ascii="Times New Roman" w:hAnsi="Times New Roman" w:cs="Times New Roman"/>
                <w:sz w:val="24"/>
                <w:lang w:val="en-US" w:eastAsia="zh-CN"/>
              </w:rPr>
            </w:pPr>
            <w:r>
              <w:rPr>
                <w:rFonts w:hint="eastAsia" w:cs="Times New Roman"/>
                <w:sz w:val="24"/>
                <w:lang w:val="en-US" w:eastAsia="zh-CN"/>
              </w:rPr>
              <w:t>1.</w:t>
            </w:r>
            <w:r>
              <w:rPr>
                <w:rFonts w:hint="eastAsia" w:ascii="Times New Roman" w:hAnsi="Times New Roman" w:cs="Times New Roman"/>
                <w:sz w:val="24"/>
                <w:lang w:val="en-US" w:eastAsia="zh-CN"/>
              </w:rPr>
              <w:t>6、评价工作等级的确定方法</w:t>
            </w:r>
          </w:p>
          <w:p>
            <w:pPr>
              <w:tabs>
                <w:tab w:val="left" w:pos="1900"/>
              </w:tabs>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cs="Times New Roman"/>
                <w:sz w:val="24"/>
                <w:lang w:val="en-US" w:eastAsia="zh-CN"/>
              </w:rPr>
              <w:t>根据《环境影响评价技术导则 大气环境》HJ2.2—2018的要求，根据项目污染源初步调查结果，分别计算项目排放主要污染物的最大地面空气质量浓度占标率Pi，及第i个污染物的地面空气质量浓度达到标准值的10%时所对应的最远距离D10%其中Pi定义为：</w:t>
            </w:r>
          </w:p>
          <w:p>
            <w:pPr>
              <w:ind w:firstLine="3676" w:firstLineChars="1532"/>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P</w:t>
            </w:r>
            <w:r>
              <w:rPr>
                <w:rFonts w:hint="default" w:ascii="Times New Roman" w:hAnsi="Times New Roman" w:eastAsia="宋体" w:cs="Times New Roman"/>
                <w:color w:val="000000"/>
                <w:sz w:val="24"/>
                <w:szCs w:val="24"/>
                <w:vertAlign w:val="subscript"/>
              </w:rPr>
              <w:t>i</w:t>
            </w:r>
            <w:r>
              <w:rPr>
                <w:rFonts w:hint="default" w:ascii="Times New Roman" w:hAnsi="Times New Roman" w:eastAsia="宋体" w:cs="Times New Roman"/>
                <w:color w:val="000000"/>
                <w:sz w:val="24"/>
                <w:szCs w:val="24"/>
              </w:rPr>
              <w:t>=C</w:t>
            </w:r>
            <w:r>
              <w:rPr>
                <w:rFonts w:hint="default" w:ascii="Times New Roman" w:hAnsi="Times New Roman" w:eastAsia="宋体" w:cs="Times New Roman"/>
                <w:color w:val="000000"/>
                <w:sz w:val="24"/>
                <w:szCs w:val="24"/>
                <w:vertAlign w:val="subscript"/>
              </w:rPr>
              <w:t>I</w:t>
            </w:r>
            <w:r>
              <w:rPr>
                <w:rFonts w:hint="default" w:ascii="Times New Roman" w:hAnsi="Times New Roman" w:eastAsia="宋体" w:cs="Times New Roman"/>
                <w:color w:val="000000"/>
                <w:sz w:val="24"/>
                <w:szCs w:val="24"/>
              </w:rPr>
              <w:t>/C</w:t>
            </w:r>
            <w:r>
              <w:rPr>
                <w:rFonts w:hint="default" w:ascii="Times New Roman" w:hAnsi="Times New Roman" w:eastAsia="宋体" w:cs="Times New Roman"/>
                <w:color w:val="000000"/>
                <w:sz w:val="24"/>
                <w:szCs w:val="24"/>
                <w:vertAlign w:val="subscript"/>
              </w:rPr>
              <w:t>0i</w:t>
            </w:r>
            <w:r>
              <w:rPr>
                <w:rFonts w:hint="default" w:ascii="Times New Roman" w:hAnsi="Times New Roman" w:eastAsia="宋体" w:cs="Times New Roman"/>
                <w:color w:val="000000"/>
                <w:sz w:val="24"/>
                <w:szCs w:val="24"/>
              </w:rPr>
              <w:t xml:space="preserve">×100%      </w:t>
            </w:r>
          </w:p>
          <w:p>
            <w:pPr>
              <w:ind w:firstLine="48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式中：P</w:t>
            </w:r>
            <w:r>
              <w:rPr>
                <w:rFonts w:hint="default" w:ascii="Times New Roman" w:hAnsi="Times New Roman" w:eastAsia="宋体" w:cs="Times New Roman"/>
                <w:color w:val="000000"/>
                <w:sz w:val="24"/>
                <w:szCs w:val="24"/>
                <w:vertAlign w:val="subscript"/>
              </w:rPr>
              <w:t>i</w:t>
            </w:r>
            <w:r>
              <w:rPr>
                <w:rFonts w:hint="default" w:ascii="Times New Roman" w:hAnsi="Times New Roman" w:eastAsia="宋体" w:cs="Times New Roman"/>
                <w:color w:val="000000"/>
                <w:sz w:val="24"/>
                <w:szCs w:val="24"/>
              </w:rPr>
              <w:t>—第i个污染物的最大地面浓度占标率，%；</w:t>
            </w:r>
          </w:p>
          <w:p>
            <w:pPr>
              <w:ind w:firstLine="1320" w:firstLineChars="55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 C</w:t>
            </w:r>
            <w:r>
              <w:rPr>
                <w:rFonts w:hint="default" w:ascii="Times New Roman" w:hAnsi="Times New Roman" w:eastAsia="宋体" w:cs="Times New Roman"/>
                <w:color w:val="000000"/>
                <w:sz w:val="24"/>
                <w:szCs w:val="24"/>
                <w:vertAlign w:val="subscript"/>
              </w:rPr>
              <w:t>I</w:t>
            </w:r>
            <w:r>
              <w:rPr>
                <w:rFonts w:hint="default" w:ascii="Times New Roman" w:hAnsi="Times New Roman" w:eastAsia="宋体" w:cs="Times New Roman"/>
                <w:color w:val="000000"/>
                <w:sz w:val="24"/>
                <w:szCs w:val="24"/>
              </w:rPr>
              <w:t>—采用估算模式计算出的第i个污染物的最大地面浓度，mg/m</w:t>
            </w:r>
            <w:r>
              <w:rPr>
                <w:rFonts w:hint="default" w:ascii="Times New Roman" w:hAnsi="Times New Roman" w:eastAsia="宋体" w:cs="Times New Roman"/>
                <w:color w:val="000000"/>
                <w:sz w:val="24"/>
                <w:szCs w:val="24"/>
                <w:vertAlign w:val="superscript"/>
              </w:rPr>
              <w:t>3</w:t>
            </w:r>
            <w:r>
              <w:rPr>
                <w:rFonts w:hint="default" w:ascii="Times New Roman" w:hAnsi="Times New Roman" w:eastAsia="宋体" w:cs="Times New Roman"/>
                <w:color w:val="000000"/>
                <w:sz w:val="24"/>
                <w:szCs w:val="24"/>
              </w:rPr>
              <w:t>；</w:t>
            </w:r>
          </w:p>
          <w:p>
            <w:pPr>
              <w:ind w:firstLine="1440" w:firstLineChars="600"/>
              <w:rPr>
                <w:color w:val="000000"/>
                <w:szCs w:val="24"/>
              </w:rPr>
            </w:pPr>
            <w:r>
              <w:rPr>
                <w:rFonts w:hint="default" w:ascii="Times New Roman" w:hAnsi="Times New Roman" w:eastAsia="宋体" w:cs="Times New Roman"/>
                <w:color w:val="000000"/>
                <w:sz w:val="24"/>
                <w:szCs w:val="24"/>
              </w:rPr>
              <w:t>C</w:t>
            </w:r>
            <w:r>
              <w:rPr>
                <w:rFonts w:hint="default" w:ascii="Times New Roman" w:hAnsi="Times New Roman" w:eastAsia="宋体" w:cs="Times New Roman"/>
                <w:color w:val="000000"/>
                <w:sz w:val="24"/>
                <w:szCs w:val="24"/>
                <w:vertAlign w:val="subscript"/>
              </w:rPr>
              <w:t>0i</w:t>
            </w:r>
            <w:r>
              <w:rPr>
                <w:rFonts w:hint="default" w:ascii="Times New Roman" w:hAnsi="Times New Roman" w:eastAsia="宋体" w:cs="Times New Roman"/>
                <w:color w:val="000000"/>
                <w:sz w:val="24"/>
                <w:szCs w:val="24"/>
              </w:rPr>
              <w:t>—第i个污染物的环境质量标准，mg/m</w:t>
            </w:r>
            <w:r>
              <w:rPr>
                <w:rFonts w:hint="default" w:ascii="Times New Roman" w:hAnsi="Times New Roman" w:eastAsia="宋体" w:cs="Times New Roman"/>
                <w:color w:val="000000"/>
                <w:sz w:val="24"/>
                <w:szCs w:val="24"/>
                <w:vertAlign w:val="superscript"/>
              </w:rPr>
              <w:t>3</w:t>
            </w:r>
            <w:r>
              <w:rPr>
                <w:rFonts w:eastAsia="宋体"/>
                <w:color w:val="000000"/>
                <w:szCs w:val="24"/>
              </w:rPr>
              <w:t>。</w:t>
            </w:r>
          </w:p>
          <w:p>
            <w:pPr>
              <w:pStyle w:val="21"/>
              <w:ind w:firstLine="600" w:firstLineChars="250"/>
              <w:rPr>
                <w:color w:val="000000"/>
                <w:lang w:val="en-US" w:eastAsia="zh-CN"/>
              </w:rPr>
            </w:pPr>
            <w:r>
              <w:rPr>
                <w:rFonts w:hint="eastAsia" w:ascii="Times New Roman" w:hAnsi="Times New Roman" w:eastAsia="宋体" w:cs="Times New Roman"/>
                <w:kern w:val="2"/>
                <w:sz w:val="24"/>
                <w:szCs w:val="24"/>
                <w:lang w:val="en-US" w:eastAsia="zh-CN" w:bidi="ar-SA"/>
              </w:rPr>
              <w:t>评价等级按表7-4 的分级判据进行划分。最大地面浓度占标率Pi按公式①计算，如污染物数i大于1，取P值中最大者（Pmax），和其对应的D10%。</w:t>
            </w:r>
          </w:p>
          <w:p>
            <w:pPr>
              <w:spacing w:line="320" w:lineRule="exact"/>
              <w:ind w:left="482" w:firstLine="0" w:firstLineChars="0"/>
              <w:jc w:val="center"/>
              <w:rPr>
                <w:b/>
                <w:color w:val="000000"/>
                <w:sz w:val="21"/>
                <w:szCs w:val="21"/>
              </w:rPr>
            </w:pPr>
            <w:r>
              <w:rPr>
                <w:rFonts w:eastAsia="宋体"/>
                <w:b/>
                <w:color w:val="000000"/>
                <w:sz w:val="21"/>
                <w:szCs w:val="21"/>
              </w:rPr>
              <w:t>表7</w:t>
            </w:r>
            <w:r>
              <w:rPr>
                <w:rFonts w:hint="eastAsia"/>
                <w:b/>
                <w:color w:val="000000"/>
                <w:sz w:val="21"/>
                <w:szCs w:val="21"/>
                <w:lang w:val="en-US" w:eastAsia="zh-CN"/>
              </w:rPr>
              <w:t>.1</w:t>
            </w:r>
            <w:r>
              <w:rPr>
                <w:rFonts w:eastAsia="宋体"/>
                <w:b/>
                <w:color w:val="000000"/>
                <w:sz w:val="21"/>
                <w:szCs w:val="21"/>
              </w:rPr>
              <w:t>-</w:t>
            </w:r>
            <w:r>
              <w:rPr>
                <w:rFonts w:hint="eastAsia"/>
                <w:b/>
                <w:color w:val="000000"/>
                <w:sz w:val="21"/>
                <w:szCs w:val="21"/>
                <w:lang w:val="en-US" w:eastAsia="zh-CN"/>
              </w:rPr>
              <w:t>3</w:t>
            </w:r>
            <w:r>
              <w:rPr>
                <w:rFonts w:eastAsia="宋体"/>
                <w:b/>
                <w:color w:val="000000"/>
                <w:sz w:val="21"/>
                <w:szCs w:val="21"/>
              </w:rPr>
              <w:t xml:space="preserve"> 评价工作等级</w:t>
            </w:r>
          </w:p>
          <w:tbl>
            <w:tblPr>
              <w:tblStyle w:val="43"/>
              <w:tblW w:w="9185"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44"/>
              <w:gridCol w:w="68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44"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评价工作等级</w:t>
                  </w:r>
                </w:p>
              </w:tc>
              <w:tc>
                <w:tcPr>
                  <w:tcW w:w="6841"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分级判据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44"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一级评价</w:t>
                  </w:r>
                </w:p>
              </w:tc>
              <w:tc>
                <w:tcPr>
                  <w:tcW w:w="6841"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Pmax≥10%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44"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二级评价</w:t>
                  </w:r>
                </w:p>
              </w:tc>
              <w:tc>
                <w:tcPr>
                  <w:tcW w:w="6841"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1%≤Pmax＜10%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44"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三级评价</w:t>
                  </w:r>
                </w:p>
              </w:tc>
              <w:tc>
                <w:tcPr>
                  <w:tcW w:w="6841"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Pmax＜1%</w:t>
                  </w:r>
                </w:p>
              </w:tc>
            </w:tr>
          </w:tbl>
          <w:p>
            <w:pPr>
              <w:ind w:firstLine="480"/>
              <w:rPr>
                <w:rFonts w:hint="eastAsia"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7、估算模式的计算结果</w:t>
            </w:r>
          </w:p>
          <w:p>
            <w:pPr>
              <w:ind w:firstLine="480"/>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采用估算模式预测点源、面源下风向小时落地浓度、最大落地浓度及其出现距离，预测结果汇总具体见表7</w:t>
            </w:r>
            <w:r>
              <w:rPr>
                <w:rFonts w:hint="eastAsia"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4</w:t>
            </w:r>
            <w:r>
              <w:rPr>
                <w:rFonts w:hint="eastAsia" w:ascii="Times New Roman" w:hAnsi="Times New Roman" w:eastAsia="宋体" w:cs="Times New Roman"/>
                <w:kern w:val="2"/>
                <w:sz w:val="24"/>
                <w:szCs w:val="24"/>
                <w:lang w:val="en-US" w:eastAsia="zh-CN" w:bidi="ar-SA"/>
              </w:rPr>
              <w:t>。</w:t>
            </w:r>
          </w:p>
          <w:p>
            <w:pPr>
              <w:spacing w:line="320" w:lineRule="exact"/>
              <w:ind w:firstLine="0" w:firstLineChars="0"/>
              <w:jc w:val="center"/>
              <w:rPr>
                <w:b/>
                <w:color w:val="000000"/>
                <w:sz w:val="21"/>
                <w:szCs w:val="21"/>
              </w:rPr>
            </w:pPr>
            <w:r>
              <w:rPr>
                <w:rFonts w:eastAsia="宋体"/>
                <w:b/>
                <w:color w:val="000000"/>
                <w:sz w:val="21"/>
                <w:szCs w:val="21"/>
              </w:rPr>
              <w:t>表7</w:t>
            </w:r>
            <w:r>
              <w:rPr>
                <w:rFonts w:hint="eastAsia"/>
                <w:b/>
                <w:color w:val="000000"/>
                <w:sz w:val="21"/>
                <w:szCs w:val="21"/>
                <w:lang w:val="en-US" w:eastAsia="zh-CN"/>
              </w:rPr>
              <w:t>.1</w:t>
            </w:r>
            <w:r>
              <w:rPr>
                <w:rFonts w:eastAsia="宋体"/>
                <w:b/>
                <w:color w:val="000000"/>
                <w:sz w:val="21"/>
                <w:szCs w:val="21"/>
              </w:rPr>
              <w:t>-</w:t>
            </w:r>
            <w:r>
              <w:rPr>
                <w:rFonts w:hint="eastAsia"/>
                <w:b/>
                <w:color w:val="000000"/>
                <w:sz w:val="21"/>
                <w:szCs w:val="21"/>
                <w:lang w:val="en-US" w:eastAsia="zh-CN"/>
              </w:rPr>
              <w:t>4</w:t>
            </w:r>
            <w:r>
              <w:rPr>
                <w:rFonts w:hint="eastAsia" w:eastAsia="宋体"/>
                <w:b/>
                <w:color w:val="000000"/>
                <w:sz w:val="21"/>
                <w:szCs w:val="21"/>
              </w:rPr>
              <w:t xml:space="preserve"> </w:t>
            </w:r>
            <w:r>
              <w:rPr>
                <w:rFonts w:hint="eastAsia" w:eastAsia="宋体"/>
                <w:b/>
                <w:color w:val="000000"/>
                <w:sz w:val="21"/>
                <w:szCs w:val="21"/>
                <w:lang w:eastAsia="zh-CN"/>
              </w:rPr>
              <w:t>正常工况下生产车间颗粒物</w:t>
            </w:r>
            <w:r>
              <w:rPr>
                <w:rFonts w:eastAsia="宋体"/>
                <w:b/>
                <w:color w:val="000000"/>
                <w:sz w:val="21"/>
                <w:szCs w:val="21"/>
              </w:rPr>
              <w:t>估算模式预测结果</w:t>
            </w:r>
          </w:p>
          <w:tbl>
            <w:tblPr>
              <w:tblStyle w:val="43"/>
              <w:tblW w:w="9185"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3028"/>
              <w:gridCol w:w="3130"/>
              <w:gridCol w:w="302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3028" w:type="dxa"/>
                  <w:vMerge w:val="restart"/>
                  <w:noWrap w:val="0"/>
                  <w:vAlign w:val="center"/>
                </w:tcPr>
                <w:p>
                  <w:pPr>
                    <w:widowControl/>
                    <w:spacing w:line="320" w:lineRule="exact"/>
                    <w:ind w:firstLine="0" w:firstLineChars="0"/>
                    <w:jc w:val="center"/>
                    <w:rPr>
                      <w:b/>
                      <w:bCs/>
                      <w:color w:val="000000"/>
                      <w:kern w:val="0"/>
                      <w:sz w:val="21"/>
                      <w:szCs w:val="21"/>
                    </w:rPr>
                  </w:pPr>
                  <w:r>
                    <w:rPr>
                      <w:rFonts w:eastAsia="宋体"/>
                      <w:b/>
                      <w:bCs/>
                      <w:color w:val="000000"/>
                      <w:kern w:val="0"/>
                      <w:sz w:val="21"/>
                      <w:szCs w:val="21"/>
                    </w:rPr>
                    <w:t>距源中心下风向距离D（m）</w:t>
                  </w:r>
                </w:p>
              </w:tc>
              <w:tc>
                <w:tcPr>
                  <w:tcW w:w="6157" w:type="dxa"/>
                  <w:gridSpan w:val="2"/>
                  <w:noWrap w:val="0"/>
                  <w:vAlign w:val="center"/>
                </w:tcPr>
                <w:p>
                  <w:pPr>
                    <w:widowControl/>
                    <w:spacing w:line="320" w:lineRule="exact"/>
                    <w:ind w:firstLine="0" w:firstLineChars="0"/>
                    <w:jc w:val="center"/>
                    <w:rPr>
                      <w:b/>
                      <w:bCs/>
                      <w:color w:val="000000"/>
                      <w:kern w:val="0"/>
                      <w:sz w:val="21"/>
                      <w:szCs w:val="21"/>
                    </w:rPr>
                  </w:pPr>
                  <w:r>
                    <w:rPr>
                      <w:rFonts w:eastAsia="宋体"/>
                      <w:color w:val="000000"/>
                      <w:sz w:val="21"/>
                      <w:szCs w:val="21"/>
                    </w:rPr>
                    <w:t>PM</w:t>
                  </w:r>
                  <w:r>
                    <w:rPr>
                      <w:rFonts w:eastAsia="宋体"/>
                      <w:color w:val="000000"/>
                      <w:sz w:val="21"/>
                      <w:szCs w:val="21"/>
                      <w:vertAlign w:val="subscript"/>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3028" w:type="dxa"/>
                  <w:vMerge w:val="continue"/>
                  <w:noWrap w:val="0"/>
                  <w:vAlign w:val="center"/>
                </w:tcPr>
                <w:p>
                  <w:pPr>
                    <w:widowControl/>
                    <w:spacing w:line="320" w:lineRule="exact"/>
                    <w:ind w:firstLine="0" w:firstLineChars="0"/>
                    <w:jc w:val="center"/>
                    <w:rPr>
                      <w:b/>
                      <w:bCs/>
                      <w:color w:val="000000"/>
                      <w:kern w:val="0"/>
                      <w:sz w:val="21"/>
                      <w:szCs w:val="21"/>
                    </w:rPr>
                  </w:pPr>
                </w:p>
              </w:tc>
              <w:tc>
                <w:tcPr>
                  <w:tcW w:w="3130" w:type="dxa"/>
                  <w:noWrap w:val="0"/>
                  <w:vAlign w:val="center"/>
                </w:tcPr>
                <w:p>
                  <w:pPr>
                    <w:widowControl/>
                    <w:spacing w:line="320" w:lineRule="exact"/>
                    <w:ind w:firstLine="0" w:firstLineChars="0"/>
                    <w:jc w:val="center"/>
                    <w:rPr>
                      <w:b/>
                      <w:bCs/>
                      <w:color w:val="000000"/>
                      <w:kern w:val="0"/>
                      <w:sz w:val="21"/>
                      <w:szCs w:val="21"/>
                    </w:rPr>
                  </w:pPr>
                  <w:r>
                    <w:rPr>
                      <w:rFonts w:eastAsia="宋体"/>
                      <w:b/>
                      <w:bCs/>
                      <w:color w:val="000000"/>
                      <w:kern w:val="0"/>
                      <w:sz w:val="21"/>
                      <w:szCs w:val="21"/>
                    </w:rPr>
                    <w:t>下风向预测浓度（mg/m</w:t>
                  </w:r>
                  <w:r>
                    <w:rPr>
                      <w:rFonts w:eastAsia="宋体"/>
                      <w:b/>
                      <w:bCs/>
                      <w:color w:val="000000"/>
                      <w:kern w:val="0"/>
                      <w:sz w:val="21"/>
                      <w:szCs w:val="21"/>
                      <w:vertAlign w:val="superscript"/>
                    </w:rPr>
                    <w:t>3</w:t>
                  </w:r>
                  <w:r>
                    <w:rPr>
                      <w:rFonts w:eastAsia="宋体"/>
                      <w:b/>
                      <w:bCs/>
                      <w:color w:val="000000"/>
                      <w:kern w:val="0"/>
                      <w:sz w:val="21"/>
                      <w:szCs w:val="21"/>
                    </w:rPr>
                    <w:t>)</w:t>
                  </w:r>
                </w:p>
              </w:tc>
              <w:tc>
                <w:tcPr>
                  <w:tcW w:w="3027" w:type="dxa"/>
                  <w:noWrap w:val="0"/>
                  <w:vAlign w:val="center"/>
                </w:tcPr>
                <w:p>
                  <w:pPr>
                    <w:widowControl/>
                    <w:spacing w:line="320" w:lineRule="exact"/>
                    <w:ind w:firstLine="0" w:firstLineChars="0"/>
                    <w:jc w:val="center"/>
                    <w:rPr>
                      <w:b/>
                      <w:bCs/>
                      <w:color w:val="000000"/>
                      <w:kern w:val="0"/>
                      <w:sz w:val="21"/>
                      <w:szCs w:val="21"/>
                    </w:rPr>
                  </w:pPr>
                  <w:r>
                    <w:rPr>
                      <w:rFonts w:eastAsia="宋体"/>
                      <w:b/>
                      <w:bCs/>
                      <w:color w:val="000000"/>
                      <w:kern w:val="0"/>
                      <w:sz w:val="21"/>
                      <w:szCs w:val="21"/>
                    </w:rPr>
                    <w:t>浓度占标率（%）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3028" w:type="dxa"/>
                  <w:noWrap w:val="0"/>
                  <w:vAlign w:val="center"/>
                </w:tcPr>
                <w:p>
                  <w:pPr>
                    <w:widowControl/>
                    <w:spacing w:line="320" w:lineRule="exact"/>
                    <w:ind w:firstLine="0" w:firstLineChars="0"/>
                    <w:jc w:val="center"/>
                    <w:rPr>
                      <w:color w:val="000000"/>
                      <w:kern w:val="0"/>
                      <w:sz w:val="21"/>
                      <w:szCs w:val="21"/>
                    </w:rPr>
                  </w:pPr>
                  <w:r>
                    <w:rPr>
                      <w:rFonts w:eastAsia="宋体"/>
                      <w:color w:val="000000"/>
                      <w:kern w:val="0"/>
                      <w:sz w:val="21"/>
                      <w:szCs w:val="21"/>
                    </w:rPr>
                    <w:t>10</w:t>
                  </w:r>
                </w:p>
              </w:tc>
              <w:tc>
                <w:tcPr>
                  <w:tcW w:w="3130" w:type="dxa"/>
                  <w:noWrap w:val="0"/>
                  <w:vAlign w:val="center"/>
                </w:tcPr>
                <w:p>
                  <w:pPr>
                    <w:spacing w:line="320" w:lineRule="exact"/>
                    <w:ind w:left="0" w:leftChars="0" w:firstLine="0" w:firstLineChars="0"/>
                    <w:jc w:val="center"/>
                    <w:rPr>
                      <w:color w:val="000000"/>
                      <w:sz w:val="21"/>
                      <w:szCs w:val="21"/>
                    </w:rPr>
                  </w:pPr>
                  <w:r>
                    <w:rPr>
                      <w:rFonts w:hint="eastAsia"/>
                      <w:sz w:val="21"/>
                      <w:szCs w:val="21"/>
                    </w:rPr>
                    <w:t>0.015761</w:t>
                  </w:r>
                </w:p>
              </w:tc>
              <w:tc>
                <w:tcPr>
                  <w:tcW w:w="3027" w:type="dxa"/>
                  <w:noWrap w:val="0"/>
                  <w:vAlign w:val="center"/>
                </w:tcPr>
                <w:p>
                  <w:pPr>
                    <w:spacing w:line="320" w:lineRule="exact"/>
                    <w:ind w:left="0" w:leftChars="0" w:firstLine="0" w:firstLineChars="0"/>
                    <w:jc w:val="center"/>
                    <w:rPr>
                      <w:color w:val="000000"/>
                      <w:sz w:val="21"/>
                      <w:szCs w:val="21"/>
                    </w:rPr>
                  </w:pPr>
                  <w:r>
                    <w:rPr>
                      <w:rFonts w:hint="eastAsia"/>
                      <w:sz w:val="21"/>
                      <w:szCs w:val="21"/>
                    </w:rPr>
                    <w:t>3.50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3028" w:type="dxa"/>
                  <w:noWrap w:val="0"/>
                  <w:vAlign w:val="center"/>
                </w:tcPr>
                <w:p>
                  <w:pPr>
                    <w:widowControl/>
                    <w:spacing w:line="320" w:lineRule="exact"/>
                    <w:ind w:firstLine="0" w:firstLineChars="0"/>
                    <w:jc w:val="center"/>
                    <w:rPr>
                      <w:color w:val="000000"/>
                      <w:kern w:val="0"/>
                      <w:sz w:val="21"/>
                      <w:szCs w:val="21"/>
                    </w:rPr>
                  </w:pPr>
                  <w:r>
                    <w:rPr>
                      <w:rFonts w:eastAsia="宋体"/>
                      <w:color w:val="000000"/>
                      <w:kern w:val="0"/>
                      <w:sz w:val="21"/>
                      <w:szCs w:val="21"/>
                    </w:rPr>
                    <w:t>25</w:t>
                  </w:r>
                </w:p>
              </w:tc>
              <w:tc>
                <w:tcPr>
                  <w:tcW w:w="3130" w:type="dxa"/>
                  <w:noWrap w:val="0"/>
                  <w:vAlign w:val="center"/>
                </w:tcPr>
                <w:p>
                  <w:pPr>
                    <w:spacing w:line="320" w:lineRule="exact"/>
                    <w:ind w:left="0" w:leftChars="0" w:firstLine="0" w:firstLineChars="0"/>
                    <w:jc w:val="center"/>
                    <w:rPr>
                      <w:color w:val="000000"/>
                      <w:sz w:val="21"/>
                      <w:szCs w:val="21"/>
                    </w:rPr>
                  </w:pPr>
                  <w:r>
                    <w:rPr>
                      <w:rFonts w:hint="eastAsia"/>
                      <w:sz w:val="21"/>
                      <w:szCs w:val="21"/>
                    </w:rPr>
                    <w:t>0.020689</w:t>
                  </w:r>
                </w:p>
              </w:tc>
              <w:tc>
                <w:tcPr>
                  <w:tcW w:w="3027" w:type="dxa"/>
                  <w:noWrap w:val="0"/>
                  <w:vAlign w:val="center"/>
                </w:tcPr>
                <w:p>
                  <w:pPr>
                    <w:spacing w:line="320" w:lineRule="exact"/>
                    <w:ind w:left="0" w:leftChars="0" w:firstLine="0" w:firstLineChars="0"/>
                    <w:jc w:val="center"/>
                    <w:rPr>
                      <w:color w:val="000000"/>
                      <w:sz w:val="21"/>
                      <w:szCs w:val="21"/>
                    </w:rPr>
                  </w:pPr>
                  <w:r>
                    <w:rPr>
                      <w:rFonts w:hint="eastAsia"/>
                      <w:sz w:val="21"/>
                      <w:szCs w:val="21"/>
                    </w:rPr>
                    <w:t>4.60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3028" w:type="dxa"/>
                  <w:noWrap w:val="0"/>
                  <w:vAlign w:val="center"/>
                </w:tcPr>
                <w:p>
                  <w:pPr>
                    <w:widowControl/>
                    <w:spacing w:line="320" w:lineRule="exact"/>
                    <w:ind w:firstLine="0" w:firstLineChars="0"/>
                    <w:jc w:val="center"/>
                    <w:rPr>
                      <w:color w:val="000000"/>
                      <w:kern w:val="0"/>
                      <w:sz w:val="21"/>
                      <w:szCs w:val="21"/>
                    </w:rPr>
                  </w:pPr>
                  <w:r>
                    <w:rPr>
                      <w:rFonts w:eastAsia="宋体"/>
                      <w:color w:val="000000"/>
                      <w:kern w:val="0"/>
                      <w:sz w:val="21"/>
                      <w:szCs w:val="21"/>
                    </w:rPr>
                    <w:t>50</w:t>
                  </w:r>
                </w:p>
              </w:tc>
              <w:tc>
                <w:tcPr>
                  <w:tcW w:w="3130" w:type="dxa"/>
                  <w:noWrap w:val="0"/>
                  <w:vAlign w:val="center"/>
                </w:tcPr>
                <w:p>
                  <w:pPr>
                    <w:spacing w:line="320" w:lineRule="exact"/>
                    <w:ind w:left="0" w:leftChars="0" w:firstLine="0" w:firstLineChars="0"/>
                    <w:jc w:val="center"/>
                    <w:rPr>
                      <w:color w:val="000000"/>
                      <w:sz w:val="21"/>
                      <w:szCs w:val="21"/>
                    </w:rPr>
                  </w:pPr>
                  <w:r>
                    <w:rPr>
                      <w:rFonts w:hint="eastAsia"/>
                      <w:sz w:val="21"/>
                      <w:szCs w:val="21"/>
                    </w:rPr>
                    <w:t>0.026736</w:t>
                  </w:r>
                </w:p>
              </w:tc>
              <w:tc>
                <w:tcPr>
                  <w:tcW w:w="3027" w:type="dxa"/>
                  <w:noWrap w:val="0"/>
                  <w:vAlign w:val="center"/>
                </w:tcPr>
                <w:p>
                  <w:pPr>
                    <w:spacing w:line="320" w:lineRule="exact"/>
                    <w:ind w:left="0" w:leftChars="0" w:firstLine="0" w:firstLineChars="0"/>
                    <w:jc w:val="center"/>
                    <w:rPr>
                      <w:color w:val="000000"/>
                      <w:sz w:val="21"/>
                      <w:szCs w:val="21"/>
                    </w:rPr>
                  </w:pPr>
                  <w:r>
                    <w:rPr>
                      <w:rFonts w:hint="eastAsia"/>
                      <w:sz w:val="21"/>
                      <w:szCs w:val="21"/>
                    </w:rPr>
                    <w:t>5.94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3028" w:type="dxa"/>
                  <w:noWrap w:val="0"/>
                  <w:vAlign w:val="center"/>
                </w:tcPr>
                <w:p>
                  <w:pPr>
                    <w:widowControl/>
                    <w:spacing w:line="320" w:lineRule="exact"/>
                    <w:ind w:firstLine="0" w:firstLineChars="0"/>
                    <w:jc w:val="center"/>
                    <w:rPr>
                      <w:b/>
                      <w:bCs/>
                      <w:color w:val="000000"/>
                      <w:kern w:val="0"/>
                      <w:sz w:val="21"/>
                      <w:szCs w:val="21"/>
                    </w:rPr>
                  </w:pPr>
                  <w:r>
                    <w:rPr>
                      <w:rFonts w:eastAsia="宋体"/>
                      <w:b w:val="0"/>
                      <w:bCs w:val="0"/>
                      <w:color w:val="000000"/>
                      <w:kern w:val="0"/>
                      <w:sz w:val="21"/>
                      <w:szCs w:val="21"/>
                    </w:rPr>
                    <w:t>75</w:t>
                  </w:r>
                </w:p>
              </w:tc>
              <w:tc>
                <w:tcPr>
                  <w:tcW w:w="3130" w:type="dxa"/>
                  <w:noWrap w:val="0"/>
                  <w:vAlign w:val="center"/>
                </w:tcPr>
                <w:p>
                  <w:pPr>
                    <w:spacing w:line="320" w:lineRule="exact"/>
                    <w:ind w:left="0" w:leftChars="0" w:firstLine="0" w:firstLineChars="0"/>
                    <w:jc w:val="center"/>
                    <w:rPr>
                      <w:b/>
                      <w:bCs/>
                      <w:color w:val="000000"/>
                      <w:sz w:val="21"/>
                      <w:szCs w:val="21"/>
                    </w:rPr>
                  </w:pPr>
                  <w:r>
                    <w:rPr>
                      <w:rFonts w:hint="eastAsia"/>
                      <w:sz w:val="21"/>
                      <w:szCs w:val="21"/>
                    </w:rPr>
                    <w:t>0.031501</w:t>
                  </w:r>
                </w:p>
              </w:tc>
              <w:tc>
                <w:tcPr>
                  <w:tcW w:w="3027" w:type="dxa"/>
                  <w:noWrap w:val="0"/>
                  <w:vAlign w:val="center"/>
                </w:tcPr>
                <w:p>
                  <w:pPr>
                    <w:spacing w:line="320" w:lineRule="exact"/>
                    <w:ind w:left="0" w:leftChars="0" w:firstLine="0" w:firstLineChars="0"/>
                    <w:jc w:val="center"/>
                    <w:rPr>
                      <w:b/>
                      <w:bCs/>
                      <w:color w:val="000000"/>
                      <w:sz w:val="21"/>
                      <w:szCs w:val="21"/>
                    </w:rPr>
                  </w:pPr>
                  <w:r>
                    <w:rPr>
                      <w:rFonts w:hint="eastAsia"/>
                      <w:sz w:val="21"/>
                      <w:szCs w:val="21"/>
                    </w:rPr>
                    <w:t>7.00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3028" w:type="dxa"/>
                  <w:noWrap w:val="0"/>
                  <w:vAlign w:val="center"/>
                </w:tcPr>
                <w:p>
                  <w:pPr>
                    <w:widowControl/>
                    <w:spacing w:line="320" w:lineRule="exact"/>
                    <w:ind w:firstLine="0" w:firstLineChars="0"/>
                    <w:jc w:val="center"/>
                    <w:rPr>
                      <w:rFonts w:hint="default" w:eastAsia="宋体"/>
                      <w:b/>
                      <w:bCs/>
                      <w:color w:val="000000"/>
                      <w:kern w:val="0"/>
                      <w:sz w:val="21"/>
                      <w:szCs w:val="21"/>
                      <w:lang w:val="en-US" w:eastAsia="zh-CN"/>
                    </w:rPr>
                  </w:pPr>
                  <w:r>
                    <w:rPr>
                      <w:rFonts w:hint="eastAsia" w:eastAsia="宋体"/>
                      <w:b/>
                      <w:bCs/>
                      <w:color w:val="000000"/>
                      <w:kern w:val="0"/>
                      <w:sz w:val="21"/>
                      <w:szCs w:val="21"/>
                      <w:lang w:val="en-US" w:eastAsia="zh-CN"/>
                    </w:rPr>
                    <w:t>85</w:t>
                  </w:r>
                </w:p>
              </w:tc>
              <w:tc>
                <w:tcPr>
                  <w:tcW w:w="3130" w:type="dxa"/>
                  <w:noWrap w:val="0"/>
                  <w:vAlign w:val="center"/>
                </w:tcPr>
                <w:p>
                  <w:pPr>
                    <w:spacing w:line="320" w:lineRule="exact"/>
                    <w:ind w:left="0" w:leftChars="0" w:firstLine="0" w:firstLineChars="0"/>
                    <w:jc w:val="center"/>
                    <w:rPr>
                      <w:rFonts w:hint="eastAsia"/>
                      <w:b/>
                      <w:bCs/>
                      <w:sz w:val="21"/>
                      <w:szCs w:val="21"/>
                    </w:rPr>
                  </w:pPr>
                  <w:r>
                    <w:rPr>
                      <w:rFonts w:hint="eastAsia"/>
                      <w:b/>
                      <w:bCs/>
                      <w:sz w:val="21"/>
                      <w:szCs w:val="21"/>
                    </w:rPr>
                    <w:t>0.031904</w:t>
                  </w:r>
                </w:p>
              </w:tc>
              <w:tc>
                <w:tcPr>
                  <w:tcW w:w="3027" w:type="dxa"/>
                  <w:noWrap w:val="0"/>
                  <w:vAlign w:val="center"/>
                </w:tcPr>
                <w:p>
                  <w:pPr>
                    <w:spacing w:line="320" w:lineRule="exact"/>
                    <w:ind w:left="0" w:leftChars="0" w:firstLine="0" w:firstLineChars="0"/>
                    <w:jc w:val="center"/>
                    <w:rPr>
                      <w:rFonts w:hint="eastAsia"/>
                      <w:b/>
                      <w:bCs/>
                      <w:sz w:val="21"/>
                      <w:szCs w:val="21"/>
                    </w:rPr>
                  </w:pPr>
                  <w:r>
                    <w:rPr>
                      <w:rFonts w:hint="eastAsia"/>
                      <w:b/>
                      <w:bCs/>
                      <w:sz w:val="21"/>
                      <w:szCs w:val="21"/>
                    </w:rPr>
                    <w:t>7.09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3028" w:type="dxa"/>
                  <w:noWrap w:val="0"/>
                  <w:vAlign w:val="center"/>
                </w:tcPr>
                <w:p>
                  <w:pPr>
                    <w:widowControl/>
                    <w:spacing w:line="320" w:lineRule="exact"/>
                    <w:ind w:firstLine="0" w:firstLineChars="0"/>
                    <w:jc w:val="center"/>
                    <w:rPr>
                      <w:bCs/>
                      <w:color w:val="000000"/>
                      <w:kern w:val="0"/>
                      <w:sz w:val="21"/>
                      <w:szCs w:val="21"/>
                    </w:rPr>
                  </w:pPr>
                  <w:r>
                    <w:rPr>
                      <w:rFonts w:hint="eastAsia" w:eastAsia="宋体"/>
                      <w:bCs/>
                      <w:color w:val="000000"/>
                      <w:kern w:val="0"/>
                      <w:sz w:val="21"/>
                      <w:szCs w:val="21"/>
                    </w:rPr>
                    <w:t>100</w:t>
                  </w:r>
                </w:p>
              </w:tc>
              <w:tc>
                <w:tcPr>
                  <w:tcW w:w="3130" w:type="dxa"/>
                  <w:noWrap w:val="0"/>
                  <w:vAlign w:val="center"/>
                </w:tcPr>
                <w:p>
                  <w:pPr>
                    <w:spacing w:line="320" w:lineRule="exact"/>
                    <w:ind w:left="0" w:leftChars="0" w:firstLine="0" w:firstLineChars="0"/>
                    <w:jc w:val="center"/>
                    <w:rPr>
                      <w:rFonts w:hint="eastAsia"/>
                      <w:b/>
                      <w:color w:val="000000"/>
                      <w:sz w:val="21"/>
                      <w:szCs w:val="21"/>
                    </w:rPr>
                  </w:pPr>
                  <w:r>
                    <w:rPr>
                      <w:rFonts w:hint="eastAsia"/>
                      <w:sz w:val="21"/>
                      <w:szCs w:val="21"/>
                    </w:rPr>
                    <w:t>0.031143</w:t>
                  </w:r>
                </w:p>
              </w:tc>
              <w:tc>
                <w:tcPr>
                  <w:tcW w:w="3027" w:type="dxa"/>
                  <w:noWrap w:val="0"/>
                  <w:vAlign w:val="center"/>
                </w:tcPr>
                <w:p>
                  <w:pPr>
                    <w:spacing w:line="320" w:lineRule="exact"/>
                    <w:ind w:left="0" w:leftChars="0" w:firstLine="0" w:firstLineChars="0"/>
                    <w:jc w:val="center"/>
                    <w:rPr>
                      <w:rFonts w:hint="eastAsia"/>
                      <w:b/>
                      <w:color w:val="000000"/>
                      <w:sz w:val="21"/>
                      <w:szCs w:val="21"/>
                    </w:rPr>
                  </w:pPr>
                  <w:r>
                    <w:rPr>
                      <w:rFonts w:hint="eastAsia"/>
                      <w:sz w:val="21"/>
                      <w:szCs w:val="21"/>
                    </w:rPr>
                    <w:t>6.92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3028" w:type="dxa"/>
                  <w:noWrap w:val="0"/>
                  <w:vAlign w:val="center"/>
                </w:tcPr>
                <w:p>
                  <w:pPr>
                    <w:widowControl/>
                    <w:spacing w:line="320" w:lineRule="exact"/>
                    <w:ind w:firstLine="0" w:firstLineChars="0"/>
                    <w:jc w:val="center"/>
                    <w:rPr>
                      <w:color w:val="000000"/>
                      <w:kern w:val="0"/>
                      <w:sz w:val="21"/>
                      <w:szCs w:val="21"/>
                    </w:rPr>
                  </w:pPr>
                  <w:r>
                    <w:rPr>
                      <w:rFonts w:eastAsia="宋体"/>
                      <w:color w:val="000000"/>
                      <w:kern w:val="0"/>
                      <w:sz w:val="21"/>
                      <w:szCs w:val="21"/>
                    </w:rPr>
                    <w:t>125</w:t>
                  </w:r>
                </w:p>
              </w:tc>
              <w:tc>
                <w:tcPr>
                  <w:tcW w:w="3130" w:type="dxa"/>
                  <w:noWrap w:val="0"/>
                  <w:vAlign w:val="center"/>
                </w:tcPr>
                <w:p>
                  <w:pPr>
                    <w:spacing w:line="320" w:lineRule="exact"/>
                    <w:ind w:left="0" w:leftChars="0" w:firstLine="0" w:firstLineChars="0"/>
                    <w:jc w:val="center"/>
                    <w:rPr>
                      <w:color w:val="000000"/>
                      <w:sz w:val="21"/>
                      <w:szCs w:val="21"/>
                    </w:rPr>
                  </w:pPr>
                  <w:r>
                    <w:rPr>
                      <w:rFonts w:hint="eastAsia"/>
                      <w:sz w:val="21"/>
                      <w:szCs w:val="21"/>
                    </w:rPr>
                    <w:t>0.028182</w:t>
                  </w:r>
                </w:p>
              </w:tc>
              <w:tc>
                <w:tcPr>
                  <w:tcW w:w="3027" w:type="dxa"/>
                  <w:noWrap w:val="0"/>
                  <w:vAlign w:val="center"/>
                </w:tcPr>
                <w:p>
                  <w:pPr>
                    <w:spacing w:line="320" w:lineRule="exact"/>
                    <w:ind w:left="0" w:leftChars="0" w:firstLine="0" w:firstLineChars="0"/>
                    <w:jc w:val="center"/>
                    <w:rPr>
                      <w:color w:val="000000"/>
                      <w:sz w:val="21"/>
                      <w:szCs w:val="21"/>
                    </w:rPr>
                  </w:pPr>
                  <w:r>
                    <w:rPr>
                      <w:rFonts w:hint="eastAsia"/>
                      <w:sz w:val="21"/>
                      <w:szCs w:val="21"/>
                    </w:rPr>
                    <w:t>6.26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3028" w:type="dxa"/>
                  <w:noWrap w:val="0"/>
                  <w:vAlign w:val="center"/>
                </w:tcPr>
                <w:p>
                  <w:pPr>
                    <w:widowControl/>
                    <w:spacing w:line="320" w:lineRule="exact"/>
                    <w:ind w:firstLine="0" w:firstLineChars="0"/>
                    <w:jc w:val="center"/>
                    <w:rPr>
                      <w:color w:val="000000"/>
                      <w:kern w:val="0"/>
                      <w:sz w:val="21"/>
                      <w:szCs w:val="21"/>
                    </w:rPr>
                  </w:pPr>
                  <w:r>
                    <w:rPr>
                      <w:rFonts w:eastAsia="宋体"/>
                      <w:color w:val="000000"/>
                      <w:kern w:val="0"/>
                      <w:sz w:val="21"/>
                      <w:szCs w:val="21"/>
                    </w:rPr>
                    <w:t>150</w:t>
                  </w:r>
                </w:p>
              </w:tc>
              <w:tc>
                <w:tcPr>
                  <w:tcW w:w="3130" w:type="dxa"/>
                  <w:noWrap w:val="0"/>
                  <w:vAlign w:val="center"/>
                </w:tcPr>
                <w:p>
                  <w:pPr>
                    <w:spacing w:line="320" w:lineRule="exact"/>
                    <w:ind w:left="0" w:leftChars="0" w:firstLine="0" w:firstLineChars="0"/>
                    <w:jc w:val="center"/>
                    <w:rPr>
                      <w:color w:val="000000"/>
                      <w:sz w:val="21"/>
                      <w:szCs w:val="21"/>
                    </w:rPr>
                  </w:pPr>
                  <w:r>
                    <w:rPr>
                      <w:rFonts w:hint="eastAsia"/>
                      <w:sz w:val="21"/>
                      <w:szCs w:val="21"/>
                    </w:rPr>
                    <w:t>0.025125</w:t>
                  </w:r>
                </w:p>
              </w:tc>
              <w:tc>
                <w:tcPr>
                  <w:tcW w:w="3027" w:type="dxa"/>
                  <w:noWrap w:val="0"/>
                  <w:vAlign w:val="center"/>
                </w:tcPr>
                <w:p>
                  <w:pPr>
                    <w:spacing w:line="320" w:lineRule="exact"/>
                    <w:ind w:left="0" w:leftChars="0" w:firstLine="0" w:firstLineChars="0"/>
                    <w:jc w:val="center"/>
                    <w:rPr>
                      <w:color w:val="000000"/>
                      <w:sz w:val="21"/>
                      <w:szCs w:val="21"/>
                    </w:rPr>
                  </w:pPr>
                  <w:r>
                    <w:rPr>
                      <w:rFonts w:hint="eastAsia"/>
                      <w:sz w:val="21"/>
                      <w:szCs w:val="21"/>
                    </w:rPr>
                    <w:t>5.58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3028" w:type="dxa"/>
                  <w:noWrap w:val="0"/>
                  <w:vAlign w:val="center"/>
                </w:tcPr>
                <w:p>
                  <w:pPr>
                    <w:widowControl/>
                    <w:spacing w:line="320" w:lineRule="exact"/>
                    <w:ind w:firstLine="0" w:firstLineChars="0"/>
                    <w:jc w:val="center"/>
                    <w:rPr>
                      <w:color w:val="000000"/>
                      <w:kern w:val="0"/>
                      <w:sz w:val="21"/>
                      <w:szCs w:val="21"/>
                    </w:rPr>
                  </w:pPr>
                  <w:r>
                    <w:rPr>
                      <w:rFonts w:eastAsia="宋体"/>
                      <w:color w:val="000000"/>
                      <w:kern w:val="0"/>
                      <w:sz w:val="21"/>
                      <w:szCs w:val="21"/>
                    </w:rPr>
                    <w:t>175</w:t>
                  </w:r>
                </w:p>
              </w:tc>
              <w:tc>
                <w:tcPr>
                  <w:tcW w:w="3130" w:type="dxa"/>
                  <w:noWrap w:val="0"/>
                  <w:vAlign w:val="center"/>
                </w:tcPr>
                <w:p>
                  <w:pPr>
                    <w:spacing w:line="320" w:lineRule="exact"/>
                    <w:ind w:left="0" w:leftChars="0" w:firstLine="0" w:firstLineChars="0"/>
                    <w:jc w:val="center"/>
                    <w:rPr>
                      <w:color w:val="000000"/>
                      <w:sz w:val="21"/>
                      <w:szCs w:val="21"/>
                    </w:rPr>
                  </w:pPr>
                  <w:r>
                    <w:rPr>
                      <w:rFonts w:hint="eastAsia"/>
                      <w:sz w:val="21"/>
                      <w:szCs w:val="21"/>
                    </w:rPr>
                    <w:t>0.022647</w:t>
                  </w:r>
                </w:p>
              </w:tc>
              <w:tc>
                <w:tcPr>
                  <w:tcW w:w="3027" w:type="dxa"/>
                  <w:noWrap w:val="0"/>
                  <w:vAlign w:val="center"/>
                </w:tcPr>
                <w:p>
                  <w:pPr>
                    <w:spacing w:line="320" w:lineRule="exact"/>
                    <w:ind w:left="0" w:leftChars="0" w:firstLine="0" w:firstLineChars="0"/>
                    <w:jc w:val="center"/>
                    <w:rPr>
                      <w:color w:val="000000"/>
                      <w:sz w:val="21"/>
                      <w:szCs w:val="21"/>
                    </w:rPr>
                  </w:pPr>
                  <w:r>
                    <w:rPr>
                      <w:rFonts w:hint="eastAsia"/>
                      <w:sz w:val="21"/>
                      <w:szCs w:val="21"/>
                    </w:rPr>
                    <w:t>5.03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3028" w:type="dxa"/>
                  <w:noWrap w:val="0"/>
                  <w:vAlign w:val="center"/>
                </w:tcPr>
                <w:p>
                  <w:pPr>
                    <w:widowControl/>
                    <w:spacing w:line="320" w:lineRule="exact"/>
                    <w:ind w:firstLine="0" w:firstLineChars="0"/>
                    <w:jc w:val="center"/>
                    <w:rPr>
                      <w:color w:val="000000"/>
                      <w:kern w:val="0"/>
                      <w:sz w:val="21"/>
                      <w:szCs w:val="21"/>
                    </w:rPr>
                  </w:pPr>
                  <w:r>
                    <w:rPr>
                      <w:rFonts w:eastAsia="宋体"/>
                      <w:color w:val="000000"/>
                      <w:kern w:val="0"/>
                      <w:sz w:val="21"/>
                      <w:szCs w:val="21"/>
                    </w:rPr>
                    <w:t>200</w:t>
                  </w:r>
                </w:p>
              </w:tc>
              <w:tc>
                <w:tcPr>
                  <w:tcW w:w="3130" w:type="dxa"/>
                  <w:noWrap w:val="0"/>
                  <w:vAlign w:val="center"/>
                </w:tcPr>
                <w:p>
                  <w:pPr>
                    <w:spacing w:line="320" w:lineRule="exact"/>
                    <w:ind w:left="0" w:leftChars="0" w:firstLine="0" w:firstLineChars="0"/>
                    <w:jc w:val="center"/>
                    <w:rPr>
                      <w:color w:val="000000"/>
                      <w:sz w:val="21"/>
                      <w:szCs w:val="21"/>
                    </w:rPr>
                  </w:pPr>
                  <w:r>
                    <w:rPr>
                      <w:rFonts w:hint="eastAsia"/>
                      <w:sz w:val="21"/>
                      <w:szCs w:val="21"/>
                    </w:rPr>
                    <w:t>0.020681</w:t>
                  </w:r>
                </w:p>
              </w:tc>
              <w:tc>
                <w:tcPr>
                  <w:tcW w:w="3027" w:type="dxa"/>
                  <w:noWrap w:val="0"/>
                  <w:vAlign w:val="center"/>
                </w:tcPr>
                <w:p>
                  <w:pPr>
                    <w:spacing w:line="320" w:lineRule="exact"/>
                    <w:ind w:left="0" w:leftChars="0" w:firstLine="0" w:firstLineChars="0"/>
                    <w:jc w:val="center"/>
                    <w:rPr>
                      <w:color w:val="000000"/>
                      <w:sz w:val="21"/>
                      <w:szCs w:val="21"/>
                    </w:rPr>
                  </w:pPr>
                  <w:r>
                    <w:rPr>
                      <w:rFonts w:hint="eastAsia"/>
                      <w:sz w:val="21"/>
                      <w:szCs w:val="21"/>
                    </w:rPr>
                    <w:t>4.60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3028" w:type="dxa"/>
                  <w:noWrap w:val="0"/>
                  <w:vAlign w:val="center"/>
                </w:tcPr>
                <w:p>
                  <w:pPr>
                    <w:widowControl/>
                    <w:spacing w:line="320" w:lineRule="exact"/>
                    <w:ind w:firstLine="0" w:firstLineChars="0"/>
                    <w:jc w:val="center"/>
                    <w:rPr>
                      <w:color w:val="000000"/>
                      <w:kern w:val="0"/>
                      <w:sz w:val="21"/>
                      <w:szCs w:val="21"/>
                    </w:rPr>
                  </w:pPr>
                  <w:r>
                    <w:rPr>
                      <w:rFonts w:eastAsia="宋体"/>
                      <w:color w:val="000000"/>
                      <w:kern w:val="0"/>
                      <w:sz w:val="21"/>
                      <w:szCs w:val="21"/>
                    </w:rPr>
                    <w:t>225</w:t>
                  </w:r>
                </w:p>
              </w:tc>
              <w:tc>
                <w:tcPr>
                  <w:tcW w:w="3130" w:type="dxa"/>
                  <w:noWrap w:val="0"/>
                  <w:vAlign w:val="center"/>
                </w:tcPr>
                <w:p>
                  <w:pPr>
                    <w:spacing w:line="320" w:lineRule="exact"/>
                    <w:ind w:left="0" w:leftChars="0" w:firstLine="0" w:firstLineChars="0"/>
                    <w:jc w:val="center"/>
                    <w:rPr>
                      <w:color w:val="000000"/>
                      <w:sz w:val="21"/>
                      <w:szCs w:val="21"/>
                    </w:rPr>
                  </w:pPr>
                  <w:r>
                    <w:rPr>
                      <w:rFonts w:hint="eastAsia"/>
                      <w:sz w:val="21"/>
                      <w:szCs w:val="21"/>
                    </w:rPr>
                    <w:t>0.019102</w:t>
                  </w:r>
                </w:p>
              </w:tc>
              <w:tc>
                <w:tcPr>
                  <w:tcW w:w="3027" w:type="dxa"/>
                  <w:noWrap w:val="0"/>
                  <w:vAlign w:val="center"/>
                </w:tcPr>
                <w:p>
                  <w:pPr>
                    <w:spacing w:line="320" w:lineRule="exact"/>
                    <w:ind w:left="0" w:leftChars="0" w:firstLine="0" w:firstLineChars="0"/>
                    <w:jc w:val="center"/>
                    <w:rPr>
                      <w:color w:val="000000"/>
                      <w:sz w:val="21"/>
                      <w:szCs w:val="21"/>
                    </w:rPr>
                  </w:pPr>
                  <w:r>
                    <w:rPr>
                      <w:rFonts w:hint="eastAsia"/>
                      <w:sz w:val="21"/>
                      <w:szCs w:val="21"/>
                    </w:rPr>
                    <w:t>4.24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3028" w:type="dxa"/>
                  <w:noWrap w:val="0"/>
                  <w:vAlign w:val="center"/>
                </w:tcPr>
                <w:p>
                  <w:pPr>
                    <w:widowControl/>
                    <w:spacing w:line="320" w:lineRule="exact"/>
                    <w:ind w:firstLine="0" w:firstLineChars="0"/>
                    <w:jc w:val="center"/>
                    <w:rPr>
                      <w:color w:val="000000"/>
                      <w:kern w:val="0"/>
                      <w:sz w:val="21"/>
                      <w:szCs w:val="21"/>
                    </w:rPr>
                  </w:pPr>
                  <w:r>
                    <w:rPr>
                      <w:rFonts w:eastAsia="宋体"/>
                      <w:color w:val="000000"/>
                      <w:kern w:val="0"/>
                      <w:sz w:val="21"/>
                      <w:szCs w:val="21"/>
                    </w:rPr>
                    <w:t>250</w:t>
                  </w:r>
                </w:p>
              </w:tc>
              <w:tc>
                <w:tcPr>
                  <w:tcW w:w="3130" w:type="dxa"/>
                  <w:noWrap w:val="0"/>
                  <w:vAlign w:val="center"/>
                </w:tcPr>
                <w:p>
                  <w:pPr>
                    <w:spacing w:line="320" w:lineRule="exact"/>
                    <w:ind w:left="0" w:leftChars="0" w:firstLine="0" w:firstLineChars="0"/>
                    <w:jc w:val="center"/>
                    <w:rPr>
                      <w:color w:val="000000"/>
                      <w:sz w:val="21"/>
                      <w:szCs w:val="21"/>
                    </w:rPr>
                  </w:pPr>
                  <w:r>
                    <w:rPr>
                      <w:rFonts w:hint="eastAsia"/>
                      <w:sz w:val="21"/>
                      <w:szCs w:val="21"/>
                    </w:rPr>
                    <w:t>0.017776</w:t>
                  </w:r>
                </w:p>
              </w:tc>
              <w:tc>
                <w:tcPr>
                  <w:tcW w:w="3027" w:type="dxa"/>
                  <w:noWrap w:val="0"/>
                  <w:vAlign w:val="center"/>
                </w:tcPr>
                <w:p>
                  <w:pPr>
                    <w:spacing w:line="320" w:lineRule="exact"/>
                    <w:ind w:left="0" w:leftChars="0" w:firstLine="0" w:firstLineChars="0"/>
                    <w:jc w:val="center"/>
                    <w:rPr>
                      <w:color w:val="000000"/>
                      <w:sz w:val="21"/>
                      <w:szCs w:val="21"/>
                    </w:rPr>
                  </w:pPr>
                  <w:r>
                    <w:rPr>
                      <w:rFonts w:hint="eastAsia"/>
                      <w:sz w:val="21"/>
                      <w:szCs w:val="21"/>
                    </w:rPr>
                    <w:t>3.95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3028" w:type="dxa"/>
                  <w:noWrap w:val="0"/>
                  <w:vAlign w:val="center"/>
                </w:tcPr>
                <w:p>
                  <w:pPr>
                    <w:spacing w:line="320" w:lineRule="exact"/>
                    <w:ind w:firstLine="0" w:firstLineChars="0"/>
                    <w:jc w:val="center"/>
                    <w:rPr>
                      <w:color w:val="000000"/>
                      <w:sz w:val="21"/>
                      <w:szCs w:val="21"/>
                    </w:rPr>
                  </w:pPr>
                  <w:r>
                    <w:rPr>
                      <w:rFonts w:eastAsia="宋体"/>
                      <w:color w:val="000000"/>
                      <w:sz w:val="21"/>
                      <w:szCs w:val="21"/>
                    </w:rPr>
                    <w:t>275</w:t>
                  </w:r>
                </w:p>
              </w:tc>
              <w:tc>
                <w:tcPr>
                  <w:tcW w:w="3130" w:type="dxa"/>
                  <w:noWrap w:val="0"/>
                  <w:vAlign w:val="center"/>
                </w:tcPr>
                <w:p>
                  <w:pPr>
                    <w:spacing w:line="320" w:lineRule="exact"/>
                    <w:ind w:left="0" w:leftChars="0" w:firstLine="0" w:firstLineChars="0"/>
                    <w:jc w:val="center"/>
                    <w:rPr>
                      <w:color w:val="000000"/>
                      <w:sz w:val="21"/>
                      <w:szCs w:val="21"/>
                    </w:rPr>
                  </w:pPr>
                  <w:r>
                    <w:rPr>
                      <w:rFonts w:hint="eastAsia"/>
                      <w:sz w:val="21"/>
                      <w:szCs w:val="21"/>
                    </w:rPr>
                    <w:t>0.017064</w:t>
                  </w:r>
                </w:p>
              </w:tc>
              <w:tc>
                <w:tcPr>
                  <w:tcW w:w="3027" w:type="dxa"/>
                  <w:noWrap w:val="0"/>
                  <w:vAlign w:val="center"/>
                </w:tcPr>
                <w:p>
                  <w:pPr>
                    <w:spacing w:line="320" w:lineRule="exact"/>
                    <w:ind w:left="0" w:leftChars="0" w:firstLine="0" w:firstLineChars="0"/>
                    <w:jc w:val="center"/>
                    <w:rPr>
                      <w:color w:val="000000"/>
                      <w:sz w:val="21"/>
                      <w:szCs w:val="21"/>
                    </w:rPr>
                  </w:pPr>
                  <w:r>
                    <w:rPr>
                      <w:rFonts w:hint="eastAsia"/>
                      <w:sz w:val="21"/>
                      <w:szCs w:val="21"/>
                    </w:rPr>
                    <w:t>3.79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3028" w:type="dxa"/>
                  <w:noWrap w:val="0"/>
                  <w:vAlign w:val="center"/>
                </w:tcPr>
                <w:p>
                  <w:pPr>
                    <w:spacing w:line="320" w:lineRule="exact"/>
                    <w:ind w:firstLine="0" w:firstLineChars="0"/>
                    <w:jc w:val="center"/>
                    <w:rPr>
                      <w:color w:val="000000"/>
                      <w:sz w:val="21"/>
                      <w:szCs w:val="21"/>
                    </w:rPr>
                  </w:pPr>
                  <w:r>
                    <w:rPr>
                      <w:rFonts w:eastAsia="宋体"/>
                      <w:color w:val="000000"/>
                      <w:sz w:val="21"/>
                      <w:szCs w:val="21"/>
                    </w:rPr>
                    <w:t>300</w:t>
                  </w:r>
                </w:p>
              </w:tc>
              <w:tc>
                <w:tcPr>
                  <w:tcW w:w="3130" w:type="dxa"/>
                  <w:noWrap w:val="0"/>
                  <w:vAlign w:val="center"/>
                </w:tcPr>
                <w:p>
                  <w:pPr>
                    <w:spacing w:line="320" w:lineRule="exact"/>
                    <w:ind w:left="0" w:leftChars="0" w:firstLine="0" w:firstLineChars="0"/>
                    <w:jc w:val="center"/>
                    <w:rPr>
                      <w:color w:val="000000"/>
                      <w:sz w:val="21"/>
                      <w:szCs w:val="21"/>
                    </w:rPr>
                  </w:pPr>
                  <w:r>
                    <w:rPr>
                      <w:rFonts w:hint="eastAsia"/>
                      <w:sz w:val="21"/>
                      <w:szCs w:val="21"/>
                    </w:rPr>
                    <w:t>0.01603</w:t>
                  </w:r>
                </w:p>
              </w:tc>
              <w:tc>
                <w:tcPr>
                  <w:tcW w:w="3027" w:type="dxa"/>
                  <w:noWrap w:val="0"/>
                  <w:vAlign w:val="center"/>
                </w:tcPr>
                <w:p>
                  <w:pPr>
                    <w:spacing w:line="320" w:lineRule="exact"/>
                    <w:ind w:left="0" w:leftChars="0" w:firstLine="0" w:firstLineChars="0"/>
                    <w:jc w:val="center"/>
                    <w:rPr>
                      <w:color w:val="000000"/>
                      <w:sz w:val="21"/>
                      <w:szCs w:val="21"/>
                    </w:rPr>
                  </w:pPr>
                  <w:r>
                    <w:rPr>
                      <w:rFonts w:hint="eastAsia"/>
                      <w:sz w:val="21"/>
                      <w:szCs w:val="21"/>
                    </w:rPr>
                    <w:t>3.56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3028" w:type="dxa"/>
                  <w:noWrap w:val="0"/>
                  <w:vAlign w:val="center"/>
                </w:tcPr>
                <w:p>
                  <w:pPr>
                    <w:spacing w:line="320" w:lineRule="exact"/>
                    <w:ind w:firstLine="0" w:firstLineChars="0"/>
                    <w:jc w:val="center"/>
                    <w:rPr>
                      <w:color w:val="000000"/>
                      <w:sz w:val="21"/>
                      <w:szCs w:val="21"/>
                    </w:rPr>
                  </w:pPr>
                  <w:r>
                    <w:rPr>
                      <w:rFonts w:eastAsia="宋体"/>
                      <w:color w:val="000000"/>
                      <w:sz w:val="21"/>
                      <w:szCs w:val="21"/>
                    </w:rPr>
                    <w:t>325</w:t>
                  </w:r>
                </w:p>
              </w:tc>
              <w:tc>
                <w:tcPr>
                  <w:tcW w:w="3130" w:type="dxa"/>
                  <w:noWrap w:val="0"/>
                  <w:vAlign w:val="center"/>
                </w:tcPr>
                <w:p>
                  <w:pPr>
                    <w:spacing w:line="320" w:lineRule="exact"/>
                    <w:ind w:left="0" w:leftChars="0" w:firstLine="0" w:firstLineChars="0"/>
                    <w:jc w:val="center"/>
                    <w:rPr>
                      <w:color w:val="000000"/>
                      <w:sz w:val="21"/>
                      <w:szCs w:val="21"/>
                    </w:rPr>
                  </w:pPr>
                  <w:r>
                    <w:rPr>
                      <w:rFonts w:hint="eastAsia"/>
                      <w:sz w:val="21"/>
                      <w:szCs w:val="21"/>
                    </w:rPr>
                    <w:t>0.015137</w:t>
                  </w:r>
                </w:p>
              </w:tc>
              <w:tc>
                <w:tcPr>
                  <w:tcW w:w="3027" w:type="dxa"/>
                  <w:noWrap w:val="0"/>
                  <w:vAlign w:val="center"/>
                </w:tcPr>
                <w:p>
                  <w:pPr>
                    <w:spacing w:line="320" w:lineRule="exact"/>
                    <w:ind w:left="0" w:leftChars="0" w:firstLine="0" w:firstLineChars="0"/>
                    <w:jc w:val="center"/>
                    <w:rPr>
                      <w:color w:val="000000"/>
                      <w:sz w:val="21"/>
                      <w:szCs w:val="21"/>
                    </w:rPr>
                  </w:pPr>
                  <w:r>
                    <w:rPr>
                      <w:rFonts w:hint="eastAsia"/>
                      <w:sz w:val="21"/>
                      <w:szCs w:val="21"/>
                    </w:rPr>
                    <w:t>3.36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3028" w:type="dxa"/>
                  <w:noWrap w:val="0"/>
                  <w:vAlign w:val="center"/>
                </w:tcPr>
                <w:p>
                  <w:pPr>
                    <w:spacing w:line="320" w:lineRule="exact"/>
                    <w:ind w:firstLine="0" w:firstLineChars="0"/>
                    <w:jc w:val="center"/>
                    <w:rPr>
                      <w:color w:val="000000"/>
                      <w:sz w:val="21"/>
                      <w:szCs w:val="21"/>
                    </w:rPr>
                  </w:pPr>
                  <w:r>
                    <w:rPr>
                      <w:rFonts w:eastAsia="宋体"/>
                      <w:color w:val="000000"/>
                      <w:sz w:val="21"/>
                      <w:szCs w:val="21"/>
                    </w:rPr>
                    <w:t>350</w:t>
                  </w:r>
                </w:p>
              </w:tc>
              <w:tc>
                <w:tcPr>
                  <w:tcW w:w="3130" w:type="dxa"/>
                  <w:noWrap w:val="0"/>
                  <w:vAlign w:val="center"/>
                </w:tcPr>
                <w:p>
                  <w:pPr>
                    <w:spacing w:line="320" w:lineRule="exact"/>
                    <w:ind w:left="0" w:leftChars="0" w:firstLine="0" w:firstLineChars="0"/>
                    <w:jc w:val="center"/>
                    <w:rPr>
                      <w:color w:val="000000"/>
                      <w:sz w:val="21"/>
                      <w:szCs w:val="21"/>
                    </w:rPr>
                  </w:pPr>
                  <w:r>
                    <w:rPr>
                      <w:rFonts w:hint="eastAsia"/>
                      <w:sz w:val="21"/>
                      <w:szCs w:val="21"/>
                    </w:rPr>
                    <w:t>0.014355</w:t>
                  </w:r>
                </w:p>
              </w:tc>
              <w:tc>
                <w:tcPr>
                  <w:tcW w:w="3027" w:type="dxa"/>
                  <w:noWrap w:val="0"/>
                  <w:vAlign w:val="center"/>
                </w:tcPr>
                <w:p>
                  <w:pPr>
                    <w:spacing w:line="320" w:lineRule="exact"/>
                    <w:ind w:left="0" w:leftChars="0" w:firstLine="0" w:firstLineChars="0"/>
                    <w:jc w:val="center"/>
                    <w:rPr>
                      <w:color w:val="000000"/>
                      <w:sz w:val="21"/>
                      <w:szCs w:val="21"/>
                    </w:rPr>
                  </w:pPr>
                  <w:r>
                    <w:rPr>
                      <w:rFonts w:hint="eastAsia"/>
                      <w:sz w:val="21"/>
                      <w:szCs w:val="21"/>
                    </w:rPr>
                    <w:t>3.19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3028" w:type="dxa"/>
                  <w:noWrap w:val="0"/>
                  <w:vAlign w:val="center"/>
                </w:tcPr>
                <w:p>
                  <w:pPr>
                    <w:spacing w:line="320" w:lineRule="exact"/>
                    <w:ind w:firstLine="0" w:firstLineChars="0"/>
                    <w:jc w:val="center"/>
                    <w:rPr>
                      <w:color w:val="000000"/>
                      <w:sz w:val="21"/>
                      <w:szCs w:val="21"/>
                    </w:rPr>
                  </w:pPr>
                  <w:r>
                    <w:rPr>
                      <w:rFonts w:eastAsia="宋体"/>
                      <w:color w:val="000000"/>
                      <w:sz w:val="21"/>
                      <w:szCs w:val="21"/>
                    </w:rPr>
                    <w:t>375</w:t>
                  </w:r>
                </w:p>
              </w:tc>
              <w:tc>
                <w:tcPr>
                  <w:tcW w:w="3130" w:type="dxa"/>
                  <w:noWrap w:val="0"/>
                  <w:vAlign w:val="center"/>
                </w:tcPr>
                <w:p>
                  <w:pPr>
                    <w:spacing w:line="320" w:lineRule="exact"/>
                    <w:ind w:left="0" w:leftChars="0" w:firstLine="0" w:firstLineChars="0"/>
                    <w:jc w:val="center"/>
                    <w:rPr>
                      <w:color w:val="000000"/>
                      <w:sz w:val="21"/>
                      <w:szCs w:val="21"/>
                    </w:rPr>
                  </w:pPr>
                  <w:r>
                    <w:rPr>
                      <w:rFonts w:hint="eastAsia"/>
                      <w:sz w:val="21"/>
                      <w:szCs w:val="21"/>
                    </w:rPr>
                    <w:t>0.013665</w:t>
                  </w:r>
                </w:p>
              </w:tc>
              <w:tc>
                <w:tcPr>
                  <w:tcW w:w="3027" w:type="dxa"/>
                  <w:noWrap w:val="0"/>
                  <w:vAlign w:val="center"/>
                </w:tcPr>
                <w:p>
                  <w:pPr>
                    <w:spacing w:line="320" w:lineRule="exact"/>
                    <w:ind w:left="0" w:leftChars="0" w:firstLine="0" w:firstLineChars="0"/>
                    <w:jc w:val="center"/>
                    <w:rPr>
                      <w:color w:val="000000"/>
                      <w:sz w:val="21"/>
                      <w:szCs w:val="21"/>
                    </w:rPr>
                  </w:pPr>
                  <w:r>
                    <w:rPr>
                      <w:rFonts w:hint="eastAsia"/>
                      <w:sz w:val="21"/>
                      <w:szCs w:val="21"/>
                    </w:rPr>
                    <w:t>3.04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3028" w:type="dxa"/>
                  <w:noWrap w:val="0"/>
                  <w:vAlign w:val="center"/>
                </w:tcPr>
                <w:p>
                  <w:pPr>
                    <w:spacing w:line="320" w:lineRule="exact"/>
                    <w:ind w:firstLine="0" w:firstLineChars="0"/>
                    <w:jc w:val="center"/>
                    <w:rPr>
                      <w:color w:val="000000"/>
                      <w:sz w:val="21"/>
                      <w:szCs w:val="21"/>
                    </w:rPr>
                  </w:pPr>
                  <w:r>
                    <w:rPr>
                      <w:rFonts w:eastAsia="宋体"/>
                      <w:color w:val="000000"/>
                      <w:sz w:val="21"/>
                      <w:szCs w:val="21"/>
                    </w:rPr>
                    <w:t>400</w:t>
                  </w:r>
                </w:p>
              </w:tc>
              <w:tc>
                <w:tcPr>
                  <w:tcW w:w="3130" w:type="dxa"/>
                  <w:noWrap w:val="0"/>
                  <w:vAlign w:val="center"/>
                </w:tcPr>
                <w:p>
                  <w:pPr>
                    <w:spacing w:line="320" w:lineRule="exact"/>
                    <w:ind w:left="0" w:leftChars="0" w:firstLine="0" w:firstLineChars="0"/>
                    <w:jc w:val="center"/>
                    <w:rPr>
                      <w:color w:val="000000"/>
                      <w:sz w:val="21"/>
                      <w:szCs w:val="21"/>
                    </w:rPr>
                  </w:pPr>
                  <w:r>
                    <w:rPr>
                      <w:rFonts w:hint="eastAsia"/>
                      <w:sz w:val="21"/>
                      <w:szCs w:val="21"/>
                    </w:rPr>
                    <w:t>0.01305</w:t>
                  </w:r>
                </w:p>
              </w:tc>
              <w:tc>
                <w:tcPr>
                  <w:tcW w:w="3027" w:type="dxa"/>
                  <w:noWrap w:val="0"/>
                  <w:vAlign w:val="center"/>
                </w:tcPr>
                <w:p>
                  <w:pPr>
                    <w:spacing w:line="320" w:lineRule="exact"/>
                    <w:ind w:left="0" w:leftChars="0" w:firstLine="0" w:firstLineChars="0"/>
                    <w:jc w:val="center"/>
                    <w:rPr>
                      <w:color w:val="000000"/>
                      <w:sz w:val="21"/>
                      <w:szCs w:val="21"/>
                    </w:rPr>
                  </w:pPr>
                  <w:r>
                    <w:rPr>
                      <w:rFonts w:hint="eastAsia"/>
                      <w:sz w:val="21"/>
                      <w:szCs w:val="21"/>
                    </w:rPr>
                    <w:t>2.90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3028" w:type="dxa"/>
                  <w:noWrap w:val="0"/>
                  <w:vAlign w:val="center"/>
                </w:tcPr>
                <w:p>
                  <w:pPr>
                    <w:spacing w:line="320" w:lineRule="exact"/>
                    <w:ind w:firstLine="0" w:firstLineChars="0"/>
                    <w:jc w:val="center"/>
                    <w:rPr>
                      <w:color w:val="000000"/>
                      <w:sz w:val="21"/>
                      <w:szCs w:val="21"/>
                    </w:rPr>
                  </w:pPr>
                  <w:r>
                    <w:rPr>
                      <w:rFonts w:eastAsia="宋体"/>
                      <w:color w:val="000000"/>
                      <w:sz w:val="21"/>
                      <w:szCs w:val="21"/>
                    </w:rPr>
                    <w:t>425</w:t>
                  </w:r>
                </w:p>
              </w:tc>
              <w:tc>
                <w:tcPr>
                  <w:tcW w:w="3130" w:type="dxa"/>
                  <w:noWrap w:val="0"/>
                  <w:vAlign w:val="center"/>
                </w:tcPr>
                <w:p>
                  <w:pPr>
                    <w:widowControl/>
                    <w:spacing w:line="320" w:lineRule="exact"/>
                    <w:ind w:left="0" w:leftChars="0" w:firstLine="0" w:firstLineChars="0"/>
                    <w:jc w:val="center"/>
                    <w:rPr>
                      <w:color w:val="000000"/>
                      <w:sz w:val="21"/>
                      <w:szCs w:val="21"/>
                    </w:rPr>
                  </w:pPr>
                  <w:r>
                    <w:rPr>
                      <w:rFonts w:hint="eastAsia"/>
                      <w:sz w:val="21"/>
                      <w:szCs w:val="21"/>
                    </w:rPr>
                    <w:t>0.012498</w:t>
                  </w:r>
                </w:p>
              </w:tc>
              <w:tc>
                <w:tcPr>
                  <w:tcW w:w="3027" w:type="dxa"/>
                  <w:noWrap w:val="0"/>
                  <w:vAlign w:val="center"/>
                </w:tcPr>
                <w:p>
                  <w:pPr>
                    <w:spacing w:line="320" w:lineRule="exact"/>
                    <w:ind w:left="0" w:leftChars="0" w:firstLine="0" w:firstLineChars="0"/>
                    <w:jc w:val="center"/>
                    <w:rPr>
                      <w:color w:val="000000"/>
                      <w:sz w:val="21"/>
                      <w:szCs w:val="21"/>
                    </w:rPr>
                  </w:pPr>
                  <w:r>
                    <w:rPr>
                      <w:rFonts w:hint="eastAsia"/>
                      <w:sz w:val="21"/>
                      <w:szCs w:val="21"/>
                    </w:rPr>
                    <w:t>2.78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3028" w:type="dxa"/>
                  <w:noWrap w:val="0"/>
                  <w:vAlign w:val="center"/>
                </w:tcPr>
                <w:p>
                  <w:pPr>
                    <w:spacing w:line="320" w:lineRule="exact"/>
                    <w:ind w:firstLine="0" w:firstLineChars="0"/>
                    <w:jc w:val="center"/>
                    <w:rPr>
                      <w:color w:val="000000"/>
                      <w:sz w:val="21"/>
                      <w:szCs w:val="21"/>
                    </w:rPr>
                  </w:pPr>
                  <w:r>
                    <w:rPr>
                      <w:rFonts w:eastAsia="宋体"/>
                      <w:color w:val="000000"/>
                      <w:sz w:val="21"/>
                      <w:szCs w:val="21"/>
                    </w:rPr>
                    <w:t>450</w:t>
                  </w:r>
                </w:p>
              </w:tc>
              <w:tc>
                <w:tcPr>
                  <w:tcW w:w="3130" w:type="dxa"/>
                  <w:noWrap w:val="0"/>
                  <w:vAlign w:val="center"/>
                </w:tcPr>
                <w:p>
                  <w:pPr>
                    <w:widowControl/>
                    <w:spacing w:line="320" w:lineRule="exact"/>
                    <w:ind w:left="0" w:leftChars="0" w:firstLine="0" w:firstLineChars="0"/>
                    <w:jc w:val="center"/>
                    <w:rPr>
                      <w:color w:val="000000"/>
                      <w:kern w:val="0"/>
                      <w:sz w:val="21"/>
                      <w:szCs w:val="21"/>
                    </w:rPr>
                  </w:pPr>
                  <w:r>
                    <w:rPr>
                      <w:rFonts w:hint="eastAsia"/>
                      <w:sz w:val="21"/>
                      <w:szCs w:val="21"/>
                    </w:rPr>
                    <w:t>0.011999</w:t>
                  </w:r>
                </w:p>
              </w:tc>
              <w:tc>
                <w:tcPr>
                  <w:tcW w:w="3027" w:type="dxa"/>
                  <w:noWrap w:val="0"/>
                  <w:vAlign w:val="center"/>
                </w:tcPr>
                <w:p>
                  <w:pPr>
                    <w:spacing w:line="320" w:lineRule="exact"/>
                    <w:ind w:left="0" w:leftChars="0" w:firstLine="0" w:firstLineChars="0"/>
                    <w:jc w:val="center"/>
                    <w:rPr>
                      <w:color w:val="000000"/>
                      <w:sz w:val="21"/>
                      <w:szCs w:val="21"/>
                    </w:rPr>
                  </w:pPr>
                  <w:r>
                    <w:rPr>
                      <w:rFonts w:hint="eastAsia"/>
                      <w:sz w:val="21"/>
                      <w:szCs w:val="21"/>
                    </w:rPr>
                    <w:t>2.67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3028" w:type="dxa"/>
                  <w:noWrap w:val="0"/>
                  <w:vAlign w:val="center"/>
                </w:tcPr>
                <w:p>
                  <w:pPr>
                    <w:spacing w:line="320" w:lineRule="exact"/>
                    <w:ind w:firstLine="0" w:firstLineChars="0"/>
                    <w:jc w:val="center"/>
                    <w:rPr>
                      <w:color w:val="000000"/>
                      <w:sz w:val="21"/>
                      <w:szCs w:val="21"/>
                    </w:rPr>
                  </w:pPr>
                  <w:r>
                    <w:rPr>
                      <w:rFonts w:eastAsia="宋体"/>
                      <w:color w:val="000000"/>
                      <w:sz w:val="21"/>
                      <w:szCs w:val="21"/>
                    </w:rPr>
                    <w:t>475</w:t>
                  </w:r>
                </w:p>
              </w:tc>
              <w:tc>
                <w:tcPr>
                  <w:tcW w:w="3130" w:type="dxa"/>
                  <w:noWrap w:val="0"/>
                  <w:vAlign w:val="center"/>
                </w:tcPr>
                <w:p>
                  <w:pPr>
                    <w:widowControl/>
                    <w:spacing w:line="320" w:lineRule="exact"/>
                    <w:ind w:left="0" w:leftChars="0" w:firstLine="0" w:firstLineChars="0"/>
                    <w:jc w:val="center"/>
                    <w:rPr>
                      <w:color w:val="000000"/>
                      <w:kern w:val="0"/>
                      <w:sz w:val="21"/>
                      <w:szCs w:val="21"/>
                    </w:rPr>
                  </w:pPr>
                  <w:r>
                    <w:rPr>
                      <w:rFonts w:hint="eastAsia"/>
                      <w:sz w:val="21"/>
                      <w:szCs w:val="21"/>
                    </w:rPr>
                    <w:t>0.011547</w:t>
                  </w:r>
                </w:p>
              </w:tc>
              <w:tc>
                <w:tcPr>
                  <w:tcW w:w="3027" w:type="dxa"/>
                  <w:noWrap w:val="0"/>
                  <w:vAlign w:val="center"/>
                </w:tcPr>
                <w:p>
                  <w:pPr>
                    <w:spacing w:line="320" w:lineRule="exact"/>
                    <w:ind w:left="0" w:leftChars="0" w:firstLine="0" w:firstLineChars="0"/>
                    <w:jc w:val="center"/>
                    <w:rPr>
                      <w:color w:val="000000"/>
                      <w:sz w:val="21"/>
                      <w:szCs w:val="21"/>
                    </w:rPr>
                  </w:pPr>
                  <w:r>
                    <w:rPr>
                      <w:rFonts w:hint="eastAsia"/>
                      <w:sz w:val="21"/>
                      <w:szCs w:val="21"/>
                    </w:rPr>
                    <w:t>2.57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3028" w:type="dxa"/>
                  <w:noWrap w:val="0"/>
                  <w:vAlign w:val="center"/>
                </w:tcPr>
                <w:p>
                  <w:pPr>
                    <w:spacing w:line="320" w:lineRule="exact"/>
                    <w:ind w:firstLine="0" w:firstLineChars="0"/>
                    <w:jc w:val="center"/>
                    <w:rPr>
                      <w:color w:val="000000"/>
                      <w:sz w:val="21"/>
                      <w:szCs w:val="21"/>
                    </w:rPr>
                  </w:pPr>
                  <w:r>
                    <w:rPr>
                      <w:rFonts w:eastAsia="宋体"/>
                      <w:color w:val="000000"/>
                      <w:sz w:val="21"/>
                      <w:szCs w:val="21"/>
                    </w:rPr>
                    <w:t>500</w:t>
                  </w:r>
                </w:p>
              </w:tc>
              <w:tc>
                <w:tcPr>
                  <w:tcW w:w="3130" w:type="dxa"/>
                  <w:noWrap w:val="0"/>
                  <w:vAlign w:val="center"/>
                </w:tcPr>
                <w:p>
                  <w:pPr>
                    <w:spacing w:line="320" w:lineRule="exact"/>
                    <w:ind w:left="0" w:leftChars="0" w:firstLine="0" w:firstLineChars="0"/>
                    <w:jc w:val="center"/>
                    <w:rPr>
                      <w:color w:val="000000"/>
                      <w:kern w:val="0"/>
                      <w:sz w:val="21"/>
                      <w:szCs w:val="21"/>
                    </w:rPr>
                  </w:pPr>
                  <w:r>
                    <w:rPr>
                      <w:rFonts w:hint="eastAsia"/>
                      <w:sz w:val="21"/>
                      <w:szCs w:val="21"/>
                    </w:rPr>
                    <w:t>0.011133</w:t>
                  </w:r>
                </w:p>
              </w:tc>
              <w:tc>
                <w:tcPr>
                  <w:tcW w:w="3027" w:type="dxa"/>
                  <w:noWrap w:val="0"/>
                  <w:vAlign w:val="center"/>
                </w:tcPr>
                <w:p>
                  <w:pPr>
                    <w:spacing w:line="320" w:lineRule="exact"/>
                    <w:ind w:left="0" w:leftChars="0" w:firstLine="0" w:firstLineChars="0"/>
                    <w:jc w:val="center"/>
                    <w:rPr>
                      <w:color w:val="000000"/>
                      <w:sz w:val="21"/>
                      <w:szCs w:val="21"/>
                    </w:rPr>
                  </w:pPr>
                  <w:r>
                    <w:rPr>
                      <w:rFonts w:hint="eastAsia"/>
                      <w:sz w:val="21"/>
                      <w:szCs w:val="21"/>
                    </w:rPr>
                    <w:t>2.47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3028" w:type="dxa"/>
                  <w:noWrap w:val="0"/>
                  <w:vAlign w:val="center"/>
                </w:tcPr>
                <w:p>
                  <w:pPr>
                    <w:widowControl/>
                    <w:spacing w:line="320" w:lineRule="exact"/>
                    <w:ind w:firstLine="0" w:firstLineChars="0"/>
                    <w:jc w:val="center"/>
                    <w:rPr>
                      <w:color w:val="000000"/>
                      <w:kern w:val="0"/>
                      <w:sz w:val="21"/>
                      <w:szCs w:val="21"/>
                    </w:rPr>
                  </w:pPr>
                  <w:r>
                    <w:rPr>
                      <w:rFonts w:eastAsia="宋体"/>
                      <w:color w:val="000000"/>
                      <w:kern w:val="0"/>
                      <w:sz w:val="21"/>
                      <w:szCs w:val="21"/>
                    </w:rPr>
                    <w:t>最大落地浓度（mg/m</w:t>
                  </w:r>
                  <w:r>
                    <w:rPr>
                      <w:rFonts w:eastAsia="宋体"/>
                      <w:color w:val="000000"/>
                      <w:kern w:val="0"/>
                      <w:sz w:val="21"/>
                      <w:szCs w:val="21"/>
                      <w:vertAlign w:val="superscript"/>
                    </w:rPr>
                    <w:t>3</w:t>
                  </w:r>
                  <w:r>
                    <w:rPr>
                      <w:rFonts w:eastAsia="宋体"/>
                      <w:color w:val="000000"/>
                      <w:kern w:val="0"/>
                      <w:sz w:val="21"/>
                      <w:szCs w:val="21"/>
                    </w:rPr>
                    <w:t>)</w:t>
                  </w:r>
                </w:p>
              </w:tc>
              <w:tc>
                <w:tcPr>
                  <w:tcW w:w="6157" w:type="dxa"/>
                  <w:gridSpan w:val="2"/>
                  <w:noWrap w:val="0"/>
                  <w:vAlign w:val="center"/>
                </w:tcPr>
                <w:p>
                  <w:pPr>
                    <w:widowControl/>
                    <w:spacing w:line="320" w:lineRule="exact"/>
                    <w:ind w:firstLine="0" w:firstLineChars="0"/>
                    <w:jc w:val="center"/>
                    <w:rPr>
                      <w:color w:val="000000"/>
                      <w:kern w:val="0"/>
                      <w:sz w:val="21"/>
                      <w:szCs w:val="21"/>
                    </w:rPr>
                  </w:pPr>
                  <w:r>
                    <w:rPr>
                      <w:rFonts w:hint="eastAsia"/>
                      <w:sz w:val="21"/>
                      <w:szCs w:val="21"/>
                    </w:rPr>
                    <w:t>0.031904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3028" w:type="dxa"/>
                  <w:noWrap w:val="0"/>
                  <w:vAlign w:val="center"/>
                </w:tcPr>
                <w:p>
                  <w:pPr>
                    <w:widowControl/>
                    <w:spacing w:line="320" w:lineRule="exact"/>
                    <w:ind w:firstLine="0" w:firstLineChars="0"/>
                    <w:jc w:val="center"/>
                    <w:rPr>
                      <w:color w:val="000000"/>
                      <w:kern w:val="0"/>
                      <w:sz w:val="21"/>
                      <w:szCs w:val="21"/>
                    </w:rPr>
                  </w:pPr>
                  <w:r>
                    <w:rPr>
                      <w:rFonts w:eastAsia="宋体"/>
                      <w:color w:val="000000"/>
                      <w:kern w:val="0"/>
                      <w:sz w:val="21"/>
                      <w:szCs w:val="21"/>
                    </w:rPr>
                    <w:t>最大占标率（%）</w:t>
                  </w:r>
                </w:p>
              </w:tc>
              <w:tc>
                <w:tcPr>
                  <w:tcW w:w="6157" w:type="dxa"/>
                  <w:gridSpan w:val="2"/>
                  <w:noWrap w:val="0"/>
                  <w:vAlign w:val="center"/>
                </w:tcPr>
                <w:p>
                  <w:pPr>
                    <w:widowControl/>
                    <w:spacing w:line="320" w:lineRule="exact"/>
                    <w:ind w:firstLine="0" w:firstLineChars="0"/>
                    <w:jc w:val="center"/>
                    <w:rPr>
                      <w:rFonts w:hint="default" w:eastAsia="宋体"/>
                      <w:color w:val="000000"/>
                      <w:kern w:val="0"/>
                      <w:sz w:val="21"/>
                      <w:szCs w:val="21"/>
                      <w:lang w:val="en-US" w:eastAsia="zh-CN"/>
                    </w:rPr>
                  </w:pPr>
                  <w:r>
                    <w:rPr>
                      <w:rFonts w:hint="eastAsia" w:eastAsia="宋体"/>
                      <w:color w:val="000000"/>
                      <w:kern w:val="0"/>
                      <w:sz w:val="21"/>
                      <w:szCs w:val="21"/>
                      <w:lang w:val="en-US" w:eastAsia="zh-CN"/>
                    </w:rPr>
                    <w:t>7.09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3028" w:type="dxa"/>
                  <w:noWrap w:val="0"/>
                  <w:vAlign w:val="center"/>
                </w:tcPr>
                <w:p>
                  <w:pPr>
                    <w:widowControl/>
                    <w:spacing w:line="320" w:lineRule="exact"/>
                    <w:ind w:firstLine="0" w:firstLineChars="0"/>
                    <w:jc w:val="center"/>
                    <w:rPr>
                      <w:color w:val="000000"/>
                      <w:kern w:val="0"/>
                      <w:sz w:val="21"/>
                      <w:szCs w:val="21"/>
                    </w:rPr>
                  </w:pPr>
                  <w:r>
                    <w:rPr>
                      <w:rFonts w:eastAsia="宋体"/>
                      <w:color w:val="000000"/>
                      <w:kern w:val="0"/>
                      <w:sz w:val="21"/>
                      <w:szCs w:val="21"/>
                    </w:rPr>
                    <w:t>最大浓度出现距离（m）</w:t>
                  </w:r>
                </w:p>
              </w:tc>
              <w:tc>
                <w:tcPr>
                  <w:tcW w:w="6157" w:type="dxa"/>
                  <w:gridSpan w:val="2"/>
                  <w:noWrap w:val="0"/>
                  <w:vAlign w:val="center"/>
                </w:tcPr>
                <w:p>
                  <w:pPr>
                    <w:widowControl/>
                    <w:spacing w:line="320" w:lineRule="exact"/>
                    <w:ind w:firstLine="0" w:firstLineChars="0"/>
                    <w:jc w:val="center"/>
                    <w:rPr>
                      <w:rFonts w:hint="default" w:eastAsia="宋体"/>
                      <w:color w:val="000000"/>
                      <w:kern w:val="0"/>
                      <w:sz w:val="21"/>
                      <w:szCs w:val="21"/>
                      <w:lang w:val="en-US" w:eastAsia="zh-CN"/>
                    </w:rPr>
                  </w:pPr>
                  <w:r>
                    <w:rPr>
                      <w:rFonts w:hint="eastAsia" w:eastAsia="宋体"/>
                      <w:color w:val="000000"/>
                      <w:kern w:val="0"/>
                      <w:sz w:val="21"/>
                      <w:szCs w:val="21"/>
                      <w:lang w:val="en-US" w:eastAsia="zh-CN"/>
                    </w:rPr>
                    <w:t>85</w:t>
                  </w:r>
                </w:p>
              </w:tc>
            </w:tr>
          </w:tbl>
          <w:p>
            <w:pPr>
              <w:ind w:firstLine="480"/>
              <w:rPr>
                <w:rFonts w:hint="eastAsia"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8、评价工作等级划分的判定</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根据表7</w:t>
            </w:r>
            <w:r>
              <w:rPr>
                <w:rFonts w:hint="eastAsia"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4</w:t>
            </w:r>
            <w:r>
              <w:rPr>
                <w:rFonts w:hint="eastAsia" w:ascii="Times New Roman" w:hAnsi="Times New Roman" w:eastAsia="宋体" w:cs="Times New Roman"/>
                <w:kern w:val="2"/>
                <w:sz w:val="24"/>
                <w:szCs w:val="24"/>
                <w:lang w:val="en-US" w:eastAsia="zh-CN" w:bidi="ar-SA"/>
              </w:rPr>
              <w:t>计算结果，对照表7</w:t>
            </w:r>
            <w:r>
              <w:rPr>
                <w:rFonts w:hint="eastAsia"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3</w:t>
            </w:r>
            <w:r>
              <w:rPr>
                <w:rFonts w:hint="eastAsia" w:ascii="Times New Roman" w:hAnsi="Times New Roman" w:eastAsia="宋体" w:cs="Times New Roman"/>
                <w:kern w:val="2"/>
                <w:sz w:val="24"/>
                <w:szCs w:val="24"/>
                <w:lang w:val="en-US" w:eastAsia="zh-CN" w:bidi="ar-SA"/>
              </w:rPr>
              <w:t>的分级判据的相关规定，本项目大气环境影响评价工作等级为二级。</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根据《环境影响评价技术导则—大气环境》（HJ2.2-2018）“8.1.2二级评价项目不进行进一步预测与评价，只对污染物排放量进行核算。”</w:t>
            </w:r>
          </w:p>
          <w:p>
            <w:pPr>
              <w:ind w:firstLine="480"/>
              <w:rPr>
                <w:rFonts w:hint="eastAsia" w:ascii="Times New Roman" w:hAnsi="Times New Roman" w:eastAsia="宋体" w:cs="Times New Roman"/>
                <w:kern w:val="2"/>
                <w:sz w:val="24"/>
                <w:szCs w:val="24"/>
                <w:lang w:val="en-US" w:eastAsia="zh-CN" w:bidi="ar-SA"/>
              </w:rPr>
            </w:pPr>
            <w:bookmarkStart w:id="47" w:name="_Ref359571876"/>
            <w:r>
              <w:rPr>
                <w:rFonts w:hint="eastAsia"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9、污染物排放量核算</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①有组织排放量核算</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本项目不涉及有组织排放。</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②无组织排放量核算</w:t>
            </w:r>
          </w:p>
          <w:p>
            <w:pPr>
              <w:spacing w:line="320" w:lineRule="exact"/>
              <w:ind w:firstLine="0" w:firstLineChars="0"/>
              <w:jc w:val="center"/>
              <w:rPr>
                <w:b/>
                <w:color w:val="000000"/>
                <w:sz w:val="21"/>
                <w:szCs w:val="21"/>
              </w:rPr>
            </w:pPr>
            <w:r>
              <w:rPr>
                <w:rFonts w:eastAsia="宋体"/>
                <w:b/>
                <w:color w:val="000000"/>
                <w:sz w:val="21"/>
                <w:szCs w:val="21"/>
              </w:rPr>
              <w:t>表7</w:t>
            </w:r>
            <w:r>
              <w:rPr>
                <w:rFonts w:hint="eastAsia"/>
                <w:b/>
                <w:color w:val="000000"/>
                <w:sz w:val="21"/>
                <w:szCs w:val="21"/>
                <w:lang w:val="en-US" w:eastAsia="zh-CN"/>
              </w:rPr>
              <w:t>.1</w:t>
            </w:r>
            <w:r>
              <w:rPr>
                <w:rFonts w:eastAsia="宋体"/>
                <w:b/>
                <w:color w:val="000000"/>
                <w:sz w:val="21"/>
                <w:szCs w:val="21"/>
              </w:rPr>
              <w:t>-</w:t>
            </w:r>
            <w:r>
              <w:rPr>
                <w:rFonts w:hint="eastAsia"/>
                <w:b/>
                <w:color w:val="000000"/>
                <w:sz w:val="21"/>
                <w:szCs w:val="21"/>
                <w:lang w:val="en-US" w:eastAsia="zh-CN"/>
              </w:rPr>
              <w:t>5</w:t>
            </w:r>
            <w:r>
              <w:rPr>
                <w:rFonts w:eastAsia="宋体"/>
                <w:b/>
                <w:color w:val="000000"/>
                <w:sz w:val="21"/>
                <w:szCs w:val="21"/>
              </w:rPr>
              <w:t xml:space="preserve">  大气污染物无组织排放量核算表</w:t>
            </w:r>
          </w:p>
          <w:tbl>
            <w:tblPr>
              <w:tblStyle w:val="43"/>
              <w:tblW w:w="8946"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428"/>
              <w:gridCol w:w="789"/>
              <w:gridCol w:w="750"/>
              <w:gridCol w:w="993"/>
              <w:gridCol w:w="1811"/>
              <w:gridCol w:w="1869"/>
              <w:gridCol w:w="1221"/>
              <w:gridCol w:w="108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28" w:type="dxa"/>
                  <w:vMerge w:val="restart"/>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序号</w:t>
                  </w:r>
                </w:p>
              </w:tc>
              <w:tc>
                <w:tcPr>
                  <w:tcW w:w="789" w:type="dxa"/>
                  <w:vMerge w:val="restart"/>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排放口编号</w:t>
                  </w:r>
                </w:p>
              </w:tc>
              <w:tc>
                <w:tcPr>
                  <w:tcW w:w="750" w:type="dxa"/>
                  <w:vMerge w:val="restart"/>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产污环节</w:t>
                  </w:r>
                </w:p>
              </w:tc>
              <w:tc>
                <w:tcPr>
                  <w:tcW w:w="993" w:type="dxa"/>
                  <w:vMerge w:val="restart"/>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污染物</w:t>
                  </w:r>
                </w:p>
              </w:tc>
              <w:tc>
                <w:tcPr>
                  <w:tcW w:w="1811" w:type="dxa"/>
                  <w:vMerge w:val="restart"/>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主要防治措施</w:t>
                  </w:r>
                </w:p>
              </w:tc>
              <w:tc>
                <w:tcPr>
                  <w:tcW w:w="3090" w:type="dxa"/>
                  <w:gridSpan w:val="2"/>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国家或地方污染物排放标准</w:t>
                  </w:r>
                </w:p>
              </w:tc>
              <w:tc>
                <w:tcPr>
                  <w:tcW w:w="1085" w:type="dxa"/>
                  <w:vMerge w:val="restart"/>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年排放量（t/a）</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28" w:type="dxa"/>
                  <w:vMerge w:val="continue"/>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p>
              </w:tc>
              <w:tc>
                <w:tcPr>
                  <w:tcW w:w="789" w:type="dxa"/>
                  <w:vMerge w:val="continue"/>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p>
              </w:tc>
              <w:tc>
                <w:tcPr>
                  <w:tcW w:w="750" w:type="dxa"/>
                  <w:vMerge w:val="continue"/>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p>
              </w:tc>
              <w:tc>
                <w:tcPr>
                  <w:tcW w:w="993" w:type="dxa"/>
                  <w:vMerge w:val="continue"/>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p>
              </w:tc>
              <w:tc>
                <w:tcPr>
                  <w:tcW w:w="1811" w:type="dxa"/>
                  <w:vMerge w:val="continue"/>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p>
              </w:tc>
              <w:tc>
                <w:tcPr>
                  <w:tcW w:w="1869"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标准名称</w:t>
                  </w:r>
                </w:p>
              </w:tc>
              <w:tc>
                <w:tcPr>
                  <w:tcW w:w="1221"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浓度限值（mg/m3）</w:t>
                  </w:r>
                </w:p>
              </w:tc>
              <w:tc>
                <w:tcPr>
                  <w:tcW w:w="1085" w:type="dxa"/>
                  <w:vMerge w:val="continue"/>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28" w:type="dxa"/>
                  <w:vMerge w:val="restart"/>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1</w:t>
                  </w:r>
                </w:p>
              </w:tc>
              <w:tc>
                <w:tcPr>
                  <w:tcW w:w="789" w:type="dxa"/>
                  <w:vMerge w:val="restart"/>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生产车间</w:t>
                  </w:r>
                </w:p>
              </w:tc>
              <w:tc>
                <w:tcPr>
                  <w:tcW w:w="750"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投料</w:t>
                  </w:r>
                  <w:r>
                    <w:rPr>
                      <w:rFonts w:hint="eastAsia" w:ascii="Times New Roman" w:hAnsi="Times New Roman" w:eastAsia="宋体" w:cs="Times New Roman"/>
                      <w:b w:val="0"/>
                      <w:bCs/>
                      <w:color w:val="000000"/>
                      <w:kern w:val="0"/>
                      <w:sz w:val="21"/>
                      <w:szCs w:val="21"/>
                      <w:lang w:val="en-US" w:eastAsia="zh-CN"/>
                    </w:rPr>
                    <w:t>粉尘</w:t>
                  </w:r>
                </w:p>
              </w:tc>
              <w:tc>
                <w:tcPr>
                  <w:tcW w:w="993"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颗粒物</w:t>
                  </w:r>
                </w:p>
              </w:tc>
              <w:tc>
                <w:tcPr>
                  <w:tcW w:w="1811"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组合脉冲反吹式除尘器</w:t>
                  </w:r>
                </w:p>
              </w:tc>
              <w:tc>
                <w:tcPr>
                  <w:tcW w:w="1869" w:type="dxa"/>
                  <w:vMerge w:val="restart"/>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《大气污染物综合排放标准》(GB16297-1996)</w:t>
                  </w:r>
                </w:p>
              </w:tc>
              <w:tc>
                <w:tcPr>
                  <w:tcW w:w="1221" w:type="dxa"/>
                  <w:vMerge w:val="restart"/>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0.5</w:t>
                  </w:r>
                </w:p>
              </w:tc>
              <w:tc>
                <w:tcPr>
                  <w:tcW w:w="1085" w:type="dxa"/>
                  <w:noWrap w:val="0"/>
                  <w:vAlign w:val="center"/>
                </w:tcPr>
                <w:p>
                  <w:pPr>
                    <w:widowControl/>
                    <w:spacing w:line="320" w:lineRule="exact"/>
                    <w:ind w:firstLine="0" w:firstLineChars="0"/>
                    <w:jc w:val="center"/>
                    <w:rPr>
                      <w:rFonts w:hint="default"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0.074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28" w:type="dxa"/>
                  <w:vMerge w:val="continue"/>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p>
              </w:tc>
              <w:tc>
                <w:tcPr>
                  <w:tcW w:w="789" w:type="dxa"/>
                  <w:vMerge w:val="continue"/>
                  <w:noWrap w:val="0"/>
                  <w:vAlign w:val="center"/>
                </w:tcPr>
                <w:p>
                  <w:pPr>
                    <w:widowControl/>
                    <w:spacing w:line="320" w:lineRule="exact"/>
                    <w:ind w:firstLine="0" w:firstLineChars="0"/>
                    <w:jc w:val="center"/>
                    <w:rPr>
                      <w:rFonts w:hint="eastAsia" w:ascii="Times New Roman" w:hAnsi="Times New Roman" w:eastAsia="宋体" w:cs="Times New Roman"/>
                      <w:b w:val="0"/>
                      <w:bCs/>
                      <w:color w:val="000000"/>
                      <w:kern w:val="0"/>
                      <w:sz w:val="21"/>
                      <w:szCs w:val="21"/>
                      <w:lang w:val="en-US" w:eastAsia="zh-CN"/>
                    </w:rPr>
                  </w:pPr>
                </w:p>
              </w:tc>
              <w:tc>
                <w:tcPr>
                  <w:tcW w:w="750"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筒仓粉尘</w:t>
                  </w:r>
                </w:p>
              </w:tc>
              <w:tc>
                <w:tcPr>
                  <w:tcW w:w="993"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颗粒物</w:t>
                  </w:r>
                </w:p>
              </w:tc>
              <w:tc>
                <w:tcPr>
                  <w:tcW w:w="1811"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仓顶脉冲除尘器</w:t>
                  </w:r>
                </w:p>
              </w:tc>
              <w:tc>
                <w:tcPr>
                  <w:tcW w:w="1869" w:type="dxa"/>
                  <w:vMerge w:val="continue"/>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p>
              </w:tc>
              <w:tc>
                <w:tcPr>
                  <w:tcW w:w="1221" w:type="dxa"/>
                  <w:vMerge w:val="continue"/>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p>
              </w:tc>
              <w:tc>
                <w:tcPr>
                  <w:tcW w:w="1085" w:type="dxa"/>
                  <w:noWrap w:val="0"/>
                  <w:vAlign w:val="center"/>
                </w:tcPr>
                <w:p>
                  <w:pPr>
                    <w:widowControl/>
                    <w:spacing w:line="320" w:lineRule="exact"/>
                    <w:ind w:firstLine="0" w:firstLineChars="0"/>
                    <w:jc w:val="center"/>
                    <w:rPr>
                      <w:rFonts w:hint="default"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0.073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8946" w:type="dxa"/>
                  <w:gridSpan w:val="8"/>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无组织排放总计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960" w:type="dxa"/>
                  <w:gridSpan w:val="4"/>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无组织排放总计</w:t>
                  </w:r>
                </w:p>
              </w:tc>
              <w:tc>
                <w:tcPr>
                  <w:tcW w:w="3680" w:type="dxa"/>
                  <w:gridSpan w:val="2"/>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颗粒物</w:t>
                  </w:r>
                </w:p>
              </w:tc>
              <w:tc>
                <w:tcPr>
                  <w:tcW w:w="2306" w:type="dxa"/>
                  <w:gridSpan w:val="2"/>
                  <w:noWrap w:val="0"/>
                  <w:vAlign w:val="center"/>
                </w:tcPr>
                <w:p>
                  <w:pPr>
                    <w:widowControl/>
                    <w:spacing w:line="320" w:lineRule="exact"/>
                    <w:ind w:firstLine="0" w:firstLineChars="0"/>
                    <w:jc w:val="center"/>
                    <w:rPr>
                      <w:rFonts w:hint="default"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0.147t/a</w:t>
                  </w:r>
                </w:p>
              </w:tc>
            </w:tr>
          </w:tbl>
          <w:p>
            <w:pPr>
              <w:ind w:left="0" w:leftChars="0" w:firstLine="480" w:firstLineChars="200"/>
              <w:rPr>
                <w:rFonts w:eastAsia="宋体"/>
                <w:color w:val="000000"/>
                <w:sz w:val="24"/>
                <w:szCs w:val="24"/>
              </w:rPr>
            </w:pPr>
            <w:r>
              <w:rPr>
                <w:rFonts w:hint="eastAsia" w:ascii="宋体" w:hAnsi="宋体" w:eastAsia="宋体" w:cs="宋体"/>
                <w:color w:val="000000"/>
                <w:sz w:val="24"/>
                <w:szCs w:val="24"/>
              </w:rPr>
              <w:t>③</w:t>
            </w:r>
            <w:r>
              <w:rPr>
                <w:rFonts w:eastAsia="宋体"/>
                <w:color w:val="000000"/>
                <w:sz w:val="24"/>
                <w:szCs w:val="24"/>
              </w:rPr>
              <w:t>项目大气污染物年排放量核算</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b/>
                <w:color w:val="000000"/>
                <w:sz w:val="21"/>
                <w:szCs w:val="21"/>
              </w:rPr>
            </w:pPr>
            <w:r>
              <w:rPr>
                <w:rFonts w:eastAsia="宋体"/>
                <w:b/>
                <w:color w:val="000000"/>
                <w:sz w:val="21"/>
                <w:szCs w:val="21"/>
              </w:rPr>
              <w:t>表7</w:t>
            </w:r>
            <w:r>
              <w:rPr>
                <w:rFonts w:hint="eastAsia"/>
                <w:b/>
                <w:color w:val="000000"/>
                <w:sz w:val="21"/>
                <w:szCs w:val="21"/>
                <w:lang w:val="en-US" w:eastAsia="zh-CN"/>
              </w:rPr>
              <w:t>.1</w:t>
            </w:r>
            <w:r>
              <w:rPr>
                <w:rFonts w:eastAsia="宋体"/>
                <w:b/>
                <w:color w:val="000000"/>
                <w:sz w:val="21"/>
                <w:szCs w:val="21"/>
              </w:rPr>
              <w:t>-</w:t>
            </w:r>
            <w:r>
              <w:rPr>
                <w:rFonts w:hint="eastAsia"/>
                <w:b/>
                <w:color w:val="000000"/>
                <w:sz w:val="21"/>
                <w:szCs w:val="21"/>
                <w:lang w:val="en-US" w:eastAsia="zh-CN"/>
              </w:rPr>
              <w:t>6</w:t>
            </w:r>
            <w:r>
              <w:rPr>
                <w:rFonts w:eastAsia="宋体"/>
                <w:b/>
                <w:color w:val="000000"/>
                <w:sz w:val="21"/>
                <w:szCs w:val="21"/>
              </w:rPr>
              <w:t>大气污染物年排放量核算表</w:t>
            </w:r>
          </w:p>
          <w:tbl>
            <w:tblPr>
              <w:tblStyle w:val="43"/>
              <w:tblW w:w="9175"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3061"/>
              <w:gridCol w:w="3057"/>
              <w:gridCol w:w="305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3061"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序号</w:t>
                  </w:r>
                </w:p>
              </w:tc>
              <w:tc>
                <w:tcPr>
                  <w:tcW w:w="3057"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污染物</w:t>
                  </w:r>
                </w:p>
              </w:tc>
              <w:tc>
                <w:tcPr>
                  <w:tcW w:w="3057"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年排放量（t/a）</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3061"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1</w:t>
                  </w:r>
                </w:p>
              </w:tc>
              <w:tc>
                <w:tcPr>
                  <w:tcW w:w="3057"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颗粒物</w:t>
                  </w:r>
                </w:p>
              </w:tc>
              <w:tc>
                <w:tcPr>
                  <w:tcW w:w="3057" w:type="dxa"/>
                  <w:noWrap w:val="0"/>
                  <w:vAlign w:val="center"/>
                </w:tcPr>
                <w:p>
                  <w:pPr>
                    <w:widowControl/>
                    <w:spacing w:line="320" w:lineRule="exact"/>
                    <w:ind w:firstLine="0" w:firstLineChars="0"/>
                    <w:jc w:val="center"/>
                    <w:rPr>
                      <w:rFonts w:hint="default"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0.147</w:t>
                  </w:r>
                </w:p>
              </w:tc>
            </w:tr>
          </w:tbl>
          <w:p>
            <w:pPr>
              <w:ind w:firstLine="480"/>
              <w:rPr>
                <w:rFonts w:hint="eastAsia"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10、大气环境影响预测结果</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预测结果表明，本项目正常排放情况下生产车间无组织颗粒物的最大落地浓度为0.031904mg/m</w:t>
            </w:r>
            <w:r>
              <w:rPr>
                <w:rFonts w:hint="eastAsia" w:ascii="Times New Roman" w:hAnsi="Times New Roman" w:eastAsia="宋体" w:cs="Times New Roman"/>
                <w:kern w:val="2"/>
                <w:sz w:val="24"/>
                <w:szCs w:val="24"/>
                <w:vertAlign w:val="superscript"/>
                <w:lang w:val="en-US" w:eastAsia="zh-CN" w:bidi="ar-SA"/>
              </w:rPr>
              <w:t>3</w:t>
            </w:r>
            <w:r>
              <w:rPr>
                <w:rFonts w:hint="eastAsia" w:ascii="Times New Roman" w:hAnsi="Times New Roman" w:eastAsia="宋体" w:cs="Times New Roman"/>
                <w:kern w:val="2"/>
                <w:sz w:val="24"/>
                <w:szCs w:val="24"/>
                <w:lang w:val="en-US" w:eastAsia="zh-CN" w:bidi="ar-SA"/>
              </w:rPr>
              <w:t>，占标率为7.09%，最大落地浓度出现距离为85m。说明本项目废气排放对周围环境空气质量影响不大，预计叠加环境本底后，符合相关环境空气质量评价标准，不会降低当地环境空气质量功能。</w:t>
            </w:r>
          </w:p>
          <w:bookmarkEnd w:id="47"/>
          <w:p>
            <w:pPr>
              <w:ind w:firstLine="480"/>
              <w:rPr>
                <w:rFonts w:hint="eastAsia"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11、大气环境防护距离</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大气环境防护距离不再区分点源和面源，防护距离针对整个企业和项目，根据环境影响评价技术导则  大气环境》(HJ2.2-2018)，只有大气一级评价需要核算大气环境防护距离，大气二、三级评价不需要计算大气环境防护距离。</w:t>
            </w:r>
          </w:p>
          <w:p>
            <w:pPr>
              <w:ind w:firstLine="480"/>
              <w:rPr>
                <w:rFonts w:hint="eastAsia"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12、卫生防护距离</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为进一步预测无组织排放的废气对周围环境的影响，本环评采用卫生防护距离进行保守校核。卫生防护距离按照《制定地方大气污染物排放标准的技术方法》中卫生防护距离计算公式进行计算，计算公式如下：</w:t>
            </w:r>
          </w:p>
          <w:p>
            <w:pPr>
              <w:ind w:firstLine="480"/>
              <w:rPr>
                <w:rFonts w:hint="eastAsia" w:ascii="Times New Roman" w:hAnsi="Times New Roman" w:eastAsia="宋体" w:cs="Times New Roman"/>
                <w:kern w:val="2"/>
                <w:sz w:val="24"/>
                <w:szCs w:val="24"/>
                <w:lang w:val="en-US" w:eastAsia="zh-CN" w:bidi="ar-SA"/>
              </w:rPr>
            </w:pP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drawing>
                <wp:anchor distT="0" distB="0" distL="114300" distR="114300" simplePos="0" relativeHeight="251741184" behindDoc="1" locked="0" layoutInCell="1" allowOverlap="1">
                  <wp:simplePos x="0" y="0"/>
                  <wp:positionH relativeFrom="column">
                    <wp:posOffset>1924685</wp:posOffset>
                  </wp:positionH>
                  <wp:positionV relativeFrom="paragraph">
                    <wp:posOffset>-29210</wp:posOffset>
                  </wp:positionV>
                  <wp:extent cx="2162175" cy="552450"/>
                  <wp:effectExtent l="0" t="0" r="1905" b="11430"/>
                  <wp:wrapNone/>
                  <wp:docPr id="70" name="图片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316"/>
                          <pic:cNvPicPr>
                            <a:picLocks noChangeAspect="1"/>
                          </pic:cNvPicPr>
                        </pic:nvPicPr>
                        <pic:blipFill>
                          <a:blip r:embed="rId19"/>
                          <a:stretch>
                            <a:fillRect/>
                          </a:stretch>
                        </pic:blipFill>
                        <pic:spPr>
                          <a:xfrm>
                            <a:off x="0" y="0"/>
                            <a:ext cx="2162175" cy="552450"/>
                          </a:xfrm>
                          <a:prstGeom prst="rect">
                            <a:avLst/>
                          </a:prstGeom>
                          <a:noFill/>
                          <a:ln>
                            <a:noFill/>
                          </a:ln>
                        </pic:spPr>
                      </pic:pic>
                    </a:graphicData>
                  </a:graphic>
                </wp:anchor>
              </w:drawing>
            </w:r>
          </w:p>
          <w:p>
            <w:pPr>
              <w:ind w:firstLine="480"/>
              <w:rPr>
                <w:rFonts w:hint="eastAsia" w:ascii="Times New Roman" w:hAnsi="Times New Roman" w:eastAsia="宋体" w:cs="Times New Roman"/>
                <w:kern w:val="2"/>
                <w:sz w:val="24"/>
                <w:szCs w:val="24"/>
                <w:lang w:val="en-US" w:eastAsia="zh-CN" w:bidi="ar-SA"/>
              </w:rPr>
            </w:pP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式中：Cm----标准浓度限值；</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L----工业企业所需卫生防护距离，m；</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r----有害气体无组织排放源所在生产单元的等效半径，m。根据该生产单元占地面积S（m</w:t>
            </w:r>
            <w:r>
              <w:rPr>
                <w:rFonts w:hint="eastAsia" w:ascii="Times New Roman" w:hAnsi="Times New Roman" w:eastAsia="宋体" w:cs="Times New Roman"/>
                <w:kern w:val="2"/>
                <w:sz w:val="24"/>
                <w:szCs w:val="24"/>
                <w:vertAlign w:val="superscript"/>
                <w:lang w:val="en-US" w:eastAsia="zh-CN" w:bidi="ar-SA"/>
              </w:rPr>
              <w:t>2</w:t>
            </w:r>
            <w:r>
              <w:rPr>
                <w:rFonts w:hint="eastAsia" w:ascii="Times New Roman" w:hAnsi="Times New Roman" w:eastAsia="宋体" w:cs="Times New Roman"/>
                <w:kern w:val="2"/>
                <w:sz w:val="24"/>
                <w:szCs w:val="24"/>
                <w:lang w:val="en-US" w:eastAsia="zh-CN" w:bidi="ar-SA"/>
              </w:rPr>
              <w:t>）计算；</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A、B、C、D----卫生防护距离计算系数，无因次，根据工业企业所在地区近五年平均风速及工业企业大气污染源构成类别中查取；</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Qc----工业企业有害气体无组织排放量可以达到的控制水平。Qc取同类企业中生产工艺流程合理，生产管理与设备维护处于先进水平的工业企业，在正常运行时的无组织排放量。</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建设项目大气卫生防护距离计算参数见表7</w:t>
            </w:r>
            <w:r>
              <w:rPr>
                <w:rFonts w:hint="eastAsia"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-7。</w:t>
            </w:r>
          </w:p>
          <w:p>
            <w:pPr>
              <w:spacing w:line="320" w:lineRule="exact"/>
              <w:ind w:firstLine="0" w:firstLineChars="0"/>
              <w:jc w:val="center"/>
              <w:rPr>
                <w:rFonts w:eastAsia="宋体"/>
                <w:b/>
                <w:color w:val="000000"/>
                <w:sz w:val="21"/>
                <w:szCs w:val="21"/>
              </w:rPr>
            </w:pPr>
          </w:p>
          <w:p>
            <w:pPr>
              <w:spacing w:line="320" w:lineRule="exact"/>
              <w:ind w:firstLine="0" w:firstLineChars="0"/>
              <w:jc w:val="center"/>
              <w:rPr>
                <w:b/>
                <w:color w:val="000000"/>
                <w:sz w:val="21"/>
                <w:szCs w:val="21"/>
              </w:rPr>
            </w:pPr>
            <w:r>
              <w:rPr>
                <w:rFonts w:eastAsia="宋体"/>
                <w:b/>
                <w:color w:val="000000"/>
                <w:sz w:val="21"/>
                <w:szCs w:val="21"/>
              </w:rPr>
              <w:t>表7</w:t>
            </w:r>
            <w:r>
              <w:rPr>
                <w:rFonts w:hint="eastAsia"/>
                <w:b/>
                <w:color w:val="000000"/>
                <w:sz w:val="21"/>
                <w:szCs w:val="21"/>
                <w:lang w:val="en-US" w:eastAsia="zh-CN"/>
              </w:rPr>
              <w:t>.1</w:t>
            </w:r>
            <w:r>
              <w:rPr>
                <w:rFonts w:eastAsia="宋体"/>
                <w:b/>
                <w:color w:val="000000"/>
                <w:sz w:val="21"/>
                <w:szCs w:val="21"/>
              </w:rPr>
              <w:t>-</w:t>
            </w:r>
            <w:r>
              <w:rPr>
                <w:rFonts w:hint="eastAsia" w:eastAsia="宋体"/>
                <w:b/>
                <w:color w:val="000000"/>
                <w:sz w:val="21"/>
                <w:szCs w:val="21"/>
                <w:lang w:val="en-US" w:eastAsia="zh-CN"/>
              </w:rPr>
              <w:t>7</w:t>
            </w:r>
            <w:r>
              <w:rPr>
                <w:rFonts w:eastAsia="宋体"/>
                <w:b/>
                <w:color w:val="000000"/>
                <w:sz w:val="21"/>
                <w:szCs w:val="21"/>
              </w:rPr>
              <w:t xml:space="preserve"> 大气卫生防护距离计算参数</w:t>
            </w:r>
          </w:p>
          <w:tbl>
            <w:tblPr>
              <w:tblStyle w:val="43"/>
              <w:tblW w:w="9185"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852"/>
              <w:gridCol w:w="1029"/>
              <w:gridCol w:w="1218"/>
              <w:gridCol w:w="674"/>
              <w:gridCol w:w="729"/>
              <w:gridCol w:w="621"/>
              <w:gridCol w:w="827"/>
              <w:gridCol w:w="19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32" w:type="dxa"/>
                  <w:gridSpan w:val="2"/>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污染物</w:t>
                  </w:r>
                </w:p>
              </w:tc>
              <w:tc>
                <w:tcPr>
                  <w:tcW w:w="1029"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Qc（kg/h）</w:t>
                  </w:r>
                </w:p>
              </w:tc>
              <w:tc>
                <w:tcPr>
                  <w:tcW w:w="1218"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Cm（mg/m3）</w:t>
                  </w:r>
                </w:p>
              </w:tc>
              <w:tc>
                <w:tcPr>
                  <w:tcW w:w="674"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A</w:t>
                  </w:r>
                </w:p>
              </w:tc>
              <w:tc>
                <w:tcPr>
                  <w:tcW w:w="729"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B</w:t>
                  </w:r>
                </w:p>
              </w:tc>
              <w:tc>
                <w:tcPr>
                  <w:tcW w:w="621"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C</w:t>
                  </w:r>
                </w:p>
              </w:tc>
              <w:tc>
                <w:tcPr>
                  <w:tcW w:w="827"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D</w:t>
                  </w:r>
                </w:p>
              </w:tc>
              <w:tc>
                <w:tcPr>
                  <w:tcW w:w="1955"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卫生防护距离（m）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80" w:type="dxa"/>
                  <w:noWrap w:val="0"/>
                  <w:vAlign w:val="center"/>
                </w:tcPr>
                <w:p>
                  <w:pPr>
                    <w:widowControl/>
                    <w:spacing w:line="320" w:lineRule="exact"/>
                    <w:ind w:firstLine="0" w:firstLineChars="0"/>
                    <w:jc w:val="center"/>
                    <w:rPr>
                      <w:rFonts w:hint="eastAsia"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生产车间</w:t>
                  </w:r>
                </w:p>
              </w:tc>
              <w:tc>
                <w:tcPr>
                  <w:tcW w:w="852"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颗粒物</w:t>
                  </w:r>
                </w:p>
              </w:tc>
              <w:tc>
                <w:tcPr>
                  <w:tcW w:w="1029" w:type="dxa"/>
                  <w:noWrap w:val="0"/>
                  <w:vAlign w:val="center"/>
                </w:tcPr>
                <w:p>
                  <w:pPr>
                    <w:widowControl/>
                    <w:spacing w:line="320" w:lineRule="exact"/>
                    <w:ind w:firstLine="0" w:firstLineChars="0"/>
                    <w:jc w:val="center"/>
                    <w:rPr>
                      <w:rFonts w:hint="default"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0.</w:t>
                  </w:r>
                  <w:r>
                    <w:rPr>
                      <w:rFonts w:hint="eastAsia" w:ascii="Times New Roman" w:hAnsi="Times New Roman" w:eastAsia="宋体" w:cs="Times New Roman"/>
                      <w:b w:val="0"/>
                      <w:bCs/>
                      <w:color w:val="000000"/>
                      <w:kern w:val="0"/>
                      <w:sz w:val="21"/>
                      <w:szCs w:val="21"/>
                      <w:lang w:val="en-US" w:eastAsia="zh-CN"/>
                    </w:rPr>
                    <w:t>07</w:t>
                  </w:r>
                </w:p>
              </w:tc>
              <w:tc>
                <w:tcPr>
                  <w:tcW w:w="1218" w:type="dxa"/>
                  <w:noWrap w:val="0"/>
                  <w:vAlign w:val="center"/>
                </w:tcPr>
                <w:p>
                  <w:pPr>
                    <w:widowControl/>
                    <w:spacing w:line="320" w:lineRule="exact"/>
                    <w:ind w:firstLine="0" w:firstLineChars="0"/>
                    <w:jc w:val="center"/>
                    <w:rPr>
                      <w:rFonts w:hint="default"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0.031904</w:t>
                  </w:r>
                </w:p>
              </w:tc>
              <w:tc>
                <w:tcPr>
                  <w:tcW w:w="674" w:type="dxa"/>
                  <w:noWrap w:val="0"/>
                  <w:vAlign w:val="center"/>
                </w:tcPr>
                <w:p>
                  <w:pPr>
                    <w:widowControl/>
                    <w:spacing w:line="320" w:lineRule="exact"/>
                    <w:ind w:firstLine="0" w:firstLineChars="0"/>
                    <w:jc w:val="center"/>
                    <w:rPr>
                      <w:rFonts w:hint="default"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470</w:t>
                  </w:r>
                </w:p>
              </w:tc>
              <w:tc>
                <w:tcPr>
                  <w:tcW w:w="729" w:type="dxa"/>
                  <w:noWrap w:val="0"/>
                  <w:vAlign w:val="center"/>
                </w:tcPr>
                <w:p>
                  <w:pPr>
                    <w:widowControl/>
                    <w:spacing w:line="320" w:lineRule="exact"/>
                    <w:ind w:firstLine="0" w:firstLineChars="0"/>
                    <w:jc w:val="center"/>
                    <w:rPr>
                      <w:rFonts w:hint="default"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0.021</w:t>
                  </w:r>
                </w:p>
              </w:tc>
              <w:tc>
                <w:tcPr>
                  <w:tcW w:w="621" w:type="dxa"/>
                  <w:noWrap w:val="0"/>
                  <w:vAlign w:val="center"/>
                </w:tcPr>
                <w:p>
                  <w:pPr>
                    <w:widowControl/>
                    <w:spacing w:line="320" w:lineRule="exact"/>
                    <w:ind w:firstLine="0" w:firstLineChars="0"/>
                    <w:jc w:val="center"/>
                    <w:rPr>
                      <w:rFonts w:hint="default"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1.85</w:t>
                  </w:r>
                </w:p>
              </w:tc>
              <w:tc>
                <w:tcPr>
                  <w:tcW w:w="827" w:type="dxa"/>
                  <w:noWrap w:val="0"/>
                  <w:vAlign w:val="center"/>
                </w:tcPr>
                <w:p>
                  <w:pPr>
                    <w:widowControl/>
                    <w:spacing w:line="320" w:lineRule="exact"/>
                    <w:ind w:firstLine="0" w:firstLineChars="0"/>
                    <w:jc w:val="center"/>
                    <w:rPr>
                      <w:rFonts w:hint="default"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0.84</w:t>
                  </w:r>
                </w:p>
              </w:tc>
              <w:tc>
                <w:tcPr>
                  <w:tcW w:w="1955"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50</w:t>
                  </w:r>
                </w:p>
              </w:tc>
            </w:tr>
          </w:tbl>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根据《制定地方大气污染物排放标准的技术方法》（GB/T13201—91），全厂大气卫生防护距离应为：以混凝土生产车间为执行边界的50m卫生防护距离。卫生防护距离内无敏感点。另外，在本项目卫生防护距离内不得再新建学校、医院、居住区等环境敏感项目。项目卫生防护距离包络线图见附图</w:t>
            </w:r>
            <w:r>
              <w:rPr>
                <w:rFonts w:hint="eastAsia" w:cs="Times New Roman"/>
                <w:kern w:val="2"/>
                <w:sz w:val="24"/>
                <w:szCs w:val="24"/>
                <w:lang w:val="en-US" w:eastAsia="zh-CN" w:bidi="ar-SA"/>
              </w:rPr>
              <w:t>5</w:t>
            </w:r>
            <w:r>
              <w:rPr>
                <w:rFonts w:hint="eastAsia" w:ascii="Times New Roman" w:hAnsi="Times New Roman" w:eastAsia="宋体" w:cs="Times New Roman"/>
                <w:kern w:val="2"/>
                <w:sz w:val="24"/>
                <w:szCs w:val="24"/>
                <w:lang w:val="en-US" w:eastAsia="zh-CN" w:bidi="ar-SA"/>
              </w:rPr>
              <w:t>。</w:t>
            </w:r>
          </w:p>
          <w:p>
            <w:pPr>
              <w:ind w:firstLine="480"/>
              <w:rPr>
                <w:rFonts w:hint="eastAsia"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13、大气影响评价自查</w:t>
            </w:r>
          </w:p>
          <w:p>
            <w:pPr>
              <w:spacing w:line="320" w:lineRule="exact"/>
              <w:ind w:firstLine="422"/>
              <w:jc w:val="center"/>
              <w:rPr>
                <w:b/>
                <w:color w:val="FF0000"/>
                <w:sz w:val="21"/>
                <w:szCs w:val="21"/>
              </w:rPr>
            </w:pPr>
            <w:r>
              <w:rPr>
                <w:rFonts w:eastAsia="宋体"/>
                <w:b/>
                <w:color w:val="FF0000"/>
                <w:sz w:val="21"/>
                <w:szCs w:val="21"/>
              </w:rPr>
              <w:t>表7</w:t>
            </w:r>
            <w:r>
              <w:rPr>
                <w:rFonts w:hint="eastAsia"/>
                <w:b/>
                <w:color w:val="FF0000"/>
                <w:sz w:val="21"/>
                <w:szCs w:val="21"/>
                <w:lang w:val="en-US" w:eastAsia="zh-CN"/>
              </w:rPr>
              <w:t>.1</w:t>
            </w:r>
            <w:r>
              <w:rPr>
                <w:rFonts w:eastAsia="宋体"/>
                <w:b/>
                <w:color w:val="FF0000"/>
                <w:sz w:val="21"/>
                <w:szCs w:val="21"/>
              </w:rPr>
              <w:t>-</w:t>
            </w:r>
            <w:r>
              <w:rPr>
                <w:rFonts w:hint="eastAsia" w:eastAsia="宋体"/>
                <w:b/>
                <w:color w:val="FF0000"/>
                <w:sz w:val="21"/>
                <w:szCs w:val="21"/>
                <w:lang w:val="en-US" w:eastAsia="zh-CN"/>
              </w:rPr>
              <w:t xml:space="preserve">8 </w:t>
            </w:r>
            <w:r>
              <w:rPr>
                <w:rFonts w:eastAsia="宋体"/>
                <w:b/>
                <w:color w:val="FF0000"/>
                <w:sz w:val="21"/>
                <w:szCs w:val="21"/>
              </w:rPr>
              <w:t>建设项目大气环境影响评价自查表</w:t>
            </w:r>
          </w:p>
          <w:tbl>
            <w:tblPr>
              <w:tblStyle w:val="43"/>
              <w:tblW w:w="918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953"/>
              <w:gridCol w:w="1619"/>
              <w:gridCol w:w="972"/>
              <w:gridCol w:w="365"/>
              <w:gridCol w:w="112"/>
              <w:gridCol w:w="104"/>
              <w:gridCol w:w="270"/>
              <w:gridCol w:w="118"/>
              <w:gridCol w:w="221"/>
              <w:gridCol w:w="822"/>
              <w:gridCol w:w="197"/>
              <w:gridCol w:w="147"/>
              <w:gridCol w:w="789"/>
              <w:gridCol w:w="205"/>
              <w:gridCol w:w="145"/>
              <w:gridCol w:w="534"/>
              <w:gridCol w:w="102"/>
              <w:gridCol w:w="182"/>
              <w:gridCol w:w="684"/>
              <w:gridCol w:w="6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2572" w:type="dxa"/>
                  <w:gridSpan w:val="2"/>
                  <w:noWrap w:val="0"/>
                  <w:vAlign w:val="center"/>
                </w:tcPr>
                <w:p>
                  <w:pPr>
                    <w:pStyle w:val="109"/>
                    <w:spacing w:line="320" w:lineRule="exact"/>
                    <w:ind w:firstLine="0" w:firstLineChars="0"/>
                    <w:rPr>
                      <w:rFonts w:ascii="Times New Roman" w:hAnsi="Times New Roman" w:eastAsia="宋体"/>
                      <w:b/>
                      <w:bCs/>
                      <w:color w:val="FF0000"/>
                      <w:kern w:val="2"/>
                      <w:sz w:val="21"/>
                      <w:szCs w:val="21"/>
                      <w:lang w:val="en-US"/>
                    </w:rPr>
                  </w:pPr>
                  <w:r>
                    <w:rPr>
                      <w:rFonts w:ascii="Times New Roman" w:hAnsi="Times New Roman" w:eastAsia="宋体"/>
                      <w:b/>
                      <w:bCs/>
                      <w:color w:val="FF0000"/>
                      <w:kern w:val="2"/>
                      <w:sz w:val="21"/>
                      <w:szCs w:val="21"/>
                      <w:lang w:val="en-US"/>
                    </w:rPr>
                    <w:t>工作内容</w:t>
                  </w:r>
                </w:p>
              </w:tc>
              <w:tc>
                <w:tcPr>
                  <w:tcW w:w="6613" w:type="dxa"/>
                  <w:gridSpan w:val="18"/>
                  <w:noWrap w:val="0"/>
                  <w:vAlign w:val="center"/>
                </w:tcPr>
                <w:p>
                  <w:pPr>
                    <w:pStyle w:val="109"/>
                    <w:spacing w:line="320" w:lineRule="exact"/>
                    <w:ind w:firstLine="0" w:firstLineChars="0"/>
                    <w:rPr>
                      <w:rFonts w:ascii="Times New Roman" w:hAnsi="Times New Roman" w:eastAsia="宋体"/>
                      <w:b/>
                      <w:bCs/>
                      <w:color w:val="FF0000"/>
                      <w:kern w:val="2"/>
                      <w:sz w:val="21"/>
                      <w:szCs w:val="21"/>
                      <w:lang w:val="en-US" w:eastAsia="zh-CN"/>
                    </w:rPr>
                  </w:pPr>
                  <w:r>
                    <w:rPr>
                      <w:rFonts w:ascii="Times New Roman" w:hAnsi="Times New Roman" w:eastAsia="宋体"/>
                      <w:b/>
                      <w:bCs/>
                      <w:color w:val="FF0000"/>
                      <w:kern w:val="2"/>
                      <w:sz w:val="21"/>
                      <w:szCs w:val="21"/>
                      <w:lang w:val="en-US" w:eastAsia="zh-CN"/>
                    </w:rPr>
                    <w:t>年产</w:t>
                  </w:r>
                  <w:r>
                    <w:rPr>
                      <w:rFonts w:hint="eastAsia" w:ascii="Times New Roman" w:hAnsi="Times New Roman"/>
                      <w:b/>
                      <w:bCs/>
                      <w:color w:val="FF0000"/>
                      <w:kern w:val="2"/>
                      <w:sz w:val="21"/>
                      <w:szCs w:val="21"/>
                      <w:lang w:val="en-US" w:eastAsia="zh-CN"/>
                    </w:rPr>
                    <w:t>23</w:t>
                  </w:r>
                  <w:r>
                    <w:rPr>
                      <w:rFonts w:ascii="Times New Roman" w:hAnsi="Times New Roman" w:eastAsia="宋体"/>
                      <w:b/>
                      <w:bCs/>
                      <w:color w:val="FF0000"/>
                      <w:kern w:val="2"/>
                      <w:sz w:val="21"/>
                      <w:szCs w:val="21"/>
                      <w:lang w:val="en-US" w:eastAsia="zh-CN"/>
                    </w:rPr>
                    <w:t>万</w:t>
                  </w:r>
                  <w:r>
                    <w:rPr>
                      <w:rFonts w:hint="eastAsia" w:ascii="Times New Roman" w:hAnsi="Times New Roman"/>
                      <w:b/>
                      <w:bCs/>
                      <w:color w:val="FF0000"/>
                      <w:kern w:val="2"/>
                      <w:sz w:val="21"/>
                      <w:szCs w:val="21"/>
                      <w:lang w:val="en-US" w:eastAsia="zh-CN"/>
                    </w:rPr>
                    <w:t>t</w:t>
                  </w:r>
                  <w:r>
                    <w:rPr>
                      <w:rFonts w:ascii="Times New Roman" w:hAnsi="Times New Roman" w:eastAsia="宋体"/>
                      <w:b/>
                      <w:bCs/>
                      <w:color w:val="FF0000"/>
                      <w:kern w:val="2"/>
                      <w:sz w:val="21"/>
                      <w:szCs w:val="21"/>
                      <w:lang w:val="en-US" w:eastAsia="zh-CN"/>
                    </w:rPr>
                    <w:t>混凝土项目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953" w:type="dxa"/>
                  <w:vMerge w:val="restart"/>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评价等级与范围</w:t>
                  </w:r>
                </w:p>
              </w:tc>
              <w:tc>
                <w:tcPr>
                  <w:tcW w:w="1619"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评价等级</w:t>
                  </w:r>
                </w:p>
              </w:tc>
              <w:tc>
                <w:tcPr>
                  <w:tcW w:w="2162" w:type="dxa"/>
                  <w:gridSpan w:val="7"/>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一级□</w:t>
                  </w:r>
                </w:p>
              </w:tc>
              <w:tc>
                <w:tcPr>
                  <w:tcW w:w="2839" w:type="dxa"/>
                  <w:gridSpan w:val="7"/>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二级</w:t>
                  </w:r>
                  <w:r>
                    <w:rPr>
                      <w:rFonts w:ascii="Times New Roman" w:hAnsi="Times New Roman" w:eastAsia="宋体"/>
                      <w:color w:val="000000"/>
                      <w:kern w:val="2"/>
                      <w:sz w:val="21"/>
                      <w:szCs w:val="21"/>
                      <w:lang w:val="en-US" w:eastAsia="zh-CN" w:bidi="ar-SA"/>
                    </w:rPr>
                    <w:sym w:font="Wingdings 2" w:char="0052"/>
                  </w:r>
                </w:p>
              </w:tc>
              <w:tc>
                <w:tcPr>
                  <w:tcW w:w="1612" w:type="dxa"/>
                  <w:gridSpan w:val="4"/>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三级□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953" w:type="dxa"/>
                  <w:vMerge w:val="continue"/>
                  <w:noWrap w:val="0"/>
                  <w:vAlign w:val="center"/>
                </w:tcPr>
                <w:p>
                  <w:pPr>
                    <w:widowControl/>
                    <w:spacing w:line="320" w:lineRule="exact"/>
                    <w:ind w:firstLine="0" w:firstLineChars="0"/>
                    <w:jc w:val="center"/>
                    <w:rPr>
                      <w:color w:val="000000"/>
                      <w:sz w:val="21"/>
                      <w:szCs w:val="21"/>
                    </w:rPr>
                  </w:pPr>
                </w:p>
              </w:tc>
              <w:tc>
                <w:tcPr>
                  <w:tcW w:w="1619"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评价范围</w:t>
                  </w:r>
                </w:p>
              </w:tc>
              <w:tc>
                <w:tcPr>
                  <w:tcW w:w="2162" w:type="dxa"/>
                  <w:gridSpan w:val="7"/>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边长=50km□</w:t>
                  </w:r>
                </w:p>
              </w:tc>
              <w:tc>
                <w:tcPr>
                  <w:tcW w:w="2839" w:type="dxa"/>
                  <w:gridSpan w:val="7"/>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边长5～50km□</w:t>
                  </w:r>
                </w:p>
              </w:tc>
              <w:tc>
                <w:tcPr>
                  <w:tcW w:w="1612" w:type="dxa"/>
                  <w:gridSpan w:val="4"/>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边长=5 km</w:t>
                  </w:r>
                  <w:r>
                    <w:rPr>
                      <w:rFonts w:ascii="Times New Roman" w:hAnsi="Times New Roman" w:eastAsia="宋体"/>
                      <w:color w:val="000000"/>
                      <w:kern w:val="2"/>
                      <w:sz w:val="21"/>
                      <w:szCs w:val="21"/>
                      <w:lang w:val="en-US" w:eastAsia="zh-CN" w:bidi="ar-SA"/>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953" w:type="dxa"/>
                  <w:vMerge w:val="restart"/>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评价因子</w:t>
                  </w:r>
                </w:p>
              </w:tc>
              <w:tc>
                <w:tcPr>
                  <w:tcW w:w="1619"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SO</w:t>
                  </w:r>
                  <w:r>
                    <w:rPr>
                      <w:rFonts w:ascii="Times New Roman" w:hAnsi="Times New Roman" w:eastAsia="宋体"/>
                      <w:color w:val="000000"/>
                      <w:kern w:val="2"/>
                      <w:sz w:val="21"/>
                      <w:szCs w:val="21"/>
                      <w:vertAlign w:val="subscript"/>
                      <w:lang w:val="en-US" w:eastAsia="zh-CN" w:bidi="ar-SA"/>
                    </w:rPr>
                    <w:t xml:space="preserve">2 </w:t>
                  </w:r>
                  <w:r>
                    <w:rPr>
                      <w:rFonts w:ascii="Times New Roman" w:hAnsi="Times New Roman" w:eastAsia="宋体"/>
                      <w:color w:val="000000"/>
                      <w:kern w:val="2"/>
                      <w:sz w:val="21"/>
                      <w:szCs w:val="21"/>
                      <w:lang w:val="en-US" w:eastAsia="zh-CN" w:bidi="ar-SA"/>
                    </w:rPr>
                    <w:t>+NOx排放量</w:t>
                  </w:r>
                </w:p>
              </w:tc>
              <w:tc>
                <w:tcPr>
                  <w:tcW w:w="1337" w:type="dxa"/>
                  <w:gridSpan w:val="2"/>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 2000t/a□</w:t>
                  </w:r>
                </w:p>
              </w:tc>
              <w:tc>
                <w:tcPr>
                  <w:tcW w:w="3664" w:type="dxa"/>
                  <w:gridSpan w:val="12"/>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500 ~ 2000t/a□</w:t>
                  </w:r>
                </w:p>
              </w:tc>
              <w:tc>
                <w:tcPr>
                  <w:tcW w:w="1612" w:type="dxa"/>
                  <w:gridSpan w:val="4"/>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＜500 t/a</w:t>
                  </w:r>
                  <w:r>
                    <w:rPr>
                      <w:rFonts w:ascii="Times New Roman" w:hAnsi="Times New Roman" w:eastAsia="宋体"/>
                      <w:color w:val="000000"/>
                      <w:kern w:val="2"/>
                      <w:sz w:val="21"/>
                      <w:szCs w:val="21"/>
                      <w:lang w:val="en-US" w:eastAsia="zh-CN" w:bidi="ar-SA"/>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953" w:type="dxa"/>
                  <w:vMerge w:val="continue"/>
                  <w:noWrap w:val="0"/>
                  <w:vAlign w:val="center"/>
                </w:tcPr>
                <w:p>
                  <w:pPr>
                    <w:widowControl/>
                    <w:spacing w:line="320" w:lineRule="exact"/>
                    <w:ind w:firstLine="0" w:firstLineChars="0"/>
                    <w:jc w:val="center"/>
                    <w:rPr>
                      <w:color w:val="000000"/>
                      <w:sz w:val="21"/>
                      <w:szCs w:val="21"/>
                    </w:rPr>
                  </w:pPr>
                </w:p>
              </w:tc>
              <w:tc>
                <w:tcPr>
                  <w:tcW w:w="1619"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评价因子</w:t>
                  </w:r>
                </w:p>
              </w:tc>
              <w:tc>
                <w:tcPr>
                  <w:tcW w:w="3328" w:type="dxa"/>
                  <w:gridSpan w:val="10"/>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基本污染物 ( PM</w:t>
                  </w:r>
                  <w:r>
                    <w:rPr>
                      <w:rFonts w:ascii="Times New Roman" w:hAnsi="Times New Roman" w:eastAsia="宋体"/>
                      <w:color w:val="000000"/>
                      <w:kern w:val="2"/>
                      <w:sz w:val="21"/>
                      <w:szCs w:val="21"/>
                      <w:vertAlign w:val="subscript"/>
                      <w:lang w:val="en-US" w:eastAsia="zh-CN" w:bidi="ar-SA"/>
                    </w:rPr>
                    <w:t>10</w:t>
                  </w:r>
                  <w:r>
                    <w:rPr>
                      <w:rFonts w:ascii="Times New Roman" w:hAnsi="Times New Roman" w:eastAsia="宋体"/>
                      <w:color w:val="000000"/>
                      <w:kern w:val="2"/>
                      <w:sz w:val="21"/>
                      <w:szCs w:val="21"/>
                      <w:lang w:val="en-US" w:eastAsia="zh-CN" w:bidi="ar-SA"/>
                    </w:rPr>
                    <w:t xml:space="preserve"> )</w:t>
                  </w:r>
                </w:p>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其他污染物 (--  )</w:t>
                  </w:r>
                </w:p>
              </w:tc>
              <w:tc>
                <w:tcPr>
                  <w:tcW w:w="3285" w:type="dxa"/>
                  <w:gridSpan w:val="8"/>
                  <w:noWrap w:val="0"/>
                  <w:vAlign w:val="center"/>
                </w:tcPr>
                <w:p>
                  <w:pPr>
                    <w:pStyle w:val="109"/>
                    <w:widowControl w:val="0"/>
                    <w:spacing w:line="320" w:lineRule="exact"/>
                    <w:ind w:right="627" w:rightChars="196"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包括二次PM2.5□</w:t>
                  </w:r>
                </w:p>
                <w:p>
                  <w:pPr>
                    <w:pStyle w:val="109"/>
                    <w:widowControl w:val="0"/>
                    <w:spacing w:line="320" w:lineRule="exact"/>
                    <w:ind w:right="627" w:rightChars="196"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不包括二次PM2.5</w:t>
                  </w:r>
                  <w:r>
                    <w:rPr>
                      <w:rFonts w:ascii="Times New Roman" w:hAnsi="Times New Roman" w:eastAsia="宋体"/>
                      <w:color w:val="000000"/>
                      <w:kern w:val="2"/>
                      <w:sz w:val="21"/>
                      <w:szCs w:val="21"/>
                      <w:lang w:val="en-US" w:eastAsia="zh-CN" w:bidi="ar-SA"/>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953"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评价标准</w:t>
                  </w:r>
                </w:p>
              </w:tc>
              <w:tc>
                <w:tcPr>
                  <w:tcW w:w="1619"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评价标准</w:t>
                  </w:r>
                </w:p>
              </w:tc>
              <w:tc>
                <w:tcPr>
                  <w:tcW w:w="1941" w:type="dxa"/>
                  <w:gridSpan w:val="6"/>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国家标准</w:t>
                  </w:r>
                  <w:r>
                    <w:rPr>
                      <w:rFonts w:ascii="Times New Roman" w:hAnsi="Times New Roman" w:eastAsia="宋体"/>
                      <w:color w:val="000000"/>
                      <w:kern w:val="2"/>
                      <w:sz w:val="21"/>
                      <w:szCs w:val="21"/>
                      <w:lang w:val="en-US" w:eastAsia="zh-CN" w:bidi="ar-SA"/>
                    </w:rPr>
                    <w:sym w:font="Wingdings 2" w:char="0052"/>
                  </w:r>
                </w:p>
              </w:tc>
              <w:tc>
                <w:tcPr>
                  <w:tcW w:w="1387" w:type="dxa"/>
                  <w:gridSpan w:val="4"/>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地方标准 □</w:t>
                  </w:r>
                </w:p>
              </w:tc>
              <w:tc>
                <w:tcPr>
                  <w:tcW w:w="1957" w:type="dxa"/>
                  <w:gridSpan w:val="6"/>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附录D □</w:t>
                  </w:r>
                </w:p>
              </w:tc>
              <w:tc>
                <w:tcPr>
                  <w:tcW w:w="1328" w:type="dxa"/>
                  <w:gridSpan w:val="2"/>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其他标准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953" w:type="dxa"/>
                  <w:vMerge w:val="restart"/>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现状评价</w:t>
                  </w:r>
                </w:p>
              </w:tc>
              <w:tc>
                <w:tcPr>
                  <w:tcW w:w="1619"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环境功能区</w:t>
                  </w:r>
                </w:p>
              </w:tc>
              <w:tc>
                <w:tcPr>
                  <w:tcW w:w="2162" w:type="dxa"/>
                  <w:gridSpan w:val="7"/>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一类区□</w:t>
                  </w:r>
                </w:p>
              </w:tc>
              <w:tc>
                <w:tcPr>
                  <w:tcW w:w="2305" w:type="dxa"/>
                  <w:gridSpan w:val="6"/>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二类区</w:t>
                  </w:r>
                  <w:r>
                    <w:rPr>
                      <w:rFonts w:ascii="Times New Roman" w:hAnsi="Times New Roman" w:eastAsia="宋体"/>
                      <w:color w:val="000000"/>
                      <w:kern w:val="2"/>
                      <w:sz w:val="21"/>
                      <w:szCs w:val="21"/>
                      <w:lang w:val="en-US" w:eastAsia="zh-CN" w:bidi="ar-SA"/>
                    </w:rPr>
                    <w:sym w:font="Wingdings 2" w:char="0052"/>
                  </w:r>
                </w:p>
              </w:tc>
              <w:tc>
                <w:tcPr>
                  <w:tcW w:w="2146" w:type="dxa"/>
                  <w:gridSpan w:val="5"/>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一类区和二类区□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953" w:type="dxa"/>
                  <w:vMerge w:val="continue"/>
                  <w:noWrap w:val="0"/>
                  <w:vAlign w:val="center"/>
                </w:tcPr>
                <w:p>
                  <w:pPr>
                    <w:widowControl/>
                    <w:spacing w:line="320" w:lineRule="exact"/>
                    <w:ind w:firstLine="0" w:firstLineChars="0"/>
                    <w:jc w:val="center"/>
                    <w:rPr>
                      <w:color w:val="000000"/>
                      <w:sz w:val="21"/>
                      <w:szCs w:val="21"/>
                    </w:rPr>
                  </w:pPr>
                </w:p>
              </w:tc>
              <w:tc>
                <w:tcPr>
                  <w:tcW w:w="1619"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评价基准年</w:t>
                  </w:r>
                </w:p>
              </w:tc>
              <w:tc>
                <w:tcPr>
                  <w:tcW w:w="6613" w:type="dxa"/>
                  <w:gridSpan w:val="18"/>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 2018 ）年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953" w:type="dxa"/>
                  <w:vMerge w:val="continue"/>
                  <w:noWrap w:val="0"/>
                  <w:vAlign w:val="center"/>
                </w:tcPr>
                <w:p>
                  <w:pPr>
                    <w:widowControl/>
                    <w:spacing w:line="320" w:lineRule="exact"/>
                    <w:ind w:firstLine="0" w:firstLineChars="0"/>
                    <w:jc w:val="center"/>
                    <w:rPr>
                      <w:color w:val="000000"/>
                      <w:sz w:val="21"/>
                      <w:szCs w:val="21"/>
                    </w:rPr>
                  </w:pPr>
                </w:p>
              </w:tc>
              <w:tc>
                <w:tcPr>
                  <w:tcW w:w="1619"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环境空气质量</w:t>
                  </w:r>
                  <w:r>
                    <w:rPr>
                      <w:rFonts w:ascii="Times New Roman" w:hAnsi="Times New Roman" w:eastAsia="宋体"/>
                      <w:color w:val="000000"/>
                      <w:kern w:val="2"/>
                      <w:sz w:val="21"/>
                      <w:szCs w:val="21"/>
                      <w:lang w:val="en-US" w:eastAsia="zh-CN" w:bidi="ar-SA"/>
                    </w:rPr>
                    <w:br w:type="textWrapping"/>
                  </w:r>
                  <w:r>
                    <w:rPr>
                      <w:rFonts w:ascii="Times New Roman" w:hAnsi="Times New Roman" w:eastAsia="宋体"/>
                      <w:color w:val="000000"/>
                      <w:kern w:val="2"/>
                      <w:sz w:val="21"/>
                      <w:szCs w:val="21"/>
                      <w:lang w:val="en-US" w:eastAsia="zh-CN" w:bidi="ar-SA"/>
                    </w:rPr>
                    <w:t>现状调查数据来源</w:t>
                  </w:r>
                </w:p>
              </w:tc>
              <w:tc>
                <w:tcPr>
                  <w:tcW w:w="2162" w:type="dxa"/>
                  <w:gridSpan w:val="7"/>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长期例行监测数据□</w:t>
                  </w:r>
                </w:p>
              </w:tc>
              <w:tc>
                <w:tcPr>
                  <w:tcW w:w="2839" w:type="dxa"/>
                  <w:gridSpan w:val="7"/>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主管部门发布的数据</w:t>
                  </w:r>
                  <w:r>
                    <w:rPr>
                      <w:rFonts w:ascii="Times New Roman" w:hAnsi="Times New Roman" w:eastAsia="宋体"/>
                      <w:color w:val="000000"/>
                      <w:kern w:val="2"/>
                      <w:sz w:val="21"/>
                      <w:szCs w:val="21"/>
                      <w:lang w:val="en-US" w:eastAsia="zh-CN" w:bidi="ar-SA"/>
                    </w:rPr>
                    <w:sym w:font="Wingdings 2" w:char="0052"/>
                  </w:r>
                </w:p>
              </w:tc>
              <w:tc>
                <w:tcPr>
                  <w:tcW w:w="1612" w:type="dxa"/>
                  <w:gridSpan w:val="4"/>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现状补充监测□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953" w:type="dxa"/>
                  <w:vMerge w:val="continue"/>
                  <w:noWrap w:val="0"/>
                  <w:vAlign w:val="center"/>
                </w:tcPr>
                <w:p>
                  <w:pPr>
                    <w:widowControl/>
                    <w:spacing w:line="320" w:lineRule="exact"/>
                    <w:ind w:firstLine="0" w:firstLineChars="0"/>
                    <w:jc w:val="center"/>
                    <w:rPr>
                      <w:color w:val="000000"/>
                      <w:sz w:val="21"/>
                      <w:szCs w:val="21"/>
                    </w:rPr>
                  </w:pPr>
                </w:p>
              </w:tc>
              <w:tc>
                <w:tcPr>
                  <w:tcW w:w="1619"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现状评价</w:t>
                  </w:r>
                </w:p>
              </w:tc>
              <w:tc>
                <w:tcPr>
                  <w:tcW w:w="3328" w:type="dxa"/>
                  <w:gridSpan w:val="10"/>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达标区□</w:t>
                  </w:r>
                </w:p>
              </w:tc>
              <w:tc>
                <w:tcPr>
                  <w:tcW w:w="3285" w:type="dxa"/>
                  <w:gridSpan w:val="8"/>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不达标区</w:t>
                  </w:r>
                  <w:r>
                    <w:rPr>
                      <w:rFonts w:ascii="Times New Roman" w:hAnsi="Times New Roman" w:eastAsia="宋体"/>
                      <w:color w:val="000000"/>
                      <w:kern w:val="2"/>
                      <w:sz w:val="21"/>
                      <w:szCs w:val="21"/>
                      <w:lang w:val="en-US" w:eastAsia="zh-CN" w:bidi="ar-SA"/>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953"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污染源</w:t>
                  </w:r>
                  <w:r>
                    <w:rPr>
                      <w:rFonts w:ascii="Times New Roman" w:hAnsi="Times New Roman" w:eastAsia="宋体"/>
                      <w:color w:val="000000"/>
                      <w:kern w:val="2"/>
                      <w:sz w:val="21"/>
                      <w:szCs w:val="21"/>
                      <w:lang w:val="en-US" w:eastAsia="zh-CN" w:bidi="ar-SA"/>
                    </w:rPr>
                    <w:br w:type="textWrapping"/>
                  </w:r>
                  <w:r>
                    <w:rPr>
                      <w:rFonts w:ascii="Times New Roman" w:hAnsi="Times New Roman" w:eastAsia="宋体"/>
                      <w:color w:val="000000"/>
                      <w:kern w:val="2"/>
                      <w:sz w:val="21"/>
                      <w:szCs w:val="21"/>
                      <w:lang w:val="en-US" w:eastAsia="zh-CN" w:bidi="ar-SA"/>
                    </w:rPr>
                    <w:t>调查</w:t>
                  </w:r>
                </w:p>
              </w:tc>
              <w:tc>
                <w:tcPr>
                  <w:tcW w:w="1619"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调查内容</w:t>
                  </w:r>
                </w:p>
              </w:tc>
              <w:tc>
                <w:tcPr>
                  <w:tcW w:w="1941" w:type="dxa"/>
                  <w:gridSpan w:val="6"/>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 xml:space="preserve">本项目正常排放源 </w:t>
                  </w:r>
                  <w:r>
                    <w:rPr>
                      <w:rFonts w:ascii="Times New Roman" w:hAnsi="Times New Roman" w:eastAsia="宋体"/>
                      <w:color w:val="000000"/>
                      <w:kern w:val="2"/>
                      <w:sz w:val="21"/>
                      <w:szCs w:val="21"/>
                      <w:lang w:val="en-US" w:eastAsia="zh-CN" w:bidi="ar-SA"/>
                    </w:rPr>
                    <w:sym w:font="Wingdings 2" w:char="0052"/>
                  </w:r>
                </w:p>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本项目非正常排放源 □</w:t>
                  </w:r>
                </w:p>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现有污染源 □</w:t>
                  </w:r>
                </w:p>
              </w:tc>
              <w:tc>
                <w:tcPr>
                  <w:tcW w:w="1387" w:type="dxa"/>
                  <w:gridSpan w:val="4"/>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拟替代的污染源□</w:t>
                  </w:r>
                </w:p>
              </w:tc>
              <w:tc>
                <w:tcPr>
                  <w:tcW w:w="1957" w:type="dxa"/>
                  <w:gridSpan w:val="6"/>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其他在建、拟建项目污染源□</w:t>
                  </w:r>
                </w:p>
              </w:tc>
              <w:tc>
                <w:tcPr>
                  <w:tcW w:w="1328" w:type="dxa"/>
                  <w:gridSpan w:val="2"/>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区域污染源□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953" w:type="dxa"/>
                  <w:vMerge w:val="restart"/>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大气环境影响预测与评价</w:t>
                  </w:r>
                </w:p>
              </w:tc>
              <w:tc>
                <w:tcPr>
                  <w:tcW w:w="1619"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预测模型</w:t>
                  </w:r>
                </w:p>
              </w:tc>
              <w:tc>
                <w:tcPr>
                  <w:tcW w:w="972"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AERMOD</w:t>
                  </w:r>
                  <w:r>
                    <w:rPr>
                      <w:rFonts w:ascii="Times New Roman" w:hAnsi="Times New Roman" w:eastAsia="宋体"/>
                      <w:color w:val="000000"/>
                      <w:kern w:val="2"/>
                      <w:sz w:val="21"/>
                      <w:szCs w:val="21"/>
                      <w:lang w:val="en-US" w:eastAsia="zh-CN" w:bidi="ar-SA"/>
                    </w:rPr>
                    <w:br w:type="textWrapping"/>
                  </w:r>
                  <w:r>
                    <w:rPr>
                      <w:rFonts w:ascii="Times New Roman" w:hAnsi="Times New Roman" w:eastAsia="宋体"/>
                      <w:color w:val="000000"/>
                      <w:kern w:val="2"/>
                      <w:sz w:val="21"/>
                      <w:szCs w:val="21"/>
                      <w:lang w:val="en-US" w:eastAsia="zh-CN" w:bidi="ar-SA"/>
                    </w:rPr>
                    <w:t>□</w:t>
                  </w:r>
                </w:p>
              </w:tc>
              <w:tc>
                <w:tcPr>
                  <w:tcW w:w="851" w:type="dxa"/>
                  <w:gridSpan w:val="4"/>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ADMS</w:t>
                  </w:r>
                  <w:r>
                    <w:rPr>
                      <w:rFonts w:ascii="Times New Roman" w:hAnsi="Times New Roman" w:eastAsia="宋体"/>
                      <w:color w:val="000000"/>
                      <w:kern w:val="2"/>
                      <w:sz w:val="21"/>
                      <w:szCs w:val="21"/>
                      <w:lang w:val="en-US" w:eastAsia="zh-CN" w:bidi="ar-SA"/>
                    </w:rPr>
                    <w:br w:type="textWrapping"/>
                  </w:r>
                  <w:r>
                    <w:rPr>
                      <w:rFonts w:ascii="Times New Roman" w:hAnsi="Times New Roman" w:eastAsia="宋体"/>
                      <w:color w:val="000000"/>
                      <w:kern w:val="2"/>
                      <w:sz w:val="21"/>
                      <w:szCs w:val="21"/>
                      <w:lang w:val="en-US" w:eastAsia="zh-CN" w:bidi="ar-SA"/>
                    </w:rPr>
                    <w:t>□</w:t>
                  </w:r>
                </w:p>
              </w:tc>
              <w:tc>
                <w:tcPr>
                  <w:tcW w:w="1161" w:type="dxa"/>
                  <w:gridSpan w:val="3"/>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AUSTAL2000</w:t>
                  </w:r>
                  <w:r>
                    <w:rPr>
                      <w:rFonts w:ascii="Times New Roman" w:hAnsi="Times New Roman" w:eastAsia="宋体"/>
                      <w:color w:val="000000"/>
                      <w:kern w:val="2"/>
                      <w:sz w:val="21"/>
                      <w:szCs w:val="21"/>
                      <w:lang w:val="en-US" w:eastAsia="zh-CN" w:bidi="ar-SA"/>
                    </w:rPr>
                    <w:br w:type="textWrapping"/>
                  </w:r>
                  <w:r>
                    <w:rPr>
                      <w:rFonts w:ascii="Times New Roman" w:hAnsi="Times New Roman" w:eastAsia="宋体"/>
                      <w:color w:val="000000"/>
                      <w:kern w:val="2"/>
                      <w:sz w:val="21"/>
                      <w:szCs w:val="21"/>
                      <w:lang w:val="en-US" w:eastAsia="zh-CN" w:bidi="ar-SA"/>
                    </w:rPr>
                    <w:t>□</w:t>
                  </w:r>
                </w:p>
              </w:tc>
              <w:tc>
                <w:tcPr>
                  <w:tcW w:w="1133" w:type="dxa"/>
                  <w:gridSpan w:val="3"/>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EDMS/AEDT</w:t>
                  </w:r>
                  <w:r>
                    <w:rPr>
                      <w:rFonts w:ascii="Times New Roman" w:hAnsi="Times New Roman" w:eastAsia="宋体"/>
                      <w:color w:val="000000"/>
                      <w:kern w:val="2"/>
                      <w:sz w:val="21"/>
                      <w:szCs w:val="21"/>
                      <w:lang w:val="en-US" w:eastAsia="zh-CN" w:bidi="ar-SA"/>
                    </w:rPr>
                    <w:br w:type="textWrapping"/>
                  </w:r>
                  <w:r>
                    <w:rPr>
                      <w:rFonts w:ascii="Times New Roman" w:hAnsi="Times New Roman" w:eastAsia="宋体"/>
                      <w:color w:val="000000"/>
                      <w:kern w:val="2"/>
                      <w:sz w:val="21"/>
                      <w:szCs w:val="21"/>
                      <w:lang w:val="en-US" w:eastAsia="zh-CN" w:bidi="ar-SA"/>
                    </w:rPr>
                    <w:t>□</w:t>
                  </w:r>
                </w:p>
              </w:tc>
              <w:tc>
                <w:tcPr>
                  <w:tcW w:w="884" w:type="dxa"/>
                  <w:gridSpan w:val="3"/>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CALPUFF</w:t>
                  </w:r>
                  <w:r>
                    <w:rPr>
                      <w:rFonts w:ascii="Times New Roman" w:hAnsi="Times New Roman" w:eastAsia="宋体"/>
                      <w:color w:val="000000"/>
                      <w:kern w:val="2"/>
                      <w:sz w:val="21"/>
                      <w:szCs w:val="21"/>
                      <w:lang w:val="en-US" w:eastAsia="zh-CN" w:bidi="ar-SA"/>
                    </w:rPr>
                    <w:br w:type="textWrapping"/>
                  </w:r>
                  <w:r>
                    <w:rPr>
                      <w:rFonts w:ascii="Times New Roman" w:hAnsi="Times New Roman" w:eastAsia="宋体"/>
                      <w:color w:val="000000"/>
                      <w:kern w:val="2"/>
                      <w:sz w:val="21"/>
                      <w:szCs w:val="21"/>
                      <w:lang w:val="en-US" w:eastAsia="zh-CN" w:bidi="ar-SA"/>
                    </w:rPr>
                    <w:t>□</w:t>
                  </w:r>
                </w:p>
              </w:tc>
              <w:tc>
                <w:tcPr>
                  <w:tcW w:w="968" w:type="dxa"/>
                  <w:gridSpan w:val="3"/>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网格模型</w:t>
                  </w:r>
                  <w:r>
                    <w:rPr>
                      <w:rFonts w:ascii="Times New Roman" w:hAnsi="Times New Roman" w:eastAsia="宋体"/>
                      <w:color w:val="000000"/>
                      <w:kern w:val="2"/>
                      <w:sz w:val="21"/>
                      <w:szCs w:val="21"/>
                      <w:lang w:val="en-US" w:eastAsia="zh-CN" w:bidi="ar-SA"/>
                    </w:rPr>
                    <w:br w:type="textWrapping"/>
                  </w:r>
                  <w:r>
                    <w:rPr>
                      <w:rFonts w:ascii="Times New Roman" w:hAnsi="Times New Roman" w:eastAsia="宋体"/>
                      <w:color w:val="000000"/>
                      <w:kern w:val="2"/>
                      <w:sz w:val="21"/>
                      <w:szCs w:val="21"/>
                      <w:lang w:val="en-US" w:eastAsia="zh-CN" w:bidi="ar-SA"/>
                    </w:rPr>
                    <w:t>□</w:t>
                  </w:r>
                </w:p>
              </w:tc>
              <w:tc>
                <w:tcPr>
                  <w:tcW w:w="644"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其他</w:t>
                  </w:r>
                  <w:r>
                    <w:rPr>
                      <w:rFonts w:ascii="Times New Roman" w:hAnsi="Times New Roman" w:eastAsia="宋体"/>
                      <w:color w:val="000000"/>
                      <w:kern w:val="2"/>
                      <w:sz w:val="21"/>
                      <w:szCs w:val="21"/>
                      <w:lang w:val="en-US" w:eastAsia="zh-CN" w:bidi="ar-SA"/>
                    </w:rPr>
                    <w:br w:type="textWrapping"/>
                  </w:r>
                  <w:r>
                    <w:rPr>
                      <w:rFonts w:ascii="Times New Roman" w:hAnsi="Times New Roman" w:eastAsia="宋体"/>
                      <w:color w:val="000000"/>
                      <w:kern w:val="2"/>
                      <w:sz w:val="21"/>
                      <w:szCs w:val="21"/>
                      <w:lang w:val="en-US" w:eastAsia="zh-CN" w:bidi="ar-SA"/>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953" w:type="dxa"/>
                  <w:vMerge w:val="continue"/>
                  <w:noWrap w:val="0"/>
                  <w:vAlign w:val="center"/>
                </w:tcPr>
                <w:p>
                  <w:pPr>
                    <w:widowControl/>
                    <w:spacing w:line="320" w:lineRule="exact"/>
                    <w:ind w:firstLine="0" w:firstLineChars="0"/>
                    <w:jc w:val="center"/>
                    <w:rPr>
                      <w:color w:val="000000"/>
                      <w:sz w:val="21"/>
                      <w:szCs w:val="21"/>
                    </w:rPr>
                  </w:pPr>
                </w:p>
              </w:tc>
              <w:tc>
                <w:tcPr>
                  <w:tcW w:w="1619"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预测范围</w:t>
                  </w:r>
                </w:p>
              </w:tc>
              <w:tc>
                <w:tcPr>
                  <w:tcW w:w="1823" w:type="dxa"/>
                  <w:gridSpan w:val="5"/>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边长≥ 50km□</w:t>
                  </w:r>
                </w:p>
              </w:tc>
              <w:tc>
                <w:tcPr>
                  <w:tcW w:w="3178" w:type="dxa"/>
                  <w:gridSpan w:val="9"/>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 xml:space="preserve">边长5～50km </w:t>
                  </w:r>
                  <w:r>
                    <w:rPr>
                      <w:rFonts w:ascii="Times New Roman" w:hAnsi="Times New Roman" w:eastAsia="宋体"/>
                      <w:color w:val="000000"/>
                      <w:kern w:val="2"/>
                      <w:sz w:val="21"/>
                      <w:szCs w:val="21"/>
                      <w:lang w:val="en-US" w:eastAsia="zh-CN" w:bidi="ar-SA"/>
                    </w:rPr>
                    <w:sym w:font="Wingdings 2" w:char="00A3"/>
                  </w:r>
                </w:p>
              </w:tc>
              <w:tc>
                <w:tcPr>
                  <w:tcW w:w="1612" w:type="dxa"/>
                  <w:gridSpan w:val="4"/>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 xml:space="preserve">边长 = 5 km </w:t>
                  </w:r>
                  <w:r>
                    <w:rPr>
                      <w:rFonts w:ascii="Times New Roman" w:hAnsi="Times New Roman" w:eastAsia="宋体"/>
                      <w:color w:val="000000"/>
                      <w:kern w:val="2"/>
                      <w:sz w:val="21"/>
                      <w:szCs w:val="21"/>
                      <w:lang w:val="en-US" w:eastAsia="zh-CN" w:bidi="ar-SA"/>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953" w:type="dxa"/>
                  <w:vMerge w:val="continue"/>
                  <w:noWrap w:val="0"/>
                  <w:vAlign w:val="center"/>
                </w:tcPr>
                <w:p>
                  <w:pPr>
                    <w:widowControl/>
                    <w:spacing w:line="320" w:lineRule="exact"/>
                    <w:ind w:firstLine="0" w:firstLineChars="0"/>
                    <w:jc w:val="center"/>
                    <w:rPr>
                      <w:color w:val="000000"/>
                      <w:sz w:val="21"/>
                      <w:szCs w:val="21"/>
                    </w:rPr>
                  </w:pPr>
                </w:p>
              </w:tc>
              <w:tc>
                <w:tcPr>
                  <w:tcW w:w="1619"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预测因子</w:t>
                  </w:r>
                </w:p>
              </w:tc>
              <w:tc>
                <w:tcPr>
                  <w:tcW w:w="3328" w:type="dxa"/>
                  <w:gridSpan w:val="10"/>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预测因子(PM</w:t>
                  </w:r>
                  <w:r>
                    <w:rPr>
                      <w:rFonts w:ascii="Times New Roman" w:hAnsi="Times New Roman" w:eastAsia="宋体"/>
                      <w:color w:val="000000"/>
                      <w:kern w:val="2"/>
                      <w:sz w:val="21"/>
                      <w:szCs w:val="21"/>
                      <w:vertAlign w:val="subscript"/>
                      <w:lang w:val="en-US" w:eastAsia="zh-CN" w:bidi="ar-SA"/>
                    </w:rPr>
                    <w:t>10</w:t>
                  </w:r>
                  <w:r>
                    <w:rPr>
                      <w:rFonts w:ascii="Times New Roman" w:hAnsi="Times New Roman" w:eastAsia="宋体"/>
                      <w:color w:val="000000"/>
                      <w:kern w:val="2"/>
                      <w:sz w:val="21"/>
                      <w:szCs w:val="21"/>
                      <w:lang w:val="en-US" w:eastAsia="zh-CN" w:bidi="ar-SA"/>
                    </w:rPr>
                    <w:t>)</w:t>
                  </w:r>
                </w:p>
              </w:tc>
              <w:tc>
                <w:tcPr>
                  <w:tcW w:w="3285" w:type="dxa"/>
                  <w:gridSpan w:val="8"/>
                  <w:noWrap w:val="0"/>
                  <w:vAlign w:val="center"/>
                </w:tcPr>
                <w:p>
                  <w:pPr>
                    <w:pStyle w:val="109"/>
                    <w:widowControl w:val="0"/>
                    <w:spacing w:line="320" w:lineRule="exact"/>
                    <w:ind w:right="842" w:rightChars="263"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包括二次PM2.5 □</w:t>
                  </w:r>
                </w:p>
                <w:p>
                  <w:pPr>
                    <w:pStyle w:val="109"/>
                    <w:widowControl w:val="0"/>
                    <w:spacing w:line="320" w:lineRule="exact"/>
                    <w:ind w:right="842" w:rightChars="263"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 xml:space="preserve">不包括二次PM2.5 </w:t>
                  </w:r>
                  <w:r>
                    <w:rPr>
                      <w:rFonts w:ascii="Times New Roman" w:hAnsi="Times New Roman" w:eastAsia="宋体"/>
                      <w:color w:val="000000"/>
                      <w:kern w:val="2"/>
                      <w:sz w:val="21"/>
                      <w:szCs w:val="21"/>
                      <w:lang w:val="en-US" w:eastAsia="zh-CN" w:bidi="ar-SA"/>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953" w:type="dxa"/>
                  <w:vMerge w:val="continue"/>
                  <w:noWrap w:val="0"/>
                  <w:vAlign w:val="center"/>
                </w:tcPr>
                <w:p>
                  <w:pPr>
                    <w:widowControl/>
                    <w:spacing w:line="320" w:lineRule="exact"/>
                    <w:ind w:firstLine="0" w:firstLineChars="0"/>
                    <w:jc w:val="center"/>
                    <w:rPr>
                      <w:color w:val="000000"/>
                      <w:sz w:val="21"/>
                      <w:szCs w:val="21"/>
                    </w:rPr>
                  </w:pPr>
                </w:p>
              </w:tc>
              <w:tc>
                <w:tcPr>
                  <w:tcW w:w="1619"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正常排放短期浓度贡献值</w:t>
                  </w:r>
                </w:p>
              </w:tc>
              <w:tc>
                <w:tcPr>
                  <w:tcW w:w="3328" w:type="dxa"/>
                  <w:gridSpan w:val="10"/>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C本项目最大占标率≤100%</w:t>
                  </w:r>
                  <w:r>
                    <w:rPr>
                      <w:rFonts w:ascii="Times New Roman" w:hAnsi="Times New Roman" w:eastAsia="宋体"/>
                      <w:color w:val="000000"/>
                      <w:kern w:val="2"/>
                      <w:sz w:val="21"/>
                      <w:szCs w:val="21"/>
                      <w:lang w:val="en-US" w:eastAsia="zh-CN" w:bidi="ar-SA"/>
                    </w:rPr>
                    <w:sym w:font="Wingdings 2" w:char="0052"/>
                  </w:r>
                </w:p>
              </w:tc>
              <w:tc>
                <w:tcPr>
                  <w:tcW w:w="3285" w:type="dxa"/>
                  <w:gridSpan w:val="8"/>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C本项目最大占标率＞100%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953" w:type="dxa"/>
                  <w:vMerge w:val="continue"/>
                  <w:noWrap w:val="0"/>
                  <w:vAlign w:val="center"/>
                </w:tcPr>
                <w:p>
                  <w:pPr>
                    <w:widowControl/>
                    <w:spacing w:line="320" w:lineRule="exact"/>
                    <w:ind w:firstLine="0" w:firstLineChars="0"/>
                    <w:jc w:val="center"/>
                    <w:rPr>
                      <w:color w:val="000000"/>
                      <w:sz w:val="21"/>
                      <w:szCs w:val="21"/>
                    </w:rPr>
                  </w:pPr>
                </w:p>
              </w:tc>
              <w:tc>
                <w:tcPr>
                  <w:tcW w:w="1619" w:type="dxa"/>
                  <w:vMerge w:val="restart"/>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正常排放年均浓度贡献值</w:t>
                  </w:r>
                </w:p>
              </w:tc>
              <w:tc>
                <w:tcPr>
                  <w:tcW w:w="972"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一类区</w:t>
                  </w:r>
                </w:p>
              </w:tc>
              <w:tc>
                <w:tcPr>
                  <w:tcW w:w="2356" w:type="dxa"/>
                  <w:gridSpan w:val="9"/>
                  <w:noWrap w:val="0"/>
                  <w:vAlign w:val="center"/>
                </w:tcPr>
                <w:p>
                  <w:pPr>
                    <w:pStyle w:val="109"/>
                    <w:widowControl w:val="0"/>
                    <w:spacing w:before="31" w:after="31"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C本项目最大占标率</w:t>
                  </w:r>
                  <w:bookmarkStart w:id="48" w:name="OLE_LINK5"/>
                  <w:bookmarkStart w:id="49" w:name="OLE_LINK7"/>
                  <w:r>
                    <w:rPr>
                      <w:rFonts w:ascii="Times New Roman" w:hAnsi="Times New Roman" w:eastAsia="宋体"/>
                      <w:color w:val="000000"/>
                      <w:kern w:val="2"/>
                      <w:sz w:val="21"/>
                      <w:szCs w:val="21"/>
                      <w:lang w:val="en-US" w:eastAsia="zh-CN" w:bidi="ar-SA"/>
                    </w:rPr>
                    <w:t>≤</w:t>
                  </w:r>
                  <w:bookmarkEnd w:id="48"/>
                  <w:bookmarkEnd w:id="49"/>
                  <w:r>
                    <w:rPr>
                      <w:rFonts w:ascii="Times New Roman" w:hAnsi="Times New Roman" w:eastAsia="宋体"/>
                      <w:color w:val="000000"/>
                      <w:kern w:val="2"/>
                      <w:sz w:val="21"/>
                      <w:szCs w:val="21"/>
                      <w:lang w:val="en-US" w:eastAsia="zh-CN" w:bidi="ar-SA"/>
                    </w:rPr>
                    <w:t>10%□</w:t>
                  </w:r>
                </w:p>
              </w:tc>
              <w:tc>
                <w:tcPr>
                  <w:tcW w:w="3285" w:type="dxa"/>
                  <w:gridSpan w:val="8"/>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C本项目最大标率＞10%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953" w:type="dxa"/>
                  <w:vMerge w:val="continue"/>
                  <w:noWrap w:val="0"/>
                  <w:vAlign w:val="center"/>
                </w:tcPr>
                <w:p>
                  <w:pPr>
                    <w:widowControl/>
                    <w:spacing w:line="320" w:lineRule="exact"/>
                    <w:ind w:firstLine="0" w:firstLineChars="0"/>
                    <w:jc w:val="center"/>
                    <w:rPr>
                      <w:color w:val="000000"/>
                      <w:sz w:val="21"/>
                      <w:szCs w:val="21"/>
                    </w:rPr>
                  </w:pPr>
                </w:p>
              </w:tc>
              <w:tc>
                <w:tcPr>
                  <w:tcW w:w="1619" w:type="dxa"/>
                  <w:vMerge w:val="continue"/>
                  <w:noWrap w:val="0"/>
                  <w:vAlign w:val="center"/>
                </w:tcPr>
                <w:p>
                  <w:pPr>
                    <w:widowControl/>
                    <w:spacing w:line="320" w:lineRule="exact"/>
                    <w:ind w:firstLine="0" w:firstLineChars="0"/>
                    <w:jc w:val="center"/>
                    <w:rPr>
                      <w:color w:val="000000"/>
                      <w:sz w:val="21"/>
                      <w:szCs w:val="21"/>
                    </w:rPr>
                  </w:pPr>
                </w:p>
              </w:tc>
              <w:tc>
                <w:tcPr>
                  <w:tcW w:w="972"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二类区</w:t>
                  </w:r>
                </w:p>
              </w:tc>
              <w:tc>
                <w:tcPr>
                  <w:tcW w:w="2356" w:type="dxa"/>
                  <w:gridSpan w:val="9"/>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C本项目最大占标率≤30%□</w:t>
                  </w:r>
                </w:p>
              </w:tc>
              <w:tc>
                <w:tcPr>
                  <w:tcW w:w="3285" w:type="dxa"/>
                  <w:gridSpan w:val="8"/>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C本项目最大标率＞30%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953" w:type="dxa"/>
                  <w:vMerge w:val="continue"/>
                  <w:noWrap w:val="0"/>
                  <w:vAlign w:val="center"/>
                </w:tcPr>
                <w:p>
                  <w:pPr>
                    <w:widowControl/>
                    <w:spacing w:line="320" w:lineRule="exact"/>
                    <w:ind w:firstLine="0" w:firstLineChars="0"/>
                    <w:jc w:val="center"/>
                    <w:rPr>
                      <w:color w:val="000000"/>
                      <w:sz w:val="21"/>
                      <w:szCs w:val="21"/>
                    </w:rPr>
                  </w:pPr>
                </w:p>
              </w:tc>
              <w:tc>
                <w:tcPr>
                  <w:tcW w:w="1619"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非正常排放1h浓度贡献值</w:t>
                  </w:r>
                </w:p>
              </w:tc>
              <w:tc>
                <w:tcPr>
                  <w:tcW w:w="1449" w:type="dxa"/>
                  <w:gridSpan w:val="3"/>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非正常持续时长（  ）h</w:t>
                  </w:r>
                </w:p>
              </w:tc>
              <w:tc>
                <w:tcPr>
                  <w:tcW w:w="2873" w:type="dxa"/>
                  <w:gridSpan w:val="9"/>
                  <w:noWrap w:val="0"/>
                  <w:vAlign w:val="center"/>
                </w:tcPr>
                <w:p>
                  <w:pPr>
                    <w:pStyle w:val="109"/>
                    <w:widowControl w:val="0"/>
                    <w:spacing w:before="31" w:after="31"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C非正常占标率≤100% □</w:t>
                  </w:r>
                </w:p>
              </w:tc>
              <w:tc>
                <w:tcPr>
                  <w:tcW w:w="2291" w:type="dxa"/>
                  <w:gridSpan w:val="6"/>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C非正常占标率＞100%□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953" w:type="dxa"/>
                  <w:vMerge w:val="continue"/>
                  <w:noWrap w:val="0"/>
                  <w:vAlign w:val="center"/>
                </w:tcPr>
                <w:p>
                  <w:pPr>
                    <w:widowControl/>
                    <w:spacing w:line="320" w:lineRule="exact"/>
                    <w:ind w:firstLine="0" w:firstLineChars="0"/>
                    <w:jc w:val="center"/>
                    <w:rPr>
                      <w:color w:val="000000"/>
                      <w:sz w:val="21"/>
                      <w:szCs w:val="21"/>
                    </w:rPr>
                  </w:pPr>
                </w:p>
              </w:tc>
              <w:tc>
                <w:tcPr>
                  <w:tcW w:w="1619"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保证率日平均浓度和年平均浓度叠加值</w:t>
                  </w:r>
                </w:p>
              </w:tc>
              <w:tc>
                <w:tcPr>
                  <w:tcW w:w="3181" w:type="dxa"/>
                  <w:gridSpan w:val="9"/>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C叠加达标 □</w:t>
                  </w:r>
                </w:p>
              </w:tc>
              <w:tc>
                <w:tcPr>
                  <w:tcW w:w="3432" w:type="dxa"/>
                  <w:gridSpan w:val="9"/>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C叠加不达标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953" w:type="dxa"/>
                  <w:vMerge w:val="continue"/>
                  <w:noWrap w:val="0"/>
                  <w:vAlign w:val="center"/>
                </w:tcPr>
                <w:p>
                  <w:pPr>
                    <w:widowControl/>
                    <w:spacing w:line="320" w:lineRule="exact"/>
                    <w:ind w:firstLine="0" w:firstLineChars="0"/>
                    <w:jc w:val="center"/>
                    <w:rPr>
                      <w:color w:val="000000"/>
                      <w:sz w:val="21"/>
                      <w:szCs w:val="21"/>
                    </w:rPr>
                  </w:pPr>
                </w:p>
              </w:tc>
              <w:tc>
                <w:tcPr>
                  <w:tcW w:w="1619"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区域环境质量的整体变化情况</w:t>
                  </w:r>
                </w:p>
              </w:tc>
              <w:tc>
                <w:tcPr>
                  <w:tcW w:w="3181" w:type="dxa"/>
                  <w:gridSpan w:val="9"/>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k ≤-20% □</w:t>
                  </w:r>
                </w:p>
              </w:tc>
              <w:tc>
                <w:tcPr>
                  <w:tcW w:w="3432" w:type="dxa"/>
                  <w:gridSpan w:val="9"/>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k ＞-20%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953" w:type="dxa"/>
                  <w:vMerge w:val="restart"/>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环境监测</w:t>
                  </w:r>
                  <w:r>
                    <w:rPr>
                      <w:rFonts w:ascii="Times New Roman" w:hAnsi="Times New Roman" w:eastAsia="宋体"/>
                      <w:color w:val="000000"/>
                      <w:kern w:val="2"/>
                      <w:sz w:val="21"/>
                      <w:szCs w:val="21"/>
                      <w:lang w:val="en-US" w:eastAsia="zh-CN" w:bidi="ar-SA"/>
                    </w:rPr>
                    <w:br w:type="textWrapping"/>
                  </w:r>
                  <w:r>
                    <w:rPr>
                      <w:rFonts w:ascii="Times New Roman" w:hAnsi="Times New Roman" w:eastAsia="宋体"/>
                      <w:color w:val="000000"/>
                      <w:kern w:val="2"/>
                      <w:sz w:val="21"/>
                      <w:szCs w:val="21"/>
                      <w:lang w:val="en-US" w:eastAsia="zh-CN" w:bidi="ar-SA"/>
                    </w:rPr>
                    <w:t>计划</w:t>
                  </w:r>
                </w:p>
              </w:tc>
              <w:tc>
                <w:tcPr>
                  <w:tcW w:w="1619"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污染源监测</w:t>
                  </w:r>
                </w:p>
              </w:tc>
              <w:tc>
                <w:tcPr>
                  <w:tcW w:w="3181" w:type="dxa"/>
                  <w:gridSpan w:val="9"/>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监测因子：（ PM</w:t>
                  </w:r>
                  <w:r>
                    <w:rPr>
                      <w:rFonts w:ascii="Times New Roman" w:hAnsi="Times New Roman" w:eastAsia="宋体"/>
                      <w:color w:val="000000"/>
                      <w:kern w:val="2"/>
                      <w:sz w:val="21"/>
                      <w:szCs w:val="21"/>
                      <w:vertAlign w:val="subscript"/>
                      <w:lang w:val="en-US" w:eastAsia="zh-CN" w:bidi="ar-SA"/>
                    </w:rPr>
                    <w:t>10</w:t>
                  </w:r>
                  <w:r>
                    <w:rPr>
                      <w:rFonts w:ascii="Times New Roman" w:hAnsi="Times New Roman" w:eastAsia="宋体"/>
                      <w:color w:val="000000"/>
                      <w:kern w:val="2"/>
                      <w:sz w:val="21"/>
                      <w:szCs w:val="21"/>
                      <w:lang w:val="en-US" w:eastAsia="zh-CN" w:bidi="ar-SA"/>
                    </w:rPr>
                    <w:t>）</w:t>
                  </w:r>
                </w:p>
              </w:tc>
              <w:tc>
                <w:tcPr>
                  <w:tcW w:w="2104" w:type="dxa"/>
                  <w:gridSpan w:val="7"/>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有组织废气监测</w:t>
                  </w:r>
                  <w:r>
                    <w:rPr>
                      <w:rFonts w:ascii="Times New Roman" w:hAnsi="Times New Roman" w:eastAsia="宋体"/>
                      <w:color w:val="000000"/>
                      <w:kern w:val="2"/>
                      <w:sz w:val="21"/>
                      <w:szCs w:val="21"/>
                      <w:lang w:val="en-US" w:eastAsia="zh-CN"/>
                    </w:rPr>
                    <w:t>□</w:t>
                  </w:r>
                  <w:r>
                    <w:rPr>
                      <w:rFonts w:ascii="Times New Roman" w:hAnsi="Times New Roman" w:eastAsia="宋体"/>
                      <w:color w:val="000000"/>
                      <w:kern w:val="2"/>
                      <w:sz w:val="21"/>
                      <w:szCs w:val="21"/>
                      <w:lang w:val="en-US" w:eastAsia="zh-CN" w:bidi="ar-SA"/>
                    </w:rPr>
                    <w:t xml:space="preserve">    </w:t>
                  </w:r>
                  <w:r>
                    <w:rPr>
                      <w:rFonts w:ascii="Times New Roman" w:hAnsi="Times New Roman" w:eastAsia="宋体"/>
                      <w:color w:val="000000"/>
                      <w:kern w:val="2"/>
                      <w:sz w:val="21"/>
                      <w:szCs w:val="21"/>
                      <w:lang w:val="en-US" w:eastAsia="zh-CN" w:bidi="ar-SA"/>
                    </w:rPr>
                    <w:br w:type="textWrapping"/>
                  </w:r>
                  <w:r>
                    <w:rPr>
                      <w:rFonts w:ascii="Times New Roman" w:hAnsi="Times New Roman" w:eastAsia="宋体"/>
                      <w:color w:val="000000"/>
                      <w:kern w:val="2"/>
                      <w:sz w:val="21"/>
                      <w:szCs w:val="21"/>
                      <w:lang w:val="en-US" w:eastAsia="zh-CN" w:bidi="ar-SA"/>
                    </w:rPr>
                    <w:t xml:space="preserve">无组织废气监测 </w:t>
                  </w:r>
                  <w:r>
                    <w:rPr>
                      <w:rFonts w:ascii="Times New Roman" w:hAnsi="Times New Roman" w:eastAsia="宋体"/>
                      <w:color w:val="000000"/>
                      <w:kern w:val="2"/>
                      <w:sz w:val="21"/>
                      <w:szCs w:val="21"/>
                      <w:lang w:val="en-US" w:eastAsia="zh-CN" w:bidi="ar-SA"/>
                    </w:rPr>
                    <w:sym w:font="Wingdings 2" w:char="00A3"/>
                  </w:r>
                </w:p>
              </w:tc>
              <w:tc>
                <w:tcPr>
                  <w:tcW w:w="1328" w:type="dxa"/>
                  <w:gridSpan w:val="2"/>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无监测</w:t>
                  </w:r>
                  <w:r>
                    <w:rPr>
                      <w:rFonts w:ascii="Times New Roman" w:hAnsi="Times New Roman" w:eastAsia="宋体"/>
                      <w:color w:val="000000"/>
                      <w:kern w:val="2"/>
                      <w:sz w:val="21"/>
                      <w:szCs w:val="21"/>
                      <w:lang w:val="en-US" w:eastAsia="zh-CN" w:bidi="ar-SA"/>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953" w:type="dxa"/>
                  <w:vMerge w:val="continue"/>
                  <w:noWrap w:val="0"/>
                  <w:vAlign w:val="center"/>
                </w:tcPr>
                <w:p>
                  <w:pPr>
                    <w:widowControl/>
                    <w:spacing w:line="320" w:lineRule="exact"/>
                    <w:ind w:firstLine="0" w:firstLineChars="0"/>
                    <w:jc w:val="center"/>
                    <w:rPr>
                      <w:color w:val="000000"/>
                      <w:sz w:val="21"/>
                      <w:szCs w:val="21"/>
                    </w:rPr>
                  </w:pPr>
                </w:p>
              </w:tc>
              <w:tc>
                <w:tcPr>
                  <w:tcW w:w="1619"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环境质量监测</w:t>
                  </w:r>
                </w:p>
              </w:tc>
              <w:tc>
                <w:tcPr>
                  <w:tcW w:w="3181" w:type="dxa"/>
                  <w:gridSpan w:val="9"/>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监测因子：（             ）</w:t>
                  </w:r>
                </w:p>
              </w:tc>
              <w:tc>
                <w:tcPr>
                  <w:tcW w:w="2104" w:type="dxa"/>
                  <w:gridSpan w:val="7"/>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监测点位数（     ）</w:t>
                  </w:r>
                </w:p>
              </w:tc>
              <w:tc>
                <w:tcPr>
                  <w:tcW w:w="1328" w:type="dxa"/>
                  <w:gridSpan w:val="2"/>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无监测</w:t>
                  </w:r>
                  <w:r>
                    <w:rPr>
                      <w:rFonts w:ascii="Times New Roman" w:hAnsi="Times New Roman" w:eastAsia="宋体"/>
                      <w:color w:val="000000"/>
                      <w:kern w:val="2"/>
                      <w:sz w:val="21"/>
                      <w:szCs w:val="21"/>
                      <w:lang w:val="en-US" w:eastAsia="zh-CN" w:bidi="ar-SA"/>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953" w:type="dxa"/>
                  <w:vMerge w:val="restart"/>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rPr>
                  </w:pPr>
                  <w:r>
                    <w:rPr>
                      <w:rFonts w:ascii="Times New Roman" w:hAnsi="Times New Roman" w:eastAsia="宋体"/>
                      <w:color w:val="000000"/>
                      <w:kern w:val="2"/>
                      <w:sz w:val="21"/>
                      <w:szCs w:val="21"/>
                      <w:lang w:val="en-US" w:eastAsia="zh-CN"/>
                    </w:rPr>
                    <w:t>评价结论</w:t>
                  </w:r>
                </w:p>
              </w:tc>
              <w:tc>
                <w:tcPr>
                  <w:tcW w:w="1619"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rPr>
                  </w:pPr>
                  <w:r>
                    <w:rPr>
                      <w:rFonts w:ascii="Times New Roman" w:hAnsi="Times New Roman" w:eastAsia="宋体"/>
                      <w:color w:val="000000"/>
                      <w:kern w:val="2"/>
                      <w:sz w:val="21"/>
                      <w:szCs w:val="21"/>
                      <w:lang w:val="en-US" w:eastAsia="zh-CN"/>
                    </w:rPr>
                    <w:t>环境影响</w:t>
                  </w:r>
                </w:p>
              </w:tc>
              <w:tc>
                <w:tcPr>
                  <w:tcW w:w="6613" w:type="dxa"/>
                  <w:gridSpan w:val="18"/>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rPr>
                  </w:pPr>
                  <w:r>
                    <w:rPr>
                      <w:rFonts w:ascii="Times New Roman" w:hAnsi="Times New Roman" w:eastAsia="宋体"/>
                      <w:color w:val="000000"/>
                      <w:kern w:val="2"/>
                      <w:sz w:val="21"/>
                      <w:szCs w:val="21"/>
                      <w:lang w:val="en-US" w:eastAsia="zh-CN"/>
                    </w:rPr>
                    <w:t xml:space="preserve">可以接受 </w:t>
                  </w:r>
                  <w:r>
                    <w:rPr>
                      <w:rFonts w:ascii="Times New Roman" w:hAnsi="Times New Roman" w:eastAsia="宋体"/>
                      <w:color w:val="000000"/>
                      <w:kern w:val="2"/>
                      <w:sz w:val="21"/>
                      <w:szCs w:val="21"/>
                      <w:lang w:val="en-US" w:eastAsia="zh-CN"/>
                    </w:rPr>
                    <w:sym w:font="Wingdings 2" w:char="0052"/>
                  </w:r>
                  <w:r>
                    <w:rPr>
                      <w:rFonts w:ascii="Times New Roman" w:hAnsi="Times New Roman" w:eastAsia="宋体"/>
                      <w:color w:val="000000"/>
                      <w:kern w:val="2"/>
                      <w:sz w:val="21"/>
                      <w:szCs w:val="21"/>
                      <w:lang w:val="en-US" w:eastAsia="zh-CN"/>
                    </w:rPr>
                    <w:t xml:space="preserve">       不可以接受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953" w:type="dxa"/>
                  <w:vMerge w:val="continue"/>
                  <w:noWrap w:val="0"/>
                  <w:vAlign w:val="center"/>
                </w:tcPr>
                <w:p>
                  <w:pPr>
                    <w:widowControl/>
                    <w:spacing w:line="320" w:lineRule="exact"/>
                    <w:ind w:firstLine="0" w:firstLineChars="0"/>
                    <w:jc w:val="center"/>
                    <w:rPr>
                      <w:color w:val="000000"/>
                      <w:sz w:val="21"/>
                      <w:szCs w:val="21"/>
                      <w:lang w:bidi="en-US"/>
                    </w:rPr>
                  </w:pPr>
                </w:p>
              </w:tc>
              <w:tc>
                <w:tcPr>
                  <w:tcW w:w="1619"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rPr>
                  </w:pPr>
                  <w:r>
                    <w:rPr>
                      <w:rFonts w:ascii="Times New Roman" w:hAnsi="Times New Roman" w:eastAsia="宋体"/>
                      <w:color w:val="000000"/>
                      <w:kern w:val="2"/>
                      <w:sz w:val="21"/>
                      <w:szCs w:val="21"/>
                      <w:lang w:val="en-US" w:eastAsia="zh-CN"/>
                    </w:rPr>
                    <w:t>大气环境防护距离</w:t>
                  </w:r>
                </w:p>
              </w:tc>
              <w:tc>
                <w:tcPr>
                  <w:tcW w:w="6613" w:type="dxa"/>
                  <w:gridSpan w:val="18"/>
                  <w:noWrap w:val="0"/>
                  <w:vAlign w:val="center"/>
                </w:tcPr>
                <w:p>
                  <w:pPr>
                    <w:pStyle w:val="109"/>
                    <w:spacing w:line="320" w:lineRule="exact"/>
                    <w:ind w:firstLine="420"/>
                    <w:rPr>
                      <w:rFonts w:ascii="Times New Roman" w:hAnsi="Times New Roman" w:eastAsia="宋体"/>
                      <w:color w:val="000000"/>
                      <w:kern w:val="2"/>
                      <w:sz w:val="21"/>
                      <w:szCs w:val="21"/>
                      <w:lang w:val="en-US" w:eastAsia="zh-CN"/>
                    </w:rPr>
                  </w:pPr>
                  <w:r>
                    <w:rPr>
                      <w:rFonts w:ascii="Times New Roman" w:hAnsi="Times New Roman" w:eastAsia="宋体"/>
                      <w:color w:val="000000"/>
                      <w:kern w:val="2"/>
                      <w:sz w:val="21"/>
                      <w:szCs w:val="21"/>
                      <w:lang w:val="en-US" w:eastAsia="zh-CN"/>
                    </w:rPr>
                    <w:t>距（   /  ）厂界最远（   /  ）m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953" w:type="dxa"/>
                  <w:vMerge w:val="continue"/>
                  <w:noWrap w:val="0"/>
                  <w:vAlign w:val="center"/>
                </w:tcPr>
                <w:p>
                  <w:pPr>
                    <w:widowControl/>
                    <w:spacing w:line="320" w:lineRule="exact"/>
                    <w:ind w:firstLine="0" w:firstLineChars="0"/>
                    <w:jc w:val="center"/>
                    <w:rPr>
                      <w:color w:val="000000"/>
                      <w:sz w:val="21"/>
                      <w:szCs w:val="21"/>
                      <w:lang w:bidi="en-US"/>
                    </w:rPr>
                  </w:pPr>
                </w:p>
              </w:tc>
              <w:tc>
                <w:tcPr>
                  <w:tcW w:w="1619" w:type="dxa"/>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rPr>
                  </w:pPr>
                  <w:r>
                    <w:rPr>
                      <w:rFonts w:ascii="Times New Roman" w:hAnsi="Times New Roman" w:eastAsia="宋体"/>
                      <w:color w:val="000000"/>
                      <w:kern w:val="2"/>
                      <w:sz w:val="21"/>
                      <w:szCs w:val="21"/>
                      <w:lang w:val="en-US" w:eastAsia="zh-CN"/>
                    </w:rPr>
                    <w:t>污染源年排放量</w:t>
                  </w:r>
                </w:p>
              </w:tc>
              <w:tc>
                <w:tcPr>
                  <w:tcW w:w="1553" w:type="dxa"/>
                  <w:gridSpan w:val="4"/>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rPr>
                  </w:pPr>
                  <w:r>
                    <w:rPr>
                      <w:rFonts w:ascii="Times New Roman" w:hAnsi="Times New Roman" w:eastAsia="宋体"/>
                      <w:color w:val="000000"/>
                      <w:kern w:val="2"/>
                      <w:sz w:val="21"/>
                      <w:szCs w:val="21"/>
                      <w:lang w:val="en-US" w:eastAsia="zh-CN"/>
                    </w:rPr>
                    <w:t>SO</w:t>
                  </w:r>
                  <w:r>
                    <w:rPr>
                      <w:rFonts w:ascii="Times New Roman" w:hAnsi="Times New Roman" w:eastAsia="宋体"/>
                      <w:color w:val="000000"/>
                      <w:kern w:val="2"/>
                      <w:sz w:val="21"/>
                      <w:szCs w:val="21"/>
                      <w:vertAlign w:val="subscript"/>
                      <w:lang w:val="en-US" w:eastAsia="zh-CN"/>
                    </w:rPr>
                    <w:t>2</w:t>
                  </w:r>
                  <w:r>
                    <w:rPr>
                      <w:rFonts w:ascii="Times New Roman" w:hAnsi="Times New Roman" w:eastAsia="宋体"/>
                      <w:color w:val="000000"/>
                      <w:kern w:val="2"/>
                      <w:sz w:val="21"/>
                      <w:szCs w:val="21"/>
                      <w:lang w:val="en-US" w:eastAsia="zh-CN"/>
                    </w:rPr>
                    <w:t>:（/）t/a</w:t>
                  </w:r>
                </w:p>
              </w:tc>
              <w:tc>
                <w:tcPr>
                  <w:tcW w:w="1628" w:type="dxa"/>
                  <w:gridSpan w:val="5"/>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rPr>
                  </w:pPr>
                  <w:r>
                    <w:rPr>
                      <w:rFonts w:ascii="Times New Roman" w:hAnsi="Times New Roman" w:eastAsia="宋体"/>
                      <w:color w:val="000000"/>
                      <w:kern w:val="2"/>
                      <w:sz w:val="21"/>
                      <w:szCs w:val="21"/>
                      <w:lang w:val="en-US" w:eastAsia="zh-CN"/>
                    </w:rPr>
                    <w:t>NOx:（/）t/a</w:t>
                  </w:r>
                </w:p>
              </w:tc>
              <w:tc>
                <w:tcPr>
                  <w:tcW w:w="1922" w:type="dxa"/>
                  <w:gridSpan w:val="6"/>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rPr>
                  </w:pPr>
                  <w:r>
                    <w:rPr>
                      <w:rFonts w:ascii="Times New Roman" w:hAnsi="Times New Roman" w:eastAsia="宋体"/>
                      <w:color w:val="000000"/>
                      <w:kern w:val="2"/>
                      <w:sz w:val="21"/>
                      <w:szCs w:val="21"/>
                      <w:lang w:val="en-US" w:eastAsia="zh-CN"/>
                    </w:rPr>
                    <w:t>颗粒物:（</w:t>
                  </w:r>
                  <w:r>
                    <w:rPr>
                      <w:rFonts w:hint="eastAsia" w:ascii="Times New Roman" w:hAnsi="Times New Roman" w:eastAsia="宋体"/>
                      <w:color w:val="000000"/>
                      <w:kern w:val="2"/>
                      <w:sz w:val="21"/>
                      <w:szCs w:val="21"/>
                      <w:lang w:val="en-US" w:eastAsia="zh-CN"/>
                    </w:rPr>
                    <w:t>0.147</w:t>
                  </w:r>
                  <w:r>
                    <w:rPr>
                      <w:rFonts w:ascii="Times New Roman" w:hAnsi="Times New Roman" w:eastAsia="宋体"/>
                      <w:color w:val="000000"/>
                      <w:kern w:val="2"/>
                      <w:sz w:val="21"/>
                      <w:szCs w:val="21"/>
                      <w:lang w:val="en-US" w:eastAsia="zh-CN"/>
                    </w:rPr>
                    <w:t>）t/a</w:t>
                  </w:r>
                </w:p>
              </w:tc>
              <w:tc>
                <w:tcPr>
                  <w:tcW w:w="1510" w:type="dxa"/>
                  <w:gridSpan w:val="3"/>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rPr>
                  </w:pPr>
                  <w:r>
                    <w:rPr>
                      <w:rFonts w:ascii="Times New Roman" w:hAnsi="Times New Roman" w:eastAsia="宋体"/>
                      <w:color w:val="000000"/>
                      <w:kern w:val="2"/>
                      <w:sz w:val="21"/>
                      <w:szCs w:val="21"/>
                      <w:lang w:val="en-US" w:eastAsia="zh-CN"/>
                    </w:rPr>
                    <w:t>VOCs:（/）t/a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9185" w:type="dxa"/>
                  <w:gridSpan w:val="20"/>
                  <w:noWrap w:val="0"/>
                  <w:vAlign w:val="center"/>
                </w:tcPr>
                <w:p>
                  <w:pPr>
                    <w:pStyle w:val="109"/>
                    <w:widowControl w:val="0"/>
                    <w:spacing w:line="320" w:lineRule="exact"/>
                    <w:ind w:firstLine="0" w:firstLineChars="0"/>
                    <w:rPr>
                      <w:rFonts w:ascii="Times New Roman" w:hAnsi="Times New Roman" w:eastAsia="宋体"/>
                      <w:color w:val="000000"/>
                      <w:kern w:val="2"/>
                      <w:sz w:val="21"/>
                      <w:szCs w:val="21"/>
                      <w:lang w:val="en-US" w:eastAsia="zh-CN" w:bidi="ar-SA"/>
                    </w:rPr>
                  </w:pPr>
                  <w:r>
                    <w:rPr>
                      <w:rFonts w:ascii="Times New Roman" w:hAnsi="Times New Roman" w:eastAsia="宋体"/>
                      <w:color w:val="000000"/>
                      <w:kern w:val="2"/>
                      <w:sz w:val="21"/>
                      <w:szCs w:val="21"/>
                      <w:lang w:val="en-US" w:eastAsia="zh-CN" w:bidi="ar-SA"/>
                    </w:rPr>
                    <w:t>注：“□”为勾选项 ，填“√”；“（   ）”为内容填写项</w:t>
                  </w:r>
                </w:p>
              </w:tc>
            </w:tr>
          </w:tbl>
          <w:p>
            <w:pPr>
              <w:ind w:firstLine="480"/>
              <w:rPr>
                <w:rFonts w:hint="default" w:ascii="Times New Roman" w:hAnsi="Times New Roman" w:eastAsia="宋体"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2.水环境分析</w:t>
            </w:r>
          </w:p>
          <w:p>
            <w:pPr>
              <w:pStyle w:val="202"/>
              <w:ind w:firstLine="480"/>
              <w:outlineLvl w:val="9"/>
              <w:rPr>
                <w:color w:val="auto"/>
                <w:u w:val="none"/>
              </w:rPr>
            </w:pPr>
            <w:bookmarkStart w:id="50" w:name="_Toc20070"/>
            <w:r>
              <w:rPr>
                <w:color w:val="auto"/>
                <w:u w:val="none"/>
              </w:rPr>
              <w:t>本项目废水处理具体流程为：生产废水首先</w:t>
            </w:r>
            <w:r>
              <w:rPr>
                <w:rFonts w:hint="eastAsia"/>
                <w:color w:val="auto"/>
                <w:u w:val="none"/>
              </w:rPr>
              <w:t>经水泵抽至</w:t>
            </w:r>
            <w:r>
              <w:rPr>
                <w:color w:val="auto"/>
                <w:u w:val="none"/>
              </w:rPr>
              <w:t>排入一级沉淀池，上层废水依次流入</w:t>
            </w:r>
            <w:r>
              <w:rPr>
                <w:rFonts w:hint="eastAsia"/>
                <w:color w:val="auto"/>
                <w:u w:val="none"/>
              </w:rPr>
              <w:t>下</w:t>
            </w:r>
            <w:r>
              <w:rPr>
                <w:color w:val="auto"/>
                <w:u w:val="none"/>
              </w:rPr>
              <w:t>级沉淀池进行沉淀，再经</w:t>
            </w:r>
            <w:r>
              <w:rPr>
                <w:rFonts w:hint="eastAsia"/>
                <w:color w:val="auto"/>
                <w:u w:val="none"/>
              </w:rPr>
              <w:t>泥浆泵</w:t>
            </w:r>
            <w:r>
              <w:rPr>
                <w:color w:val="auto"/>
                <w:u w:val="none"/>
              </w:rPr>
              <w:t>至板</w:t>
            </w:r>
            <w:r>
              <w:rPr>
                <w:rFonts w:hint="eastAsia"/>
                <w:color w:val="auto"/>
                <w:u w:val="none"/>
              </w:rPr>
              <w:t>污泥干化池</w:t>
            </w:r>
            <w:r>
              <w:rPr>
                <w:color w:val="auto"/>
                <w:u w:val="none"/>
              </w:rPr>
              <w:t>进行</w:t>
            </w:r>
            <w:r>
              <w:rPr>
                <w:rFonts w:hint="eastAsia"/>
                <w:color w:val="auto"/>
                <w:u w:val="none"/>
              </w:rPr>
              <w:t>干化脱水</w:t>
            </w:r>
            <w:r>
              <w:rPr>
                <w:color w:val="auto"/>
                <w:u w:val="none"/>
              </w:rPr>
              <w:t>，脱水后的污泥进入一般固废暂存区，污泥由渣土公司外运</w:t>
            </w:r>
            <w:r>
              <w:rPr>
                <w:rFonts w:hint="eastAsia"/>
                <w:color w:val="auto"/>
                <w:u w:val="none"/>
              </w:rPr>
              <w:t>至砖厂作为原料</w:t>
            </w:r>
            <w:r>
              <w:rPr>
                <w:color w:val="auto"/>
                <w:u w:val="none"/>
              </w:rPr>
              <w:t>。流程图详见图1-1。</w:t>
            </w:r>
            <w:bookmarkEnd w:id="50"/>
          </w:p>
          <w:p>
            <w:pPr>
              <w:jc w:val="center"/>
              <w:rPr>
                <w:u w:val="none"/>
              </w:rPr>
            </w:pPr>
            <w:r>
              <w:rPr>
                <w:u w:val="none"/>
              </w:rPr>
              <w:object>
                <v:shape id="_x0000_i1028" o:spt="75" type="#_x0000_t75" style="height:104.95pt;width:413.75pt;" o:ole="t" filled="f" o:preferrelative="t" stroked="f" coordsize="21600,21600">
                  <v:path/>
                  <v:fill on="f" alignshape="1" focussize="0,0"/>
                  <v:stroke on="f"/>
                  <v:imagedata r:id="rId21" grayscale="f" bilevel="f" o:title=""/>
                  <o:lock v:ext="edit" aspectratio="t"/>
                  <w10:wrap type="none"/>
                  <w10:anchorlock/>
                </v:shape>
                <o:OLEObject Type="Embed" ProgID="Visio.Drawing.11" ShapeID="_x0000_i1028" DrawAspect="Content" ObjectID="_1468075728" r:id="rId20">
                  <o:LockedField>false</o:LockedField>
                </o:OLEObject>
              </w:object>
            </w:r>
          </w:p>
          <w:p>
            <w:pPr>
              <w:tabs>
                <w:tab w:val="left" w:pos="195"/>
                <w:tab w:val="center" w:pos="4617"/>
              </w:tabs>
              <w:spacing w:before="156" w:beforeLines="50" w:line="280" w:lineRule="exact"/>
              <w:jc w:val="left"/>
              <w:rPr>
                <w:b/>
                <w:spacing w:val="-6"/>
                <w:sz w:val="24"/>
                <w:szCs w:val="24"/>
                <w:u w:val="none"/>
              </w:rPr>
            </w:pPr>
            <w:r>
              <w:rPr>
                <w:rFonts w:eastAsia="黑体"/>
                <w:spacing w:val="-6"/>
                <w:sz w:val="24"/>
                <w:szCs w:val="24"/>
                <w:u w:val="none"/>
              </w:rPr>
              <w:tab/>
            </w:r>
            <w:r>
              <w:rPr>
                <w:rFonts w:eastAsia="黑体"/>
                <w:spacing w:val="-6"/>
                <w:sz w:val="24"/>
                <w:szCs w:val="24"/>
                <w:u w:val="none"/>
              </w:rPr>
              <w:tab/>
            </w:r>
            <w:r>
              <w:rPr>
                <w:rFonts w:hAnsi="宋体"/>
                <w:b/>
                <w:spacing w:val="-6"/>
                <w:sz w:val="24"/>
                <w:szCs w:val="24"/>
                <w:u w:val="none"/>
              </w:rPr>
              <w:t>项目污水处理流程图</w:t>
            </w:r>
            <w:r>
              <w:rPr>
                <w:b/>
                <w:spacing w:val="-6"/>
                <w:sz w:val="24"/>
                <w:szCs w:val="24"/>
                <w:u w:val="none"/>
              </w:rPr>
              <w:t xml:space="preserve">      </w:t>
            </w:r>
          </w:p>
          <w:p>
            <w:pPr>
              <w:spacing w:line="360" w:lineRule="auto"/>
              <w:ind w:firstLine="480" w:firstLineChars="200"/>
              <w:rPr>
                <w:kern w:val="24"/>
                <w:sz w:val="24"/>
                <w:u w:val="none"/>
              </w:rPr>
            </w:pPr>
            <w:r>
              <w:rPr>
                <w:rFonts w:hint="eastAsia"/>
                <w:sz w:val="24"/>
                <w:szCs w:val="24"/>
                <w:u w:val="none"/>
              </w:rPr>
              <w:t>本项目生产废水</w:t>
            </w:r>
            <w:r>
              <w:rPr>
                <w:sz w:val="24"/>
                <w:szCs w:val="24"/>
                <w:u w:val="none"/>
              </w:rPr>
              <w:t>SS</w:t>
            </w:r>
            <w:r>
              <w:rPr>
                <w:rFonts w:hint="eastAsia"/>
                <w:sz w:val="24"/>
                <w:szCs w:val="24"/>
                <w:u w:val="none"/>
              </w:rPr>
              <w:t>浓度值较高，但回用水对水质要求不高，沉淀池的容积应满足停留</w:t>
            </w:r>
            <w:r>
              <w:rPr>
                <w:sz w:val="24"/>
                <w:szCs w:val="24"/>
                <w:u w:val="none"/>
              </w:rPr>
              <w:t>2h</w:t>
            </w:r>
            <w:r>
              <w:rPr>
                <w:rFonts w:hint="eastAsia"/>
                <w:sz w:val="24"/>
                <w:szCs w:val="24"/>
                <w:u w:val="none"/>
              </w:rPr>
              <w:t>废水量（即水力停留时间在</w:t>
            </w:r>
            <w:r>
              <w:rPr>
                <w:sz w:val="24"/>
                <w:szCs w:val="24"/>
                <w:u w:val="none"/>
              </w:rPr>
              <w:t>120</w:t>
            </w:r>
            <w:r>
              <w:rPr>
                <w:rFonts w:hint="eastAsia"/>
                <w:sz w:val="24"/>
                <w:szCs w:val="24"/>
                <w:u w:val="none"/>
              </w:rPr>
              <w:t>分钟以上）；沉淀池的建设可采用砖混结构，方便施工。本项目生产用水新鲜补充水来源于市政供水，设置三级沉淀池使大量生产废水经沉淀分离后回用，不外排，对地表水环境基本无影响。</w:t>
            </w:r>
          </w:p>
          <w:p>
            <w:pPr>
              <w:ind w:firstLine="480"/>
              <w:rPr>
                <w:rFonts w:hint="eastAsia" w:ascii="Times New Roman" w:hAnsi="Times New Roman" w:eastAsia="宋体"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3.</w:t>
            </w:r>
            <w:r>
              <w:rPr>
                <w:rFonts w:hint="eastAsia" w:ascii="Times New Roman" w:hAnsi="Times New Roman" w:eastAsia="宋体" w:cs="Times New Roman"/>
                <w:b/>
                <w:bCs/>
                <w:kern w:val="2"/>
                <w:sz w:val="24"/>
                <w:szCs w:val="24"/>
                <w:lang w:val="en-US" w:eastAsia="zh-CN" w:bidi="ar-SA"/>
              </w:rPr>
              <w:t>声环境影响分析</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建设项目主要噪声源为搅拌机、运输机等设备，源强在70~85dB（A），具体噪声污染源强见表5-6。为了便于比较本项目建成前后厂界噪声水平变化情况，本环评预测的各受声点选择与现状监测点同一位置。 </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根据声环境评价导则的规定，选用预测模式，应用过程中将根据具体情况作必要简化。</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①室外点声源在预测点的倍频带声压级</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a.某个点源在预测点的倍频带声压级</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object>
                <v:shape id="_x0000_i1029" o:spt="75" type="#_x0000_t75" style="height:18.35pt;width:178pt;" o:ole="t" fillcolor="#6D6D6D" filled="f" o:preferrelative="t" stroked="f" coordsize="21600,21600">
                  <v:path/>
                  <v:fill on="f" focussize="0,0"/>
                  <v:stroke on="f"/>
                  <v:imagedata r:id="rId23" o:title=""/>
                  <o:lock v:ext="edit" aspectratio="t"/>
                  <w10:wrap type="none"/>
                  <w10:anchorlock/>
                </v:shape>
                <o:OLEObject Type="Embed" ProgID="Equations" ShapeID="_x0000_i1029" DrawAspect="Content" ObjectID="_1468075729" r:id="rId22">
                  <o:LockedField>false</o:LockedField>
                </o:OLEObject>
              </w:objec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式中：Loct（r）——点声源在预测点产生的倍频带声压级；</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Loct（r0）——参考位置r0处的倍频带声压级；</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r——预测点距声源的距离，m；</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r0——参考位置距声源的距离，m；</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ΔLoct——各种因素引起的衰减量，包括声屏障、空气吸收和</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地面效应引起的衰减，其计算方式分别为：</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Aoct bar=</w:t>
            </w:r>
            <w:r>
              <w:rPr>
                <w:rFonts w:hint="eastAsia" w:ascii="Times New Roman" w:hAnsi="Times New Roman" w:eastAsia="宋体" w:cs="Times New Roman"/>
                <w:kern w:val="2"/>
                <w:sz w:val="24"/>
                <w:szCs w:val="24"/>
                <w:lang w:val="en-US" w:eastAsia="zh-CN" w:bidi="ar-SA"/>
              </w:rPr>
              <w:object>
                <v:shape id="_x0000_i1030" o:spt="75" type="#_x0000_t75" style="height:38.05pt;width:203pt;" o:ole="t" fillcolor="#6D6D6D" filled="f" o:preferrelative="t" stroked="f" coordsize="21600,21600">
                  <v:path/>
                  <v:fill on="f" focussize="0,0"/>
                  <v:stroke on="f"/>
                  <v:imagedata r:id="rId25" o:title=""/>
                  <o:lock v:ext="edit" aspectratio="t"/>
                  <w10:wrap type="none"/>
                  <w10:anchorlock/>
                </v:shape>
                <o:OLEObject Type="Embed" ProgID="Equations" ShapeID="_x0000_i1030" DrawAspect="Content" ObjectID="_1468075730" r:id="rId24">
                  <o:LockedField>false</o:LockedField>
                </o:OLEObject>
              </w:objec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Aoct atm=α(r-r0)/100；</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Aexc=5lg(r-r0)；</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b.如果已知声源的倍频带声功率级Lw cot，且声源可看作是位于地面上的，则：</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Lcot=Lw cot-20lgr0-8</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c.由各倍频带声压级合成计算出该声源产生的A声级LA：</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object>
                <v:shape id="_x0000_i1031" o:spt="75" type="#_x0000_t75" style="height:36pt;width:127pt;" o:ole="t" fillcolor="#6D6D6D" filled="f" o:preferrelative="t" stroked="f" coordsize="21600,21600">
                  <v:path/>
                  <v:fill on="f" focussize="0,0"/>
                  <v:stroke on="f"/>
                  <v:imagedata r:id="rId27" o:title=""/>
                  <o:lock v:ext="edit" aspectratio="t"/>
                  <w10:wrap type="none"/>
                  <w10:anchorlock/>
                </v:shape>
                <o:OLEObject Type="Embed" ProgID="Equations" ShapeID="_x0000_i1031" DrawAspect="Content" ObjectID="_1468075731" r:id="rId26">
                  <o:LockedField>false</o:LockedField>
                </o:OLEObject>
              </w:objec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式中ΔLi为A计权网络修正值。</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d.各声源在预测点产生的声级的合成</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object>
                <v:shape id="_x0000_i1032" o:spt="75" type="#_x0000_t75" style="height:36pt;width:110.65pt;" o:ole="t" fillcolor="#6D6D6D" filled="f" o:preferrelative="t" stroked="f" coordsize="21600,21600">
                  <v:path/>
                  <v:fill on="f" focussize="0,0"/>
                  <v:stroke on="f"/>
                  <v:imagedata r:id="rId29" o:title=""/>
                  <o:lock v:ext="edit" aspectratio="t"/>
                  <w10:wrap type="none"/>
                  <w10:anchorlock/>
                </v:shape>
                <o:OLEObject Type="Embed" ProgID="Equations" ShapeID="_x0000_i1032" DrawAspect="Content" ObjectID="_1468075732" r:id="rId28">
                  <o:LockedField>false</o:LockedField>
                </o:OLEObject>
              </w:objec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②室内点声源的预测</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a.室内靠近围护结构处的倍频带声压级：</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object>
                <v:shape id="_x0000_i1033" o:spt="75" type="#_x0000_t75" style="height:38.05pt;width:153.55pt;" o:ole="t" fillcolor="#6D6D6D" filled="f" o:preferrelative="t" stroked="f" coordsize="21600,21600">
                  <v:path/>
                  <v:fill on="f" focussize="0,0"/>
                  <v:stroke on="f"/>
                  <v:imagedata r:id="rId31" o:title=""/>
                  <o:lock v:ext="edit" aspectratio="t"/>
                  <w10:wrap type="none"/>
                  <w10:anchorlock/>
                </v:shape>
                <o:OLEObject Type="Embed" ProgID="Equations" ShapeID="_x0000_i1033" DrawAspect="Content" ObjectID="_1468075733" r:id="rId30">
                  <o:LockedField>false</o:LockedField>
                </o:OLEObject>
              </w:objec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式中：r1为室内某源距离围护结构的距离；</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R为房间常数；</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Q为方向性因子。</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b.室内声源在靠近围护结构处产生的总倍频带声压级：</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object>
                <v:shape id="_x0000_i1034" o:spt="75" type="#_x0000_t75" style="height:36pt;width:144.7pt;" o:ole="t" fillcolor="#6D6D6D" filled="f" o:preferrelative="t" stroked="f" coordsize="21600,21600">
                  <v:path/>
                  <v:fill on="f" focussize="0,0"/>
                  <v:stroke on="f"/>
                  <v:imagedata r:id="rId33" o:title=""/>
                  <o:lock v:ext="edit" aspectratio="t"/>
                  <w10:wrap type="none"/>
                  <w10:anchorlock/>
                </v:shape>
                <o:OLEObject Type="Embed" ProgID="Equations" ShapeID="_x0000_i1034" DrawAspect="Content" ObjectID="_1468075734" r:id="rId32">
                  <o:LockedField>false</o:LockedField>
                </o:OLEObject>
              </w:objec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c.室外靠近围护结构处的总的声压级：</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Loct,1(T)=L0ct,1(T)-(Tloct+6)</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d.室外声压级换算成等效的室外声源：</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Lw oct=Loct,2(T)+10lgS</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式中：S为透声面积。</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e.等效室外声源的位置为围护结构的位置，其倍频带声功率级为Lw oct，由此按室外声源方法计算等效室外声源在预测点产生的声级。</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根据建设项目的特点和现有的资料数据，对计算模式进行简化并进行估算，为充分估算声源对周围环境的影响，对不满足计算条件的小额正衰减予以忽略，在此基础上进一步计算各预测点的声级。先计算设备噪声到各预测点的声压级合成，即以车间或装置作为一个整体声源，分段以不同模式测算其对外辐射的衰减量，预测各主要场源对单独存在时对厂界及外环境噪声的影响，并合成设备声源对受声点的影响。</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根据《环境影响评价技术导则》建设项目厂界噪声评价量以工程噪声值作为评价量，敏感目标噪声评价量以敏感目标所受的噪声贡献值与背景值的叠加值作为评价量，</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结果如表7</w:t>
            </w:r>
            <w:r>
              <w:rPr>
                <w:rFonts w:hint="eastAsia"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-9。</w:t>
            </w:r>
          </w:p>
          <w:p>
            <w:pPr>
              <w:spacing w:line="320" w:lineRule="exact"/>
              <w:ind w:firstLine="0" w:firstLineChars="0"/>
              <w:jc w:val="center"/>
              <w:rPr>
                <w:rFonts w:eastAsia="宋体"/>
                <w:b/>
                <w:color w:val="000000"/>
                <w:sz w:val="21"/>
                <w:szCs w:val="21"/>
              </w:rPr>
            </w:pPr>
          </w:p>
          <w:p>
            <w:pPr>
              <w:spacing w:line="320" w:lineRule="exact"/>
              <w:ind w:firstLine="0" w:firstLineChars="0"/>
              <w:jc w:val="center"/>
              <w:rPr>
                <w:rFonts w:hint="eastAsia"/>
                <w:b/>
                <w:color w:val="000000"/>
                <w:sz w:val="21"/>
                <w:szCs w:val="21"/>
              </w:rPr>
            </w:pPr>
            <w:r>
              <w:rPr>
                <w:rFonts w:eastAsia="宋体"/>
                <w:b/>
                <w:color w:val="000000"/>
                <w:sz w:val="21"/>
                <w:szCs w:val="21"/>
              </w:rPr>
              <w:t>表7</w:t>
            </w:r>
            <w:r>
              <w:rPr>
                <w:rFonts w:hint="eastAsia"/>
                <w:b/>
                <w:color w:val="000000"/>
                <w:sz w:val="21"/>
                <w:szCs w:val="21"/>
                <w:lang w:val="en-US" w:eastAsia="zh-CN"/>
              </w:rPr>
              <w:t>.1</w:t>
            </w:r>
            <w:r>
              <w:rPr>
                <w:rFonts w:eastAsia="宋体"/>
                <w:b/>
                <w:color w:val="000000"/>
                <w:sz w:val="21"/>
                <w:szCs w:val="21"/>
              </w:rPr>
              <w:t>-</w:t>
            </w:r>
            <w:r>
              <w:rPr>
                <w:rFonts w:hint="eastAsia" w:eastAsia="宋体"/>
                <w:b/>
                <w:color w:val="000000"/>
                <w:sz w:val="21"/>
                <w:szCs w:val="21"/>
                <w:lang w:val="en-US" w:eastAsia="zh-CN"/>
              </w:rPr>
              <w:t>9</w:t>
            </w:r>
            <w:r>
              <w:rPr>
                <w:rFonts w:eastAsia="宋体"/>
                <w:b/>
                <w:color w:val="000000"/>
                <w:sz w:val="21"/>
                <w:szCs w:val="21"/>
              </w:rPr>
              <w:t xml:space="preserve"> 项目噪声预测结果表     单位：dB(A)</w:t>
            </w:r>
          </w:p>
          <w:tbl>
            <w:tblPr>
              <w:tblStyle w:val="43"/>
              <w:tblW w:w="9185"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436"/>
              <w:gridCol w:w="1694"/>
              <w:gridCol w:w="1697"/>
              <w:gridCol w:w="1697"/>
              <w:gridCol w:w="166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436"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预测点位</w:t>
                  </w:r>
                </w:p>
              </w:tc>
              <w:tc>
                <w:tcPr>
                  <w:tcW w:w="1694"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现状监测值</w:t>
                  </w:r>
                </w:p>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（昼间）</w:t>
                  </w:r>
                </w:p>
              </w:tc>
              <w:tc>
                <w:tcPr>
                  <w:tcW w:w="1697"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贡献值</w:t>
                  </w:r>
                </w:p>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（昼间）</w:t>
                  </w:r>
                </w:p>
              </w:tc>
              <w:tc>
                <w:tcPr>
                  <w:tcW w:w="1697"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叠加值</w:t>
                  </w:r>
                </w:p>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（昼间）</w:t>
                  </w:r>
                </w:p>
              </w:tc>
              <w:tc>
                <w:tcPr>
                  <w:tcW w:w="1661"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执行标准</w:t>
                  </w:r>
                </w:p>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（昼间）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436"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N1东厂界</w:t>
                  </w:r>
                </w:p>
              </w:tc>
              <w:tc>
                <w:tcPr>
                  <w:tcW w:w="1694"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56.2</w:t>
                  </w:r>
                </w:p>
              </w:tc>
              <w:tc>
                <w:tcPr>
                  <w:tcW w:w="1697" w:type="dxa"/>
                  <w:noWrap w:val="0"/>
                  <w:vAlign w:val="center"/>
                </w:tcPr>
                <w:p>
                  <w:pPr>
                    <w:widowControl/>
                    <w:spacing w:line="320" w:lineRule="exact"/>
                    <w:ind w:firstLine="0" w:firstLineChars="0"/>
                    <w:jc w:val="center"/>
                    <w:rPr>
                      <w:rFonts w:hint="default"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50.1</w:t>
                  </w:r>
                </w:p>
              </w:tc>
              <w:tc>
                <w:tcPr>
                  <w:tcW w:w="1697" w:type="dxa"/>
                  <w:noWrap w:val="0"/>
                  <w:vAlign w:val="top"/>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w:t>
                  </w:r>
                </w:p>
              </w:tc>
              <w:tc>
                <w:tcPr>
                  <w:tcW w:w="1661" w:type="dxa"/>
                  <w:noWrap w:val="0"/>
                  <w:vAlign w:val="center"/>
                </w:tcPr>
                <w:p>
                  <w:pPr>
                    <w:widowControl/>
                    <w:spacing w:line="320" w:lineRule="exact"/>
                    <w:ind w:firstLine="0" w:firstLineChars="0"/>
                    <w:jc w:val="center"/>
                    <w:rPr>
                      <w:rFonts w:hint="default"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70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436"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N2南厂界</w:t>
                  </w:r>
                </w:p>
              </w:tc>
              <w:tc>
                <w:tcPr>
                  <w:tcW w:w="1694"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51.2</w:t>
                  </w:r>
                </w:p>
              </w:tc>
              <w:tc>
                <w:tcPr>
                  <w:tcW w:w="1697" w:type="dxa"/>
                  <w:noWrap w:val="0"/>
                  <w:vAlign w:val="center"/>
                </w:tcPr>
                <w:p>
                  <w:pPr>
                    <w:widowControl/>
                    <w:spacing w:line="320" w:lineRule="exact"/>
                    <w:ind w:firstLine="0" w:firstLineChars="0"/>
                    <w:jc w:val="center"/>
                    <w:rPr>
                      <w:rFonts w:hint="default"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49.6</w:t>
                  </w:r>
                </w:p>
              </w:tc>
              <w:tc>
                <w:tcPr>
                  <w:tcW w:w="1697" w:type="dxa"/>
                  <w:noWrap w:val="0"/>
                  <w:vAlign w:val="top"/>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w:t>
                  </w:r>
                </w:p>
              </w:tc>
              <w:tc>
                <w:tcPr>
                  <w:tcW w:w="1661" w:type="dxa"/>
                  <w:noWrap w:val="0"/>
                  <w:vAlign w:val="center"/>
                </w:tcPr>
                <w:p>
                  <w:pPr>
                    <w:widowControl/>
                    <w:spacing w:line="320" w:lineRule="exact"/>
                    <w:ind w:firstLine="0" w:firstLineChars="0"/>
                    <w:jc w:val="center"/>
                    <w:rPr>
                      <w:rFonts w:hint="default"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60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436"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N3西厂界</w:t>
                  </w:r>
                </w:p>
              </w:tc>
              <w:tc>
                <w:tcPr>
                  <w:tcW w:w="1694"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54.4</w:t>
                  </w:r>
                </w:p>
              </w:tc>
              <w:tc>
                <w:tcPr>
                  <w:tcW w:w="1697" w:type="dxa"/>
                  <w:noWrap w:val="0"/>
                  <w:vAlign w:val="center"/>
                </w:tcPr>
                <w:p>
                  <w:pPr>
                    <w:widowControl/>
                    <w:spacing w:line="320" w:lineRule="exact"/>
                    <w:ind w:firstLine="0" w:firstLineChars="0"/>
                    <w:jc w:val="center"/>
                    <w:rPr>
                      <w:rFonts w:hint="default"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48.8</w:t>
                  </w:r>
                </w:p>
              </w:tc>
              <w:tc>
                <w:tcPr>
                  <w:tcW w:w="1697" w:type="dxa"/>
                  <w:noWrap w:val="0"/>
                  <w:vAlign w:val="top"/>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w:t>
                  </w:r>
                </w:p>
              </w:tc>
              <w:tc>
                <w:tcPr>
                  <w:tcW w:w="1661" w:type="dxa"/>
                  <w:noWrap w:val="0"/>
                  <w:vAlign w:val="center"/>
                </w:tcPr>
                <w:p>
                  <w:pPr>
                    <w:widowControl/>
                    <w:spacing w:line="320" w:lineRule="exact"/>
                    <w:ind w:firstLine="0" w:firstLineChars="0"/>
                    <w:jc w:val="center"/>
                    <w:rPr>
                      <w:rFonts w:hint="eastAsia"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6</w:t>
                  </w:r>
                  <w:r>
                    <w:rPr>
                      <w:rFonts w:hint="eastAsia" w:ascii="Times New Roman" w:hAnsi="Times New Roman" w:eastAsia="宋体" w:cs="Times New Roman"/>
                      <w:b w:val="0"/>
                      <w:bCs/>
                      <w:color w:val="000000"/>
                      <w:kern w:val="0"/>
                      <w:sz w:val="21"/>
                      <w:szCs w:val="21"/>
                      <w:lang w:val="en-US" w:eastAsia="zh-CN"/>
                    </w:rPr>
                    <w:t>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436"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N4北厂界</w:t>
                  </w:r>
                </w:p>
              </w:tc>
              <w:tc>
                <w:tcPr>
                  <w:tcW w:w="1694" w:type="dxa"/>
                  <w:noWrap w:val="0"/>
                  <w:vAlign w:val="center"/>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55.2</w:t>
                  </w:r>
                </w:p>
              </w:tc>
              <w:tc>
                <w:tcPr>
                  <w:tcW w:w="1697" w:type="dxa"/>
                  <w:noWrap w:val="0"/>
                  <w:vAlign w:val="center"/>
                </w:tcPr>
                <w:p>
                  <w:pPr>
                    <w:widowControl/>
                    <w:spacing w:line="320" w:lineRule="exact"/>
                    <w:ind w:firstLine="0" w:firstLineChars="0"/>
                    <w:jc w:val="center"/>
                    <w:rPr>
                      <w:rFonts w:hint="default"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27.1</w:t>
                  </w:r>
                </w:p>
              </w:tc>
              <w:tc>
                <w:tcPr>
                  <w:tcW w:w="1697" w:type="dxa"/>
                  <w:noWrap w:val="0"/>
                  <w:vAlign w:val="top"/>
                </w:tcPr>
                <w:p>
                  <w:pPr>
                    <w:widowControl/>
                    <w:spacing w:line="320" w:lineRule="exact"/>
                    <w:ind w:firstLine="0" w:firstLineChars="0"/>
                    <w:jc w:val="center"/>
                    <w:rPr>
                      <w:rFonts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w:t>
                  </w:r>
                </w:p>
              </w:tc>
              <w:tc>
                <w:tcPr>
                  <w:tcW w:w="1661" w:type="dxa"/>
                  <w:noWrap w:val="0"/>
                  <w:vAlign w:val="center"/>
                </w:tcPr>
                <w:p>
                  <w:pPr>
                    <w:widowControl/>
                    <w:spacing w:line="320" w:lineRule="exact"/>
                    <w:ind w:firstLine="0" w:firstLineChars="0"/>
                    <w:jc w:val="center"/>
                    <w:rPr>
                      <w:rFonts w:hint="eastAsia" w:ascii="Times New Roman" w:hAnsi="Times New Roman" w:eastAsia="宋体" w:cs="Times New Roman"/>
                      <w:b w:val="0"/>
                      <w:bCs/>
                      <w:color w:val="000000"/>
                      <w:kern w:val="0"/>
                      <w:sz w:val="21"/>
                      <w:szCs w:val="21"/>
                      <w:lang w:val="en-US" w:eastAsia="zh-CN"/>
                    </w:rPr>
                  </w:pPr>
                  <w:r>
                    <w:rPr>
                      <w:rFonts w:ascii="Times New Roman" w:hAnsi="Times New Roman" w:eastAsia="宋体" w:cs="Times New Roman"/>
                      <w:b w:val="0"/>
                      <w:bCs/>
                      <w:color w:val="000000"/>
                      <w:kern w:val="0"/>
                      <w:sz w:val="21"/>
                      <w:szCs w:val="21"/>
                      <w:lang w:val="en-US" w:eastAsia="zh-CN"/>
                    </w:rPr>
                    <w:t>6</w:t>
                  </w:r>
                  <w:r>
                    <w:rPr>
                      <w:rFonts w:hint="eastAsia" w:ascii="Times New Roman" w:hAnsi="Times New Roman" w:eastAsia="宋体" w:cs="Times New Roman"/>
                      <w:b w:val="0"/>
                      <w:bCs/>
                      <w:color w:val="000000"/>
                      <w:kern w:val="0"/>
                      <w:sz w:val="21"/>
                      <w:szCs w:val="21"/>
                      <w:lang w:val="en-US" w:eastAsia="zh-CN"/>
                    </w:rPr>
                    <w:t>0</w:t>
                  </w:r>
                </w:p>
              </w:tc>
            </w:tr>
          </w:tbl>
          <w:p>
            <w:pPr>
              <w:ind w:firstLine="0" w:firstLineChars="0"/>
              <w:jc w:val="left"/>
              <w:rPr>
                <w:color w:val="000000"/>
                <w:sz w:val="21"/>
                <w:szCs w:val="21"/>
              </w:rPr>
            </w:pPr>
            <w:r>
              <w:rPr>
                <w:rFonts w:eastAsia="宋体"/>
                <w:color w:val="000000"/>
                <w:sz w:val="21"/>
                <w:szCs w:val="21"/>
              </w:rPr>
              <w:t>注：夜间不生产。</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预测结果表明：项目东厂界监测点昼间环境噪声均达到《工业企业厂界环境噪声排放标准》（GB12348—2008）中4类标准；项目南、西、北厂界监测点昼间环境噪声均达到《工业企业厂界环境噪声排放标准》（GB12348—2008）中2类标准；南侧居民敏感点昼间环境噪声叠加值符合《声环境质量标准》（GB3096—2008）中1类标准。故本项目高噪声设备经设备减振、距离衰减等措施，叠加环境本底后，对周围声环境的影响值较小，噪声防治措施可行，不会发生扰民现象。</w:t>
            </w:r>
          </w:p>
          <w:p>
            <w:pPr>
              <w:ind w:firstLine="480"/>
              <w:rPr>
                <w:rFonts w:hint="eastAsia" w:ascii="Times New Roman" w:hAnsi="Times New Roman" w:eastAsia="宋体"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4.</w:t>
            </w:r>
            <w:r>
              <w:rPr>
                <w:rFonts w:hint="eastAsia" w:ascii="Times New Roman" w:hAnsi="Times New Roman" w:eastAsia="宋体" w:cs="Times New Roman"/>
                <w:b/>
                <w:bCs/>
                <w:kern w:val="2"/>
                <w:sz w:val="24"/>
                <w:szCs w:val="24"/>
                <w:lang w:val="en-US" w:eastAsia="zh-CN" w:bidi="ar-SA"/>
              </w:rPr>
              <w:t>固体废物环境影响分析</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建设项目产生的主要固体废弃物为混凝土沉淀物、化粪池污泥、生活垃圾等。项目固体废物利用处置方式见表7</w:t>
            </w:r>
            <w:r>
              <w:rPr>
                <w:rFonts w:hint="eastAsia"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-10。</w:t>
            </w:r>
          </w:p>
          <w:p>
            <w:pPr>
              <w:spacing w:line="320" w:lineRule="exact"/>
              <w:ind w:firstLine="0" w:firstLineChars="0"/>
              <w:jc w:val="center"/>
              <w:rPr>
                <w:b/>
                <w:color w:val="000000"/>
                <w:sz w:val="21"/>
                <w:szCs w:val="21"/>
              </w:rPr>
            </w:pPr>
            <w:r>
              <w:rPr>
                <w:rFonts w:eastAsia="宋体"/>
                <w:b/>
                <w:color w:val="000000"/>
                <w:sz w:val="21"/>
                <w:szCs w:val="21"/>
              </w:rPr>
              <w:t>表7</w:t>
            </w:r>
            <w:r>
              <w:rPr>
                <w:rFonts w:hint="eastAsia"/>
                <w:b/>
                <w:color w:val="000000"/>
                <w:sz w:val="21"/>
                <w:szCs w:val="21"/>
                <w:lang w:val="en-US" w:eastAsia="zh-CN"/>
              </w:rPr>
              <w:t>.1</w:t>
            </w:r>
            <w:r>
              <w:rPr>
                <w:rFonts w:eastAsia="宋体"/>
                <w:b/>
                <w:color w:val="000000"/>
                <w:sz w:val="21"/>
                <w:szCs w:val="21"/>
              </w:rPr>
              <w:t>-</w:t>
            </w:r>
            <w:r>
              <w:rPr>
                <w:rFonts w:hint="eastAsia" w:eastAsia="宋体"/>
                <w:b/>
                <w:color w:val="000000"/>
                <w:sz w:val="21"/>
                <w:szCs w:val="21"/>
              </w:rPr>
              <w:t>1</w:t>
            </w:r>
            <w:r>
              <w:rPr>
                <w:rFonts w:hint="eastAsia" w:eastAsia="宋体"/>
                <w:b/>
                <w:color w:val="000000"/>
                <w:sz w:val="21"/>
                <w:szCs w:val="21"/>
                <w:lang w:val="en-US" w:eastAsia="zh-CN"/>
              </w:rPr>
              <w:t>0</w:t>
            </w:r>
            <w:r>
              <w:rPr>
                <w:rFonts w:hint="eastAsia" w:eastAsia="宋体"/>
                <w:b/>
                <w:color w:val="000000"/>
                <w:sz w:val="21"/>
                <w:szCs w:val="21"/>
              </w:rPr>
              <w:t xml:space="preserve"> </w:t>
            </w:r>
            <w:r>
              <w:rPr>
                <w:rFonts w:eastAsia="宋体"/>
                <w:b/>
                <w:color w:val="000000"/>
                <w:sz w:val="21"/>
                <w:szCs w:val="21"/>
              </w:rPr>
              <w:t>建设项目固体废弃物产生及排放状况表</w:t>
            </w:r>
          </w:p>
          <w:tbl>
            <w:tblPr>
              <w:tblStyle w:val="43"/>
              <w:tblW w:w="9068"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53"/>
              <w:gridCol w:w="1645"/>
              <w:gridCol w:w="1075"/>
              <w:gridCol w:w="1948"/>
              <w:gridCol w:w="1296"/>
              <w:gridCol w:w="986"/>
              <w:gridCol w:w="166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453" w:type="dxa"/>
                  <w:noWrap w:val="0"/>
                  <w:vAlign w:val="center"/>
                </w:tcPr>
                <w:p>
                  <w:pPr>
                    <w:pStyle w:val="152"/>
                    <w:spacing w:line="320" w:lineRule="exact"/>
                    <w:ind w:firstLine="0" w:firstLineChars="0"/>
                    <w:rPr>
                      <w:color w:val="000000"/>
                      <w:sz w:val="21"/>
                      <w:szCs w:val="21"/>
                      <w:lang w:val="en-US" w:eastAsia="zh-CN"/>
                    </w:rPr>
                  </w:pPr>
                  <w:r>
                    <w:rPr>
                      <w:rFonts w:eastAsia="宋体"/>
                      <w:color w:val="000000"/>
                      <w:sz w:val="21"/>
                      <w:szCs w:val="21"/>
                      <w:lang w:val="en-US" w:eastAsia="zh-CN"/>
                    </w:rPr>
                    <w:t>序号</w:t>
                  </w:r>
                </w:p>
              </w:tc>
              <w:tc>
                <w:tcPr>
                  <w:tcW w:w="1645" w:type="dxa"/>
                  <w:noWrap w:val="0"/>
                  <w:vAlign w:val="center"/>
                </w:tcPr>
                <w:p>
                  <w:pPr>
                    <w:pStyle w:val="152"/>
                    <w:spacing w:line="320" w:lineRule="exact"/>
                    <w:ind w:firstLine="0" w:firstLineChars="0"/>
                    <w:rPr>
                      <w:color w:val="000000"/>
                      <w:sz w:val="21"/>
                      <w:szCs w:val="21"/>
                      <w:lang w:val="en-US" w:eastAsia="zh-CN"/>
                    </w:rPr>
                  </w:pPr>
                  <w:r>
                    <w:rPr>
                      <w:rFonts w:eastAsia="宋体"/>
                      <w:color w:val="000000"/>
                      <w:sz w:val="21"/>
                      <w:szCs w:val="21"/>
                      <w:lang w:val="en-US" w:eastAsia="zh-CN"/>
                    </w:rPr>
                    <w:t>固体废物名称</w:t>
                  </w:r>
                </w:p>
              </w:tc>
              <w:tc>
                <w:tcPr>
                  <w:tcW w:w="1075" w:type="dxa"/>
                  <w:noWrap w:val="0"/>
                  <w:vAlign w:val="center"/>
                </w:tcPr>
                <w:p>
                  <w:pPr>
                    <w:pStyle w:val="152"/>
                    <w:spacing w:line="320" w:lineRule="exact"/>
                    <w:ind w:firstLine="0" w:firstLineChars="0"/>
                    <w:rPr>
                      <w:color w:val="000000"/>
                      <w:sz w:val="21"/>
                      <w:szCs w:val="21"/>
                      <w:lang w:val="en-US" w:eastAsia="zh-CN"/>
                    </w:rPr>
                  </w:pPr>
                  <w:r>
                    <w:rPr>
                      <w:rFonts w:eastAsia="宋体"/>
                      <w:color w:val="000000"/>
                      <w:sz w:val="21"/>
                      <w:szCs w:val="21"/>
                      <w:lang w:val="en-US" w:eastAsia="zh-CN"/>
                    </w:rPr>
                    <w:t>产生工序</w:t>
                  </w:r>
                </w:p>
              </w:tc>
              <w:tc>
                <w:tcPr>
                  <w:tcW w:w="1948" w:type="dxa"/>
                  <w:noWrap w:val="0"/>
                  <w:vAlign w:val="center"/>
                </w:tcPr>
                <w:p>
                  <w:pPr>
                    <w:pStyle w:val="152"/>
                    <w:spacing w:line="320" w:lineRule="exact"/>
                    <w:ind w:firstLine="0" w:firstLineChars="0"/>
                    <w:rPr>
                      <w:color w:val="000000"/>
                      <w:sz w:val="21"/>
                      <w:szCs w:val="21"/>
                      <w:lang w:val="en-US" w:eastAsia="zh-CN"/>
                    </w:rPr>
                  </w:pPr>
                  <w:r>
                    <w:rPr>
                      <w:rFonts w:eastAsia="宋体"/>
                      <w:color w:val="000000"/>
                      <w:sz w:val="21"/>
                      <w:szCs w:val="21"/>
                      <w:lang w:val="en-US" w:eastAsia="zh-CN"/>
                    </w:rPr>
                    <w:t>属性（危险废物、一般工业固体废物或待鉴别）</w:t>
                  </w:r>
                </w:p>
              </w:tc>
              <w:tc>
                <w:tcPr>
                  <w:tcW w:w="1296" w:type="dxa"/>
                  <w:noWrap w:val="0"/>
                  <w:vAlign w:val="center"/>
                </w:tcPr>
                <w:p>
                  <w:pPr>
                    <w:spacing w:line="320" w:lineRule="exact"/>
                    <w:ind w:firstLine="0" w:firstLineChars="0"/>
                    <w:jc w:val="center"/>
                    <w:rPr>
                      <w:b/>
                      <w:color w:val="000000"/>
                      <w:sz w:val="21"/>
                      <w:szCs w:val="21"/>
                    </w:rPr>
                  </w:pPr>
                  <w:r>
                    <w:rPr>
                      <w:rFonts w:eastAsia="宋体"/>
                      <w:b/>
                      <w:color w:val="000000"/>
                      <w:sz w:val="21"/>
                      <w:szCs w:val="21"/>
                    </w:rPr>
                    <w:t>废物代码</w:t>
                  </w:r>
                </w:p>
              </w:tc>
              <w:tc>
                <w:tcPr>
                  <w:tcW w:w="986" w:type="dxa"/>
                  <w:noWrap w:val="0"/>
                  <w:vAlign w:val="center"/>
                </w:tcPr>
                <w:p>
                  <w:pPr>
                    <w:pStyle w:val="152"/>
                    <w:spacing w:line="320" w:lineRule="exact"/>
                    <w:ind w:firstLine="0" w:firstLineChars="0"/>
                    <w:rPr>
                      <w:color w:val="000000"/>
                      <w:sz w:val="21"/>
                      <w:szCs w:val="21"/>
                      <w:lang w:val="en-US" w:eastAsia="zh-CN"/>
                    </w:rPr>
                  </w:pPr>
                  <w:r>
                    <w:rPr>
                      <w:rFonts w:eastAsia="宋体"/>
                      <w:color w:val="000000"/>
                      <w:sz w:val="21"/>
                      <w:szCs w:val="21"/>
                      <w:lang w:val="en-US" w:eastAsia="zh-CN"/>
                    </w:rPr>
                    <w:t>产生量（t/a）</w:t>
                  </w:r>
                </w:p>
              </w:tc>
              <w:tc>
                <w:tcPr>
                  <w:tcW w:w="1665" w:type="dxa"/>
                  <w:noWrap w:val="0"/>
                  <w:vAlign w:val="center"/>
                </w:tcPr>
                <w:p>
                  <w:pPr>
                    <w:pStyle w:val="152"/>
                    <w:spacing w:line="320" w:lineRule="exact"/>
                    <w:ind w:firstLine="0" w:firstLineChars="0"/>
                    <w:rPr>
                      <w:color w:val="000000"/>
                      <w:sz w:val="21"/>
                      <w:szCs w:val="21"/>
                      <w:lang w:val="en-US" w:eastAsia="zh-CN"/>
                    </w:rPr>
                  </w:pPr>
                  <w:r>
                    <w:rPr>
                      <w:rFonts w:eastAsia="宋体"/>
                      <w:color w:val="000000"/>
                      <w:sz w:val="21"/>
                      <w:szCs w:val="21"/>
                      <w:lang w:val="en-US" w:eastAsia="zh-CN"/>
                    </w:rPr>
                    <w:t>处置方式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453" w:type="dxa"/>
                  <w:noWrap w:val="0"/>
                  <w:vAlign w:val="center"/>
                </w:tcPr>
                <w:p>
                  <w:pPr>
                    <w:pStyle w:val="128"/>
                    <w:tabs>
                      <w:tab w:val="left" w:pos="0"/>
                    </w:tabs>
                    <w:adjustRightInd/>
                    <w:snapToGrid/>
                    <w:spacing w:line="320" w:lineRule="exact"/>
                    <w:ind w:firstLine="0" w:firstLineChars="0"/>
                    <w:rPr>
                      <w:color w:val="000000"/>
                      <w:sz w:val="21"/>
                      <w:szCs w:val="21"/>
                      <w:lang w:val="en-US" w:eastAsia="zh-CN"/>
                    </w:rPr>
                  </w:pPr>
                  <w:r>
                    <w:rPr>
                      <w:rFonts w:eastAsia="宋体"/>
                      <w:color w:val="000000"/>
                      <w:sz w:val="21"/>
                      <w:szCs w:val="21"/>
                      <w:lang w:val="en-US" w:eastAsia="zh-CN"/>
                    </w:rPr>
                    <w:t>1</w:t>
                  </w:r>
                </w:p>
              </w:tc>
              <w:tc>
                <w:tcPr>
                  <w:tcW w:w="1645" w:type="dxa"/>
                  <w:noWrap w:val="0"/>
                  <w:vAlign w:val="center"/>
                </w:tcPr>
                <w:p>
                  <w:pPr>
                    <w:spacing w:line="320" w:lineRule="exact"/>
                    <w:ind w:firstLine="0" w:firstLineChars="0"/>
                    <w:jc w:val="center"/>
                    <w:rPr>
                      <w:color w:val="000000"/>
                      <w:sz w:val="21"/>
                      <w:szCs w:val="21"/>
                    </w:rPr>
                  </w:pPr>
                  <w:r>
                    <w:rPr>
                      <w:rFonts w:eastAsia="宋体"/>
                      <w:color w:val="000000"/>
                      <w:sz w:val="21"/>
                      <w:szCs w:val="21"/>
                    </w:rPr>
                    <w:t>废气收集粉尘</w:t>
                  </w:r>
                </w:p>
              </w:tc>
              <w:tc>
                <w:tcPr>
                  <w:tcW w:w="1075" w:type="dxa"/>
                  <w:noWrap w:val="0"/>
                  <w:vAlign w:val="center"/>
                </w:tcPr>
                <w:p>
                  <w:pPr>
                    <w:pStyle w:val="221"/>
                    <w:adjustRightInd/>
                    <w:snapToGrid/>
                    <w:spacing w:line="320" w:lineRule="exact"/>
                    <w:rPr>
                      <w:color w:val="000000"/>
                      <w:sz w:val="21"/>
                      <w:szCs w:val="21"/>
                      <w:lang w:val="en-US" w:eastAsia="zh-CN"/>
                    </w:rPr>
                  </w:pPr>
                  <w:r>
                    <w:rPr>
                      <w:rFonts w:eastAsia="宋体"/>
                      <w:color w:val="000000"/>
                      <w:sz w:val="21"/>
                      <w:szCs w:val="21"/>
                      <w:lang w:val="en-US" w:eastAsia="zh-CN"/>
                    </w:rPr>
                    <w:t>废气处理</w:t>
                  </w:r>
                </w:p>
              </w:tc>
              <w:tc>
                <w:tcPr>
                  <w:tcW w:w="1948" w:type="dxa"/>
                  <w:noWrap w:val="0"/>
                  <w:vAlign w:val="center"/>
                </w:tcPr>
                <w:p>
                  <w:pPr>
                    <w:pStyle w:val="220"/>
                    <w:adjustRightInd/>
                    <w:snapToGrid/>
                    <w:spacing w:line="320" w:lineRule="exact"/>
                    <w:rPr>
                      <w:color w:val="000000"/>
                      <w:sz w:val="21"/>
                      <w:szCs w:val="21"/>
                      <w:lang w:val="en-US" w:eastAsia="zh-CN"/>
                    </w:rPr>
                  </w:pPr>
                  <w:r>
                    <w:rPr>
                      <w:rFonts w:eastAsia="宋体"/>
                      <w:color w:val="000000"/>
                      <w:sz w:val="21"/>
                      <w:szCs w:val="21"/>
                      <w:lang w:val="en-US" w:eastAsia="zh-CN"/>
                    </w:rPr>
                    <w:t>一般固废</w:t>
                  </w:r>
                </w:p>
              </w:tc>
              <w:tc>
                <w:tcPr>
                  <w:tcW w:w="1296" w:type="dxa"/>
                  <w:noWrap w:val="0"/>
                  <w:vAlign w:val="center"/>
                </w:tcPr>
                <w:p>
                  <w:pPr>
                    <w:pStyle w:val="220"/>
                    <w:adjustRightInd/>
                    <w:snapToGrid/>
                    <w:spacing w:line="320" w:lineRule="exact"/>
                    <w:rPr>
                      <w:color w:val="000000"/>
                      <w:sz w:val="21"/>
                      <w:szCs w:val="21"/>
                      <w:lang w:val="en-US" w:eastAsia="zh-CN"/>
                    </w:rPr>
                  </w:pPr>
                  <w:r>
                    <w:rPr>
                      <w:rFonts w:eastAsia="宋体"/>
                      <w:color w:val="000000"/>
                      <w:sz w:val="21"/>
                      <w:szCs w:val="21"/>
                      <w:lang w:val="en-US" w:eastAsia="zh-CN"/>
                    </w:rPr>
                    <w:t>—</w:t>
                  </w:r>
                </w:p>
              </w:tc>
              <w:tc>
                <w:tcPr>
                  <w:tcW w:w="986" w:type="dxa"/>
                  <w:noWrap w:val="0"/>
                  <w:vAlign w:val="center"/>
                </w:tcPr>
                <w:p>
                  <w:pPr>
                    <w:spacing w:line="320" w:lineRule="exact"/>
                    <w:ind w:firstLine="0" w:firstLineChars="0"/>
                    <w:jc w:val="center"/>
                    <w:rPr>
                      <w:rFonts w:hint="default" w:eastAsia="宋体"/>
                      <w:color w:val="000000"/>
                      <w:sz w:val="21"/>
                      <w:szCs w:val="21"/>
                      <w:lang w:val="en-US" w:eastAsia="zh-CN"/>
                    </w:rPr>
                  </w:pPr>
                  <w:r>
                    <w:rPr>
                      <w:rFonts w:hint="eastAsia"/>
                      <w:color w:val="000000"/>
                      <w:sz w:val="21"/>
                      <w:szCs w:val="21"/>
                      <w:lang w:val="en-US" w:eastAsia="zh-CN"/>
                    </w:rPr>
                    <w:t>111.34</w:t>
                  </w:r>
                </w:p>
              </w:tc>
              <w:tc>
                <w:tcPr>
                  <w:tcW w:w="1665" w:type="dxa"/>
                  <w:noWrap w:val="0"/>
                  <w:vAlign w:val="center"/>
                </w:tcPr>
                <w:p>
                  <w:pPr>
                    <w:pStyle w:val="220"/>
                    <w:adjustRightInd/>
                    <w:snapToGrid/>
                    <w:spacing w:line="320" w:lineRule="exact"/>
                    <w:rPr>
                      <w:color w:val="000000"/>
                      <w:sz w:val="21"/>
                      <w:szCs w:val="21"/>
                      <w:lang w:val="en-US" w:eastAsia="zh-CN"/>
                    </w:rPr>
                  </w:pPr>
                  <w:r>
                    <w:rPr>
                      <w:rFonts w:eastAsia="宋体"/>
                      <w:color w:val="000000"/>
                      <w:sz w:val="21"/>
                      <w:szCs w:val="21"/>
                      <w:lang w:val="en-US" w:eastAsia="zh-CN"/>
                    </w:rPr>
                    <w:t>回收利用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453" w:type="dxa"/>
                  <w:noWrap w:val="0"/>
                  <w:vAlign w:val="center"/>
                </w:tcPr>
                <w:p>
                  <w:pPr>
                    <w:pStyle w:val="128"/>
                    <w:tabs>
                      <w:tab w:val="left" w:pos="0"/>
                    </w:tabs>
                    <w:adjustRightInd/>
                    <w:snapToGrid/>
                    <w:spacing w:line="320" w:lineRule="exact"/>
                    <w:ind w:firstLine="0" w:firstLineChars="0"/>
                    <w:rPr>
                      <w:color w:val="000000"/>
                      <w:sz w:val="21"/>
                      <w:szCs w:val="21"/>
                      <w:lang w:val="en-US" w:eastAsia="zh-CN"/>
                    </w:rPr>
                  </w:pPr>
                  <w:r>
                    <w:rPr>
                      <w:rFonts w:eastAsia="宋体"/>
                      <w:color w:val="000000"/>
                      <w:sz w:val="21"/>
                      <w:szCs w:val="21"/>
                      <w:lang w:val="en-US" w:eastAsia="zh-CN"/>
                    </w:rPr>
                    <w:t>2</w:t>
                  </w:r>
                </w:p>
              </w:tc>
              <w:tc>
                <w:tcPr>
                  <w:tcW w:w="1645" w:type="dxa"/>
                  <w:noWrap w:val="0"/>
                  <w:vAlign w:val="center"/>
                </w:tcPr>
                <w:p>
                  <w:pPr>
                    <w:spacing w:line="320" w:lineRule="exact"/>
                    <w:ind w:firstLine="0" w:firstLineChars="0"/>
                    <w:jc w:val="center"/>
                    <w:rPr>
                      <w:color w:val="000000"/>
                      <w:sz w:val="21"/>
                      <w:szCs w:val="21"/>
                    </w:rPr>
                  </w:pPr>
                  <w:r>
                    <w:rPr>
                      <w:rFonts w:eastAsia="宋体"/>
                      <w:color w:val="000000"/>
                      <w:sz w:val="21"/>
                      <w:szCs w:val="21"/>
                    </w:rPr>
                    <w:t>混凝土沉淀物</w:t>
                  </w:r>
                </w:p>
              </w:tc>
              <w:tc>
                <w:tcPr>
                  <w:tcW w:w="1075" w:type="dxa"/>
                  <w:noWrap w:val="0"/>
                  <w:vAlign w:val="center"/>
                </w:tcPr>
                <w:p>
                  <w:pPr>
                    <w:pStyle w:val="221"/>
                    <w:adjustRightInd/>
                    <w:snapToGrid/>
                    <w:spacing w:line="320" w:lineRule="exact"/>
                    <w:rPr>
                      <w:color w:val="000000"/>
                      <w:sz w:val="21"/>
                      <w:szCs w:val="21"/>
                      <w:lang w:val="en-US" w:eastAsia="zh-CN"/>
                    </w:rPr>
                  </w:pPr>
                  <w:r>
                    <w:rPr>
                      <w:rFonts w:eastAsia="宋体"/>
                      <w:color w:val="000000"/>
                      <w:sz w:val="21"/>
                      <w:szCs w:val="21"/>
                      <w:lang w:val="en-US" w:eastAsia="zh-CN"/>
                    </w:rPr>
                    <w:t>废水处理</w:t>
                  </w:r>
                </w:p>
              </w:tc>
              <w:tc>
                <w:tcPr>
                  <w:tcW w:w="1948" w:type="dxa"/>
                  <w:noWrap w:val="0"/>
                  <w:vAlign w:val="center"/>
                </w:tcPr>
                <w:p>
                  <w:pPr>
                    <w:pStyle w:val="220"/>
                    <w:adjustRightInd/>
                    <w:snapToGrid/>
                    <w:spacing w:line="320" w:lineRule="exact"/>
                    <w:rPr>
                      <w:color w:val="000000"/>
                      <w:sz w:val="21"/>
                      <w:szCs w:val="21"/>
                      <w:lang w:val="en-US" w:eastAsia="zh-CN"/>
                    </w:rPr>
                  </w:pPr>
                  <w:r>
                    <w:rPr>
                      <w:rFonts w:eastAsia="宋体"/>
                      <w:color w:val="000000"/>
                      <w:sz w:val="21"/>
                      <w:szCs w:val="21"/>
                      <w:lang w:val="en-US" w:eastAsia="zh-CN"/>
                    </w:rPr>
                    <w:t>一般固废</w:t>
                  </w:r>
                </w:p>
              </w:tc>
              <w:tc>
                <w:tcPr>
                  <w:tcW w:w="1296" w:type="dxa"/>
                  <w:noWrap w:val="0"/>
                  <w:vAlign w:val="center"/>
                </w:tcPr>
                <w:p>
                  <w:pPr>
                    <w:pStyle w:val="220"/>
                    <w:adjustRightInd/>
                    <w:snapToGrid/>
                    <w:spacing w:line="320" w:lineRule="exact"/>
                    <w:rPr>
                      <w:color w:val="000000"/>
                      <w:sz w:val="21"/>
                      <w:szCs w:val="21"/>
                      <w:lang w:val="en-US" w:eastAsia="zh-CN"/>
                    </w:rPr>
                  </w:pPr>
                  <w:r>
                    <w:rPr>
                      <w:rFonts w:eastAsia="宋体"/>
                      <w:color w:val="000000"/>
                      <w:sz w:val="21"/>
                      <w:szCs w:val="21"/>
                      <w:lang w:val="en-US" w:eastAsia="zh-CN"/>
                    </w:rPr>
                    <w:t>—</w:t>
                  </w:r>
                </w:p>
              </w:tc>
              <w:tc>
                <w:tcPr>
                  <w:tcW w:w="986" w:type="dxa"/>
                  <w:noWrap w:val="0"/>
                  <w:vAlign w:val="center"/>
                </w:tcPr>
                <w:p>
                  <w:pPr>
                    <w:spacing w:line="320" w:lineRule="exact"/>
                    <w:ind w:firstLine="0" w:firstLineChars="0"/>
                    <w:jc w:val="center"/>
                    <w:rPr>
                      <w:color w:val="000000"/>
                      <w:sz w:val="21"/>
                      <w:szCs w:val="21"/>
                    </w:rPr>
                  </w:pPr>
                  <w:r>
                    <w:rPr>
                      <w:rFonts w:eastAsia="宋体"/>
                      <w:color w:val="000000"/>
                      <w:sz w:val="21"/>
                      <w:szCs w:val="21"/>
                    </w:rPr>
                    <w:t>30</w:t>
                  </w:r>
                </w:p>
              </w:tc>
              <w:tc>
                <w:tcPr>
                  <w:tcW w:w="1665" w:type="dxa"/>
                  <w:noWrap w:val="0"/>
                  <w:vAlign w:val="center"/>
                </w:tcPr>
                <w:p>
                  <w:pPr>
                    <w:pStyle w:val="220"/>
                    <w:adjustRightInd/>
                    <w:snapToGrid/>
                    <w:spacing w:line="320" w:lineRule="exact"/>
                    <w:rPr>
                      <w:color w:val="000000"/>
                      <w:sz w:val="21"/>
                      <w:szCs w:val="21"/>
                      <w:lang w:val="en-US" w:eastAsia="zh-CN"/>
                    </w:rPr>
                  </w:pPr>
                  <w:r>
                    <w:rPr>
                      <w:rFonts w:eastAsia="宋体"/>
                      <w:color w:val="000000"/>
                      <w:sz w:val="21"/>
                      <w:szCs w:val="21"/>
                      <w:lang w:val="en-US" w:eastAsia="zh-CN"/>
                    </w:rPr>
                    <w:t>回收利用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453" w:type="dxa"/>
                  <w:noWrap w:val="0"/>
                  <w:vAlign w:val="center"/>
                </w:tcPr>
                <w:p>
                  <w:pPr>
                    <w:pStyle w:val="128"/>
                    <w:tabs>
                      <w:tab w:val="left" w:pos="0"/>
                    </w:tabs>
                    <w:adjustRightInd/>
                    <w:snapToGrid/>
                    <w:spacing w:line="320" w:lineRule="exact"/>
                    <w:ind w:firstLine="0" w:firstLineChars="0"/>
                    <w:rPr>
                      <w:color w:val="000000"/>
                      <w:sz w:val="21"/>
                      <w:szCs w:val="21"/>
                      <w:lang w:val="en-US" w:eastAsia="zh-CN"/>
                    </w:rPr>
                  </w:pPr>
                  <w:r>
                    <w:rPr>
                      <w:rFonts w:hint="eastAsia"/>
                      <w:color w:val="000000"/>
                      <w:sz w:val="21"/>
                      <w:szCs w:val="21"/>
                      <w:lang w:val="en-US" w:eastAsia="zh-CN"/>
                    </w:rPr>
                    <w:t>3</w:t>
                  </w:r>
                </w:p>
              </w:tc>
              <w:tc>
                <w:tcPr>
                  <w:tcW w:w="1645" w:type="dxa"/>
                  <w:noWrap w:val="0"/>
                  <w:vAlign w:val="center"/>
                </w:tcPr>
                <w:p>
                  <w:pPr>
                    <w:spacing w:line="320" w:lineRule="exact"/>
                    <w:ind w:firstLine="0" w:firstLineChars="0"/>
                    <w:jc w:val="center"/>
                    <w:rPr>
                      <w:color w:val="000000"/>
                      <w:sz w:val="21"/>
                      <w:szCs w:val="21"/>
                    </w:rPr>
                  </w:pPr>
                  <w:r>
                    <w:rPr>
                      <w:rFonts w:eastAsia="宋体"/>
                      <w:color w:val="000000"/>
                      <w:sz w:val="21"/>
                      <w:szCs w:val="21"/>
                    </w:rPr>
                    <w:t>生活垃圾</w:t>
                  </w:r>
                </w:p>
              </w:tc>
              <w:tc>
                <w:tcPr>
                  <w:tcW w:w="1075" w:type="dxa"/>
                  <w:noWrap w:val="0"/>
                  <w:vAlign w:val="center"/>
                </w:tcPr>
                <w:p>
                  <w:pPr>
                    <w:pStyle w:val="221"/>
                    <w:adjustRightInd/>
                    <w:snapToGrid/>
                    <w:spacing w:line="320" w:lineRule="exact"/>
                    <w:rPr>
                      <w:color w:val="000000"/>
                      <w:sz w:val="21"/>
                      <w:szCs w:val="21"/>
                      <w:lang w:val="en-US" w:eastAsia="zh-CN"/>
                    </w:rPr>
                  </w:pPr>
                  <w:r>
                    <w:rPr>
                      <w:rFonts w:eastAsia="宋体"/>
                      <w:color w:val="000000"/>
                      <w:sz w:val="21"/>
                      <w:szCs w:val="21"/>
                      <w:lang w:val="en-US" w:eastAsia="zh-CN"/>
                    </w:rPr>
                    <w:t>职工生活</w:t>
                  </w:r>
                </w:p>
              </w:tc>
              <w:tc>
                <w:tcPr>
                  <w:tcW w:w="1948" w:type="dxa"/>
                  <w:noWrap w:val="0"/>
                  <w:vAlign w:val="center"/>
                </w:tcPr>
                <w:p>
                  <w:pPr>
                    <w:pStyle w:val="220"/>
                    <w:adjustRightInd/>
                    <w:snapToGrid/>
                    <w:spacing w:line="320" w:lineRule="exact"/>
                    <w:rPr>
                      <w:color w:val="000000"/>
                      <w:sz w:val="21"/>
                      <w:szCs w:val="21"/>
                      <w:lang w:val="en-US" w:eastAsia="zh-CN"/>
                    </w:rPr>
                  </w:pPr>
                  <w:r>
                    <w:rPr>
                      <w:rFonts w:eastAsia="宋体"/>
                      <w:color w:val="000000"/>
                      <w:sz w:val="21"/>
                      <w:szCs w:val="21"/>
                      <w:lang w:val="en-US" w:eastAsia="zh-CN"/>
                    </w:rPr>
                    <w:t>一般固废</w:t>
                  </w:r>
                </w:p>
              </w:tc>
              <w:tc>
                <w:tcPr>
                  <w:tcW w:w="1296" w:type="dxa"/>
                  <w:noWrap w:val="0"/>
                  <w:vAlign w:val="center"/>
                </w:tcPr>
                <w:p>
                  <w:pPr>
                    <w:pStyle w:val="220"/>
                    <w:adjustRightInd/>
                    <w:snapToGrid/>
                    <w:spacing w:line="320" w:lineRule="exact"/>
                    <w:rPr>
                      <w:color w:val="000000"/>
                      <w:sz w:val="21"/>
                      <w:szCs w:val="21"/>
                      <w:lang w:val="en-US" w:eastAsia="zh-CN"/>
                    </w:rPr>
                  </w:pPr>
                  <w:r>
                    <w:rPr>
                      <w:rFonts w:eastAsia="宋体"/>
                      <w:color w:val="000000"/>
                      <w:sz w:val="21"/>
                      <w:szCs w:val="21"/>
                      <w:lang w:val="en-US" w:eastAsia="zh-CN"/>
                    </w:rPr>
                    <w:t>—</w:t>
                  </w:r>
                </w:p>
              </w:tc>
              <w:tc>
                <w:tcPr>
                  <w:tcW w:w="986" w:type="dxa"/>
                  <w:noWrap w:val="0"/>
                  <w:vAlign w:val="center"/>
                </w:tcPr>
                <w:p>
                  <w:pPr>
                    <w:spacing w:line="320" w:lineRule="exact"/>
                    <w:ind w:firstLine="0" w:firstLineChars="0"/>
                    <w:jc w:val="center"/>
                    <w:rPr>
                      <w:rFonts w:hint="eastAsia"/>
                      <w:color w:val="000000"/>
                      <w:sz w:val="21"/>
                      <w:szCs w:val="21"/>
                    </w:rPr>
                  </w:pPr>
                  <w:r>
                    <w:rPr>
                      <w:rFonts w:hint="eastAsia" w:eastAsia="宋体"/>
                      <w:color w:val="000000"/>
                      <w:sz w:val="21"/>
                      <w:szCs w:val="21"/>
                    </w:rPr>
                    <w:t>9</w:t>
                  </w:r>
                </w:p>
              </w:tc>
              <w:tc>
                <w:tcPr>
                  <w:tcW w:w="1665" w:type="dxa"/>
                  <w:noWrap w:val="0"/>
                  <w:vAlign w:val="center"/>
                </w:tcPr>
                <w:p>
                  <w:pPr>
                    <w:pStyle w:val="220"/>
                    <w:adjustRightInd/>
                    <w:snapToGrid/>
                    <w:spacing w:line="320" w:lineRule="exact"/>
                    <w:rPr>
                      <w:color w:val="000000"/>
                      <w:sz w:val="21"/>
                      <w:szCs w:val="21"/>
                      <w:lang w:val="en-US" w:eastAsia="zh-CN"/>
                    </w:rPr>
                  </w:pPr>
                  <w:r>
                    <w:rPr>
                      <w:rFonts w:eastAsia="宋体"/>
                      <w:color w:val="000000"/>
                      <w:sz w:val="21"/>
                      <w:szCs w:val="21"/>
                      <w:lang w:val="en-US" w:eastAsia="zh-CN"/>
                    </w:rPr>
                    <w:t>环卫清运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453" w:type="dxa"/>
                  <w:noWrap w:val="0"/>
                  <w:vAlign w:val="center"/>
                </w:tcPr>
                <w:p>
                  <w:pPr>
                    <w:pStyle w:val="128"/>
                    <w:tabs>
                      <w:tab w:val="left" w:pos="0"/>
                    </w:tabs>
                    <w:adjustRightInd/>
                    <w:snapToGrid/>
                    <w:spacing w:line="320" w:lineRule="exact"/>
                    <w:ind w:firstLine="0" w:firstLineChars="0"/>
                    <w:rPr>
                      <w:color w:val="000000"/>
                      <w:sz w:val="21"/>
                      <w:szCs w:val="21"/>
                      <w:lang w:val="en-US" w:eastAsia="zh-CN"/>
                    </w:rPr>
                  </w:pPr>
                  <w:r>
                    <w:rPr>
                      <w:rFonts w:hint="eastAsia"/>
                      <w:color w:val="000000"/>
                      <w:sz w:val="21"/>
                      <w:szCs w:val="21"/>
                      <w:lang w:val="en-US" w:eastAsia="zh-CN"/>
                    </w:rPr>
                    <w:t>4</w:t>
                  </w:r>
                </w:p>
              </w:tc>
              <w:tc>
                <w:tcPr>
                  <w:tcW w:w="1645" w:type="dxa"/>
                  <w:noWrap w:val="0"/>
                  <w:vAlign w:val="center"/>
                </w:tcPr>
                <w:p>
                  <w:pPr>
                    <w:spacing w:line="320" w:lineRule="exact"/>
                    <w:ind w:firstLine="0" w:firstLineChars="0"/>
                    <w:jc w:val="center"/>
                    <w:rPr>
                      <w:color w:val="000000"/>
                      <w:sz w:val="21"/>
                      <w:szCs w:val="21"/>
                    </w:rPr>
                  </w:pPr>
                  <w:r>
                    <w:rPr>
                      <w:rFonts w:eastAsia="宋体"/>
                      <w:color w:val="000000"/>
                      <w:sz w:val="21"/>
                      <w:szCs w:val="21"/>
                    </w:rPr>
                    <w:t>化粪池污泥</w:t>
                  </w:r>
                </w:p>
              </w:tc>
              <w:tc>
                <w:tcPr>
                  <w:tcW w:w="1075" w:type="dxa"/>
                  <w:noWrap w:val="0"/>
                  <w:vAlign w:val="center"/>
                </w:tcPr>
                <w:p>
                  <w:pPr>
                    <w:pStyle w:val="221"/>
                    <w:adjustRightInd/>
                    <w:snapToGrid/>
                    <w:spacing w:line="320" w:lineRule="exact"/>
                    <w:rPr>
                      <w:color w:val="000000"/>
                      <w:sz w:val="21"/>
                      <w:szCs w:val="21"/>
                      <w:lang w:val="en-US" w:eastAsia="zh-CN"/>
                    </w:rPr>
                  </w:pPr>
                  <w:r>
                    <w:rPr>
                      <w:rFonts w:eastAsia="宋体"/>
                      <w:color w:val="000000"/>
                      <w:sz w:val="21"/>
                      <w:szCs w:val="21"/>
                      <w:lang w:val="en-US" w:eastAsia="zh-CN"/>
                    </w:rPr>
                    <w:t>生活污水</w:t>
                  </w:r>
                </w:p>
              </w:tc>
              <w:tc>
                <w:tcPr>
                  <w:tcW w:w="1948" w:type="dxa"/>
                  <w:noWrap w:val="0"/>
                  <w:vAlign w:val="center"/>
                </w:tcPr>
                <w:p>
                  <w:pPr>
                    <w:pStyle w:val="220"/>
                    <w:adjustRightInd/>
                    <w:snapToGrid/>
                    <w:spacing w:line="320" w:lineRule="exact"/>
                    <w:rPr>
                      <w:color w:val="000000"/>
                      <w:sz w:val="21"/>
                      <w:szCs w:val="21"/>
                      <w:lang w:val="en-US" w:eastAsia="zh-CN"/>
                    </w:rPr>
                  </w:pPr>
                  <w:r>
                    <w:rPr>
                      <w:rFonts w:eastAsia="宋体"/>
                      <w:color w:val="000000"/>
                      <w:sz w:val="21"/>
                      <w:szCs w:val="21"/>
                      <w:lang w:val="en-US" w:eastAsia="zh-CN"/>
                    </w:rPr>
                    <w:t>一般固废</w:t>
                  </w:r>
                </w:p>
              </w:tc>
              <w:tc>
                <w:tcPr>
                  <w:tcW w:w="1296" w:type="dxa"/>
                  <w:noWrap w:val="0"/>
                  <w:vAlign w:val="center"/>
                </w:tcPr>
                <w:p>
                  <w:pPr>
                    <w:pStyle w:val="220"/>
                    <w:adjustRightInd/>
                    <w:snapToGrid/>
                    <w:spacing w:line="320" w:lineRule="exact"/>
                    <w:rPr>
                      <w:color w:val="000000"/>
                      <w:sz w:val="21"/>
                      <w:szCs w:val="21"/>
                      <w:lang w:val="en-US" w:eastAsia="zh-CN"/>
                    </w:rPr>
                  </w:pPr>
                  <w:r>
                    <w:rPr>
                      <w:rFonts w:eastAsia="宋体"/>
                      <w:color w:val="000000"/>
                      <w:sz w:val="21"/>
                      <w:szCs w:val="21"/>
                      <w:lang w:val="en-US" w:eastAsia="zh-CN"/>
                    </w:rPr>
                    <w:t>—</w:t>
                  </w:r>
                </w:p>
              </w:tc>
              <w:tc>
                <w:tcPr>
                  <w:tcW w:w="986" w:type="dxa"/>
                  <w:noWrap w:val="0"/>
                  <w:vAlign w:val="center"/>
                </w:tcPr>
                <w:p>
                  <w:pPr>
                    <w:spacing w:line="320" w:lineRule="exact"/>
                    <w:ind w:firstLine="0" w:firstLineChars="0"/>
                    <w:jc w:val="center"/>
                    <w:rPr>
                      <w:color w:val="000000"/>
                      <w:sz w:val="21"/>
                      <w:szCs w:val="21"/>
                    </w:rPr>
                  </w:pPr>
                  <w:r>
                    <w:rPr>
                      <w:rFonts w:eastAsia="宋体"/>
                      <w:color w:val="000000"/>
                      <w:sz w:val="21"/>
                      <w:szCs w:val="21"/>
                    </w:rPr>
                    <w:t>0.4</w:t>
                  </w:r>
                </w:p>
              </w:tc>
              <w:tc>
                <w:tcPr>
                  <w:tcW w:w="1665" w:type="dxa"/>
                  <w:noWrap w:val="0"/>
                  <w:vAlign w:val="center"/>
                </w:tcPr>
                <w:p>
                  <w:pPr>
                    <w:pStyle w:val="220"/>
                    <w:adjustRightInd/>
                    <w:snapToGrid/>
                    <w:spacing w:line="320" w:lineRule="exact"/>
                    <w:rPr>
                      <w:rFonts w:hint="default"/>
                      <w:color w:val="000000"/>
                      <w:sz w:val="21"/>
                      <w:szCs w:val="21"/>
                      <w:lang w:val="en-US" w:eastAsia="zh-CN"/>
                    </w:rPr>
                  </w:pPr>
                  <w:r>
                    <w:rPr>
                      <w:rFonts w:hint="eastAsia"/>
                      <w:color w:val="000000"/>
                      <w:sz w:val="21"/>
                      <w:szCs w:val="21"/>
                      <w:lang w:val="en-US" w:eastAsia="zh-CN"/>
                    </w:rPr>
                    <w:t>环卫部门清运</w:t>
                  </w:r>
                </w:p>
              </w:tc>
            </w:tr>
          </w:tbl>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一般固废暂存场所要求</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建设项目产生的废气收集粉尘、混凝土沉淀物、化粪池污泥均贮存于一般固废库。</w:t>
            </w:r>
          </w:p>
          <w:p>
            <w:pPr>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该暂存场所应按照《一般工业固体废物贮存、处置场污染控制标准》（GB18599-2001）及修改单要求建设。</w:t>
            </w:r>
            <w:r>
              <w:rPr>
                <w:rFonts w:hint="eastAsia" w:ascii="Times New Roman" w:hAnsi="Times New Roman" w:eastAsia="宋体" w:cs="Times New Roman"/>
                <w:kern w:val="2"/>
                <w:sz w:val="24"/>
                <w:szCs w:val="24"/>
                <w:lang w:val="en-US" w:eastAsia="zh-CN" w:bidi="ar-SA"/>
              </w:rPr>
              <w:br w:type="textWrapping"/>
            </w:r>
            <w:r>
              <w:rPr>
                <w:rFonts w:hint="eastAsia" w:ascii="Times New Roman" w:hAnsi="Times New Roman" w:eastAsia="宋体" w:cs="Times New Roman"/>
                <w:kern w:val="2"/>
                <w:sz w:val="24"/>
                <w:szCs w:val="24"/>
                <w:lang w:val="en-US" w:eastAsia="zh-CN" w:bidi="ar-SA"/>
              </w:rPr>
              <w:t xml:space="preserve">    ①贮存、处置场的建设类型，必须与将要堆放的一般工业固体废物的类别相一致；</w:t>
            </w:r>
            <w:r>
              <w:rPr>
                <w:rFonts w:hint="eastAsia" w:ascii="Times New Roman" w:hAnsi="Times New Roman" w:eastAsia="宋体" w:cs="Times New Roman"/>
                <w:kern w:val="2"/>
                <w:sz w:val="24"/>
                <w:szCs w:val="24"/>
                <w:lang w:val="en-US" w:eastAsia="zh-CN" w:bidi="ar-SA"/>
              </w:rPr>
              <w:br w:type="textWrapping"/>
            </w:r>
            <w:r>
              <w:rPr>
                <w:rFonts w:hint="eastAsia" w:ascii="Times New Roman" w:hAnsi="Times New Roman" w:eastAsia="宋体" w:cs="Times New Roman"/>
                <w:kern w:val="2"/>
                <w:sz w:val="24"/>
                <w:szCs w:val="24"/>
                <w:lang w:val="en-US" w:eastAsia="zh-CN" w:bidi="ar-SA"/>
              </w:rPr>
              <w:t xml:space="preserve">    ②贮存、处置场采取防止粉尘污染的措施；</w:t>
            </w:r>
            <w:r>
              <w:rPr>
                <w:rFonts w:hint="eastAsia" w:ascii="Times New Roman" w:hAnsi="Times New Roman" w:eastAsia="宋体" w:cs="Times New Roman"/>
                <w:kern w:val="2"/>
                <w:sz w:val="24"/>
                <w:szCs w:val="24"/>
                <w:lang w:val="en-US" w:eastAsia="zh-CN" w:bidi="ar-SA"/>
              </w:rPr>
              <w:br w:type="textWrapping"/>
            </w:r>
            <w:r>
              <w:rPr>
                <w:rFonts w:hint="eastAsia" w:ascii="Times New Roman" w:hAnsi="Times New Roman" w:eastAsia="宋体" w:cs="Times New Roman"/>
                <w:kern w:val="2"/>
                <w:sz w:val="24"/>
                <w:szCs w:val="24"/>
                <w:lang w:val="en-US" w:eastAsia="zh-CN" w:bidi="ar-SA"/>
              </w:rPr>
              <w:t xml:space="preserve">    ③为加强监督管理，贮存、处置场应按GB15562.2设置环境保护图形标志；</w:t>
            </w:r>
            <w:r>
              <w:rPr>
                <w:rFonts w:hint="eastAsia" w:ascii="Times New Roman" w:hAnsi="Times New Roman" w:eastAsia="宋体" w:cs="Times New Roman"/>
                <w:kern w:val="2"/>
                <w:sz w:val="24"/>
                <w:szCs w:val="24"/>
                <w:lang w:val="en-US" w:eastAsia="zh-CN" w:bidi="ar-SA"/>
              </w:rPr>
              <w:br w:type="textWrapping"/>
            </w:r>
            <w:r>
              <w:rPr>
                <w:rFonts w:hint="eastAsia" w:ascii="Times New Roman" w:hAnsi="Times New Roman" w:eastAsia="宋体" w:cs="Times New Roman"/>
                <w:kern w:val="2"/>
                <w:sz w:val="24"/>
                <w:szCs w:val="24"/>
                <w:lang w:val="en-US" w:eastAsia="zh-CN" w:bidi="ar-SA"/>
              </w:rPr>
              <w:t xml:space="preserve">    ④一般工业固体贮存、处置场禁止危险废物和生活垃圾混入；</w:t>
            </w:r>
            <w:r>
              <w:rPr>
                <w:rFonts w:hint="eastAsia" w:ascii="Times New Roman" w:hAnsi="Times New Roman" w:eastAsia="宋体" w:cs="Times New Roman"/>
                <w:kern w:val="2"/>
                <w:sz w:val="24"/>
                <w:szCs w:val="24"/>
                <w:lang w:val="en-US" w:eastAsia="zh-CN" w:bidi="ar-SA"/>
              </w:rPr>
              <w:br w:type="textWrapping"/>
            </w:r>
            <w:r>
              <w:rPr>
                <w:rFonts w:hint="eastAsia" w:ascii="Times New Roman" w:hAnsi="Times New Roman" w:eastAsia="宋体" w:cs="Times New Roman"/>
                <w:kern w:val="2"/>
                <w:sz w:val="24"/>
                <w:szCs w:val="24"/>
                <w:lang w:val="en-US" w:eastAsia="zh-CN" w:bidi="ar-SA"/>
              </w:rPr>
              <w:t xml:space="preserve">    ⑤贮存、处置场的使用单位，应建立档案制度。应将入场的一般工业固体废物的种类和数量等资料详细记录在案，长期保存，供随时查阅。</w:t>
            </w:r>
            <w:r>
              <w:rPr>
                <w:rFonts w:hint="eastAsia" w:ascii="Times New Roman" w:hAnsi="Times New Roman" w:eastAsia="宋体" w:cs="Times New Roman"/>
                <w:kern w:val="2"/>
                <w:sz w:val="24"/>
                <w:szCs w:val="24"/>
                <w:lang w:val="en-US" w:eastAsia="zh-CN" w:bidi="ar-SA"/>
              </w:rPr>
              <w:br w:type="textWrapping"/>
            </w:r>
            <w:r>
              <w:rPr>
                <w:rFonts w:hint="eastAsia" w:ascii="Times New Roman" w:hAnsi="Times New Roman" w:eastAsia="宋体" w:cs="Times New Roman"/>
                <w:kern w:val="2"/>
                <w:sz w:val="24"/>
                <w:szCs w:val="24"/>
                <w:lang w:val="en-US" w:eastAsia="zh-CN" w:bidi="ar-SA"/>
              </w:rPr>
              <w:t xml:space="preserve">    从建设项目产生的固废的处置情况来看，各类固废都得到了合理安全的处置，对周围环境的影响不大，但是评价仍要求建设单位对固废处置上不能随意处理，也不能乱堆乱放，在生产过程中要注意对这些固废的收集和储运，必须切实做好固废的分类工作，尽可能回收其中可以再利用的部分，切实按照本环评提出的方案进行处置。</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leftChars="200" w:right="0" w:rightChars="0"/>
              <w:jc w:val="both"/>
              <w:textAlignment w:val="auto"/>
              <w:outlineLvl w:val="9"/>
              <w:rPr>
                <w:b/>
                <w:bCs/>
                <w:color w:val="000000"/>
                <w:sz w:val="24"/>
              </w:rPr>
            </w:pPr>
            <w:r>
              <w:rPr>
                <w:rFonts w:hint="eastAsia"/>
                <w:b/>
                <w:bCs/>
                <w:color w:val="000000"/>
                <w:sz w:val="24"/>
                <w:lang w:val="en-US" w:eastAsia="zh-CN"/>
              </w:rPr>
              <w:t>5.</w:t>
            </w:r>
            <w:r>
              <w:rPr>
                <w:rFonts w:hint="eastAsia"/>
                <w:b/>
                <w:bCs/>
                <w:color w:val="000000"/>
                <w:sz w:val="24"/>
                <w:lang w:eastAsia="zh-CN"/>
              </w:rPr>
              <w:t>土壤环境</w:t>
            </w:r>
            <w:r>
              <w:rPr>
                <w:b/>
                <w:bCs/>
                <w:color w:val="000000"/>
                <w:sz w:val="24"/>
              </w:rPr>
              <w:t>影响分析</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Times New Roman" w:hAnsi="Times New Roman" w:cs="Times New Roman"/>
                <w:color w:val="000000"/>
                <w:kern w:val="2"/>
                <w:sz w:val="24"/>
                <w:szCs w:val="22"/>
                <w:lang w:val="en-US" w:eastAsia="zh-CN" w:bidi="ar-SA"/>
              </w:rPr>
            </w:pPr>
            <w:r>
              <w:rPr>
                <w:rFonts w:hint="eastAsia"/>
                <w:color w:val="000000"/>
                <w:kern w:val="2"/>
                <w:sz w:val="24"/>
                <w:szCs w:val="22"/>
                <w:lang w:val="en-US" w:eastAsia="zh-CN" w:bidi="ar-SA"/>
              </w:rPr>
              <w:t>本项目所属类别为非金属矿物制品，根据《环境</w:t>
            </w:r>
            <w:r>
              <w:rPr>
                <w:rFonts w:hint="default" w:ascii="Times New Roman" w:hAnsi="Times New Roman" w:cs="Times New Roman"/>
                <w:color w:val="000000"/>
                <w:kern w:val="2"/>
                <w:sz w:val="24"/>
                <w:szCs w:val="22"/>
                <w:lang w:val="en-US" w:eastAsia="zh-CN" w:bidi="ar-SA"/>
              </w:rPr>
              <w:t>影响评价技术导则 土壤环境》（HJ 964-2018）附录A，本项目土壤环境影响评价类别为Ⅲ类</w:t>
            </w:r>
            <w:r>
              <w:rPr>
                <w:rFonts w:hint="eastAsia" w:ascii="Times New Roman" w:hAnsi="Times New Roman" w:cs="Times New Roman"/>
                <w:color w:val="000000"/>
                <w:kern w:val="2"/>
                <w:sz w:val="24"/>
                <w:szCs w:val="22"/>
                <w:lang w:val="en-US" w:eastAsia="zh-CN" w:bidi="ar-SA"/>
              </w:rPr>
              <w:t>。本项目总占地面积为</w:t>
            </w:r>
            <w:r>
              <w:rPr>
                <w:rFonts w:hint="eastAsia" w:ascii="Times New Roman" w:hAnsi="Times New Roman" w:cs="Times New Roman"/>
                <w:color w:val="000000"/>
                <w:sz w:val="24"/>
                <w:lang w:val="en-US" w:eastAsia="zh-CN"/>
              </w:rPr>
              <w:t>6000</w:t>
            </w:r>
            <w:r>
              <w:rPr>
                <w:rFonts w:hint="default" w:ascii="Times New Roman" w:hAnsi="Times New Roman" w:cs="Times New Roman"/>
                <w:color w:val="000000"/>
                <w:sz w:val="24"/>
                <w:lang w:eastAsia="zh-CN"/>
              </w:rPr>
              <w:t>m</w:t>
            </w:r>
            <w:r>
              <w:rPr>
                <w:rFonts w:hint="default" w:ascii="Times New Roman" w:hAnsi="Times New Roman" w:cs="Times New Roman"/>
                <w:color w:val="000000"/>
                <w:sz w:val="24"/>
                <w:vertAlign w:val="superscript"/>
                <w:lang w:eastAsia="zh-CN"/>
              </w:rPr>
              <w:t>2</w:t>
            </w:r>
            <w:r>
              <w:rPr>
                <w:rFonts w:hint="eastAsia" w:ascii="Times New Roman" w:hAnsi="Times New Roman" w:cs="Times New Roman"/>
                <w:color w:val="000000"/>
                <w:sz w:val="24"/>
                <w:vertAlign w:val="baseline"/>
                <w:lang w:eastAsia="zh-CN"/>
              </w:rPr>
              <w:t>，小于占地规模小型（≤</w:t>
            </w:r>
            <w:r>
              <w:rPr>
                <w:rFonts w:hint="eastAsia" w:ascii="Times New Roman" w:hAnsi="Times New Roman" w:cs="Times New Roman"/>
                <w:color w:val="000000"/>
                <w:sz w:val="24"/>
                <w:vertAlign w:val="baseline"/>
                <w:lang w:val="en-US" w:eastAsia="zh-CN"/>
              </w:rPr>
              <w:t>5hm</w:t>
            </w:r>
            <w:r>
              <w:rPr>
                <w:rFonts w:hint="eastAsia" w:ascii="Times New Roman" w:hAnsi="Times New Roman" w:cs="Times New Roman"/>
                <w:color w:val="000000"/>
                <w:sz w:val="24"/>
                <w:vertAlign w:val="superscript"/>
                <w:lang w:val="en-US" w:eastAsia="zh-CN"/>
              </w:rPr>
              <w:t>2</w:t>
            </w:r>
            <w:r>
              <w:rPr>
                <w:rFonts w:hint="eastAsia" w:ascii="Times New Roman" w:hAnsi="Times New Roman" w:cs="Times New Roman"/>
                <w:color w:val="000000"/>
                <w:sz w:val="24"/>
                <w:vertAlign w:val="baseline"/>
                <w:lang w:eastAsia="zh-CN"/>
              </w:rPr>
              <w:t>），</w:t>
            </w:r>
            <w:r>
              <w:rPr>
                <w:rFonts w:hint="eastAsia"/>
                <w:color w:val="000000"/>
                <w:kern w:val="2"/>
                <w:sz w:val="24"/>
                <w:szCs w:val="22"/>
                <w:lang w:val="en-US" w:eastAsia="zh-CN" w:bidi="ar-SA"/>
              </w:rPr>
              <w:t>根据《环境</w:t>
            </w:r>
            <w:r>
              <w:rPr>
                <w:rFonts w:hint="default" w:ascii="Times New Roman" w:hAnsi="Times New Roman" w:cs="Times New Roman"/>
                <w:color w:val="000000"/>
                <w:kern w:val="2"/>
                <w:sz w:val="24"/>
                <w:szCs w:val="22"/>
                <w:lang w:val="en-US" w:eastAsia="zh-CN" w:bidi="ar-SA"/>
              </w:rPr>
              <w:t>影响评价技术导则 土壤环境》（HJ 964-2018）</w:t>
            </w:r>
            <w:r>
              <w:rPr>
                <w:rFonts w:hint="eastAsia" w:ascii="Times New Roman" w:hAnsi="Times New Roman" w:cs="Times New Roman"/>
                <w:color w:val="000000"/>
                <w:kern w:val="2"/>
                <w:sz w:val="24"/>
                <w:szCs w:val="22"/>
                <w:lang w:val="en-US" w:eastAsia="zh-CN" w:bidi="ar-SA"/>
              </w:rPr>
              <w:t>表3污染影响型敏感程度分级表和表4污染影响型评价工作等级分化表对本项目进行判断，具体见表</w:t>
            </w:r>
            <w:r>
              <w:rPr>
                <w:rFonts w:hint="eastAsia" w:cs="Times New Roman"/>
                <w:color w:val="000000"/>
                <w:kern w:val="2"/>
                <w:sz w:val="24"/>
                <w:szCs w:val="22"/>
                <w:lang w:val="en-US" w:eastAsia="zh-CN" w:bidi="ar-SA"/>
              </w:rPr>
              <w:t>7.1-11</w:t>
            </w:r>
            <w:r>
              <w:rPr>
                <w:rFonts w:hint="eastAsia" w:ascii="Times New Roman" w:hAnsi="Times New Roman" w:cs="Times New Roman"/>
                <w:color w:val="000000"/>
                <w:kern w:val="2"/>
                <w:sz w:val="24"/>
                <w:szCs w:val="22"/>
                <w:lang w:val="en-US" w:eastAsia="zh-CN" w:bidi="ar-SA"/>
              </w:rPr>
              <w:t>、</w:t>
            </w:r>
            <w:r>
              <w:rPr>
                <w:rFonts w:hint="eastAsia" w:cs="Times New Roman"/>
                <w:color w:val="000000"/>
                <w:kern w:val="2"/>
                <w:sz w:val="24"/>
                <w:szCs w:val="22"/>
                <w:lang w:val="en-US" w:eastAsia="zh-CN" w:bidi="ar-SA"/>
              </w:rPr>
              <w:t>7.1-12</w:t>
            </w:r>
            <w:r>
              <w:rPr>
                <w:rFonts w:hint="eastAsia" w:ascii="Times New Roman" w:hAnsi="Times New Roman" w:cs="Times New Roman"/>
                <w:color w:val="000000"/>
                <w:kern w:val="2"/>
                <w:sz w:val="24"/>
                <w:szCs w:val="22"/>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黑体" w:cs="Times New Roman"/>
                <w:b/>
                <w:bCs/>
                <w:color w:val="000000"/>
                <w:sz w:val="21"/>
                <w:szCs w:val="21"/>
              </w:rPr>
            </w:pPr>
            <w:r>
              <w:rPr>
                <w:rFonts w:hint="default" w:ascii="Times New Roman" w:hAnsi="Times New Roman" w:eastAsia="黑体" w:cs="Times New Roman"/>
                <w:b/>
                <w:bCs/>
                <w:color w:val="000000"/>
                <w:sz w:val="21"/>
                <w:szCs w:val="21"/>
              </w:rPr>
              <w:t>表</w:t>
            </w:r>
            <w:r>
              <w:rPr>
                <w:rFonts w:hint="eastAsia" w:eastAsia="黑体" w:cs="Times New Roman"/>
                <w:b/>
                <w:bCs/>
                <w:color w:val="000000"/>
                <w:sz w:val="21"/>
                <w:szCs w:val="21"/>
                <w:lang w:val="en-US" w:eastAsia="zh-CN"/>
              </w:rPr>
              <w:t>7.1-11</w:t>
            </w:r>
            <w:r>
              <w:rPr>
                <w:rFonts w:hint="default" w:ascii="Times New Roman" w:hAnsi="Times New Roman" w:eastAsia="黑体" w:cs="Times New Roman"/>
                <w:b/>
                <w:bCs/>
                <w:color w:val="000000"/>
                <w:sz w:val="21"/>
                <w:szCs w:val="21"/>
              </w:rPr>
              <w:t xml:space="preserve">  </w:t>
            </w:r>
            <w:r>
              <w:rPr>
                <w:rFonts w:hint="eastAsia" w:ascii="Times New Roman" w:hAnsi="Times New Roman" w:eastAsia="黑体" w:cs="Times New Roman"/>
                <w:b/>
                <w:bCs/>
                <w:color w:val="000000"/>
                <w:sz w:val="21"/>
                <w:szCs w:val="21"/>
                <w:lang w:eastAsia="zh-CN"/>
              </w:rPr>
              <w:t>污染影响型敏感程度分级表</w:t>
            </w:r>
          </w:p>
          <w:tbl>
            <w:tblPr>
              <w:tblStyle w:val="43"/>
              <w:tblW w:w="9520" w:type="dxa"/>
              <w:jc w:val="center"/>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7746"/>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jc w:val="center"/>
              </w:trPr>
              <w:tc>
                <w:tcPr>
                  <w:tcW w:w="1774" w:type="dxa"/>
                  <w:tcBorders>
                    <w:tl2br w:val="nil"/>
                    <w:tr2bl w:val="nil"/>
                  </w:tcBorders>
                  <w:noWrap w:val="0"/>
                  <w:vAlign w:val="center"/>
                </w:tcPr>
                <w:p>
                  <w:pPr>
                    <w:snapToGrid w:val="0"/>
                    <w:jc w:val="center"/>
                    <w:rPr>
                      <w:rFonts w:hint="eastAsia" w:eastAsia="宋体"/>
                      <w:color w:val="000000"/>
                      <w:sz w:val="21"/>
                      <w:szCs w:val="21"/>
                      <w:lang w:eastAsia="zh-CN"/>
                    </w:rPr>
                  </w:pPr>
                  <w:r>
                    <w:rPr>
                      <w:rFonts w:hint="eastAsia"/>
                      <w:color w:val="000000"/>
                      <w:sz w:val="21"/>
                      <w:szCs w:val="21"/>
                      <w:lang w:eastAsia="zh-CN"/>
                    </w:rPr>
                    <w:t>敏感程度</w:t>
                  </w:r>
                </w:p>
              </w:tc>
              <w:tc>
                <w:tcPr>
                  <w:tcW w:w="7746" w:type="dxa"/>
                  <w:tcBorders>
                    <w:tl2br w:val="nil"/>
                    <w:tr2bl w:val="nil"/>
                  </w:tcBorders>
                  <w:noWrap w:val="0"/>
                  <w:vAlign w:val="center"/>
                </w:tcPr>
                <w:p>
                  <w:pPr>
                    <w:snapToGrid w:val="0"/>
                    <w:jc w:val="center"/>
                    <w:rPr>
                      <w:rFonts w:hint="eastAsia" w:eastAsia="宋体"/>
                      <w:color w:val="000000"/>
                      <w:sz w:val="21"/>
                      <w:szCs w:val="21"/>
                      <w:lang w:eastAsia="zh-CN"/>
                    </w:rPr>
                  </w:pPr>
                  <w:r>
                    <w:rPr>
                      <w:rFonts w:hint="eastAsia"/>
                      <w:color w:val="000000"/>
                      <w:sz w:val="21"/>
                      <w:szCs w:val="21"/>
                      <w:lang w:eastAsia="zh-CN"/>
                    </w:rPr>
                    <w:t>判断依据</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1774" w:type="dxa"/>
                  <w:tcBorders>
                    <w:tl2br w:val="nil"/>
                    <w:tr2bl w:val="nil"/>
                  </w:tcBorders>
                  <w:noWrap w:val="0"/>
                  <w:vAlign w:val="center"/>
                </w:tcPr>
                <w:p>
                  <w:pPr>
                    <w:snapToGrid w:val="0"/>
                    <w:jc w:val="center"/>
                    <w:rPr>
                      <w:rFonts w:hint="eastAsia" w:eastAsia="宋体"/>
                      <w:b/>
                      <w:bCs/>
                      <w:color w:val="000000"/>
                      <w:sz w:val="21"/>
                      <w:szCs w:val="21"/>
                      <w:lang w:eastAsia="zh-CN"/>
                    </w:rPr>
                  </w:pPr>
                  <w:r>
                    <w:rPr>
                      <w:rFonts w:hint="eastAsia"/>
                      <w:b/>
                      <w:bCs/>
                      <w:color w:val="000000"/>
                      <w:sz w:val="21"/>
                      <w:szCs w:val="21"/>
                      <w:lang w:eastAsia="zh-CN"/>
                    </w:rPr>
                    <w:t>敏感</w:t>
                  </w:r>
                </w:p>
              </w:tc>
              <w:tc>
                <w:tcPr>
                  <w:tcW w:w="7746" w:type="dxa"/>
                  <w:tcBorders>
                    <w:tl2br w:val="nil"/>
                    <w:tr2bl w:val="nil"/>
                  </w:tcBorders>
                  <w:noWrap w:val="0"/>
                  <w:vAlign w:val="center"/>
                </w:tcPr>
                <w:p>
                  <w:pPr>
                    <w:snapToGrid w:val="0"/>
                    <w:jc w:val="center"/>
                    <w:rPr>
                      <w:rFonts w:hint="eastAsia" w:eastAsia="宋体"/>
                      <w:b/>
                      <w:bCs/>
                      <w:color w:val="000000"/>
                      <w:sz w:val="21"/>
                      <w:szCs w:val="21"/>
                      <w:lang w:eastAsia="zh-CN"/>
                    </w:rPr>
                  </w:pPr>
                  <w:r>
                    <w:rPr>
                      <w:rFonts w:hint="eastAsia"/>
                      <w:b/>
                      <w:bCs/>
                      <w:color w:val="000000"/>
                      <w:sz w:val="21"/>
                      <w:szCs w:val="21"/>
                      <w:lang w:eastAsia="zh-CN"/>
                    </w:rPr>
                    <w:t>建设项目周边存在耕地、园地、牧草地、饮用水水源或居民区、学校、医院、疗养院、养老院等土壤环境敏感目标的</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1774" w:type="dxa"/>
                  <w:tcBorders>
                    <w:tl2br w:val="nil"/>
                    <w:tr2bl w:val="nil"/>
                  </w:tcBorders>
                  <w:noWrap w:val="0"/>
                  <w:vAlign w:val="center"/>
                </w:tcPr>
                <w:p>
                  <w:pPr>
                    <w:snapToGrid w:val="0"/>
                    <w:jc w:val="center"/>
                    <w:rPr>
                      <w:rFonts w:hint="eastAsia" w:eastAsia="宋体"/>
                      <w:color w:val="000000"/>
                      <w:sz w:val="21"/>
                      <w:szCs w:val="21"/>
                      <w:lang w:eastAsia="zh-CN"/>
                    </w:rPr>
                  </w:pPr>
                  <w:r>
                    <w:rPr>
                      <w:rFonts w:hint="eastAsia"/>
                      <w:color w:val="000000"/>
                      <w:sz w:val="21"/>
                      <w:szCs w:val="21"/>
                      <w:lang w:eastAsia="zh-CN"/>
                    </w:rPr>
                    <w:t>较敏感</w:t>
                  </w:r>
                </w:p>
              </w:tc>
              <w:tc>
                <w:tcPr>
                  <w:tcW w:w="7746" w:type="dxa"/>
                  <w:tcBorders>
                    <w:tl2br w:val="nil"/>
                    <w:tr2bl w:val="nil"/>
                  </w:tcBorders>
                  <w:noWrap w:val="0"/>
                  <w:vAlign w:val="center"/>
                </w:tcPr>
                <w:p>
                  <w:pPr>
                    <w:snapToGrid w:val="0"/>
                    <w:jc w:val="center"/>
                    <w:rPr>
                      <w:rFonts w:hint="eastAsia" w:eastAsia="宋体"/>
                      <w:color w:val="000000"/>
                      <w:sz w:val="21"/>
                      <w:szCs w:val="21"/>
                      <w:lang w:eastAsia="zh-CN"/>
                    </w:rPr>
                  </w:pPr>
                  <w:r>
                    <w:rPr>
                      <w:rFonts w:hint="eastAsia"/>
                      <w:color w:val="000000"/>
                      <w:sz w:val="21"/>
                      <w:szCs w:val="21"/>
                      <w:lang w:eastAsia="zh-CN"/>
                    </w:rPr>
                    <w:t>建设项目周边有其他土壤环境敏感目标的</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1774" w:type="dxa"/>
                  <w:tcBorders>
                    <w:tl2br w:val="nil"/>
                    <w:tr2bl w:val="nil"/>
                  </w:tcBorders>
                  <w:noWrap w:val="0"/>
                  <w:vAlign w:val="center"/>
                </w:tcPr>
                <w:p>
                  <w:pPr>
                    <w:snapToGrid w:val="0"/>
                    <w:jc w:val="center"/>
                    <w:rPr>
                      <w:rFonts w:hint="eastAsia" w:eastAsia="宋体"/>
                      <w:b w:val="0"/>
                      <w:bCs w:val="0"/>
                      <w:color w:val="000000"/>
                      <w:sz w:val="21"/>
                      <w:szCs w:val="21"/>
                      <w:lang w:eastAsia="zh-CN"/>
                    </w:rPr>
                  </w:pPr>
                  <w:r>
                    <w:rPr>
                      <w:rFonts w:hint="eastAsia"/>
                      <w:b w:val="0"/>
                      <w:bCs w:val="0"/>
                      <w:color w:val="000000"/>
                      <w:sz w:val="21"/>
                      <w:szCs w:val="21"/>
                      <w:lang w:eastAsia="zh-CN"/>
                    </w:rPr>
                    <w:t>不敏感</w:t>
                  </w:r>
                </w:p>
              </w:tc>
              <w:tc>
                <w:tcPr>
                  <w:tcW w:w="7746" w:type="dxa"/>
                  <w:tcBorders>
                    <w:tl2br w:val="nil"/>
                    <w:tr2bl w:val="nil"/>
                  </w:tcBorders>
                  <w:noWrap w:val="0"/>
                  <w:vAlign w:val="center"/>
                </w:tcPr>
                <w:p>
                  <w:pPr>
                    <w:snapToGrid w:val="0"/>
                    <w:jc w:val="center"/>
                    <w:rPr>
                      <w:rFonts w:hint="eastAsia" w:eastAsia="宋体"/>
                      <w:b w:val="0"/>
                      <w:bCs w:val="0"/>
                      <w:color w:val="000000"/>
                      <w:sz w:val="21"/>
                      <w:szCs w:val="21"/>
                      <w:lang w:eastAsia="zh-CN"/>
                    </w:rPr>
                  </w:pPr>
                  <w:r>
                    <w:rPr>
                      <w:rFonts w:hint="eastAsia"/>
                      <w:b w:val="0"/>
                      <w:bCs w:val="0"/>
                      <w:color w:val="000000"/>
                      <w:sz w:val="21"/>
                      <w:szCs w:val="21"/>
                      <w:lang w:eastAsia="zh-CN"/>
                    </w:rPr>
                    <w:t>其他情况</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黑体" w:cs="Times New Roman"/>
                <w:b/>
                <w:bCs/>
                <w:color w:val="000000"/>
                <w:sz w:val="21"/>
                <w:szCs w:val="21"/>
              </w:rPr>
            </w:pPr>
            <w:r>
              <w:rPr>
                <w:rFonts w:hint="default" w:ascii="Times New Roman" w:hAnsi="Times New Roman" w:eastAsia="黑体" w:cs="Times New Roman"/>
                <w:b/>
                <w:bCs/>
                <w:color w:val="000000"/>
                <w:sz w:val="21"/>
                <w:szCs w:val="21"/>
              </w:rPr>
              <w:t>表</w:t>
            </w:r>
            <w:r>
              <w:rPr>
                <w:rFonts w:hint="eastAsia" w:eastAsia="黑体" w:cs="Times New Roman"/>
                <w:b/>
                <w:bCs/>
                <w:color w:val="000000"/>
                <w:sz w:val="21"/>
                <w:szCs w:val="21"/>
                <w:lang w:val="en-US" w:eastAsia="zh-CN"/>
              </w:rPr>
              <w:t>7.1-12</w:t>
            </w:r>
            <w:r>
              <w:rPr>
                <w:rFonts w:hint="default" w:ascii="Times New Roman" w:hAnsi="Times New Roman" w:eastAsia="黑体" w:cs="Times New Roman"/>
                <w:b/>
                <w:bCs/>
                <w:color w:val="000000"/>
                <w:sz w:val="21"/>
                <w:szCs w:val="21"/>
              </w:rPr>
              <w:t xml:space="preserve">  </w:t>
            </w:r>
            <w:r>
              <w:rPr>
                <w:rFonts w:hint="eastAsia" w:ascii="Times New Roman" w:hAnsi="Times New Roman" w:eastAsia="黑体" w:cs="Times New Roman"/>
                <w:b/>
                <w:bCs/>
                <w:color w:val="000000"/>
                <w:sz w:val="21"/>
                <w:szCs w:val="21"/>
                <w:lang w:eastAsia="zh-CN"/>
              </w:rPr>
              <w:t>污染影响型评价工作等级划分表</w:t>
            </w:r>
          </w:p>
          <w:tbl>
            <w:tblPr>
              <w:tblStyle w:val="43"/>
              <w:tblW w:w="9500" w:type="dxa"/>
              <w:jc w:val="center"/>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813"/>
              <w:gridCol w:w="813"/>
              <w:gridCol w:w="813"/>
              <w:gridCol w:w="812"/>
              <w:gridCol w:w="814"/>
              <w:gridCol w:w="812"/>
              <w:gridCol w:w="814"/>
              <w:gridCol w:w="812"/>
              <w:gridCol w:w="819"/>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659" w:hRule="atLeast"/>
                <w:jc w:val="center"/>
              </w:trPr>
              <w:tc>
                <w:tcPr>
                  <w:tcW w:w="2178" w:type="dxa"/>
                  <w:vMerge w:val="restart"/>
                  <w:tcBorders>
                    <w:tl2br w:val="nil"/>
                    <w:tr2bl w:val="nil"/>
                  </w:tcBorders>
                  <w:noWrap w:val="0"/>
                  <w:vAlign w:val="center"/>
                  <mc:AlternateContent>
                    <mc:Choice Requires="wpsCustomData">
                      <wpsCustomData:diagonals>
                        <wpsCustomData:diagonal from="30000" to="13700">
                          <wpsCustomData:border w:val="single" w:color="auto" w:sz="4" w:space="0"/>
                        </wpsCustomData:diagonal>
                        <wpsCustomData:diagonal from="30000" to="6000">
                          <wpsCustomData:border w:val="single" w:color="auto" w:sz="4"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olor w:val="000000"/>
                      <w:sz w:val="21"/>
                      <w:szCs w:val="21"/>
                      <w:lang w:val="en-US" w:eastAsia="zh-CN"/>
                    </w:rPr>
                  </w:pPr>
                  <w:r>
                    <w:rPr>
                      <w:rFonts w:hint="eastAsia"/>
                      <w:color w:val="00000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mc:AlternateContent>
                      <mc:Choice Requires="wpsCustomData">
                        <wpsCustomData:diagonalParaType/>
                      </mc:Choice>
                    </mc:AlternateContent>
                    <w:rPr>
                      <w:rFonts w:hint="eastAsia" w:eastAsia="宋体"/>
                      <w:color w:val="000000"/>
                      <w:sz w:val="21"/>
                      <w:szCs w:val="21"/>
                      <w:lang w:eastAsia="zh-CN"/>
                    </w:rPr>
                  </w:pPr>
                  <w:r>
                    <w:rPr>
                      <w:rFonts w:hint="eastAsia"/>
                      <w:color w:val="000000"/>
                      <w:sz w:val="21"/>
                      <w:szCs w:val="21"/>
                      <w:lang w:eastAsia="zh-CN"/>
                    </w:rPr>
                    <w:t>不敏感</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mc:AlternateContent>
                      <mc:Choice Requires="wpsCustomData">
                        <wpsCustomData:diagonalParaType/>
                      </mc:Choice>
                    </mc:AlternateContent>
                    <w:rPr>
                      <w:rFonts w:hint="eastAsia" w:eastAsia="宋体"/>
                      <w:color w:val="000000"/>
                      <w:sz w:val="21"/>
                      <w:szCs w:val="21"/>
                      <w:lang w:eastAsia="zh-CN"/>
                    </w:rPr>
                  </w:pPr>
                  <w:r>
                    <w:rPr>
                      <w:rFonts w:hint="eastAsia"/>
                      <w:color w:val="000000"/>
                      <w:sz w:val="21"/>
                      <w:szCs w:val="21"/>
                      <w:lang w:eastAsia="zh-CN"/>
                    </w:rPr>
                    <w:t>评价工作等级</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olor w:val="000000"/>
                      <w:sz w:val="21"/>
                      <w:szCs w:val="21"/>
                      <w:lang w:eastAsia="zh-CN"/>
                    </w:rPr>
                  </w:pPr>
                  <w:r>
                    <w:rPr>
                      <w:rFonts w:hint="eastAsia"/>
                      <w:color w:val="000000"/>
                      <w:sz w:val="21"/>
                      <w:szCs w:val="21"/>
                      <w:lang w:eastAsia="zh-CN"/>
                    </w:rPr>
                    <w:t>占地</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color w:val="000000"/>
                      <w:sz w:val="21"/>
                      <w:szCs w:val="21"/>
                      <w:lang w:eastAsia="zh-CN"/>
                    </w:rPr>
                  </w:pPr>
                  <w:r>
                    <w:rPr>
                      <w:rFonts w:hint="eastAsia"/>
                      <w:color w:val="000000"/>
                      <w:sz w:val="21"/>
                      <w:szCs w:val="21"/>
                      <w:lang w:eastAsia="zh-CN"/>
                    </w:rPr>
                    <w:t>规模</w:t>
                  </w:r>
                </w:p>
              </w:tc>
              <w:tc>
                <w:tcPr>
                  <w:tcW w:w="2439"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Ⅰ</w:t>
                  </w:r>
                  <w:r>
                    <w:rPr>
                      <w:rFonts w:hint="eastAsia" w:ascii="Times New Roman" w:hAnsi="Times New Roman" w:cs="Times New Roman"/>
                      <w:color w:val="000000"/>
                      <w:sz w:val="21"/>
                      <w:szCs w:val="21"/>
                      <w:lang w:eastAsia="zh-CN"/>
                    </w:rPr>
                    <w:t>类</w:t>
                  </w:r>
                </w:p>
              </w:tc>
              <w:tc>
                <w:tcPr>
                  <w:tcW w:w="2438"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Ⅱ</w:t>
                  </w:r>
                  <w:r>
                    <w:rPr>
                      <w:rFonts w:hint="eastAsia" w:ascii="Times New Roman" w:hAnsi="Times New Roman" w:cs="Times New Roman"/>
                      <w:color w:val="000000"/>
                      <w:sz w:val="21"/>
                      <w:szCs w:val="21"/>
                      <w:lang w:eastAsia="zh-CN"/>
                    </w:rPr>
                    <w:t>类</w:t>
                  </w:r>
                </w:p>
              </w:tc>
              <w:tc>
                <w:tcPr>
                  <w:tcW w:w="244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Ⅲ</w:t>
                  </w:r>
                  <w:r>
                    <w:rPr>
                      <w:rFonts w:hint="eastAsia" w:ascii="Times New Roman" w:hAnsi="Times New Roman" w:cs="Times New Roman"/>
                      <w:color w:val="000000"/>
                      <w:sz w:val="21"/>
                      <w:szCs w:val="21"/>
                      <w:lang w:eastAsia="zh-CN"/>
                    </w:rPr>
                    <w:t>类</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jc w:val="center"/>
              </w:trPr>
              <w:tc>
                <w:tcPr>
                  <w:tcW w:w="217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000000"/>
                      <w:sz w:val="21"/>
                      <w:szCs w:val="21"/>
                    </w:rPr>
                  </w:pPr>
                </w:p>
              </w:tc>
              <w:tc>
                <w:tcPr>
                  <w:tcW w:w="8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eastAsia="宋体"/>
                      <w:color w:val="000000"/>
                      <w:sz w:val="21"/>
                      <w:szCs w:val="21"/>
                      <w:lang w:val="en-US" w:eastAsia="zh-CN"/>
                    </w:rPr>
                  </w:pPr>
                  <w:r>
                    <w:rPr>
                      <w:rFonts w:hint="eastAsia" w:eastAsia="宋体"/>
                      <w:color w:val="000000"/>
                      <w:sz w:val="21"/>
                      <w:szCs w:val="21"/>
                      <w:lang w:val="en-US" w:eastAsia="zh-CN"/>
                    </w:rPr>
                    <w:t>大</w:t>
                  </w:r>
                </w:p>
              </w:tc>
              <w:tc>
                <w:tcPr>
                  <w:tcW w:w="8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color w:val="000000"/>
                      <w:sz w:val="21"/>
                      <w:szCs w:val="21"/>
                      <w:lang w:val="en-US" w:eastAsia="zh-CN"/>
                    </w:rPr>
                  </w:pPr>
                  <w:r>
                    <w:rPr>
                      <w:rFonts w:hint="eastAsia"/>
                      <w:color w:val="000000"/>
                      <w:sz w:val="21"/>
                      <w:szCs w:val="21"/>
                      <w:lang w:val="en-US" w:eastAsia="zh-CN"/>
                    </w:rPr>
                    <w:t>中</w:t>
                  </w:r>
                </w:p>
              </w:tc>
              <w:tc>
                <w:tcPr>
                  <w:tcW w:w="8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eastAsia="方正书宋简体"/>
                      <w:color w:val="000000"/>
                      <w:sz w:val="21"/>
                      <w:szCs w:val="21"/>
                      <w:lang w:val="en-US" w:eastAsia="zh-CN"/>
                    </w:rPr>
                  </w:pPr>
                  <w:r>
                    <w:rPr>
                      <w:rFonts w:hint="eastAsia" w:eastAsia="方正书宋简体"/>
                      <w:color w:val="000000"/>
                      <w:sz w:val="21"/>
                      <w:szCs w:val="21"/>
                      <w:lang w:val="en-US" w:eastAsia="zh-CN"/>
                    </w:rPr>
                    <w:t>小</w:t>
                  </w:r>
                </w:p>
              </w:tc>
              <w:tc>
                <w:tcPr>
                  <w:tcW w:w="8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olor w:val="000000"/>
                      <w:sz w:val="21"/>
                      <w:szCs w:val="21"/>
                      <w:lang w:val="en-US" w:eastAsia="zh-CN"/>
                    </w:rPr>
                  </w:pPr>
                  <w:r>
                    <w:rPr>
                      <w:rFonts w:hint="eastAsia" w:eastAsia="宋体"/>
                      <w:color w:val="000000"/>
                      <w:sz w:val="21"/>
                      <w:szCs w:val="21"/>
                      <w:lang w:val="en-US" w:eastAsia="zh-CN"/>
                    </w:rPr>
                    <w:t>大</w:t>
                  </w:r>
                </w:p>
              </w:tc>
              <w:tc>
                <w:tcPr>
                  <w:tcW w:w="8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olor w:val="000000"/>
                      <w:sz w:val="21"/>
                      <w:szCs w:val="21"/>
                      <w:lang w:val="en-US" w:eastAsia="zh-CN"/>
                    </w:rPr>
                  </w:pPr>
                  <w:r>
                    <w:rPr>
                      <w:rFonts w:hint="eastAsia"/>
                      <w:color w:val="000000"/>
                      <w:sz w:val="21"/>
                      <w:szCs w:val="21"/>
                      <w:lang w:val="en-US" w:eastAsia="zh-CN"/>
                    </w:rPr>
                    <w:t>中</w:t>
                  </w:r>
                </w:p>
              </w:tc>
              <w:tc>
                <w:tcPr>
                  <w:tcW w:w="8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olor w:val="000000"/>
                      <w:sz w:val="21"/>
                      <w:szCs w:val="21"/>
                      <w:lang w:val="en-US" w:eastAsia="zh-CN"/>
                    </w:rPr>
                  </w:pPr>
                  <w:r>
                    <w:rPr>
                      <w:rFonts w:hint="eastAsia" w:eastAsia="方正书宋简体"/>
                      <w:color w:val="000000"/>
                      <w:sz w:val="21"/>
                      <w:szCs w:val="21"/>
                      <w:lang w:val="en-US" w:eastAsia="zh-CN"/>
                    </w:rPr>
                    <w:t>小</w:t>
                  </w:r>
                </w:p>
              </w:tc>
              <w:tc>
                <w:tcPr>
                  <w:tcW w:w="8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olor w:val="000000"/>
                      <w:sz w:val="21"/>
                      <w:szCs w:val="21"/>
                      <w:lang w:val="en-US" w:eastAsia="zh-CN"/>
                    </w:rPr>
                  </w:pPr>
                  <w:r>
                    <w:rPr>
                      <w:rFonts w:hint="eastAsia" w:eastAsia="宋体"/>
                      <w:color w:val="000000"/>
                      <w:sz w:val="21"/>
                      <w:szCs w:val="21"/>
                      <w:lang w:val="en-US" w:eastAsia="zh-CN"/>
                    </w:rPr>
                    <w:t>大</w:t>
                  </w:r>
                </w:p>
              </w:tc>
              <w:tc>
                <w:tcPr>
                  <w:tcW w:w="8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olor w:val="000000"/>
                      <w:sz w:val="21"/>
                      <w:szCs w:val="21"/>
                      <w:lang w:val="en-US" w:eastAsia="zh-CN"/>
                    </w:rPr>
                  </w:pPr>
                  <w:r>
                    <w:rPr>
                      <w:rFonts w:hint="eastAsia"/>
                      <w:color w:val="000000"/>
                      <w:sz w:val="21"/>
                      <w:szCs w:val="21"/>
                      <w:lang w:val="en-US" w:eastAsia="zh-CN"/>
                    </w:rPr>
                    <w:t>中</w:t>
                  </w:r>
                </w:p>
              </w:tc>
              <w:tc>
                <w:tcPr>
                  <w:tcW w:w="8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olor w:val="000000"/>
                      <w:sz w:val="21"/>
                      <w:szCs w:val="21"/>
                      <w:lang w:val="en-US" w:eastAsia="zh-CN"/>
                    </w:rPr>
                  </w:pPr>
                  <w:r>
                    <w:rPr>
                      <w:rFonts w:hint="eastAsia" w:eastAsia="方正书宋简体"/>
                      <w:color w:val="000000"/>
                      <w:sz w:val="21"/>
                      <w:szCs w:val="21"/>
                      <w:lang w:val="en-US" w:eastAsia="zh-CN"/>
                    </w:rPr>
                    <w:t>小</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jc w:val="center"/>
              </w:trPr>
              <w:tc>
                <w:tcPr>
                  <w:tcW w:w="21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color w:val="000000"/>
                      <w:sz w:val="21"/>
                      <w:szCs w:val="21"/>
                      <w:lang w:eastAsia="zh-CN"/>
                    </w:rPr>
                  </w:pPr>
                  <w:r>
                    <w:rPr>
                      <w:rFonts w:hint="eastAsia"/>
                      <w:color w:val="000000"/>
                      <w:sz w:val="21"/>
                      <w:szCs w:val="21"/>
                      <w:lang w:eastAsia="zh-CN"/>
                    </w:rPr>
                    <w:t>敏感</w:t>
                  </w:r>
                </w:p>
              </w:tc>
              <w:tc>
                <w:tcPr>
                  <w:tcW w:w="8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eastAsia="方正书宋简体"/>
                      <w:color w:val="000000"/>
                      <w:sz w:val="21"/>
                      <w:szCs w:val="21"/>
                      <w:lang w:val="en-US" w:eastAsia="zh-CN"/>
                    </w:rPr>
                  </w:pPr>
                  <w:r>
                    <w:rPr>
                      <w:rFonts w:hint="eastAsia" w:eastAsia="方正书宋简体"/>
                      <w:color w:val="000000"/>
                      <w:sz w:val="21"/>
                      <w:szCs w:val="21"/>
                      <w:lang w:val="en-US" w:eastAsia="zh-CN"/>
                    </w:rPr>
                    <w:t>一级</w:t>
                  </w:r>
                </w:p>
              </w:tc>
              <w:tc>
                <w:tcPr>
                  <w:tcW w:w="8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方正书宋简体"/>
                      <w:color w:val="000000"/>
                      <w:sz w:val="21"/>
                      <w:szCs w:val="21"/>
                      <w:lang w:val="en-US" w:eastAsia="zh-CN"/>
                    </w:rPr>
                  </w:pPr>
                  <w:r>
                    <w:rPr>
                      <w:rFonts w:hint="eastAsia" w:eastAsia="方正书宋简体"/>
                      <w:color w:val="000000"/>
                      <w:sz w:val="21"/>
                      <w:szCs w:val="21"/>
                      <w:lang w:val="en-US" w:eastAsia="zh-CN"/>
                    </w:rPr>
                    <w:t>一级</w:t>
                  </w:r>
                </w:p>
              </w:tc>
              <w:tc>
                <w:tcPr>
                  <w:tcW w:w="8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000000"/>
                      <w:sz w:val="21"/>
                      <w:szCs w:val="21"/>
                      <w:lang w:val="en-US"/>
                    </w:rPr>
                  </w:pPr>
                  <w:r>
                    <w:rPr>
                      <w:rFonts w:hint="eastAsia" w:eastAsia="方正书宋简体"/>
                      <w:color w:val="000000"/>
                      <w:sz w:val="21"/>
                      <w:szCs w:val="21"/>
                      <w:lang w:val="en-US" w:eastAsia="zh-CN"/>
                    </w:rPr>
                    <w:t>一级</w:t>
                  </w:r>
                </w:p>
              </w:tc>
              <w:tc>
                <w:tcPr>
                  <w:tcW w:w="8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olor w:val="000000"/>
                      <w:sz w:val="21"/>
                      <w:szCs w:val="21"/>
                      <w:lang w:val="en-US" w:eastAsia="zh-CN"/>
                    </w:rPr>
                  </w:pPr>
                  <w:r>
                    <w:rPr>
                      <w:rFonts w:hint="eastAsia"/>
                      <w:color w:val="000000"/>
                      <w:sz w:val="21"/>
                      <w:szCs w:val="21"/>
                      <w:lang w:val="en-US" w:eastAsia="zh-CN"/>
                    </w:rPr>
                    <w:t>二级</w:t>
                  </w:r>
                </w:p>
              </w:tc>
              <w:tc>
                <w:tcPr>
                  <w:tcW w:w="8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olor w:val="000000"/>
                      <w:sz w:val="21"/>
                      <w:szCs w:val="21"/>
                      <w:lang w:val="en-US" w:eastAsia="zh-CN"/>
                    </w:rPr>
                  </w:pPr>
                  <w:r>
                    <w:rPr>
                      <w:rFonts w:hint="eastAsia"/>
                      <w:color w:val="000000"/>
                      <w:sz w:val="21"/>
                      <w:szCs w:val="21"/>
                      <w:lang w:val="en-US" w:eastAsia="zh-CN"/>
                    </w:rPr>
                    <w:t>二级</w:t>
                  </w:r>
                </w:p>
              </w:tc>
              <w:tc>
                <w:tcPr>
                  <w:tcW w:w="8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olor w:val="000000"/>
                      <w:sz w:val="21"/>
                      <w:szCs w:val="21"/>
                      <w:lang w:val="en-US" w:eastAsia="zh-CN"/>
                    </w:rPr>
                  </w:pPr>
                  <w:r>
                    <w:rPr>
                      <w:rFonts w:hint="eastAsia"/>
                      <w:color w:val="000000"/>
                      <w:sz w:val="21"/>
                      <w:szCs w:val="21"/>
                      <w:lang w:val="en-US" w:eastAsia="zh-CN"/>
                    </w:rPr>
                    <w:t>二级</w:t>
                  </w:r>
                </w:p>
              </w:tc>
              <w:tc>
                <w:tcPr>
                  <w:tcW w:w="8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olor w:val="000000"/>
                      <w:sz w:val="21"/>
                      <w:szCs w:val="21"/>
                      <w:lang w:val="en-US" w:eastAsia="zh-CN"/>
                    </w:rPr>
                  </w:pPr>
                  <w:r>
                    <w:rPr>
                      <w:rFonts w:hint="eastAsia"/>
                      <w:color w:val="000000"/>
                      <w:sz w:val="21"/>
                      <w:szCs w:val="21"/>
                      <w:lang w:val="en-US" w:eastAsia="zh-CN"/>
                    </w:rPr>
                    <w:t>三级</w:t>
                  </w:r>
                </w:p>
              </w:tc>
              <w:tc>
                <w:tcPr>
                  <w:tcW w:w="8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olor w:val="000000"/>
                      <w:sz w:val="21"/>
                      <w:szCs w:val="21"/>
                      <w:lang w:val="en-US" w:eastAsia="zh-CN"/>
                    </w:rPr>
                  </w:pPr>
                  <w:r>
                    <w:rPr>
                      <w:rFonts w:hint="eastAsia"/>
                      <w:color w:val="000000"/>
                      <w:sz w:val="21"/>
                      <w:szCs w:val="21"/>
                      <w:lang w:val="en-US" w:eastAsia="zh-CN"/>
                    </w:rPr>
                    <w:t>三级</w:t>
                  </w:r>
                </w:p>
              </w:tc>
              <w:tc>
                <w:tcPr>
                  <w:tcW w:w="8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olor w:val="000000"/>
                      <w:sz w:val="21"/>
                      <w:szCs w:val="21"/>
                      <w:lang w:val="en-US" w:eastAsia="zh-CN"/>
                    </w:rPr>
                  </w:pPr>
                  <w:r>
                    <w:rPr>
                      <w:rFonts w:hint="eastAsia"/>
                      <w:b/>
                      <w:bCs/>
                      <w:color w:val="000000"/>
                      <w:sz w:val="21"/>
                      <w:szCs w:val="21"/>
                      <w:lang w:val="en-US" w:eastAsia="zh-CN"/>
                    </w:rPr>
                    <w:t>三级</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jc w:val="center"/>
              </w:trPr>
              <w:tc>
                <w:tcPr>
                  <w:tcW w:w="21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color w:val="000000"/>
                      <w:sz w:val="21"/>
                      <w:szCs w:val="21"/>
                      <w:lang w:eastAsia="zh-CN"/>
                    </w:rPr>
                  </w:pPr>
                  <w:r>
                    <w:rPr>
                      <w:rFonts w:hint="eastAsia"/>
                      <w:color w:val="000000"/>
                      <w:sz w:val="21"/>
                      <w:szCs w:val="21"/>
                      <w:lang w:eastAsia="zh-CN"/>
                    </w:rPr>
                    <w:t>较敏感</w:t>
                  </w:r>
                </w:p>
              </w:tc>
              <w:tc>
                <w:tcPr>
                  <w:tcW w:w="8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eastAsia="方正书宋简体"/>
                      <w:color w:val="000000"/>
                      <w:sz w:val="21"/>
                      <w:szCs w:val="21"/>
                      <w:lang w:val="en-US" w:eastAsia="zh-CN"/>
                    </w:rPr>
                  </w:pPr>
                  <w:r>
                    <w:rPr>
                      <w:rFonts w:hint="eastAsia" w:eastAsia="方正书宋简体"/>
                      <w:color w:val="000000"/>
                      <w:sz w:val="21"/>
                      <w:szCs w:val="21"/>
                      <w:lang w:val="en-US" w:eastAsia="zh-CN"/>
                    </w:rPr>
                    <w:t>一级</w:t>
                  </w:r>
                </w:p>
              </w:tc>
              <w:tc>
                <w:tcPr>
                  <w:tcW w:w="8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color w:val="000000"/>
                      <w:sz w:val="21"/>
                      <w:szCs w:val="21"/>
                      <w:lang w:val="en-US"/>
                    </w:rPr>
                  </w:pPr>
                  <w:r>
                    <w:rPr>
                      <w:rFonts w:hint="eastAsia" w:eastAsia="方正书宋简体"/>
                      <w:color w:val="000000"/>
                      <w:sz w:val="21"/>
                      <w:szCs w:val="21"/>
                      <w:lang w:val="en-US" w:eastAsia="zh-CN"/>
                    </w:rPr>
                    <w:t>一级</w:t>
                  </w:r>
                </w:p>
              </w:tc>
              <w:tc>
                <w:tcPr>
                  <w:tcW w:w="8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000000"/>
                      <w:sz w:val="21"/>
                      <w:szCs w:val="21"/>
                      <w:lang w:val="en-US"/>
                    </w:rPr>
                  </w:pPr>
                  <w:r>
                    <w:rPr>
                      <w:rFonts w:hint="eastAsia"/>
                      <w:color w:val="000000"/>
                      <w:sz w:val="21"/>
                      <w:szCs w:val="21"/>
                      <w:lang w:val="en-US" w:eastAsia="zh-CN"/>
                    </w:rPr>
                    <w:t>二级</w:t>
                  </w:r>
                </w:p>
              </w:tc>
              <w:tc>
                <w:tcPr>
                  <w:tcW w:w="8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olor w:val="000000"/>
                      <w:sz w:val="21"/>
                      <w:szCs w:val="21"/>
                      <w:lang w:val="en-US" w:eastAsia="zh-CN"/>
                    </w:rPr>
                  </w:pPr>
                  <w:r>
                    <w:rPr>
                      <w:rFonts w:hint="eastAsia"/>
                      <w:color w:val="000000"/>
                      <w:sz w:val="21"/>
                      <w:szCs w:val="21"/>
                      <w:lang w:val="en-US" w:eastAsia="zh-CN"/>
                    </w:rPr>
                    <w:t>二级</w:t>
                  </w:r>
                </w:p>
              </w:tc>
              <w:tc>
                <w:tcPr>
                  <w:tcW w:w="8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olor w:val="000000"/>
                      <w:sz w:val="21"/>
                      <w:szCs w:val="21"/>
                      <w:lang w:val="en-US" w:eastAsia="zh-CN"/>
                    </w:rPr>
                  </w:pPr>
                  <w:r>
                    <w:rPr>
                      <w:rFonts w:hint="eastAsia"/>
                      <w:color w:val="000000"/>
                      <w:sz w:val="21"/>
                      <w:szCs w:val="21"/>
                      <w:lang w:val="en-US" w:eastAsia="zh-CN"/>
                    </w:rPr>
                    <w:t>二级</w:t>
                  </w:r>
                </w:p>
              </w:tc>
              <w:tc>
                <w:tcPr>
                  <w:tcW w:w="8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olor w:val="000000"/>
                      <w:sz w:val="21"/>
                      <w:szCs w:val="21"/>
                      <w:lang w:val="en-US" w:eastAsia="zh-CN"/>
                    </w:rPr>
                  </w:pPr>
                  <w:r>
                    <w:rPr>
                      <w:rFonts w:hint="eastAsia"/>
                      <w:color w:val="000000"/>
                      <w:sz w:val="21"/>
                      <w:szCs w:val="21"/>
                      <w:lang w:val="en-US" w:eastAsia="zh-CN"/>
                    </w:rPr>
                    <w:t>三级</w:t>
                  </w:r>
                </w:p>
              </w:tc>
              <w:tc>
                <w:tcPr>
                  <w:tcW w:w="8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olor w:val="000000"/>
                      <w:sz w:val="21"/>
                      <w:szCs w:val="21"/>
                      <w:lang w:val="en-US" w:eastAsia="zh-CN"/>
                    </w:rPr>
                  </w:pPr>
                  <w:r>
                    <w:rPr>
                      <w:rFonts w:hint="eastAsia"/>
                      <w:color w:val="000000"/>
                      <w:sz w:val="21"/>
                      <w:szCs w:val="21"/>
                      <w:lang w:val="en-US" w:eastAsia="zh-CN"/>
                    </w:rPr>
                    <w:t>三级</w:t>
                  </w:r>
                </w:p>
              </w:tc>
              <w:tc>
                <w:tcPr>
                  <w:tcW w:w="8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olor w:val="000000"/>
                      <w:sz w:val="21"/>
                      <w:szCs w:val="21"/>
                      <w:lang w:val="en-US" w:eastAsia="zh-CN"/>
                    </w:rPr>
                  </w:pPr>
                  <w:r>
                    <w:rPr>
                      <w:rFonts w:hint="eastAsia"/>
                      <w:color w:val="000000"/>
                      <w:sz w:val="21"/>
                      <w:szCs w:val="21"/>
                      <w:lang w:val="en-US" w:eastAsia="zh-CN"/>
                    </w:rPr>
                    <w:t>三级</w:t>
                  </w:r>
                </w:p>
              </w:tc>
              <w:tc>
                <w:tcPr>
                  <w:tcW w:w="8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olor w:val="000000"/>
                      <w:sz w:val="21"/>
                      <w:szCs w:val="21"/>
                      <w:lang w:val="en-US" w:eastAsia="zh-CN"/>
                    </w:rPr>
                  </w:pPr>
                  <w:r>
                    <w:rPr>
                      <w:rFonts w:hint="eastAsia"/>
                      <w:color w:val="000000"/>
                      <w:sz w:val="21"/>
                      <w:szCs w:val="21"/>
                      <w:lang w:val="en-US" w:eastAsia="zh-CN"/>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atLeast"/>
                <w:jc w:val="center"/>
              </w:trPr>
              <w:tc>
                <w:tcPr>
                  <w:tcW w:w="21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color w:val="000000"/>
                      <w:sz w:val="21"/>
                      <w:szCs w:val="21"/>
                      <w:lang w:eastAsia="zh-CN"/>
                    </w:rPr>
                  </w:pPr>
                  <w:r>
                    <w:rPr>
                      <w:rFonts w:hint="eastAsia"/>
                      <w:color w:val="000000"/>
                      <w:sz w:val="21"/>
                      <w:szCs w:val="21"/>
                      <w:lang w:eastAsia="zh-CN"/>
                    </w:rPr>
                    <w:t>不敏感</w:t>
                  </w:r>
                </w:p>
              </w:tc>
              <w:tc>
                <w:tcPr>
                  <w:tcW w:w="8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eastAsia="方正书宋简体"/>
                      <w:color w:val="000000"/>
                      <w:sz w:val="21"/>
                      <w:szCs w:val="21"/>
                      <w:lang w:val="en-US" w:eastAsia="zh-CN"/>
                    </w:rPr>
                  </w:pPr>
                  <w:r>
                    <w:rPr>
                      <w:rFonts w:hint="eastAsia" w:eastAsia="方正书宋简体"/>
                      <w:color w:val="000000"/>
                      <w:sz w:val="21"/>
                      <w:szCs w:val="21"/>
                      <w:lang w:val="en-US" w:eastAsia="zh-CN"/>
                    </w:rPr>
                    <w:t>一级</w:t>
                  </w:r>
                </w:p>
              </w:tc>
              <w:tc>
                <w:tcPr>
                  <w:tcW w:w="8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color w:val="000000"/>
                      <w:sz w:val="21"/>
                      <w:szCs w:val="21"/>
                      <w:lang w:val="en-US" w:eastAsia="zh-CN"/>
                    </w:rPr>
                  </w:pPr>
                  <w:r>
                    <w:rPr>
                      <w:rFonts w:hint="eastAsia"/>
                      <w:color w:val="000000"/>
                      <w:sz w:val="21"/>
                      <w:szCs w:val="21"/>
                      <w:lang w:val="en-US" w:eastAsia="zh-CN"/>
                    </w:rPr>
                    <w:t>二级</w:t>
                  </w:r>
                </w:p>
              </w:tc>
              <w:tc>
                <w:tcPr>
                  <w:tcW w:w="8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000000"/>
                      <w:sz w:val="21"/>
                      <w:szCs w:val="21"/>
                      <w:lang w:val="en-US"/>
                    </w:rPr>
                  </w:pPr>
                  <w:r>
                    <w:rPr>
                      <w:rFonts w:hint="eastAsia"/>
                      <w:color w:val="000000"/>
                      <w:sz w:val="21"/>
                      <w:szCs w:val="21"/>
                      <w:lang w:val="en-US" w:eastAsia="zh-CN"/>
                    </w:rPr>
                    <w:t>二级</w:t>
                  </w:r>
                </w:p>
              </w:tc>
              <w:tc>
                <w:tcPr>
                  <w:tcW w:w="8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olor w:val="000000"/>
                      <w:sz w:val="21"/>
                      <w:szCs w:val="21"/>
                      <w:lang w:val="en-US" w:eastAsia="zh-CN"/>
                    </w:rPr>
                  </w:pPr>
                  <w:r>
                    <w:rPr>
                      <w:rFonts w:hint="eastAsia"/>
                      <w:color w:val="000000"/>
                      <w:sz w:val="21"/>
                      <w:szCs w:val="21"/>
                      <w:lang w:val="en-US" w:eastAsia="zh-CN"/>
                    </w:rPr>
                    <w:t>二级</w:t>
                  </w:r>
                </w:p>
              </w:tc>
              <w:tc>
                <w:tcPr>
                  <w:tcW w:w="8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olor w:val="000000"/>
                      <w:sz w:val="21"/>
                      <w:szCs w:val="21"/>
                      <w:lang w:val="en-US" w:eastAsia="zh-CN"/>
                    </w:rPr>
                  </w:pPr>
                  <w:r>
                    <w:rPr>
                      <w:rFonts w:hint="eastAsia"/>
                      <w:color w:val="000000"/>
                      <w:sz w:val="21"/>
                      <w:szCs w:val="21"/>
                      <w:lang w:val="en-US" w:eastAsia="zh-CN"/>
                    </w:rPr>
                    <w:t>三级</w:t>
                  </w:r>
                </w:p>
              </w:tc>
              <w:tc>
                <w:tcPr>
                  <w:tcW w:w="8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olor w:val="000000"/>
                      <w:sz w:val="21"/>
                      <w:szCs w:val="21"/>
                      <w:lang w:val="en-US" w:eastAsia="zh-CN"/>
                    </w:rPr>
                  </w:pPr>
                  <w:r>
                    <w:rPr>
                      <w:rFonts w:hint="eastAsia"/>
                      <w:color w:val="000000"/>
                      <w:sz w:val="21"/>
                      <w:szCs w:val="21"/>
                      <w:lang w:val="en-US" w:eastAsia="zh-CN"/>
                    </w:rPr>
                    <w:t>三级</w:t>
                  </w:r>
                </w:p>
              </w:tc>
              <w:tc>
                <w:tcPr>
                  <w:tcW w:w="8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olor w:val="000000"/>
                      <w:sz w:val="21"/>
                      <w:szCs w:val="21"/>
                      <w:lang w:val="en-US" w:eastAsia="zh-CN"/>
                    </w:rPr>
                  </w:pPr>
                  <w:r>
                    <w:rPr>
                      <w:rFonts w:hint="eastAsia"/>
                      <w:color w:val="000000"/>
                      <w:sz w:val="21"/>
                      <w:szCs w:val="21"/>
                      <w:lang w:val="en-US" w:eastAsia="zh-CN"/>
                    </w:rPr>
                    <w:t>三级</w:t>
                  </w:r>
                </w:p>
              </w:tc>
              <w:tc>
                <w:tcPr>
                  <w:tcW w:w="8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olor w:val="000000"/>
                      <w:sz w:val="21"/>
                      <w:szCs w:val="21"/>
                      <w:lang w:val="en-US" w:eastAsia="zh-CN"/>
                    </w:rPr>
                  </w:pPr>
                  <w:r>
                    <w:rPr>
                      <w:rFonts w:hint="eastAsia"/>
                      <w:color w:val="000000"/>
                      <w:sz w:val="21"/>
                      <w:szCs w:val="21"/>
                      <w:lang w:val="en-US" w:eastAsia="zh-CN"/>
                    </w:rPr>
                    <w:t>—</w:t>
                  </w:r>
                </w:p>
              </w:tc>
              <w:tc>
                <w:tcPr>
                  <w:tcW w:w="8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olor w:val="000000"/>
                      <w:sz w:val="21"/>
                      <w:szCs w:val="21"/>
                      <w:lang w:val="en-US" w:eastAsia="zh-CN"/>
                    </w:rPr>
                  </w:pPr>
                  <w:r>
                    <w:rPr>
                      <w:rFonts w:hint="eastAsia"/>
                      <w:color w:val="000000"/>
                      <w:sz w:val="21"/>
                      <w:szCs w:val="21"/>
                      <w:lang w:val="en-US" w:eastAsia="zh-CN"/>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atLeast"/>
                <w:jc w:val="center"/>
              </w:trPr>
              <w:tc>
                <w:tcPr>
                  <w:tcW w:w="9500" w:type="dxa"/>
                  <w:gridSpan w:val="10"/>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color w:val="000000"/>
                      <w:sz w:val="21"/>
                      <w:szCs w:val="21"/>
                      <w:lang w:val="en-US" w:eastAsia="zh-CN"/>
                    </w:rPr>
                  </w:pPr>
                  <w:r>
                    <w:rPr>
                      <w:rFonts w:hint="eastAsia"/>
                      <w:color w:val="000000"/>
                      <w:sz w:val="21"/>
                      <w:szCs w:val="21"/>
                      <w:lang w:val="en-US" w:eastAsia="zh-CN"/>
                    </w:rPr>
                    <w:t>注：“-”表示可不开展土壤环境影响评价工作</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Times New Roman" w:hAnsi="Times New Roman"/>
                <w:sz w:val="24"/>
                <w:szCs w:val="24"/>
              </w:rPr>
            </w:pPr>
            <w:r>
              <w:rPr>
                <w:rFonts w:hint="eastAsia"/>
                <w:color w:val="000000"/>
                <w:sz w:val="24"/>
                <w:szCs w:val="24"/>
                <w:lang w:val="en-US" w:eastAsia="zh-CN"/>
              </w:rPr>
              <w:t>由上述判断可知，本项目土壤环境影响评价为三级。</w:t>
            </w:r>
          </w:p>
          <w:p>
            <w:pPr>
              <w:pStyle w:val="21"/>
              <w:bidi w:val="0"/>
              <w:rPr>
                <w:rFonts w:hint="eastAsia"/>
                <w:sz w:val="24"/>
                <w:szCs w:val="22"/>
                <w:lang w:eastAsia="zh-CN"/>
              </w:rPr>
            </w:pPr>
            <w:r>
              <w:rPr>
                <w:rFonts w:hint="eastAsia"/>
                <w:sz w:val="24"/>
                <w:szCs w:val="22"/>
                <w:lang w:val="en-US" w:eastAsia="zh-CN"/>
              </w:rPr>
              <w:t>根据监测结果可知，本项目所在区域</w:t>
            </w:r>
            <w:r>
              <w:rPr>
                <w:rFonts w:hint="eastAsia"/>
                <w:sz w:val="24"/>
                <w:szCs w:val="22"/>
              </w:rPr>
              <w:t>土壤剖面特征是：表层（腐殖质层）为</w:t>
            </w:r>
            <w:r>
              <w:rPr>
                <w:rFonts w:hint="eastAsia"/>
                <w:sz w:val="24"/>
                <w:szCs w:val="22"/>
                <w:lang w:val="en-US" w:eastAsia="zh-CN"/>
              </w:rPr>
              <w:t>黄褐色</w:t>
            </w:r>
            <w:r>
              <w:rPr>
                <w:rFonts w:hint="eastAsia"/>
                <w:sz w:val="24"/>
                <w:szCs w:val="22"/>
              </w:rPr>
              <w:t>，</w:t>
            </w:r>
            <w:r>
              <w:rPr>
                <w:rFonts w:hint="eastAsia"/>
                <w:sz w:val="24"/>
                <w:szCs w:val="22"/>
                <w:lang w:val="en-US" w:eastAsia="zh-CN"/>
              </w:rPr>
              <w:t>团</w:t>
            </w:r>
            <w:r>
              <w:rPr>
                <w:rFonts w:hint="eastAsia"/>
                <w:sz w:val="24"/>
                <w:szCs w:val="22"/>
              </w:rPr>
              <w:t>粒状结构</w:t>
            </w:r>
            <w:r>
              <w:rPr>
                <w:rFonts w:hint="eastAsia"/>
                <w:sz w:val="24"/>
                <w:szCs w:val="22"/>
                <w:lang w:eastAsia="zh-CN"/>
              </w:rPr>
              <w:t>，</w:t>
            </w:r>
            <w:r>
              <w:rPr>
                <w:rFonts w:hint="eastAsia"/>
                <w:sz w:val="24"/>
                <w:szCs w:val="22"/>
              </w:rPr>
              <w:t>质地</w:t>
            </w:r>
            <w:r>
              <w:rPr>
                <w:rFonts w:hint="eastAsia"/>
                <w:sz w:val="24"/>
                <w:szCs w:val="22"/>
                <w:lang w:val="en-US" w:eastAsia="zh-CN"/>
              </w:rPr>
              <w:t>素填</w:t>
            </w:r>
            <w:r>
              <w:rPr>
                <w:rFonts w:hint="eastAsia"/>
                <w:sz w:val="24"/>
                <w:szCs w:val="22"/>
              </w:rPr>
              <w:t>，</w:t>
            </w:r>
            <w:r>
              <w:rPr>
                <w:rFonts w:hint="eastAsia"/>
                <w:sz w:val="24"/>
                <w:szCs w:val="22"/>
                <w:lang w:val="en-US" w:eastAsia="zh-CN"/>
              </w:rPr>
              <w:t>土体结构夹粘砂壤，</w:t>
            </w:r>
            <w:r>
              <w:rPr>
                <w:rFonts w:hint="eastAsia"/>
                <w:sz w:val="24"/>
                <w:szCs w:val="22"/>
              </w:rPr>
              <w:t>块状结构不明显</w:t>
            </w:r>
            <w:r>
              <w:rPr>
                <w:rFonts w:hint="eastAsia"/>
                <w:sz w:val="24"/>
                <w:szCs w:val="22"/>
                <w:lang w:eastAsia="zh-CN"/>
              </w:rPr>
              <w:t>。</w:t>
            </w:r>
          </w:p>
          <w:p>
            <w:pPr>
              <w:pStyle w:val="21"/>
              <w:bidi w:val="0"/>
              <w:rPr>
                <w:sz w:val="24"/>
                <w:szCs w:val="22"/>
              </w:rPr>
            </w:pPr>
            <w:r>
              <w:rPr>
                <w:rFonts w:hint="eastAsia"/>
                <w:sz w:val="24"/>
                <w:szCs w:val="22"/>
              </w:rPr>
              <w:t>土壤是复杂的三相共存体系，其污染物质主要通过被污染大气的沉降、工业废水的漫流、以及固体废物通过大气迁移、扩散、沉降或降水淋溶、地表径流等而进入土壤环境。</w:t>
            </w:r>
          </w:p>
          <w:p>
            <w:pPr>
              <w:pStyle w:val="21"/>
              <w:bidi w:val="0"/>
              <w:rPr>
                <w:sz w:val="24"/>
                <w:szCs w:val="22"/>
              </w:rPr>
            </w:pPr>
            <w:r>
              <w:rPr>
                <w:rFonts w:hint="eastAsia"/>
                <w:sz w:val="24"/>
                <w:szCs w:val="22"/>
              </w:rPr>
              <w:t>（1）大气沉降</w:t>
            </w:r>
          </w:p>
          <w:p>
            <w:pPr>
              <w:pStyle w:val="21"/>
              <w:bidi w:val="0"/>
              <w:rPr>
                <w:sz w:val="24"/>
                <w:szCs w:val="22"/>
              </w:rPr>
            </w:pPr>
            <w:r>
              <w:rPr>
                <w:rFonts w:hint="eastAsia"/>
                <w:sz w:val="24"/>
                <w:szCs w:val="22"/>
              </w:rPr>
              <w:t>本项目大气沉降主要为</w:t>
            </w:r>
            <w:r>
              <w:rPr>
                <w:rFonts w:hint="eastAsia"/>
                <w:sz w:val="24"/>
                <w:szCs w:val="22"/>
                <w:lang w:val="en-US" w:eastAsia="zh-CN"/>
              </w:rPr>
              <w:t>物料堆卸</w:t>
            </w:r>
            <w:r>
              <w:rPr>
                <w:rFonts w:hint="eastAsia"/>
                <w:sz w:val="24"/>
                <w:szCs w:val="22"/>
              </w:rPr>
              <w:t>粉尘、破碎</w:t>
            </w:r>
            <w:r>
              <w:rPr>
                <w:rFonts w:hint="eastAsia"/>
                <w:sz w:val="24"/>
                <w:szCs w:val="22"/>
                <w:lang w:val="en-US" w:eastAsia="zh-CN"/>
              </w:rPr>
              <w:t>筛分</w:t>
            </w:r>
            <w:r>
              <w:rPr>
                <w:rFonts w:hint="eastAsia"/>
                <w:sz w:val="24"/>
                <w:szCs w:val="22"/>
              </w:rPr>
              <w:t>系统粉尘</w:t>
            </w:r>
            <w:r>
              <w:rPr>
                <w:rFonts w:hint="eastAsia"/>
                <w:sz w:val="24"/>
                <w:szCs w:val="22"/>
                <w:lang w:eastAsia="zh-CN"/>
              </w:rPr>
              <w:t>、</w:t>
            </w:r>
            <w:r>
              <w:rPr>
                <w:rFonts w:hint="eastAsia"/>
                <w:sz w:val="24"/>
                <w:szCs w:val="22"/>
                <w:lang w:val="en-US" w:eastAsia="zh-CN"/>
              </w:rPr>
              <w:t>车辆运输扬尘、搅拌粉尘</w:t>
            </w:r>
            <w:r>
              <w:rPr>
                <w:rFonts w:hint="eastAsia"/>
                <w:sz w:val="24"/>
                <w:szCs w:val="22"/>
              </w:rPr>
              <w:t>及</w:t>
            </w:r>
            <w:r>
              <w:rPr>
                <w:rFonts w:hint="eastAsia"/>
                <w:sz w:val="24"/>
                <w:szCs w:val="22"/>
                <w:lang w:val="en-US" w:eastAsia="zh-CN"/>
              </w:rPr>
              <w:t>筒仓进出物料</w:t>
            </w:r>
            <w:r>
              <w:rPr>
                <w:rFonts w:hint="eastAsia"/>
                <w:sz w:val="24"/>
                <w:szCs w:val="22"/>
              </w:rPr>
              <w:t>粉尘等会对土壤环境产生的影响。本项目废气污染物主要为颗粒物，污染物进入土壤后，由于土壤对它们的固定作用，不易向下迁移，多数集中分布在表层，且项目</w:t>
            </w:r>
            <w:r>
              <w:rPr>
                <w:rFonts w:hint="eastAsia"/>
                <w:sz w:val="24"/>
                <w:szCs w:val="22"/>
                <w:lang w:val="en-US" w:eastAsia="zh-CN"/>
              </w:rPr>
              <w:t>为水泥制品制造业，</w:t>
            </w:r>
            <w:r>
              <w:rPr>
                <w:rFonts w:hint="eastAsia"/>
                <w:sz w:val="24"/>
                <w:szCs w:val="22"/>
              </w:rPr>
              <w:t>粉尘中不含有毒有害重金属，对土壤影响不大。</w:t>
            </w:r>
          </w:p>
          <w:p>
            <w:pPr>
              <w:pStyle w:val="21"/>
              <w:bidi w:val="0"/>
              <w:rPr>
                <w:sz w:val="24"/>
                <w:szCs w:val="22"/>
              </w:rPr>
            </w:pPr>
            <w:r>
              <w:rPr>
                <w:rFonts w:hint="eastAsia"/>
                <w:sz w:val="24"/>
                <w:szCs w:val="22"/>
              </w:rPr>
              <w:t>（</w:t>
            </w:r>
            <w:r>
              <w:rPr>
                <w:rFonts w:hint="eastAsia"/>
                <w:sz w:val="24"/>
                <w:szCs w:val="22"/>
                <w:lang w:val="en-US" w:eastAsia="zh-CN"/>
              </w:rPr>
              <w:t>2</w:t>
            </w:r>
            <w:r>
              <w:rPr>
                <w:rFonts w:hint="eastAsia"/>
                <w:sz w:val="24"/>
                <w:szCs w:val="22"/>
              </w:rPr>
              <w:t>）地面漫流</w:t>
            </w:r>
          </w:p>
          <w:p>
            <w:pPr>
              <w:pStyle w:val="21"/>
              <w:bidi w:val="0"/>
              <w:rPr>
                <w:rFonts w:hint="eastAsia"/>
                <w:lang w:val="en-US" w:eastAsia="zh-CN"/>
              </w:rPr>
            </w:pPr>
            <w:r>
              <w:rPr>
                <w:rFonts w:hint="eastAsia"/>
                <w:sz w:val="24"/>
                <w:szCs w:val="22"/>
                <w:lang w:val="en-US" w:eastAsia="zh-CN"/>
              </w:rPr>
              <w:t>本项目生产过程均封闭进行，厂区运输道路均硬化，生产废水经沉淀池处理后回用于生产，不外排，生活污水排入化粪池，委托环卫清运。同时对沉淀池、危废间作为重点防渗区进行防渗处理。因此无项目废水进入土壤，不会</w:t>
            </w:r>
            <w:r>
              <w:rPr>
                <w:rFonts w:hint="eastAsia"/>
                <w:sz w:val="24"/>
                <w:szCs w:val="22"/>
              </w:rPr>
              <w:t>对土壤环境</w:t>
            </w:r>
            <w:r>
              <w:rPr>
                <w:rFonts w:hint="eastAsia"/>
                <w:sz w:val="24"/>
                <w:szCs w:val="22"/>
                <w:lang w:val="en-US" w:eastAsia="zh-CN"/>
              </w:rPr>
              <w:t>造成影响</w:t>
            </w:r>
            <w:r>
              <w:rPr>
                <w:rFonts w:hint="eastAsia"/>
                <w:sz w:val="24"/>
                <w:szCs w:val="22"/>
              </w:rPr>
              <w:t>。</w:t>
            </w:r>
          </w:p>
          <w:p>
            <w:pPr>
              <w:pStyle w:val="95"/>
              <w:spacing w:line="240" w:lineRule="auto"/>
              <w:ind w:firstLine="482"/>
              <w:rPr>
                <w:rFonts w:hint="default" w:hAnsi="Times New Roman" w:eastAsia="宋体" w:cs="Times New Roman"/>
                <w:b/>
                <w:lang w:val="en-US" w:eastAsia="zh-CN"/>
              </w:rPr>
            </w:pPr>
            <w:r>
              <w:rPr>
                <w:rFonts w:hint="eastAsia" w:hAnsi="Times New Roman" w:cs="Times New Roman"/>
                <w:b/>
                <w:lang w:eastAsia="zh-CN"/>
              </w:rPr>
              <w:t>（</w:t>
            </w:r>
            <w:r>
              <w:rPr>
                <w:rFonts w:hint="eastAsia" w:hAnsi="Times New Roman" w:cs="Times New Roman"/>
                <w:b/>
                <w:lang w:val="en-US" w:eastAsia="zh-CN"/>
              </w:rPr>
              <w:t>三</w:t>
            </w:r>
            <w:r>
              <w:rPr>
                <w:rFonts w:hint="eastAsia" w:hAnsi="Times New Roman" w:cs="Times New Roman"/>
                <w:b/>
                <w:lang w:eastAsia="zh-CN"/>
              </w:rPr>
              <w:t>）</w:t>
            </w:r>
            <w:r>
              <w:rPr>
                <w:rFonts w:hint="eastAsia" w:hAnsi="Times New Roman" w:cs="Times New Roman"/>
                <w:b/>
                <w:lang w:val="en-US" w:eastAsia="zh-CN"/>
              </w:rPr>
              <w:t>预制场</w:t>
            </w:r>
          </w:p>
          <w:p>
            <w:pPr>
              <w:pStyle w:val="2"/>
              <w:kinsoku w:val="0"/>
              <w:overflowPunct w:val="0"/>
              <w:spacing w:beforeLines="0" w:afterLines="0" w:line="345" w:lineRule="auto"/>
              <w:ind w:right="226" w:firstLine="480"/>
              <w:jc w:val="both"/>
              <w:rPr>
                <w:rFonts w:hint="default" w:eastAsia="宋体"/>
                <w:sz w:val="24"/>
                <w:lang w:val="en-US" w:eastAsia="zh-CN"/>
              </w:rPr>
            </w:pPr>
            <w:r>
              <w:rPr>
                <w:rFonts w:hint="eastAsia"/>
                <w:b/>
                <w:bCs/>
                <w:sz w:val="24"/>
                <w:lang w:val="en-US" w:eastAsia="zh-CN"/>
              </w:rPr>
              <w:t>1.环境空气影响分析</w:t>
            </w:r>
          </w:p>
          <w:p>
            <w:pPr>
              <w:pStyle w:val="21"/>
              <w:bidi w:val="0"/>
              <w:rPr>
                <w:rFonts w:hint="eastAsia"/>
                <w:sz w:val="24"/>
                <w:szCs w:val="22"/>
              </w:rPr>
            </w:pPr>
            <w:r>
              <w:rPr>
                <w:rFonts w:hint="eastAsia"/>
                <w:sz w:val="24"/>
                <w:szCs w:val="22"/>
              </w:rPr>
              <w:t>根据《环境影响评价技术导则 大气环境》（</w:t>
            </w:r>
            <w:r>
              <w:rPr>
                <w:rFonts w:hint="default"/>
                <w:sz w:val="24"/>
                <w:szCs w:val="22"/>
              </w:rPr>
              <w:t>HJ2.2-2018</w:t>
            </w:r>
            <w:r>
              <w:rPr>
                <w:rFonts w:hint="eastAsia"/>
                <w:sz w:val="24"/>
                <w:szCs w:val="22"/>
              </w:rPr>
              <w:t>）的规定，大气评价工作等级根据建设项目各污染物的最大影响程度和最远影响范围来确定。</w:t>
            </w:r>
          </w:p>
          <w:p>
            <w:pPr>
              <w:pStyle w:val="21"/>
              <w:bidi w:val="0"/>
              <w:rPr>
                <w:rFonts w:hint="eastAsia"/>
                <w:sz w:val="24"/>
                <w:szCs w:val="22"/>
              </w:rPr>
            </w:pPr>
            <w:r>
              <w:rPr>
                <w:rFonts w:hint="eastAsia"/>
                <w:sz w:val="24"/>
                <w:szCs w:val="22"/>
              </w:rPr>
              <w:t>本次评价选取颗粒物进行分析。采用推荐模型中的</w:t>
            </w:r>
            <w:r>
              <w:rPr>
                <w:rFonts w:hint="default"/>
                <w:sz w:val="24"/>
                <w:szCs w:val="22"/>
              </w:rPr>
              <w:t xml:space="preserve">AERSCREEN </w:t>
            </w:r>
            <w:r>
              <w:rPr>
                <w:rFonts w:hint="eastAsia"/>
                <w:sz w:val="24"/>
                <w:szCs w:val="22"/>
              </w:rPr>
              <w:t xml:space="preserve">估算模式分别计算每一种污染物的最大地面空气质量浓度占标率 </w:t>
            </w:r>
            <w:r>
              <w:rPr>
                <w:rFonts w:hint="default"/>
                <w:sz w:val="24"/>
                <w:szCs w:val="22"/>
              </w:rPr>
              <w:t>Pi</w:t>
            </w:r>
            <w:r>
              <w:rPr>
                <w:rFonts w:hint="eastAsia"/>
                <w:sz w:val="24"/>
                <w:szCs w:val="22"/>
              </w:rPr>
              <w:t xml:space="preserve">，及第 </w:t>
            </w:r>
            <w:r>
              <w:rPr>
                <w:rFonts w:hint="default"/>
                <w:sz w:val="24"/>
                <w:szCs w:val="22"/>
              </w:rPr>
              <w:t>i</w:t>
            </w:r>
            <w:r>
              <w:rPr>
                <w:rFonts w:hint="eastAsia"/>
                <w:sz w:val="24"/>
                <w:szCs w:val="22"/>
              </w:rPr>
              <w:t xml:space="preserve">个污染物的地面空气质量浓度达到标准值 </w:t>
            </w:r>
            <w:r>
              <w:rPr>
                <w:rFonts w:hint="default"/>
                <w:sz w:val="24"/>
                <w:szCs w:val="22"/>
              </w:rPr>
              <w:t>10%</w:t>
            </w:r>
            <w:r>
              <w:rPr>
                <w:rFonts w:hint="eastAsia"/>
                <w:sz w:val="24"/>
                <w:szCs w:val="22"/>
              </w:rPr>
              <w:t xml:space="preserve">时所对应的最远距离 </w:t>
            </w:r>
            <w:r>
              <w:rPr>
                <w:rFonts w:hint="default"/>
                <w:sz w:val="24"/>
                <w:szCs w:val="22"/>
              </w:rPr>
              <w:t>D10%</w:t>
            </w:r>
            <w:r>
              <w:rPr>
                <w:rFonts w:hint="eastAsia"/>
                <w:sz w:val="24"/>
                <w:szCs w:val="22"/>
              </w:rPr>
              <w:t>，由此得出本项目的环境空气评价等级，项目评价因子和评价标准见表</w:t>
            </w:r>
            <w:r>
              <w:rPr>
                <w:rFonts w:hint="default"/>
                <w:sz w:val="24"/>
                <w:szCs w:val="22"/>
              </w:rPr>
              <w:t>7</w:t>
            </w:r>
            <w:r>
              <w:rPr>
                <w:rFonts w:hint="eastAsia"/>
                <w:sz w:val="24"/>
                <w:szCs w:val="22"/>
                <w:lang w:val="en-US" w:eastAsia="zh-CN"/>
              </w:rPr>
              <w:t>.3</w:t>
            </w:r>
            <w:r>
              <w:rPr>
                <w:rFonts w:hint="default"/>
                <w:sz w:val="24"/>
                <w:szCs w:val="22"/>
              </w:rPr>
              <w:t>-</w:t>
            </w:r>
            <w:r>
              <w:rPr>
                <w:rFonts w:hint="eastAsia"/>
                <w:sz w:val="24"/>
                <w:szCs w:val="22"/>
                <w:lang w:val="en-US" w:eastAsia="zh-CN"/>
              </w:rPr>
              <w:t>1</w:t>
            </w:r>
            <w:r>
              <w:rPr>
                <w:rFonts w:hint="eastAsia"/>
                <w:sz w:val="24"/>
                <w:szCs w:val="22"/>
              </w:rPr>
              <w:t>，评价等级判据见 表</w:t>
            </w:r>
            <w:r>
              <w:rPr>
                <w:rFonts w:hint="default"/>
                <w:sz w:val="24"/>
                <w:szCs w:val="22"/>
              </w:rPr>
              <w:t>7</w:t>
            </w:r>
            <w:r>
              <w:rPr>
                <w:rFonts w:hint="eastAsia"/>
                <w:sz w:val="24"/>
                <w:szCs w:val="22"/>
                <w:lang w:val="en-US" w:eastAsia="zh-CN"/>
              </w:rPr>
              <w:t>.3</w:t>
            </w:r>
            <w:r>
              <w:rPr>
                <w:rFonts w:hint="default"/>
                <w:sz w:val="24"/>
                <w:szCs w:val="22"/>
              </w:rPr>
              <w:t>-</w:t>
            </w:r>
            <w:r>
              <w:rPr>
                <w:rFonts w:hint="eastAsia"/>
                <w:sz w:val="24"/>
                <w:szCs w:val="22"/>
                <w:lang w:val="en-US" w:eastAsia="zh-CN"/>
              </w:rPr>
              <w:t>2</w:t>
            </w:r>
            <w:r>
              <w:rPr>
                <w:rFonts w:hint="eastAsia"/>
                <w:sz w:val="24"/>
                <w:szCs w:val="22"/>
              </w:rPr>
              <w:t>，估算模型参数表见表</w:t>
            </w:r>
            <w:r>
              <w:rPr>
                <w:rFonts w:hint="default"/>
                <w:sz w:val="24"/>
                <w:szCs w:val="22"/>
              </w:rPr>
              <w:t>7</w:t>
            </w:r>
            <w:r>
              <w:rPr>
                <w:rFonts w:hint="eastAsia"/>
                <w:sz w:val="24"/>
                <w:szCs w:val="22"/>
                <w:lang w:val="en-US" w:eastAsia="zh-CN"/>
              </w:rPr>
              <w:t>.3</w:t>
            </w:r>
            <w:r>
              <w:rPr>
                <w:rFonts w:hint="default"/>
                <w:sz w:val="24"/>
                <w:szCs w:val="22"/>
              </w:rPr>
              <w:t>-</w:t>
            </w:r>
            <w:r>
              <w:rPr>
                <w:rFonts w:hint="eastAsia"/>
                <w:sz w:val="24"/>
                <w:szCs w:val="22"/>
                <w:lang w:val="en-US" w:eastAsia="zh-CN"/>
              </w:rPr>
              <w:t>3</w:t>
            </w:r>
            <w:r>
              <w:rPr>
                <w:rFonts w:hint="eastAsia"/>
                <w:sz w:val="24"/>
                <w:szCs w:val="22"/>
              </w:rPr>
              <w:t>，点源参数表见表</w:t>
            </w:r>
            <w:r>
              <w:rPr>
                <w:rFonts w:hint="default"/>
                <w:sz w:val="24"/>
                <w:szCs w:val="22"/>
              </w:rPr>
              <w:t>7</w:t>
            </w:r>
            <w:r>
              <w:rPr>
                <w:rFonts w:hint="eastAsia"/>
                <w:sz w:val="24"/>
                <w:szCs w:val="22"/>
                <w:lang w:val="en-US" w:eastAsia="zh-CN"/>
              </w:rPr>
              <w:t>.3</w:t>
            </w:r>
            <w:r>
              <w:rPr>
                <w:rFonts w:hint="default"/>
                <w:sz w:val="24"/>
                <w:szCs w:val="22"/>
              </w:rPr>
              <w:t>-</w:t>
            </w:r>
            <w:r>
              <w:rPr>
                <w:rFonts w:hint="eastAsia"/>
                <w:sz w:val="24"/>
                <w:szCs w:val="22"/>
                <w:lang w:val="en-US" w:eastAsia="zh-CN"/>
              </w:rPr>
              <w:t>4</w:t>
            </w:r>
            <w:r>
              <w:rPr>
                <w:rFonts w:hint="eastAsia"/>
                <w:sz w:val="24"/>
                <w:szCs w:val="22"/>
              </w:rPr>
              <w:t>，预测结果见表</w:t>
            </w:r>
            <w:r>
              <w:rPr>
                <w:rFonts w:hint="default"/>
                <w:sz w:val="24"/>
                <w:szCs w:val="22"/>
              </w:rPr>
              <w:t>7</w:t>
            </w:r>
            <w:r>
              <w:rPr>
                <w:rFonts w:hint="eastAsia"/>
                <w:sz w:val="24"/>
                <w:szCs w:val="22"/>
                <w:lang w:val="en-US" w:eastAsia="zh-CN"/>
              </w:rPr>
              <w:t>.3</w:t>
            </w:r>
            <w:r>
              <w:rPr>
                <w:rFonts w:hint="default"/>
                <w:sz w:val="24"/>
                <w:szCs w:val="22"/>
              </w:rPr>
              <w:t>-</w:t>
            </w:r>
            <w:r>
              <w:rPr>
                <w:rFonts w:hint="eastAsia"/>
                <w:sz w:val="24"/>
                <w:szCs w:val="22"/>
                <w:lang w:val="en-US" w:eastAsia="zh-CN"/>
              </w:rPr>
              <w:t>5</w:t>
            </w:r>
            <w:r>
              <w:rPr>
                <w:rFonts w:hint="eastAsia"/>
                <w:sz w:val="24"/>
                <w:szCs w:val="22"/>
              </w:rPr>
              <w:t>。</w:t>
            </w:r>
          </w:p>
          <w:p>
            <w:pPr>
              <w:pStyle w:val="2"/>
              <w:tabs>
                <w:tab w:val="left" w:pos="4188"/>
              </w:tabs>
              <w:kinsoku w:val="0"/>
              <w:overflowPunct w:val="0"/>
              <w:spacing w:before="58" w:beforeLines="0" w:afterLines="0"/>
              <w:ind w:right="95"/>
              <w:jc w:val="center"/>
              <w:rPr>
                <w:rFonts w:hint="eastAsia" w:ascii="黑体" w:hAnsi="黑体" w:eastAsia="黑体"/>
                <w:sz w:val="21"/>
              </w:rPr>
            </w:pPr>
            <w:r>
              <w:rPr>
                <w:rFonts w:hint="eastAsia" w:ascii="黑体" w:hAnsi="黑体" w:eastAsia="黑体"/>
                <w:sz w:val="21"/>
              </w:rPr>
              <w:t>表</w:t>
            </w:r>
            <w:r>
              <w:rPr>
                <w:rFonts w:hint="eastAsia" w:ascii="黑体" w:hAnsi="黑体" w:eastAsia="黑体"/>
                <w:spacing w:val="-55"/>
                <w:sz w:val="21"/>
              </w:rPr>
              <w:t xml:space="preserve"> </w:t>
            </w:r>
            <w:r>
              <w:rPr>
                <w:rFonts w:hint="default" w:ascii="Times New Roman" w:hAnsi="Times New Roman" w:eastAsia="Times New Roman"/>
                <w:sz w:val="21"/>
              </w:rPr>
              <w:t>7</w:t>
            </w:r>
            <w:r>
              <w:rPr>
                <w:rFonts w:hint="eastAsia" w:eastAsia="宋体"/>
                <w:sz w:val="21"/>
                <w:lang w:val="en-US" w:eastAsia="zh-CN"/>
              </w:rPr>
              <w:t>.3</w:t>
            </w:r>
            <w:r>
              <w:rPr>
                <w:rFonts w:hint="default" w:ascii="Times New Roman" w:hAnsi="Times New Roman" w:eastAsia="Times New Roman"/>
                <w:sz w:val="21"/>
              </w:rPr>
              <w:t>-</w:t>
            </w:r>
            <w:r>
              <w:rPr>
                <w:rFonts w:hint="eastAsia" w:eastAsia="宋体"/>
                <w:sz w:val="21"/>
                <w:lang w:val="en-US" w:eastAsia="zh-CN"/>
              </w:rPr>
              <w:t>1</w:t>
            </w:r>
            <w:r>
              <w:rPr>
                <w:rFonts w:hint="eastAsia" w:ascii="Times New Roman" w:hAnsi="Times New Roman" w:eastAsia="宋体"/>
                <w:sz w:val="21"/>
                <w:lang w:val="en-US" w:eastAsia="zh-CN"/>
              </w:rPr>
              <w:t xml:space="preserve">  </w:t>
            </w:r>
            <w:r>
              <w:rPr>
                <w:rFonts w:hint="eastAsia" w:ascii="黑体" w:hAnsi="黑体" w:eastAsia="黑体"/>
                <w:sz w:val="21"/>
              </w:rPr>
              <w:t>评价因子和评价标准表</w:t>
            </w:r>
          </w:p>
          <w:tbl>
            <w:tblPr>
              <w:tblStyle w:val="43"/>
              <w:tblW w:w="90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21"/>
              <w:gridCol w:w="2021"/>
              <w:gridCol w:w="2022"/>
              <w:gridCol w:w="2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2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评价因子</w:t>
                  </w:r>
                </w:p>
              </w:tc>
              <w:tc>
                <w:tcPr>
                  <w:tcW w:w="2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平均时段</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标准值</w:t>
                  </w:r>
                  <w:r>
                    <w:rPr>
                      <w:rFonts w:hint="default" w:ascii="Times New Roman" w:hAnsi="Times New Roman" w:eastAsia="宋体" w:cs="Times New Roman"/>
                      <w:sz w:val="21"/>
                      <w:szCs w:val="21"/>
                      <w:u w:val="none"/>
                    </w:rPr>
                    <w:t>/</w:t>
                  </w:r>
                  <w:r>
                    <w:rPr>
                      <w:rFonts w:hint="eastAsia" w:ascii="Times New Roman" w:hAnsi="Times New Roman" w:eastAsia="宋体" w:cs="Times New Roman"/>
                      <w:sz w:val="21"/>
                      <w:szCs w:val="21"/>
                      <w:u w:val="none"/>
                    </w:rPr>
                    <w:t>（</w:t>
                  </w:r>
                  <w:r>
                    <w:rPr>
                      <w:rFonts w:hint="default" w:ascii="Times New Roman" w:hAnsi="Times New Roman" w:eastAsia="宋体" w:cs="Times New Roman"/>
                      <w:sz w:val="21"/>
                      <w:szCs w:val="21"/>
                      <w:u w:val="none"/>
                    </w:rPr>
                    <w:t>μg/m3</w:t>
                  </w:r>
                  <w:r>
                    <w:rPr>
                      <w:rFonts w:hint="eastAsia" w:ascii="Times New Roman" w:hAnsi="Times New Roman" w:eastAsia="宋体" w:cs="Times New Roman"/>
                      <w:sz w:val="21"/>
                      <w:szCs w:val="21"/>
                      <w:u w:val="none"/>
                    </w:rPr>
                    <w:t>）</w:t>
                  </w:r>
                </w:p>
              </w:tc>
              <w:tc>
                <w:tcPr>
                  <w:tcW w:w="2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标准来源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8" w:hRule="exact"/>
              </w:trPr>
              <w:tc>
                <w:tcPr>
                  <w:tcW w:w="2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PM10</w:t>
                  </w:r>
                </w:p>
              </w:tc>
              <w:tc>
                <w:tcPr>
                  <w:tcW w:w="2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 xml:space="preserve">24 </w:t>
                  </w:r>
                  <w:r>
                    <w:rPr>
                      <w:rFonts w:hint="eastAsia" w:ascii="Times New Roman" w:hAnsi="Times New Roman" w:eastAsia="宋体" w:cs="Times New Roman"/>
                      <w:sz w:val="21"/>
                      <w:szCs w:val="21"/>
                      <w:u w:val="none"/>
                    </w:rPr>
                    <w:t>小时</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150</w:t>
                  </w:r>
                </w:p>
              </w:tc>
              <w:tc>
                <w:tcPr>
                  <w:tcW w:w="2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Times New Roman" w:eastAsia="宋体" w:cs="Times New Roman"/>
                      <w:sz w:val="21"/>
                      <w:szCs w:val="21"/>
                      <w:u w:val="none"/>
                    </w:rPr>
                  </w:pPr>
                  <w:r>
                    <w:rPr>
                      <w:rFonts w:hint="eastAsia" w:ascii="Times New Roman" w:hAnsi="Times New Roman" w:eastAsia="宋体" w:cs="Times New Roman"/>
                      <w:sz w:val="21"/>
                      <w:szCs w:val="21"/>
                      <w:u w:val="none"/>
                    </w:rPr>
                    <w:t>《环境空气质量标准》</w:t>
                  </w:r>
                </w:p>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w:t>
                  </w:r>
                  <w:r>
                    <w:rPr>
                      <w:rFonts w:hint="default" w:ascii="Times New Roman" w:hAnsi="Times New Roman" w:eastAsia="宋体" w:cs="Times New Roman"/>
                      <w:sz w:val="21"/>
                      <w:szCs w:val="21"/>
                      <w:u w:val="none"/>
                    </w:rPr>
                    <w:t>GB3095-2012</w:t>
                  </w:r>
                  <w:r>
                    <w:rPr>
                      <w:rFonts w:hint="eastAsia" w:ascii="Times New Roman" w:hAnsi="Times New Roman" w:eastAsia="宋体" w:cs="Times New Roman"/>
                      <w:sz w:val="21"/>
                      <w:szCs w:val="21"/>
                      <w:u w:val="none"/>
                    </w:rPr>
                    <w:t>）二级标准及 其修改单</w:t>
                  </w:r>
                </w:p>
              </w:tc>
            </w:tr>
          </w:tbl>
          <w:p>
            <w:pPr>
              <w:pStyle w:val="2"/>
              <w:kinsoku w:val="0"/>
              <w:overflowPunct w:val="0"/>
              <w:spacing w:before="3" w:beforeLines="0" w:afterLines="0"/>
              <w:ind w:left="0"/>
              <w:jc w:val="center"/>
              <w:rPr>
                <w:rFonts w:hint="default" w:ascii="Times New Roman" w:hAnsi="Times New Roman" w:eastAsia="Times New Roman"/>
                <w:sz w:val="7"/>
              </w:rPr>
            </w:pPr>
            <w:r>
              <w:rPr>
                <w:rFonts w:hint="eastAsia" w:ascii="Times New Roman" w:hAnsi="Times New Roman" w:eastAsia="宋体" w:cs="Times New Roman"/>
                <w:sz w:val="21"/>
                <w:szCs w:val="21"/>
                <w:u w:val="none"/>
              </w:rPr>
              <w:t>表</w:t>
            </w:r>
            <w:r>
              <w:rPr>
                <w:rFonts w:hint="default" w:ascii="Times New Roman" w:hAnsi="Times New Roman" w:eastAsia="宋体" w:cs="Times New Roman"/>
                <w:sz w:val="21"/>
                <w:szCs w:val="21"/>
                <w:u w:val="none"/>
              </w:rPr>
              <w:t>7</w:t>
            </w:r>
            <w:r>
              <w:rPr>
                <w:rFonts w:hint="eastAsia" w:cs="Times New Roman"/>
                <w:sz w:val="21"/>
                <w:szCs w:val="21"/>
                <w:u w:val="none"/>
                <w:lang w:val="en-US" w:eastAsia="zh-CN"/>
              </w:rPr>
              <w:t>.3</w:t>
            </w:r>
            <w:r>
              <w:rPr>
                <w:rFonts w:hint="default" w:ascii="Times New Roman" w:hAnsi="Times New Roman" w:eastAsia="宋体" w:cs="Times New Roman"/>
                <w:sz w:val="21"/>
                <w:szCs w:val="21"/>
                <w:u w:val="none"/>
              </w:rPr>
              <w:t>-</w:t>
            </w:r>
            <w:r>
              <w:rPr>
                <w:rFonts w:hint="eastAsia" w:cs="Times New Roman"/>
                <w:sz w:val="21"/>
                <w:szCs w:val="21"/>
                <w:u w:val="none"/>
                <w:lang w:val="en-US" w:eastAsia="zh-CN"/>
              </w:rPr>
              <w:t>2</w:t>
            </w:r>
            <w:r>
              <w:rPr>
                <w:rFonts w:hint="default" w:ascii="Times New Roman" w:hAnsi="Times New Roman" w:eastAsia="宋体" w:cs="Times New Roman"/>
                <w:sz w:val="21"/>
                <w:szCs w:val="21"/>
                <w:u w:val="none"/>
              </w:rPr>
              <w:tab/>
            </w:r>
            <w:r>
              <w:rPr>
                <w:rFonts w:hint="eastAsia" w:ascii="Times New Roman" w:hAnsi="Times New Roman" w:eastAsia="宋体" w:cs="Times New Roman"/>
                <w:sz w:val="21"/>
                <w:szCs w:val="21"/>
                <w:u w:val="none"/>
              </w:rPr>
              <w:t>环境空气评价工作等级判据</w:t>
            </w:r>
          </w:p>
          <w:tbl>
            <w:tblPr>
              <w:tblStyle w:val="43"/>
              <w:tblW w:w="90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2"/>
              <w:gridCol w:w="2259"/>
              <w:gridCol w:w="6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exact"/>
              </w:trPr>
              <w:tc>
                <w:tcPr>
                  <w:tcW w:w="222" w:type="dxa"/>
                  <w:tcBorders>
                    <w:top w:val="nil"/>
                    <w:left w:val="single" w:color="000000" w:sz="4" w:space="0"/>
                    <w:bottom w:val="nil"/>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p>
              </w:tc>
              <w:tc>
                <w:tcPr>
                  <w:tcW w:w="22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评价工作等级</w:t>
                  </w:r>
                </w:p>
              </w:tc>
              <w:tc>
                <w:tcPr>
                  <w:tcW w:w="658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评价工作分级判据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exact"/>
              </w:trPr>
              <w:tc>
                <w:tcPr>
                  <w:tcW w:w="222" w:type="dxa"/>
                  <w:tcBorders>
                    <w:top w:val="nil"/>
                    <w:left w:val="single" w:color="000000" w:sz="4" w:space="0"/>
                    <w:bottom w:val="nil"/>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p>
              </w:tc>
              <w:tc>
                <w:tcPr>
                  <w:tcW w:w="22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一级</w:t>
                  </w:r>
                </w:p>
              </w:tc>
              <w:tc>
                <w:tcPr>
                  <w:tcW w:w="658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Pmax≥10%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exact"/>
              </w:trPr>
              <w:tc>
                <w:tcPr>
                  <w:tcW w:w="222" w:type="dxa"/>
                  <w:tcBorders>
                    <w:top w:val="nil"/>
                    <w:left w:val="single" w:color="000000" w:sz="4" w:space="0"/>
                    <w:bottom w:val="nil"/>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p>
              </w:tc>
              <w:tc>
                <w:tcPr>
                  <w:tcW w:w="22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二级</w:t>
                  </w:r>
                </w:p>
              </w:tc>
              <w:tc>
                <w:tcPr>
                  <w:tcW w:w="658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1%≤Pmax</w:t>
                  </w:r>
                  <w:r>
                    <w:rPr>
                      <w:rFonts w:hint="eastAsia" w:ascii="Times New Roman" w:hAnsi="Times New Roman" w:eastAsia="宋体" w:cs="Times New Roman"/>
                      <w:sz w:val="21"/>
                      <w:szCs w:val="21"/>
                      <w:u w:val="none"/>
                    </w:rPr>
                    <w:t>＜</w:t>
                  </w:r>
                  <w:r>
                    <w:rPr>
                      <w:rFonts w:hint="default" w:ascii="Times New Roman" w:hAnsi="Times New Roman" w:eastAsia="宋体" w:cs="Times New Roman"/>
                      <w:sz w:val="21"/>
                      <w:szCs w:val="21"/>
                      <w:u w:val="non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exact"/>
              </w:trPr>
              <w:tc>
                <w:tcPr>
                  <w:tcW w:w="222" w:type="dxa"/>
                  <w:tcBorders>
                    <w:top w:val="nil"/>
                    <w:left w:val="single" w:color="000000" w:sz="4" w:space="0"/>
                    <w:bottom w:val="nil"/>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p>
              </w:tc>
              <w:tc>
                <w:tcPr>
                  <w:tcW w:w="22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三级</w:t>
                  </w:r>
                </w:p>
              </w:tc>
              <w:tc>
                <w:tcPr>
                  <w:tcW w:w="658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Pmax</w:t>
                  </w:r>
                  <w:r>
                    <w:rPr>
                      <w:rFonts w:hint="eastAsia" w:ascii="Times New Roman" w:hAnsi="Times New Roman" w:eastAsia="宋体" w:cs="Times New Roman"/>
                      <w:sz w:val="21"/>
                      <w:szCs w:val="21"/>
                      <w:u w:val="none"/>
                    </w:rPr>
                    <w:t>＜</w:t>
                  </w:r>
                  <w:r>
                    <w:rPr>
                      <w:rFonts w:hint="default" w:ascii="Times New Roman" w:hAnsi="Times New Roman" w:eastAsia="宋体" w:cs="Times New Roman"/>
                      <w:sz w:val="21"/>
                      <w:szCs w:val="21"/>
                      <w:u w:val="none"/>
                    </w:rPr>
                    <w:t>1%</w:t>
                  </w:r>
                </w:p>
              </w:tc>
            </w:tr>
          </w:tbl>
          <w:p/>
          <w:tbl>
            <w:tblPr>
              <w:tblStyle w:val="43"/>
              <w:tblW w:w="90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2"/>
              <w:gridCol w:w="2988"/>
              <w:gridCol w:w="2947"/>
              <w:gridCol w:w="2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exact"/>
              </w:trPr>
              <w:tc>
                <w:tcPr>
                  <w:tcW w:w="906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表</w:t>
                  </w:r>
                  <w:r>
                    <w:rPr>
                      <w:rFonts w:hint="default" w:ascii="Times New Roman" w:hAnsi="Times New Roman" w:eastAsia="宋体" w:cs="Times New Roman"/>
                      <w:sz w:val="21"/>
                      <w:szCs w:val="21"/>
                      <w:u w:val="none"/>
                    </w:rPr>
                    <w:t>7</w:t>
                  </w:r>
                  <w:r>
                    <w:rPr>
                      <w:rFonts w:hint="eastAsia" w:cs="Times New Roman"/>
                      <w:sz w:val="21"/>
                      <w:szCs w:val="21"/>
                      <w:u w:val="none"/>
                      <w:lang w:val="en-US" w:eastAsia="zh-CN"/>
                    </w:rPr>
                    <w:t>.3</w:t>
                  </w:r>
                  <w:r>
                    <w:rPr>
                      <w:rFonts w:hint="default" w:ascii="Times New Roman" w:hAnsi="Times New Roman" w:eastAsia="宋体" w:cs="Times New Roman"/>
                      <w:sz w:val="21"/>
                      <w:szCs w:val="21"/>
                      <w:u w:val="none"/>
                    </w:rPr>
                    <w:t>-</w:t>
                  </w:r>
                  <w:r>
                    <w:rPr>
                      <w:rFonts w:hint="eastAsia" w:cs="Times New Roman"/>
                      <w:sz w:val="21"/>
                      <w:szCs w:val="21"/>
                      <w:u w:val="none"/>
                      <w:lang w:val="en-US" w:eastAsia="zh-CN"/>
                    </w:rPr>
                    <w:t>3</w:t>
                  </w:r>
                  <w:r>
                    <w:rPr>
                      <w:rFonts w:hint="default" w:ascii="Times New Roman" w:hAnsi="Times New Roman" w:eastAsia="宋体" w:cs="Times New Roman"/>
                      <w:sz w:val="21"/>
                      <w:szCs w:val="21"/>
                      <w:u w:val="none"/>
                    </w:rPr>
                    <w:tab/>
                  </w:r>
                  <w:r>
                    <w:rPr>
                      <w:rFonts w:hint="eastAsia" w:ascii="Times New Roman" w:hAnsi="Times New Roman" w:eastAsia="宋体" w:cs="Times New Roman"/>
                      <w:sz w:val="21"/>
                      <w:szCs w:val="21"/>
                      <w:u w:val="none"/>
                    </w:rPr>
                    <w:t>估算模型参数表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222" w:type="dxa"/>
                  <w:tcBorders>
                    <w:top w:val="nil"/>
                    <w:left w:val="single" w:color="000000" w:sz="4" w:space="0"/>
                    <w:bottom w:val="nil"/>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p>
              </w:tc>
              <w:tc>
                <w:tcPr>
                  <w:tcW w:w="59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参数</w:t>
                  </w:r>
                </w:p>
              </w:tc>
              <w:tc>
                <w:tcPr>
                  <w:tcW w:w="290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取值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222" w:type="dxa"/>
                  <w:vMerge w:val="restart"/>
                  <w:tcBorders>
                    <w:top w:val="nil"/>
                    <w:left w:val="single" w:color="000000" w:sz="4" w:space="0"/>
                    <w:bottom w:val="nil"/>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p>
              </w:tc>
              <w:tc>
                <w:tcPr>
                  <w:tcW w:w="298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城市</w:t>
                  </w:r>
                  <w:r>
                    <w:rPr>
                      <w:rFonts w:hint="default" w:ascii="Times New Roman" w:hAnsi="Times New Roman" w:eastAsia="宋体" w:cs="Times New Roman"/>
                      <w:sz w:val="21"/>
                      <w:szCs w:val="21"/>
                      <w:u w:val="none"/>
                    </w:rPr>
                    <w:t>/</w:t>
                  </w:r>
                  <w:r>
                    <w:rPr>
                      <w:rFonts w:hint="eastAsia" w:ascii="Times New Roman" w:hAnsi="Times New Roman" w:eastAsia="宋体" w:cs="Times New Roman"/>
                      <w:sz w:val="21"/>
                      <w:szCs w:val="21"/>
                      <w:u w:val="none"/>
                    </w:rPr>
                    <w:t>农村选项</w:t>
                  </w:r>
                </w:p>
              </w:tc>
              <w:tc>
                <w:tcPr>
                  <w:tcW w:w="294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城市</w:t>
                  </w:r>
                  <w:r>
                    <w:rPr>
                      <w:rFonts w:hint="default" w:ascii="Times New Roman" w:hAnsi="Times New Roman" w:eastAsia="宋体" w:cs="Times New Roman"/>
                      <w:sz w:val="21"/>
                      <w:szCs w:val="21"/>
                      <w:u w:val="none"/>
                    </w:rPr>
                    <w:t>/</w:t>
                  </w:r>
                  <w:r>
                    <w:rPr>
                      <w:rFonts w:hint="eastAsia" w:ascii="Times New Roman" w:hAnsi="Times New Roman" w:eastAsia="宋体" w:cs="Times New Roman"/>
                      <w:sz w:val="21"/>
                      <w:szCs w:val="21"/>
                      <w:u w:val="none"/>
                    </w:rPr>
                    <w:t>农村</w:t>
                  </w:r>
                </w:p>
              </w:tc>
              <w:tc>
                <w:tcPr>
                  <w:tcW w:w="290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农村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222" w:type="dxa"/>
                  <w:vMerge w:val="continue"/>
                  <w:tcBorders>
                    <w:top w:val="nil"/>
                    <w:left w:val="single" w:color="000000" w:sz="4" w:space="0"/>
                    <w:bottom w:val="nil"/>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p>
              </w:tc>
              <w:tc>
                <w:tcPr>
                  <w:tcW w:w="298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p>
              </w:tc>
              <w:tc>
                <w:tcPr>
                  <w:tcW w:w="294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人口数（城市选项时）</w:t>
                  </w:r>
                </w:p>
              </w:tc>
              <w:tc>
                <w:tcPr>
                  <w:tcW w:w="290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222" w:type="dxa"/>
                  <w:tcBorders>
                    <w:top w:val="nil"/>
                    <w:left w:val="single" w:color="000000" w:sz="4" w:space="0"/>
                    <w:bottom w:val="nil"/>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p>
              </w:tc>
              <w:tc>
                <w:tcPr>
                  <w:tcW w:w="59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最高环境温度（℃）</w:t>
                  </w:r>
                </w:p>
              </w:tc>
              <w:tc>
                <w:tcPr>
                  <w:tcW w:w="290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222" w:type="dxa"/>
                  <w:tcBorders>
                    <w:top w:val="nil"/>
                    <w:left w:val="single" w:color="000000" w:sz="4" w:space="0"/>
                    <w:bottom w:val="nil"/>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p>
              </w:tc>
              <w:tc>
                <w:tcPr>
                  <w:tcW w:w="59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最低环境温度（℃）</w:t>
                  </w:r>
                </w:p>
              </w:tc>
              <w:tc>
                <w:tcPr>
                  <w:tcW w:w="290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222" w:type="dxa"/>
                  <w:tcBorders>
                    <w:top w:val="nil"/>
                    <w:left w:val="single" w:color="000000" w:sz="4" w:space="0"/>
                    <w:bottom w:val="nil"/>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p>
              </w:tc>
              <w:tc>
                <w:tcPr>
                  <w:tcW w:w="59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土地利用类型</w:t>
                  </w:r>
                </w:p>
              </w:tc>
              <w:tc>
                <w:tcPr>
                  <w:tcW w:w="290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农田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222" w:type="dxa"/>
                  <w:tcBorders>
                    <w:top w:val="nil"/>
                    <w:left w:val="single" w:color="000000" w:sz="4" w:space="0"/>
                    <w:bottom w:val="nil"/>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p>
              </w:tc>
              <w:tc>
                <w:tcPr>
                  <w:tcW w:w="59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区域湿度条件</w:t>
                  </w:r>
                </w:p>
              </w:tc>
              <w:tc>
                <w:tcPr>
                  <w:tcW w:w="290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中等湿度</w:t>
                  </w:r>
                  <w:r>
                    <w:rPr>
                      <w:rFonts w:hint="default" w:ascii="Times New Roman" w:hAnsi="Times New Roman" w:eastAsia="宋体" w:cs="Times New Roman"/>
                      <w:sz w:val="21"/>
                      <w:szCs w:val="21"/>
                      <w:u w:val="none"/>
                    </w:rPr>
                    <w:t>/</w:t>
                  </w:r>
                  <w:r>
                    <w:rPr>
                      <w:rFonts w:hint="eastAsia" w:ascii="Times New Roman" w:hAnsi="Times New Roman" w:eastAsia="宋体" w:cs="Times New Roman"/>
                      <w:sz w:val="21"/>
                      <w:szCs w:val="21"/>
                      <w:u w:val="none"/>
                    </w:rPr>
                    <w:t>半湿润区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222" w:type="dxa"/>
                  <w:vMerge w:val="restart"/>
                  <w:tcBorders>
                    <w:top w:val="nil"/>
                    <w:left w:val="single" w:color="000000" w:sz="4" w:space="0"/>
                    <w:bottom w:val="nil"/>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p>
              </w:tc>
              <w:tc>
                <w:tcPr>
                  <w:tcW w:w="298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是否考虑地形</w:t>
                  </w:r>
                </w:p>
              </w:tc>
              <w:tc>
                <w:tcPr>
                  <w:tcW w:w="294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考虑地形</w:t>
                  </w:r>
                </w:p>
              </w:tc>
              <w:tc>
                <w:tcPr>
                  <w:tcW w:w="290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r>
                    <w:rPr>
                      <w:rFonts w:hint="eastAsia" w:ascii="Times New Roman" w:hAnsi="Times New Roman" w:eastAsia="宋体" w:cs="Times New Roman"/>
                      <w:sz w:val="21"/>
                      <w:szCs w:val="21"/>
                      <w:u w:val="none"/>
                    </w:rPr>
                    <w:t xml:space="preserve">是 </w:t>
                  </w:r>
                  <w:r>
                    <w:rPr>
                      <w:rFonts w:hint="default" w:ascii="Times New Roman" w:hAnsi="Times New Roman" w:eastAsia="宋体" w:cs="Times New Roman"/>
                      <w:sz w:val="21"/>
                      <w:szCs w:val="21"/>
                      <w:u w:val="none"/>
                    </w:rPr>
                    <w:t></w:t>
                  </w:r>
                  <w:r>
                    <w:rPr>
                      <w:rFonts w:hint="eastAsia" w:ascii="Times New Roman" w:hAnsi="Times New Roman" w:eastAsia="宋体" w:cs="Times New Roman"/>
                      <w:sz w:val="21"/>
                      <w:szCs w:val="21"/>
                      <w:u w:val="none"/>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222" w:type="dxa"/>
                  <w:vMerge w:val="continue"/>
                  <w:tcBorders>
                    <w:top w:val="nil"/>
                    <w:left w:val="single" w:color="000000" w:sz="4" w:space="0"/>
                    <w:bottom w:val="nil"/>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p>
              </w:tc>
              <w:tc>
                <w:tcPr>
                  <w:tcW w:w="298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p>
              </w:tc>
              <w:tc>
                <w:tcPr>
                  <w:tcW w:w="294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地形数据分辨率</w:t>
                  </w:r>
                  <w:r>
                    <w:rPr>
                      <w:rFonts w:hint="default" w:ascii="Times New Roman" w:hAnsi="Times New Roman" w:eastAsia="宋体" w:cs="Times New Roman"/>
                      <w:sz w:val="21"/>
                      <w:szCs w:val="21"/>
                      <w:u w:val="none"/>
                    </w:rPr>
                    <w:t>/m</w:t>
                  </w:r>
                </w:p>
              </w:tc>
              <w:tc>
                <w:tcPr>
                  <w:tcW w:w="290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222" w:type="dxa"/>
                  <w:vMerge w:val="restart"/>
                  <w:tcBorders>
                    <w:top w:val="nil"/>
                    <w:left w:val="single" w:color="000000" w:sz="4" w:space="0"/>
                    <w:bottom w:val="nil"/>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p>
              </w:tc>
              <w:tc>
                <w:tcPr>
                  <w:tcW w:w="298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是否考虑岸线熏烟</w:t>
                  </w:r>
                </w:p>
              </w:tc>
              <w:tc>
                <w:tcPr>
                  <w:tcW w:w="294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考虑岸线熏烟</w:t>
                  </w:r>
                </w:p>
              </w:tc>
              <w:tc>
                <w:tcPr>
                  <w:tcW w:w="290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r>
                    <w:rPr>
                      <w:rFonts w:hint="eastAsia" w:ascii="Times New Roman" w:hAnsi="Times New Roman" w:eastAsia="宋体" w:cs="Times New Roman"/>
                      <w:sz w:val="21"/>
                      <w:szCs w:val="21"/>
                      <w:u w:val="none"/>
                    </w:rPr>
                    <w:t xml:space="preserve">是 </w:t>
                  </w:r>
                  <w:r>
                    <w:rPr>
                      <w:rFonts w:hint="default" w:ascii="Times New Roman" w:hAnsi="Times New Roman" w:eastAsia="宋体" w:cs="Times New Roman"/>
                      <w:sz w:val="21"/>
                      <w:szCs w:val="21"/>
                      <w:u w:val="none"/>
                    </w:rPr>
                    <w:t></w:t>
                  </w:r>
                  <w:r>
                    <w:rPr>
                      <w:rFonts w:hint="eastAsia" w:ascii="Times New Roman" w:hAnsi="Times New Roman" w:eastAsia="宋体" w:cs="Times New Roman"/>
                      <w:sz w:val="21"/>
                      <w:szCs w:val="21"/>
                      <w:u w:val="none"/>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222" w:type="dxa"/>
                  <w:vMerge w:val="continue"/>
                  <w:tcBorders>
                    <w:top w:val="nil"/>
                    <w:left w:val="single" w:color="000000" w:sz="4" w:space="0"/>
                    <w:bottom w:val="nil"/>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p>
              </w:tc>
              <w:tc>
                <w:tcPr>
                  <w:tcW w:w="298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p>
              </w:tc>
              <w:tc>
                <w:tcPr>
                  <w:tcW w:w="294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岸线距离</w:t>
                  </w:r>
                  <w:r>
                    <w:rPr>
                      <w:rFonts w:hint="default" w:ascii="Times New Roman" w:hAnsi="Times New Roman" w:eastAsia="宋体" w:cs="Times New Roman"/>
                      <w:sz w:val="21"/>
                      <w:szCs w:val="21"/>
                      <w:u w:val="none"/>
                    </w:rPr>
                    <w:t>/km</w:t>
                  </w:r>
                </w:p>
              </w:tc>
              <w:tc>
                <w:tcPr>
                  <w:tcW w:w="290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222" w:type="dxa"/>
                  <w:vMerge w:val="continue"/>
                  <w:tcBorders>
                    <w:top w:val="nil"/>
                    <w:left w:val="single" w:color="000000" w:sz="4" w:space="0"/>
                    <w:bottom w:val="nil"/>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p>
              </w:tc>
              <w:tc>
                <w:tcPr>
                  <w:tcW w:w="298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p>
              </w:tc>
              <w:tc>
                <w:tcPr>
                  <w:tcW w:w="294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岸线方向</w:t>
                  </w:r>
                  <w:r>
                    <w:rPr>
                      <w:rFonts w:hint="default" w:ascii="Times New Roman" w:hAnsi="Times New Roman" w:eastAsia="宋体" w:cs="Times New Roman"/>
                      <w:sz w:val="21"/>
                      <w:szCs w:val="21"/>
                      <w:u w:val="none"/>
                    </w:rPr>
                    <w:t>/°</w:t>
                  </w:r>
                </w:p>
              </w:tc>
              <w:tc>
                <w:tcPr>
                  <w:tcW w:w="290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r>
          </w:tbl>
          <w:p/>
          <w:tbl>
            <w:tblPr>
              <w:tblStyle w:val="43"/>
              <w:tblW w:w="90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2"/>
              <w:gridCol w:w="344"/>
              <w:gridCol w:w="762"/>
              <w:gridCol w:w="1151"/>
              <w:gridCol w:w="731"/>
              <w:gridCol w:w="778"/>
              <w:gridCol w:w="740"/>
              <w:gridCol w:w="716"/>
              <w:gridCol w:w="715"/>
              <w:gridCol w:w="595"/>
              <w:gridCol w:w="519"/>
              <w:gridCol w:w="1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exact"/>
              </w:trPr>
              <w:tc>
                <w:tcPr>
                  <w:tcW w:w="9063"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表</w:t>
                  </w:r>
                  <w:r>
                    <w:rPr>
                      <w:rFonts w:hint="default" w:ascii="Times New Roman" w:hAnsi="Times New Roman" w:eastAsia="宋体" w:cs="Times New Roman"/>
                      <w:sz w:val="21"/>
                      <w:szCs w:val="21"/>
                      <w:u w:val="none"/>
                    </w:rPr>
                    <w:t>7</w:t>
                  </w:r>
                  <w:r>
                    <w:rPr>
                      <w:rFonts w:hint="eastAsia" w:cs="Times New Roman"/>
                      <w:sz w:val="21"/>
                      <w:szCs w:val="21"/>
                      <w:u w:val="none"/>
                      <w:lang w:val="en-US" w:eastAsia="zh-CN"/>
                    </w:rPr>
                    <w:t>.3</w:t>
                  </w:r>
                  <w:r>
                    <w:rPr>
                      <w:rFonts w:hint="default" w:ascii="Times New Roman" w:hAnsi="Times New Roman" w:eastAsia="宋体" w:cs="Times New Roman"/>
                      <w:sz w:val="21"/>
                      <w:szCs w:val="21"/>
                      <w:u w:val="none"/>
                    </w:rPr>
                    <w:t>-</w:t>
                  </w:r>
                  <w:r>
                    <w:rPr>
                      <w:rFonts w:hint="eastAsia" w:cs="Times New Roman"/>
                      <w:sz w:val="21"/>
                      <w:szCs w:val="21"/>
                      <w:u w:val="none"/>
                      <w:lang w:val="en-US" w:eastAsia="zh-CN"/>
                    </w:rPr>
                    <w:t>4</w:t>
                  </w:r>
                  <w:r>
                    <w:rPr>
                      <w:rFonts w:hint="default" w:ascii="Times New Roman" w:hAnsi="Times New Roman" w:eastAsia="宋体" w:cs="Times New Roman"/>
                      <w:sz w:val="21"/>
                      <w:szCs w:val="21"/>
                      <w:u w:val="none"/>
                    </w:rPr>
                    <w:t xml:space="preserve"> </w:t>
                  </w:r>
                  <w:r>
                    <w:rPr>
                      <w:rFonts w:hint="eastAsia" w:ascii="Times New Roman" w:hAnsi="Times New Roman" w:eastAsia="宋体" w:cs="Times New Roman"/>
                      <w:sz w:val="21"/>
                      <w:szCs w:val="21"/>
                      <w:u w:val="none"/>
                    </w:rPr>
                    <w:t>点源参数表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8" w:hRule="exact"/>
              </w:trPr>
              <w:tc>
                <w:tcPr>
                  <w:tcW w:w="222" w:type="dxa"/>
                  <w:vMerge w:val="restart"/>
                  <w:tcBorders>
                    <w:top w:val="nil"/>
                    <w:left w:val="single" w:color="000000" w:sz="4" w:space="0"/>
                    <w:bottom w:val="nil"/>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p>
              </w:tc>
              <w:tc>
                <w:tcPr>
                  <w:tcW w:w="34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p>
                <w:p>
                  <w:pPr>
                    <w:jc w:val="center"/>
                    <w:rPr>
                      <w:rFonts w:hint="default" w:ascii="Times New Roman" w:hAnsi="Times New Roman" w:eastAsia="宋体" w:cs="Times New Roman"/>
                      <w:sz w:val="21"/>
                      <w:szCs w:val="21"/>
                      <w:u w:val="none"/>
                    </w:rPr>
                  </w:pPr>
                  <w:bookmarkStart w:id="51" w:name="编号"/>
                  <w:bookmarkEnd w:id="51"/>
                  <w:r>
                    <w:rPr>
                      <w:rFonts w:hint="eastAsia" w:ascii="Times New Roman" w:hAnsi="Times New Roman" w:eastAsia="宋体" w:cs="Times New Roman"/>
                      <w:sz w:val="21"/>
                      <w:szCs w:val="21"/>
                      <w:u w:val="none"/>
                    </w:rPr>
                    <w:t>编号</w:t>
                  </w:r>
                </w:p>
              </w:tc>
              <w:tc>
                <w:tcPr>
                  <w:tcW w:w="76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bookmarkStart w:id="52" w:name="名称"/>
                  <w:bookmarkEnd w:id="52"/>
                  <w:r>
                    <w:rPr>
                      <w:rFonts w:hint="eastAsia" w:ascii="Times New Roman" w:hAnsi="Times New Roman" w:eastAsia="宋体" w:cs="Times New Roman"/>
                      <w:sz w:val="21"/>
                      <w:szCs w:val="21"/>
                      <w:u w:val="none"/>
                    </w:rPr>
                    <w:t>名称</w:t>
                  </w:r>
                </w:p>
              </w:tc>
              <w:tc>
                <w:tcPr>
                  <w:tcW w:w="115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bookmarkStart w:id="53" w:name="排气筒底部中心坐标"/>
                  <w:bookmarkEnd w:id="53"/>
                  <w:r>
                    <w:rPr>
                      <w:rFonts w:hint="eastAsia" w:ascii="Times New Roman" w:hAnsi="Times New Roman" w:eastAsia="宋体" w:cs="Times New Roman"/>
                      <w:sz w:val="21"/>
                      <w:szCs w:val="21"/>
                      <w:u w:val="none"/>
                    </w:rPr>
                    <w:t>排气筒底 部中心坐 标</w:t>
                  </w:r>
                </w:p>
              </w:tc>
              <w:tc>
                <w:tcPr>
                  <w:tcW w:w="73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bookmarkStart w:id="54" w:name="排气筒底部海拔高度/m"/>
                  <w:bookmarkEnd w:id="54"/>
                  <w:r>
                    <w:rPr>
                      <w:rFonts w:hint="eastAsia" w:ascii="Times New Roman" w:hAnsi="Times New Roman" w:eastAsia="宋体" w:cs="Times New Roman"/>
                      <w:sz w:val="21"/>
                      <w:szCs w:val="21"/>
                      <w:u w:val="none"/>
                    </w:rPr>
                    <w:t>排气 筒底 部海 拔高 度</w:t>
                  </w:r>
                  <w:r>
                    <w:rPr>
                      <w:rFonts w:hint="default" w:ascii="Times New Roman" w:hAnsi="Times New Roman" w:eastAsia="宋体" w:cs="Times New Roman"/>
                      <w:sz w:val="21"/>
                      <w:szCs w:val="21"/>
                      <w:u w:val="none"/>
                    </w:rPr>
                    <w:t>/m</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bookmarkStart w:id="55" w:name="排气筒高度/m"/>
                  <w:bookmarkEnd w:id="55"/>
                  <w:r>
                    <w:rPr>
                      <w:rFonts w:hint="eastAsia" w:ascii="Times New Roman" w:hAnsi="Times New Roman" w:eastAsia="宋体" w:cs="Times New Roman"/>
                      <w:sz w:val="21"/>
                      <w:szCs w:val="21"/>
                      <w:u w:val="none"/>
                    </w:rPr>
                    <w:t>排气 筒高 度</w:t>
                  </w:r>
                  <w:r>
                    <w:rPr>
                      <w:rFonts w:hint="default" w:ascii="Times New Roman" w:hAnsi="Times New Roman" w:eastAsia="宋体" w:cs="Times New Roman"/>
                      <w:sz w:val="21"/>
                      <w:szCs w:val="21"/>
                      <w:u w:val="none"/>
                    </w:rPr>
                    <w:t>/m</w:t>
                  </w:r>
                </w:p>
              </w:tc>
              <w:tc>
                <w:tcPr>
                  <w:tcW w:w="74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bookmarkStart w:id="56" w:name="排气筒出口内径/m"/>
                  <w:bookmarkEnd w:id="56"/>
                  <w:r>
                    <w:rPr>
                      <w:rFonts w:hint="eastAsia" w:ascii="Times New Roman" w:hAnsi="Times New Roman" w:eastAsia="宋体" w:cs="Times New Roman"/>
                      <w:sz w:val="21"/>
                      <w:szCs w:val="21"/>
                      <w:u w:val="none"/>
                    </w:rPr>
                    <w:t>排气 筒出 口内 径</w:t>
                  </w:r>
                  <w:r>
                    <w:rPr>
                      <w:rFonts w:hint="default" w:ascii="Times New Roman" w:hAnsi="Times New Roman" w:eastAsia="宋体" w:cs="Times New Roman"/>
                      <w:sz w:val="21"/>
                      <w:szCs w:val="21"/>
                      <w:u w:val="none"/>
                    </w:rPr>
                    <w:t>/m</w:t>
                  </w:r>
                </w:p>
              </w:tc>
              <w:tc>
                <w:tcPr>
                  <w:tcW w:w="7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Times New Roman" w:eastAsia="宋体" w:cs="Times New Roman"/>
                      <w:sz w:val="21"/>
                      <w:szCs w:val="21"/>
                      <w:u w:val="none"/>
                    </w:rPr>
                  </w:pPr>
                  <w:bookmarkStart w:id="57" w:name="烟气流速/m/s"/>
                  <w:bookmarkEnd w:id="57"/>
                  <w:r>
                    <w:rPr>
                      <w:rFonts w:hint="eastAsia" w:ascii="Times New Roman" w:hAnsi="Times New Roman" w:eastAsia="宋体" w:cs="Times New Roman"/>
                      <w:sz w:val="21"/>
                      <w:szCs w:val="21"/>
                      <w:u w:val="none"/>
                    </w:rPr>
                    <w:t>烟气 流速</w:t>
                  </w:r>
                </w:p>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/m/s</w:t>
                  </w:r>
                </w:p>
              </w:tc>
              <w:tc>
                <w:tcPr>
                  <w:tcW w:w="7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Times New Roman" w:eastAsia="宋体" w:cs="Times New Roman"/>
                      <w:sz w:val="21"/>
                      <w:szCs w:val="21"/>
                      <w:u w:val="none"/>
                    </w:rPr>
                  </w:pPr>
                  <w:bookmarkStart w:id="58" w:name="烟气温度/℃"/>
                  <w:bookmarkEnd w:id="58"/>
                  <w:r>
                    <w:rPr>
                      <w:rFonts w:hint="eastAsia" w:ascii="Times New Roman" w:hAnsi="Times New Roman" w:eastAsia="宋体" w:cs="Times New Roman"/>
                      <w:sz w:val="21"/>
                      <w:szCs w:val="21"/>
                      <w:u w:val="none"/>
                    </w:rPr>
                    <w:t>烟气 温度</w:t>
                  </w:r>
                </w:p>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r>
                    <w:rPr>
                      <w:rFonts w:hint="eastAsia" w:ascii="Times New Roman" w:hAnsi="Times New Roman" w:eastAsia="宋体" w:cs="Times New Roman"/>
                      <w:sz w:val="21"/>
                      <w:szCs w:val="21"/>
                      <w:u w:val="none"/>
                    </w:rPr>
                    <w:t>℃</w:t>
                  </w:r>
                </w:p>
              </w:tc>
              <w:tc>
                <w:tcPr>
                  <w:tcW w:w="5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Times New Roman" w:eastAsia="宋体" w:cs="Times New Roman"/>
                      <w:sz w:val="21"/>
                      <w:szCs w:val="21"/>
                      <w:u w:val="none"/>
                    </w:rPr>
                  </w:pPr>
                  <w:bookmarkStart w:id="59" w:name="年排放小时数/h"/>
                  <w:bookmarkEnd w:id="59"/>
                  <w:r>
                    <w:rPr>
                      <w:rFonts w:hint="eastAsia" w:ascii="Times New Roman" w:hAnsi="Times New Roman" w:eastAsia="宋体" w:cs="Times New Roman"/>
                      <w:sz w:val="21"/>
                      <w:szCs w:val="21"/>
                      <w:u w:val="none"/>
                    </w:rPr>
                    <w:t>年</w:t>
                  </w:r>
                </w:p>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排 放 小 时 数</w:t>
                  </w:r>
                  <w:r>
                    <w:rPr>
                      <w:rFonts w:hint="default" w:ascii="Times New Roman" w:hAnsi="Times New Roman" w:eastAsia="宋体" w:cs="Times New Roman"/>
                      <w:sz w:val="21"/>
                      <w:szCs w:val="21"/>
                      <w:u w:val="none"/>
                    </w:rPr>
                    <w:t>/h</w:t>
                  </w:r>
                </w:p>
              </w:tc>
              <w:tc>
                <w:tcPr>
                  <w:tcW w:w="51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bookmarkStart w:id="60" w:name="排放工况"/>
                  <w:bookmarkEnd w:id="60"/>
                  <w:r>
                    <w:rPr>
                      <w:rFonts w:hint="eastAsia" w:ascii="Times New Roman" w:hAnsi="Times New Roman" w:eastAsia="宋体" w:cs="Times New Roman"/>
                      <w:sz w:val="21"/>
                      <w:szCs w:val="21"/>
                      <w:u w:val="none"/>
                    </w:rPr>
                    <w:t>排 放 工 况</w:t>
                  </w:r>
                </w:p>
              </w:tc>
              <w:tc>
                <w:tcPr>
                  <w:tcW w:w="1790" w:type="dxa"/>
                  <w:tcBorders>
                    <w:top w:val="single" w:color="000000" w:sz="4" w:space="0"/>
                    <w:left w:val="single" w:color="000000" w:sz="4" w:space="0"/>
                    <w:bottom w:val="single" w:color="000000" w:sz="4" w:space="0"/>
                    <w:right w:val="single" w:color="000000" w:sz="12" w:space="0"/>
                    <w:tl2br w:val="nil"/>
                    <w:tr2bl w:val="nil"/>
                  </w:tcBorders>
                  <w:noWrap w:val="0"/>
                  <w:vAlign w:val="center"/>
                </w:tcPr>
                <w:p>
                  <w:pPr>
                    <w:jc w:val="center"/>
                    <w:rPr>
                      <w:rFonts w:hint="eastAsia" w:ascii="Times New Roman" w:hAnsi="Times New Roman" w:eastAsia="宋体" w:cs="Times New Roman"/>
                      <w:sz w:val="21"/>
                      <w:szCs w:val="21"/>
                      <w:u w:val="none"/>
                    </w:rPr>
                  </w:pPr>
                  <w:bookmarkStart w:id="61" w:name="污染物排放速率/kg/h"/>
                  <w:bookmarkEnd w:id="61"/>
                  <w:r>
                    <w:rPr>
                      <w:rFonts w:hint="eastAsia" w:ascii="Times New Roman" w:hAnsi="Times New Roman" w:eastAsia="宋体" w:cs="Times New Roman"/>
                      <w:sz w:val="21"/>
                      <w:szCs w:val="21"/>
                      <w:u w:val="none"/>
                    </w:rPr>
                    <w:t>污染物排放速率</w:t>
                  </w:r>
                </w:p>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/kg/h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6" w:hRule="exact"/>
              </w:trPr>
              <w:tc>
                <w:tcPr>
                  <w:tcW w:w="222" w:type="dxa"/>
                  <w:vMerge w:val="continue"/>
                  <w:tcBorders>
                    <w:top w:val="nil"/>
                    <w:left w:val="single" w:color="000000" w:sz="4" w:space="0"/>
                    <w:bottom w:val="nil"/>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p>
              </w:tc>
              <w:tc>
                <w:tcPr>
                  <w:tcW w:w="3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p>
              </w:tc>
              <w:tc>
                <w:tcPr>
                  <w:tcW w:w="76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p>
              </w:tc>
              <w:tc>
                <w:tcPr>
                  <w:tcW w:w="11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p>
              </w:tc>
              <w:tc>
                <w:tcPr>
                  <w:tcW w:w="73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p>
              </w:tc>
              <w:tc>
                <w:tcPr>
                  <w:tcW w:w="7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p>
              </w:tc>
              <w:tc>
                <w:tcPr>
                  <w:tcW w:w="7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p>
              </w:tc>
              <w:tc>
                <w:tcPr>
                  <w:tcW w:w="7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p>
              </w:tc>
              <w:tc>
                <w:tcPr>
                  <w:tcW w:w="5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p>
              </w:tc>
              <w:tc>
                <w:tcPr>
                  <w:tcW w:w="51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p>
              </w:tc>
              <w:tc>
                <w:tcPr>
                  <w:tcW w:w="1790" w:type="dxa"/>
                  <w:tcBorders>
                    <w:top w:val="single" w:color="000000" w:sz="4" w:space="0"/>
                    <w:left w:val="single" w:color="000000" w:sz="4" w:space="0"/>
                    <w:bottom w:val="single" w:color="000000" w:sz="4" w:space="0"/>
                    <w:right w:val="single" w:color="000000" w:sz="12" w:space="0"/>
                    <w:tl2br w:val="nil"/>
                    <w:tr2bl w:val="nil"/>
                  </w:tcBorders>
                  <w:noWrap w:val="0"/>
                  <w:vAlign w:val="center"/>
                </w:tcPr>
                <w:p>
                  <w:pPr>
                    <w:jc w:val="center"/>
                    <w:rPr>
                      <w:rFonts w:hint="default" w:ascii="Times New Roman" w:hAnsi="Times New Roman" w:eastAsia="宋体" w:cs="Times New Roman"/>
                      <w:sz w:val="21"/>
                      <w:szCs w:val="21"/>
                      <w:u w:val="none"/>
                    </w:rPr>
                  </w:pPr>
                  <w:bookmarkStart w:id="62" w:name="颗粒物"/>
                  <w:bookmarkEnd w:id="62"/>
                  <w:r>
                    <w:rPr>
                      <w:rFonts w:hint="eastAsia" w:ascii="Times New Roman" w:hAnsi="Times New Roman" w:eastAsia="宋体" w:cs="Times New Roman"/>
                      <w:sz w:val="21"/>
                      <w:szCs w:val="21"/>
                      <w:u w:val="none"/>
                    </w:rPr>
                    <w:t>颗粒物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5" w:hRule="exact"/>
              </w:trPr>
              <w:tc>
                <w:tcPr>
                  <w:tcW w:w="222" w:type="dxa"/>
                  <w:tcBorders>
                    <w:top w:val="nil"/>
                    <w:left w:val="single" w:color="000000" w:sz="4" w:space="0"/>
                    <w:bottom w:val="nil"/>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p>
              </w:tc>
              <w:tc>
                <w:tcPr>
                  <w:tcW w:w="3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bookmarkStart w:id="63" w:name="1"/>
                  <w:bookmarkEnd w:id="63"/>
                  <w:r>
                    <w:rPr>
                      <w:rFonts w:hint="default" w:ascii="Times New Roman" w:hAnsi="Times New Roman" w:eastAsia="宋体" w:cs="Times New Roman"/>
                      <w:sz w:val="21"/>
                      <w:szCs w:val="21"/>
                      <w:u w:val="none"/>
                    </w:rPr>
                    <w:t>1</w:t>
                  </w:r>
                </w:p>
              </w:tc>
              <w:tc>
                <w:tcPr>
                  <w:tcW w:w="762" w:type="dxa"/>
                  <w:tcBorders>
                    <w:top w:val="single" w:color="000000" w:sz="4" w:space="0"/>
                    <w:left w:val="single" w:color="000000" w:sz="4" w:space="0"/>
                    <w:right w:val="single" w:color="000000" w:sz="4" w:space="0"/>
                    <w:tl2br w:val="nil"/>
                    <w:tr2bl w:val="nil"/>
                  </w:tcBorders>
                  <w:noWrap w:val="0"/>
                  <w:vAlign w:val="center"/>
                </w:tcPr>
                <w:p>
                  <w:pPr>
                    <w:jc w:val="center"/>
                    <w:rPr>
                      <w:rFonts w:hint="eastAsia" w:ascii="Times New Roman" w:hAnsi="Times New Roman" w:eastAsia="宋体" w:cs="Times New Roman"/>
                      <w:sz w:val="21"/>
                      <w:szCs w:val="21"/>
                      <w:u w:val="none"/>
                    </w:rPr>
                  </w:pPr>
                  <w:bookmarkStart w:id="64" w:name="水泥筒仓排气筒"/>
                  <w:bookmarkEnd w:id="64"/>
                  <w:r>
                    <w:rPr>
                      <w:rFonts w:hint="eastAsia" w:ascii="Times New Roman" w:hAnsi="Times New Roman" w:eastAsia="宋体" w:cs="Times New Roman"/>
                      <w:sz w:val="21"/>
                      <w:szCs w:val="21"/>
                      <w:u w:val="none"/>
                    </w:rPr>
                    <w:t>水泥</w:t>
                  </w:r>
                </w:p>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筒仓</w:t>
                  </w:r>
                </w:p>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排气</w:t>
                  </w:r>
                </w:p>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筒</w:t>
                  </w:r>
                </w:p>
              </w:tc>
              <w:tc>
                <w:tcPr>
                  <w:tcW w:w="11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Times New Roman" w:eastAsia="宋体" w:cs="Times New Roman"/>
                      <w:sz w:val="21"/>
                      <w:szCs w:val="21"/>
                      <w:u w:val="none"/>
                    </w:rPr>
                  </w:pPr>
                  <w:bookmarkStart w:id="65" w:name="北纬35.0281°"/>
                  <w:bookmarkEnd w:id="65"/>
                  <w:r>
                    <w:rPr>
                      <w:rFonts w:hint="eastAsia" w:ascii="Times New Roman" w:hAnsi="Times New Roman" w:eastAsia="宋体" w:cs="Times New Roman"/>
                      <w:sz w:val="21"/>
                      <w:szCs w:val="21"/>
                      <w:u w:val="none"/>
                    </w:rPr>
                    <w:t>北纬</w:t>
                  </w:r>
                </w:p>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35.0281°</w:t>
                  </w:r>
                </w:p>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东经</w:t>
                  </w:r>
                </w:p>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110.9437°</w:t>
                  </w:r>
                </w:p>
              </w:tc>
              <w:tc>
                <w:tcPr>
                  <w:tcW w:w="7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lang w:val="en-US" w:eastAsia="zh-CN"/>
                    </w:rPr>
                  </w:pPr>
                  <w:bookmarkStart w:id="66" w:name="东经110.9437°"/>
                  <w:bookmarkEnd w:id="66"/>
                  <w:bookmarkStart w:id="67" w:name="363"/>
                  <w:bookmarkEnd w:id="67"/>
                  <w:r>
                    <w:rPr>
                      <w:rFonts w:hint="eastAsia" w:ascii="Times New Roman" w:hAnsi="Times New Roman" w:eastAsia="宋体" w:cs="Times New Roman"/>
                      <w:sz w:val="21"/>
                      <w:szCs w:val="21"/>
                      <w:u w:val="none"/>
                      <w:lang w:val="en-US" w:eastAsia="zh-CN"/>
                    </w:rPr>
                    <w:t>50</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bookmarkStart w:id="68" w:name="15"/>
                  <w:bookmarkEnd w:id="68"/>
                  <w:r>
                    <w:rPr>
                      <w:rFonts w:hint="default" w:ascii="Times New Roman" w:hAnsi="Times New Roman" w:eastAsia="宋体" w:cs="Times New Roman"/>
                      <w:sz w:val="21"/>
                      <w:szCs w:val="21"/>
                      <w:u w:val="none"/>
                    </w:rPr>
                    <w:t>15</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bookmarkStart w:id="69" w:name="0.4"/>
                  <w:bookmarkEnd w:id="69"/>
                  <w:r>
                    <w:rPr>
                      <w:rFonts w:hint="default" w:ascii="Times New Roman" w:hAnsi="Times New Roman" w:eastAsia="宋体" w:cs="Times New Roman"/>
                      <w:sz w:val="21"/>
                      <w:szCs w:val="21"/>
                      <w:u w:val="none"/>
                    </w:rPr>
                    <w:t>0.4</w:t>
                  </w:r>
                </w:p>
              </w:tc>
              <w:tc>
                <w:tcPr>
                  <w:tcW w:w="7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bookmarkStart w:id="70" w:name="6.63"/>
                  <w:bookmarkEnd w:id="70"/>
                  <w:r>
                    <w:rPr>
                      <w:rFonts w:hint="default" w:ascii="Times New Roman" w:hAnsi="Times New Roman" w:eastAsia="宋体" w:cs="Times New Roman"/>
                      <w:sz w:val="21"/>
                      <w:szCs w:val="21"/>
                      <w:u w:val="none"/>
                    </w:rPr>
                    <w:t>6.63</w:t>
                  </w:r>
                </w:p>
              </w:tc>
              <w:tc>
                <w:tcPr>
                  <w:tcW w:w="7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bookmarkStart w:id="71" w:name="常温"/>
                  <w:bookmarkEnd w:id="71"/>
                  <w:r>
                    <w:rPr>
                      <w:rFonts w:hint="eastAsia" w:ascii="Times New Roman" w:hAnsi="Times New Roman" w:eastAsia="宋体" w:cs="Times New Roman"/>
                      <w:sz w:val="21"/>
                      <w:szCs w:val="21"/>
                      <w:u w:val="none"/>
                    </w:rPr>
                    <w:t>常温</w:t>
                  </w:r>
                </w:p>
              </w:tc>
              <w:tc>
                <w:tcPr>
                  <w:tcW w:w="5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bookmarkStart w:id="72" w:name="38"/>
                  <w:bookmarkEnd w:id="72"/>
                  <w:r>
                    <w:rPr>
                      <w:rFonts w:hint="default" w:ascii="Times New Roman" w:hAnsi="Times New Roman" w:eastAsia="宋体" w:cs="Times New Roman"/>
                      <w:sz w:val="21"/>
                      <w:szCs w:val="21"/>
                      <w:u w:val="none"/>
                    </w:rPr>
                    <w:t>38</w:t>
                  </w:r>
                </w:p>
              </w:tc>
              <w:tc>
                <w:tcPr>
                  <w:tcW w:w="5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bookmarkStart w:id="73" w:name="正常工况"/>
                  <w:bookmarkEnd w:id="73"/>
                  <w:r>
                    <w:rPr>
                      <w:rFonts w:hint="eastAsia" w:ascii="Times New Roman" w:hAnsi="Times New Roman" w:eastAsia="宋体" w:cs="Times New Roman"/>
                      <w:sz w:val="21"/>
                      <w:szCs w:val="21"/>
                      <w:u w:val="none"/>
                    </w:rPr>
                    <w:t>正 常 工 况</w:t>
                  </w:r>
                </w:p>
              </w:tc>
              <w:tc>
                <w:tcPr>
                  <w:tcW w:w="1790" w:type="dxa"/>
                  <w:tcBorders>
                    <w:top w:val="single" w:color="000000" w:sz="4" w:space="0"/>
                    <w:left w:val="single" w:color="000000" w:sz="4" w:space="0"/>
                    <w:bottom w:val="single" w:color="000000" w:sz="4" w:space="0"/>
                    <w:right w:val="single" w:color="000000" w:sz="12" w:space="0"/>
                    <w:tl2br w:val="nil"/>
                    <w:tr2bl w:val="nil"/>
                  </w:tcBorders>
                  <w:noWrap w:val="0"/>
                  <w:vAlign w:val="center"/>
                </w:tcPr>
                <w:p>
                  <w:pPr>
                    <w:jc w:val="center"/>
                    <w:rPr>
                      <w:rFonts w:hint="default" w:ascii="Times New Roman" w:hAnsi="Times New Roman" w:eastAsia="宋体" w:cs="Times New Roman"/>
                      <w:sz w:val="21"/>
                      <w:szCs w:val="21"/>
                      <w:u w:val="none"/>
                    </w:rPr>
                  </w:pPr>
                  <w:bookmarkStart w:id="74" w:name="0.03"/>
                  <w:bookmarkEnd w:id="74"/>
                  <w:r>
                    <w:rPr>
                      <w:rFonts w:hint="default" w:ascii="Times New Roman" w:hAnsi="Times New Roman" w:eastAsia="宋体" w:cs="Times New Roman"/>
                      <w:sz w:val="21"/>
                      <w:szCs w:val="21"/>
                      <w:u w:val="none"/>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6" w:hRule="exact"/>
              </w:trPr>
              <w:tc>
                <w:tcPr>
                  <w:tcW w:w="222" w:type="dxa"/>
                  <w:tcBorders>
                    <w:top w:val="nil"/>
                    <w:left w:val="single" w:color="000000" w:sz="4" w:space="0"/>
                    <w:bottom w:val="nil"/>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p>
              </w:tc>
              <w:tc>
                <w:tcPr>
                  <w:tcW w:w="3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bookmarkStart w:id="75" w:name="2"/>
                  <w:bookmarkEnd w:id="75"/>
                  <w:r>
                    <w:rPr>
                      <w:rFonts w:hint="default" w:ascii="Times New Roman" w:hAnsi="Times New Roman" w:eastAsia="宋体" w:cs="Times New Roman"/>
                      <w:sz w:val="21"/>
                      <w:szCs w:val="21"/>
                      <w:u w:val="none"/>
                    </w:rPr>
                    <w:t>2</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bookmarkStart w:id="76" w:name="搅拌机排气筒"/>
                  <w:bookmarkEnd w:id="76"/>
                  <w:r>
                    <w:rPr>
                      <w:rFonts w:hint="eastAsia" w:ascii="Times New Roman" w:hAnsi="Times New Roman" w:eastAsia="宋体" w:cs="Times New Roman"/>
                      <w:sz w:val="21"/>
                      <w:szCs w:val="21"/>
                      <w:u w:val="none"/>
                    </w:rPr>
                    <w:t>搅拌 机排 气筒</w:t>
                  </w:r>
                </w:p>
              </w:tc>
              <w:tc>
                <w:tcPr>
                  <w:tcW w:w="11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Times New Roman" w:eastAsia="宋体" w:cs="Times New Roman"/>
                      <w:sz w:val="21"/>
                      <w:szCs w:val="21"/>
                      <w:u w:val="none"/>
                    </w:rPr>
                  </w:pPr>
                  <w:bookmarkStart w:id="77" w:name="北纬35.0280°"/>
                  <w:bookmarkEnd w:id="77"/>
                  <w:r>
                    <w:rPr>
                      <w:rFonts w:hint="eastAsia" w:ascii="Times New Roman" w:hAnsi="Times New Roman" w:eastAsia="宋体" w:cs="Times New Roman"/>
                      <w:sz w:val="21"/>
                      <w:szCs w:val="21"/>
                      <w:u w:val="none"/>
                    </w:rPr>
                    <w:t>北纬</w:t>
                  </w:r>
                </w:p>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35.0280°</w:t>
                  </w:r>
                </w:p>
                <w:p>
                  <w:pPr>
                    <w:jc w:val="center"/>
                    <w:rPr>
                      <w:rFonts w:hint="eastAsia" w:ascii="Times New Roman" w:hAnsi="Times New Roman" w:eastAsia="宋体" w:cs="Times New Roman"/>
                      <w:sz w:val="21"/>
                      <w:szCs w:val="21"/>
                      <w:u w:val="none"/>
                    </w:rPr>
                  </w:pPr>
                  <w:r>
                    <w:rPr>
                      <w:rFonts w:hint="eastAsia" w:ascii="Times New Roman" w:hAnsi="Times New Roman" w:eastAsia="宋体" w:cs="Times New Roman"/>
                      <w:sz w:val="21"/>
                      <w:szCs w:val="21"/>
                      <w:u w:val="none"/>
                    </w:rPr>
                    <w:t>东经</w:t>
                  </w:r>
                </w:p>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110.9437°</w:t>
                  </w:r>
                </w:p>
              </w:tc>
              <w:tc>
                <w:tcPr>
                  <w:tcW w:w="7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50</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15</w:t>
                  </w:r>
                </w:p>
              </w:tc>
              <w:tc>
                <w:tcPr>
                  <w:tcW w:w="7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0.4</w:t>
                  </w:r>
                </w:p>
              </w:tc>
              <w:tc>
                <w:tcPr>
                  <w:tcW w:w="7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bookmarkStart w:id="78" w:name="15.48"/>
                  <w:bookmarkEnd w:id="78"/>
                  <w:r>
                    <w:rPr>
                      <w:rFonts w:hint="default" w:ascii="Times New Roman" w:hAnsi="Times New Roman" w:eastAsia="宋体" w:cs="Times New Roman"/>
                      <w:sz w:val="21"/>
                      <w:szCs w:val="21"/>
                      <w:u w:val="none"/>
                    </w:rPr>
                    <w:t>15.48</w:t>
                  </w:r>
                </w:p>
              </w:tc>
              <w:tc>
                <w:tcPr>
                  <w:tcW w:w="7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常温</w:t>
                  </w:r>
                </w:p>
              </w:tc>
              <w:tc>
                <w:tcPr>
                  <w:tcW w:w="5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bookmarkStart w:id="79" w:name="130"/>
                  <w:bookmarkEnd w:id="79"/>
                  <w:r>
                    <w:rPr>
                      <w:rFonts w:hint="default" w:ascii="Times New Roman" w:hAnsi="Times New Roman" w:eastAsia="宋体" w:cs="Times New Roman"/>
                      <w:sz w:val="21"/>
                      <w:szCs w:val="21"/>
                      <w:u w:val="none"/>
                    </w:rPr>
                    <w:t>130</w:t>
                  </w:r>
                </w:p>
              </w:tc>
              <w:tc>
                <w:tcPr>
                  <w:tcW w:w="5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正 常 工 况</w:t>
                  </w:r>
                </w:p>
              </w:tc>
              <w:tc>
                <w:tcPr>
                  <w:tcW w:w="1790" w:type="dxa"/>
                  <w:tcBorders>
                    <w:top w:val="single" w:color="000000" w:sz="4" w:space="0"/>
                    <w:left w:val="single" w:color="000000" w:sz="4" w:space="0"/>
                    <w:bottom w:val="single" w:color="000000" w:sz="4" w:space="0"/>
                    <w:right w:val="single" w:color="000000" w:sz="12" w:space="0"/>
                    <w:tl2br w:val="nil"/>
                    <w:tr2bl w:val="nil"/>
                  </w:tcBorders>
                  <w:noWrap w:val="0"/>
                  <w:vAlign w:val="center"/>
                </w:tcPr>
                <w:p>
                  <w:pPr>
                    <w:jc w:val="center"/>
                    <w:rPr>
                      <w:rFonts w:hint="default" w:ascii="Times New Roman" w:hAnsi="Times New Roman" w:eastAsia="宋体" w:cs="Times New Roman"/>
                      <w:sz w:val="21"/>
                      <w:szCs w:val="21"/>
                      <w:u w:val="none"/>
                    </w:rPr>
                  </w:pPr>
                  <w:bookmarkStart w:id="80" w:name="0.014"/>
                  <w:bookmarkEnd w:id="80"/>
                  <w:r>
                    <w:rPr>
                      <w:rFonts w:hint="default" w:ascii="Times New Roman" w:hAnsi="Times New Roman" w:eastAsia="宋体" w:cs="Times New Roman"/>
                      <w:sz w:val="21"/>
                      <w:szCs w:val="21"/>
                      <w:u w:val="none"/>
                    </w:rPr>
                    <w:t>0.014</w:t>
                  </w:r>
                </w:p>
              </w:tc>
            </w:tr>
          </w:tbl>
          <w:p/>
          <w:p>
            <w:pPr>
              <w:pStyle w:val="2"/>
              <w:tabs>
                <w:tab w:val="left" w:pos="4083"/>
              </w:tabs>
              <w:kinsoku w:val="0"/>
              <w:overflowPunct w:val="0"/>
              <w:spacing w:before="34" w:beforeLines="0" w:afterLines="0"/>
              <w:ind w:left="3332" w:right="95"/>
              <w:rPr>
                <w:rFonts w:hint="eastAsia" w:ascii="黑体" w:hAnsi="黑体" w:eastAsia="黑体"/>
                <w:sz w:val="21"/>
              </w:rPr>
            </w:pPr>
            <w:r>
              <w:rPr>
                <w:rFonts w:hint="eastAsia" w:ascii="黑体" w:hAnsi="黑体" w:eastAsia="黑体"/>
                <w:sz w:val="21"/>
              </w:rPr>
              <w:t>表</w:t>
            </w:r>
            <w:r>
              <w:rPr>
                <w:rFonts w:hint="eastAsia" w:ascii="黑体" w:hAnsi="黑体" w:eastAsia="黑体"/>
                <w:spacing w:val="-55"/>
                <w:sz w:val="21"/>
              </w:rPr>
              <w:t xml:space="preserve"> </w:t>
            </w:r>
            <w:r>
              <w:rPr>
                <w:rFonts w:hint="default" w:ascii="Times New Roman" w:hAnsi="Times New Roman" w:eastAsia="Times New Roman"/>
                <w:sz w:val="21"/>
              </w:rPr>
              <w:t>7</w:t>
            </w:r>
            <w:r>
              <w:rPr>
                <w:rFonts w:hint="eastAsia" w:eastAsia="宋体"/>
                <w:sz w:val="21"/>
                <w:lang w:val="en-US" w:eastAsia="zh-CN"/>
              </w:rPr>
              <w:t>.3</w:t>
            </w:r>
            <w:r>
              <w:rPr>
                <w:rFonts w:hint="default" w:ascii="Times New Roman" w:hAnsi="Times New Roman" w:eastAsia="Times New Roman"/>
                <w:sz w:val="21"/>
              </w:rPr>
              <w:t>-</w:t>
            </w:r>
            <w:r>
              <w:rPr>
                <w:rFonts w:hint="eastAsia" w:eastAsia="宋体"/>
                <w:sz w:val="21"/>
                <w:lang w:val="en-US" w:eastAsia="zh-CN"/>
              </w:rPr>
              <w:t>5</w:t>
            </w:r>
            <w:r>
              <w:rPr>
                <w:rFonts w:hint="default" w:ascii="Times New Roman" w:hAnsi="Times New Roman" w:eastAsia="Times New Roman"/>
                <w:sz w:val="21"/>
              </w:rPr>
              <w:tab/>
            </w:r>
            <w:r>
              <w:rPr>
                <w:rFonts w:hint="eastAsia" w:ascii="黑体" w:hAnsi="黑体" w:eastAsia="黑体"/>
                <w:sz w:val="21"/>
              </w:rPr>
              <w:t>点源估算模型计算结果表</w:t>
            </w:r>
          </w:p>
          <w:tbl>
            <w:tblPr>
              <w:tblStyle w:val="43"/>
              <w:tblW w:w="90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9"/>
              <w:gridCol w:w="1799"/>
              <w:gridCol w:w="1915"/>
              <w:gridCol w:w="1917"/>
              <w:gridCol w:w="2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exact"/>
              </w:trPr>
              <w:tc>
                <w:tcPr>
                  <w:tcW w:w="142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3" w:beforeLines="0" w:afterLines="0"/>
                    <w:rPr>
                      <w:rFonts w:hint="eastAsia" w:ascii="黑体" w:hAnsi="黑体" w:eastAsia="黑体"/>
                      <w:sz w:val="15"/>
                    </w:rPr>
                  </w:pPr>
                </w:p>
                <w:p>
                  <w:pPr>
                    <w:pStyle w:val="157"/>
                    <w:kinsoku w:val="0"/>
                    <w:overflowPunct w:val="0"/>
                    <w:spacing w:beforeLines="0" w:afterLines="0"/>
                    <w:ind w:right="1"/>
                    <w:jc w:val="center"/>
                    <w:rPr>
                      <w:rFonts w:hint="eastAsia" w:ascii="宋体" w:hAnsi="宋体" w:eastAsia="宋体"/>
                      <w:sz w:val="21"/>
                    </w:rPr>
                  </w:pPr>
                  <w:r>
                    <w:rPr>
                      <w:rFonts w:hint="eastAsia" w:ascii="宋体" w:hAnsi="宋体" w:eastAsia="宋体"/>
                      <w:sz w:val="21"/>
                    </w:rPr>
                    <w:t>下风向距离</w:t>
                  </w:r>
                </w:p>
                <w:p>
                  <w:pPr>
                    <w:pStyle w:val="157"/>
                    <w:kinsoku w:val="0"/>
                    <w:overflowPunct w:val="0"/>
                    <w:spacing w:before="101" w:beforeLines="0" w:afterLines="0"/>
                    <w:ind w:right="1"/>
                    <w:jc w:val="center"/>
                    <w:rPr>
                      <w:rFonts w:hint="default"/>
                      <w:sz w:val="24"/>
                    </w:rPr>
                  </w:pPr>
                  <w:r>
                    <w:rPr>
                      <w:rFonts w:hint="default" w:ascii="Times New Roman" w:hAnsi="Times New Roman" w:eastAsia="Times New Roman"/>
                      <w:sz w:val="21"/>
                    </w:rPr>
                    <w:t>/m</w:t>
                  </w:r>
                </w:p>
              </w:tc>
              <w:tc>
                <w:tcPr>
                  <w:tcW w:w="37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31" w:beforeLines="0" w:afterLines="0"/>
                    <w:ind w:left="860"/>
                    <w:rPr>
                      <w:rFonts w:hint="default"/>
                      <w:sz w:val="24"/>
                    </w:rPr>
                  </w:pPr>
                  <w:r>
                    <w:rPr>
                      <w:rFonts w:hint="eastAsia" w:ascii="宋体" w:hAnsi="宋体" w:eastAsia="宋体"/>
                      <w:sz w:val="21"/>
                    </w:rPr>
                    <w:t>水泥筒仓筒仓颗粒物</w:t>
                  </w:r>
                </w:p>
              </w:tc>
              <w:tc>
                <w:tcPr>
                  <w:tcW w:w="39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31" w:beforeLines="0" w:afterLines="0"/>
                    <w:ind w:left="960"/>
                    <w:rPr>
                      <w:rFonts w:hint="default"/>
                      <w:sz w:val="24"/>
                    </w:rPr>
                  </w:pPr>
                  <w:r>
                    <w:rPr>
                      <w:rFonts w:hint="eastAsia" w:ascii="宋体" w:hAnsi="宋体" w:eastAsia="宋体"/>
                      <w:sz w:val="21"/>
                    </w:rPr>
                    <w:t>搅拌机排气筒颗粒物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2" w:hRule="exact"/>
              </w:trPr>
              <w:tc>
                <w:tcPr>
                  <w:tcW w:w="14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31" w:beforeLines="0" w:afterLines="0"/>
                    <w:ind w:left="960"/>
                    <w:rPr>
                      <w:rFonts w:hint="default"/>
                      <w:sz w:val="24"/>
                    </w:rPr>
                  </w:pPr>
                </w:p>
              </w:tc>
              <w:tc>
                <w:tcPr>
                  <w:tcW w:w="17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Lines="0" w:afterLines="0" w:line="268" w:lineRule="exact"/>
                    <w:ind w:right="1"/>
                    <w:jc w:val="center"/>
                    <w:rPr>
                      <w:rFonts w:hint="eastAsia" w:ascii="宋体" w:hAnsi="宋体" w:eastAsia="宋体"/>
                      <w:sz w:val="21"/>
                    </w:rPr>
                  </w:pPr>
                  <w:r>
                    <w:rPr>
                      <w:rFonts w:hint="eastAsia" w:ascii="宋体" w:hAnsi="宋体" w:eastAsia="宋体"/>
                      <w:sz w:val="21"/>
                    </w:rPr>
                    <w:t>预测质量浓度</w:t>
                  </w:r>
                </w:p>
                <w:p>
                  <w:pPr>
                    <w:pStyle w:val="157"/>
                    <w:kinsoku w:val="0"/>
                    <w:overflowPunct w:val="0"/>
                    <w:spacing w:before="100" w:beforeLines="0" w:afterLines="0"/>
                    <w:jc w:val="center"/>
                    <w:rPr>
                      <w:rFonts w:hint="default"/>
                      <w:sz w:val="24"/>
                    </w:rPr>
                  </w:pPr>
                  <w:r>
                    <w:rPr>
                      <w:rFonts w:hint="default" w:ascii="Times New Roman" w:hAnsi="Times New Roman" w:eastAsia="Times New Roman"/>
                      <w:sz w:val="21"/>
                    </w:rPr>
                    <w:t>/μg/m</w:t>
                  </w:r>
                  <w:r>
                    <w:rPr>
                      <w:rFonts w:hint="default" w:ascii="Times New Roman" w:hAnsi="Times New Roman" w:eastAsia="Times New Roman"/>
                      <w:position w:val="7"/>
                      <w:sz w:val="13"/>
                    </w:rPr>
                    <w:t>3</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156" w:beforeLines="0" w:afterLines="0"/>
                    <w:ind w:left="496"/>
                    <w:rPr>
                      <w:rFonts w:hint="default"/>
                      <w:sz w:val="24"/>
                    </w:rPr>
                  </w:pPr>
                  <w:r>
                    <w:rPr>
                      <w:rFonts w:hint="eastAsia" w:ascii="宋体" w:hAnsi="宋体" w:eastAsia="宋体"/>
                      <w:sz w:val="21"/>
                    </w:rPr>
                    <w:t>占标率</w:t>
                  </w:r>
                  <w:r>
                    <w:rPr>
                      <w:rFonts w:hint="default" w:ascii="Times New Roman" w:hAnsi="Times New Roman" w:eastAsia="Times New Roman"/>
                      <w:sz w:val="21"/>
                    </w:rPr>
                    <w:t>/%</w:t>
                  </w:r>
                </w:p>
              </w:tc>
              <w:tc>
                <w:tcPr>
                  <w:tcW w:w="191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Lines="0" w:afterLines="0" w:line="268" w:lineRule="exact"/>
                    <w:ind w:right="2"/>
                    <w:jc w:val="center"/>
                    <w:rPr>
                      <w:rFonts w:hint="eastAsia" w:ascii="宋体" w:hAnsi="宋体" w:eastAsia="宋体"/>
                      <w:sz w:val="21"/>
                    </w:rPr>
                  </w:pPr>
                  <w:r>
                    <w:rPr>
                      <w:rFonts w:hint="eastAsia" w:ascii="宋体" w:hAnsi="宋体" w:eastAsia="宋体"/>
                      <w:sz w:val="21"/>
                    </w:rPr>
                    <w:t>预测质量浓度</w:t>
                  </w:r>
                </w:p>
                <w:p>
                  <w:pPr>
                    <w:pStyle w:val="157"/>
                    <w:kinsoku w:val="0"/>
                    <w:overflowPunct w:val="0"/>
                    <w:spacing w:before="100" w:beforeLines="0" w:afterLines="0"/>
                    <w:jc w:val="center"/>
                    <w:rPr>
                      <w:rFonts w:hint="default"/>
                      <w:sz w:val="24"/>
                    </w:rPr>
                  </w:pPr>
                  <w:r>
                    <w:rPr>
                      <w:rFonts w:hint="default" w:ascii="Times New Roman" w:hAnsi="Times New Roman" w:eastAsia="Times New Roman"/>
                      <w:sz w:val="21"/>
                    </w:rPr>
                    <w:t>/μg/m</w:t>
                  </w:r>
                  <w:r>
                    <w:rPr>
                      <w:rFonts w:hint="default" w:ascii="Times New Roman" w:hAnsi="Times New Roman" w:eastAsia="Times New Roman"/>
                      <w:position w:val="7"/>
                      <w:sz w:val="13"/>
                    </w:rPr>
                    <w:t>3</w:t>
                  </w:r>
                </w:p>
              </w:tc>
              <w:tc>
                <w:tcPr>
                  <w:tcW w:w="20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156" w:beforeLines="0" w:afterLines="0"/>
                    <w:ind w:left="539"/>
                    <w:rPr>
                      <w:rFonts w:hint="default"/>
                      <w:sz w:val="24"/>
                    </w:rPr>
                  </w:pPr>
                  <w:r>
                    <w:rPr>
                      <w:rFonts w:hint="eastAsia" w:ascii="宋体" w:hAnsi="宋体" w:eastAsia="宋体"/>
                      <w:sz w:val="21"/>
                    </w:rPr>
                    <w:t>占标率</w:t>
                  </w:r>
                  <w:r>
                    <w:rPr>
                      <w:rFonts w:hint="default" w:ascii="Times New Roman" w:hAnsi="Times New Roman" w:eastAsia="Times New Roman"/>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49" w:beforeLines="0" w:afterLines="0"/>
                    <w:jc w:val="center"/>
                    <w:rPr>
                      <w:rFonts w:hint="default"/>
                      <w:sz w:val="24"/>
                    </w:rPr>
                  </w:pPr>
                  <w:r>
                    <w:rPr>
                      <w:rFonts w:hint="default" w:ascii="Times New Roman" w:hAnsi="Times New Roman" w:eastAsia="Times New Roman"/>
                      <w:sz w:val="21"/>
                    </w:rPr>
                    <w:t>10</w:t>
                  </w:r>
                </w:p>
              </w:tc>
              <w:tc>
                <w:tcPr>
                  <w:tcW w:w="17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49" w:beforeLines="0" w:afterLines="0"/>
                    <w:jc w:val="center"/>
                    <w:rPr>
                      <w:rFonts w:hint="default"/>
                      <w:sz w:val="24"/>
                    </w:rPr>
                  </w:pPr>
                  <w:r>
                    <w:rPr>
                      <w:rFonts w:hint="default" w:ascii="Times New Roman" w:hAnsi="Times New Roman" w:eastAsia="Times New Roman"/>
                      <w:sz w:val="21"/>
                    </w:rPr>
                    <w:t>0.1444</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49" w:beforeLines="0" w:afterLines="0"/>
                    <w:ind w:right="1"/>
                    <w:jc w:val="center"/>
                    <w:rPr>
                      <w:rFonts w:hint="default"/>
                      <w:sz w:val="24"/>
                    </w:rPr>
                  </w:pPr>
                  <w:r>
                    <w:rPr>
                      <w:rFonts w:hint="default" w:ascii="Times New Roman" w:hAnsi="Times New Roman" w:eastAsia="Times New Roman"/>
                      <w:sz w:val="21"/>
                    </w:rPr>
                    <w:t>0.0321</w:t>
                  </w:r>
                </w:p>
              </w:tc>
              <w:tc>
                <w:tcPr>
                  <w:tcW w:w="191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49" w:beforeLines="0" w:afterLines="0"/>
                    <w:ind w:left="471"/>
                    <w:rPr>
                      <w:rFonts w:hint="default"/>
                      <w:sz w:val="24"/>
                    </w:rPr>
                  </w:pPr>
                  <w:r>
                    <w:rPr>
                      <w:rFonts w:hint="default" w:ascii="Times New Roman" w:hAnsi="Times New Roman" w:eastAsia="Times New Roman"/>
                      <w:sz w:val="21"/>
                    </w:rPr>
                    <w:t>6.771×10</w:t>
                  </w:r>
                  <w:r>
                    <w:rPr>
                      <w:rFonts w:hint="default" w:ascii="Times New Roman" w:hAnsi="Times New Roman" w:eastAsia="Times New Roman"/>
                      <w:position w:val="7"/>
                      <w:sz w:val="13"/>
                    </w:rPr>
                    <w:t>-6</w:t>
                  </w:r>
                </w:p>
              </w:tc>
              <w:tc>
                <w:tcPr>
                  <w:tcW w:w="20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49" w:beforeLines="0" w:afterLines="0"/>
                    <w:ind w:left="462"/>
                    <w:rPr>
                      <w:rFonts w:hint="default"/>
                      <w:sz w:val="24"/>
                    </w:rPr>
                  </w:pPr>
                  <w:r>
                    <w:rPr>
                      <w:rFonts w:hint="default" w:ascii="Times New Roman" w:hAnsi="Times New Roman" w:eastAsia="Times New Roman"/>
                      <w:sz w:val="21"/>
                    </w:rPr>
                    <w:t>1.5047×10</w:t>
                  </w:r>
                  <w:r>
                    <w:rPr>
                      <w:rFonts w:hint="default" w:ascii="Times New Roman" w:hAnsi="Times New Roman" w:eastAsia="Times New Roman"/>
                      <w:position w:val="7"/>
                      <w:sz w:val="13"/>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0" w:beforeLines="0" w:afterLines="0"/>
                    <w:jc w:val="center"/>
                    <w:rPr>
                      <w:rFonts w:hint="default"/>
                      <w:sz w:val="24"/>
                    </w:rPr>
                  </w:pPr>
                  <w:r>
                    <w:rPr>
                      <w:rFonts w:hint="default" w:ascii="Times New Roman" w:hAnsi="Times New Roman" w:eastAsia="Times New Roman"/>
                      <w:sz w:val="21"/>
                    </w:rPr>
                    <w:t>25</w:t>
                  </w:r>
                </w:p>
              </w:tc>
              <w:tc>
                <w:tcPr>
                  <w:tcW w:w="17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0" w:beforeLines="0" w:afterLines="0"/>
                    <w:jc w:val="center"/>
                    <w:rPr>
                      <w:rFonts w:hint="default"/>
                      <w:sz w:val="24"/>
                    </w:rPr>
                  </w:pPr>
                  <w:r>
                    <w:rPr>
                      <w:rFonts w:hint="default" w:ascii="Times New Roman" w:hAnsi="Times New Roman" w:eastAsia="Times New Roman"/>
                      <w:sz w:val="21"/>
                    </w:rPr>
                    <w:t>4.9071</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0" w:beforeLines="0" w:afterLines="0"/>
                    <w:ind w:right="1"/>
                    <w:jc w:val="center"/>
                    <w:rPr>
                      <w:rFonts w:hint="default"/>
                      <w:sz w:val="24"/>
                    </w:rPr>
                  </w:pPr>
                  <w:r>
                    <w:rPr>
                      <w:rFonts w:hint="default" w:ascii="Times New Roman" w:hAnsi="Times New Roman" w:eastAsia="Times New Roman"/>
                      <w:sz w:val="21"/>
                    </w:rPr>
                    <w:t>1.0905</w:t>
                  </w:r>
                </w:p>
              </w:tc>
              <w:tc>
                <w:tcPr>
                  <w:tcW w:w="191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0" w:beforeLines="0" w:afterLines="0"/>
                    <w:ind w:left="535"/>
                    <w:rPr>
                      <w:rFonts w:hint="default"/>
                      <w:sz w:val="24"/>
                    </w:rPr>
                  </w:pPr>
                  <w:r>
                    <w:rPr>
                      <w:rFonts w:hint="default" w:ascii="Times New Roman" w:hAnsi="Times New Roman" w:eastAsia="Times New Roman"/>
                      <w:sz w:val="21"/>
                    </w:rPr>
                    <w:t>0.014266</w:t>
                  </w:r>
                </w:p>
              </w:tc>
              <w:tc>
                <w:tcPr>
                  <w:tcW w:w="20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0" w:beforeLines="0" w:afterLines="0"/>
                    <w:ind w:left="462"/>
                    <w:rPr>
                      <w:rFonts w:hint="default"/>
                      <w:sz w:val="24"/>
                    </w:rPr>
                  </w:pPr>
                  <w:r>
                    <w:rPr>
                      <w:rFonts w:hint="default" w:ascii="Times New Roman" w:hAnsi="Times New Roman" w:eastAsia="Times New Roman"/>
                      <w:sz w:val="21"/>
                    </w:rPr>
                    <w:t>3.1702×10</w:t>
                  </w:r>
                  <w:r>
                    <w:rPr>
                      <w:rFonts w:hint="default" w:ascii="Times New Roman" w:hAnsi="Times New Roman" w:eastAsia="Times New Roman"/>
                      <w:position w:val="7"/>
                      <w:sz w:val="13"/>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0" w:beforeLines="0" w:afterLines="0"/>
                    <w:jc w:val="center"/>
                    <w:rPr>
                      <w:rFonts w:hint="default"/>
                      <w:sz w:val="24"/>
                    </w:rPr>
                  </w:pPr>
                  <w:r>
                    <w:rPr>
                      <w:rFonts w:hint="default" w:ascii="Times New Roman" w:hAnsi="Times New Roman" w:eastAsia="Times New Roman"/>
                      <w:sz w:val="21"/>
                    </w:rPr>
                    <w:t>47</w:t>
                  </w:r>
                </w:p>
              </w:tc>
              <w:tc>
                <w:tcPr>
                  <w:tcW w:w="17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0" w:beforeLines="0" w:afterLines="0"/>
                    <w:jc w:val="center"/>
                    <w:rPr>
                      <w:rFonts w:hint="default"/>
                      <w:sz w:val="24"/>
                    </w:rPr>
                  </w:pPr>
                  <w:r>
                    <w:rPr>
                      <w:rFonts w:hint="default" w:ascii="Times New Roman" w:hAnsi="Times New Roman" w:eastAsia="Times New Roman"/>
                      <w:sz w:val="21"/>
                    </w:rPr>
                    <w:t>15.769</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0" w:beforeLines="0" w:afterLines="0"/>
                    <w:ind w:left="1"/>
                    <w:jc w:val="center"/>
                    <w:rPr>
                      <w:rFonts w:hint="default"/>
                      <w:sz w:val="24"/>
                    </w:rPr>
                  </w:pPr>
                  <w:r>
                    <w:rPr>
                      <w:rFonts w:hint="default" w:ascii="Times New Roman" w:hAnsi="Times New Roman" w:eastAsia="Times New Roman"/>
                      <w:sz w:val="21"/>
                    </w:rPr>
                    <w:t>3.5042</w:t>
                  </w:r>
                </w:p>
              </w:tc>
              <w:tc>
                <w:tcPr>
                  <w:tcW w:w="191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5" w:beforeLines="0" w:afterLines="0"/>
                    <w:ind w:left="418"/>
                    <w:jc w:val="center"/>
                    <w:rPr>
                      <w:rFonts w:hint="default"/>
                      <w:sz w:val="24"/>
                    </w:rPr>
                  </w:pPr>
                  <w:r>
                    <w:rPr>
                      <w:rFonts w:hint="default" w:ascii="Times New Roman" w:hAnsi="Times New Roman" w:eastAsia="Times New Roman"/>
                      <w:w w:val="99"/>
                      <w:sz w:val="21"/>
                    </w:rPr>
                    <w:t>/</w:t>
                  </w:r>
                </w:p>
              </w:tc>
              <w:tc>
                <w:tcPr>
                  <w:tcW w:w="20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5" w:beforeLines="0" w:afterLines="0"/>
                    <w:ind w:left="418"/>
                    <w:jc w:val="center"/>
                    <w:rPr>
                      <w:rFonts w:hint="default"/>
                      <w:sz w:val="24"/>
                    </w:rPr>
                  </w:pPr>
                  <w:r>
                    <w:rPr>
                      <w:rFonts w:hint="default" w:ascii="Times New Roman" w:hAnsi="Times New Roman" w:eastAsia="Times New Roman"/>
                      <w:w w:val="99"/>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1" w:beforeLines="0" w:afterLines="0"/>
                    <w:jc w:val="center"/>
                    <w:rPr>
                      <w:rFonts w:hint="default"/>
                      <w:sz w:val="24"/>
                    </w:rPr>
                  </w:pPr>
                  <w:r>
                    <w:rPr>
                      <w:rFonts w:hint="default" w:ascii="Times New Roman" w:hAnsi="Times New Roman" w:eastAsia="Times New Roman"/>
                      <w:sz w:val="21"/>
                    </w:rPr>
                    <w:t>50</w:t>
                  </w:r>
                </w:p>
              </w:tc>
              <w:tc>
                <w:tcPr>
                  <w:tcW w:w="17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1" w:beforeLines="0" w:afterLines="0"/>
                    <w:jc w:val="center"/>
                    <w:rPr>
                      <w:rFonts w:hint="default"/>
                      <w:sz w:val="24"/>
                    </w:rPr>
                  </w:pPr>
                  <w:r>
                    <w:rPr>
                      <w:rFonts w:hint="default" w:ascii="Times New Roman" w:hAnsi="Times New Roman" w:eastAsia="Times New Roman"/>
                      <w:sz w:val="21"/>
                    </w:rPr>
                    <w:t>15.708</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1" w:beforeLines="0" w:afterLines="0"/>
                    <w:ind w:right="1"/>
                    <w:jc w:val="center"/>
                    <w:rPr>
                      <w:rFonts w:hint="default"/>
                      <w:sz w:val="24"/>
                    </w:rPr>
                  </w:pPr>
                  <w:r>
                    <w:rPr>
                      <w:rFonts w:hint="default" w:ascii="Times New Roman" w:hAnsi="Times New Roman" w:eastAsia="Times New Roman"/>
                      <w:sz w:val="21"/>
                    </w:rPr>
                    <w:t>3.4907</w:t>
                  </w:r>
                </w:p>
              </w:tc>
              <w:tc>
                <w:tcPr>
                  <w:tcW w:w="191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1" w:beforeLines="0" w:afterLines="0"/>
                    <w:ind w:right="1"/>
                    <w:jc w:val="center"/>
                    <w:rPr>
                      <w:rFonts w:hint="default"/>
                      <w:sz w:val="24"/>
                    </w:rPr>
                  </w:pPr>
                  <w:r>
                    <w:rPr>
                      <w:rFonts w:hint="default" w:ascii="Times New Roman" w:hAnsi="Times New Roman" w:eastAsia="Times New Roman"/>
                      <w:sz w:val="21"/>
                    </w:rPr>
                    <w:t>0.1799</w:t>
                  </w:r>
                </w:p>
              </w:tc>
              <w:tc>
                <w:tcPr>
                  <w:tcW w:w="20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1" w:beforeLines="0" w:afterLines="0"/>
                    <w:ind w:left="630"/>
                    <w:rPr>
                      <w:rFonts w:hint="default"/>
                      <w:sz w:val="24"/>
                    </w:rPr>
                  </w:pPr>
                  <w:r>
                    <w:rPr>
                      <w:rFonts w:hint="default" w:ascii="Times New Roman" w:hAnsi="Times New Roman" w:eastAsia="Times New Roman"/>
                      <w:sz w:val="21"/>
                    </w:rPr>
                    <w:t>0.03998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1" w:beforeLines="0" w:afterLines="0"/>
                    <w:jc w:val="center"/>
                    <w:rPr>
                      <w:rFonts w:hint="default"/>
                      <w:sz w:val="24"/>
                    </w:rPr>
                  </w:pPr>
                  <w:r>
                    <w:rPr>
                      <w:rFonts w:hint="default" w:ascii="Times New Roman" w:hAnsi="Times New Roman" w:eastAsia="Times New Roman"/>
                      <w:sz w:val="21"/>
                    </w:rPr>
                    <w:t>75</w:t>
                  </w:r>
                </w:p>
              </w:tc>
              <w:tc>
                <w:tcPr>
                  <w:tcW w:w="17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1" w:beforeLines="0" w:afterLines="0"/>
                    <w:jc w:val="center"/>
                    <w:rPr>
                      <w:rFonts w:hint="default"/>
                      <w:sz w:val="24"/>
                    </w:rPr>
                  </w:pPr>
                  <w:r>
                    <w:rPr>
                      <w:rFonts w:hint="default" w:ascii="Times New Roman" w:hAnsi="Times New Roman" w:eastAsia="Times New Roman"/>
                      <w:sz w:val="21"/>
                    </w:rPr>
                    <w:t>12.425</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1" w:beforeLines="0" w:afterLines="0"/>
                    <w:ind w:left="1"/>
                    <w:jc w:val="center"/>
                    <w:rPr>
                      <w:rFonts w:hint="default"/>
                      <w:sz w:val="24"/>
                    </w:rPr>
                  </w:pPr>
                  <w:r>
                    <w:rPr>
                      <w:rFonts w:hint="default" w:ascii="Times New Roman" w:hAnsi="Times New Roman" w:eastAsia="Times New Roman"/>
                      <w:sz w:val="21"/>
                    </w:rPr>
                    <w:t>2.7611</w:t>
                  </w:r>
                </w:p>
              </w:tc>
              <w:tc>
                <w:tcPr>
                  <w:tcW w:w="191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1" w:beforeLines="0" w:afterLines="0"/>
                    <w:ind w:right="1"/>
                    <w:jc w:val="center"/>
                    <w:rPr>
                      <w:rFonts w:hint="default"/>
                      <w:sz w:val="24"/>
                    </w:rPr>
                  </w:pPr>
                  <w:r>
                    <w:rPr>
                      <w:rFonts w:hint="default" w:ascii="Times New Roman" w:hAnsi="Times New Roman" w:eastAsia="Times New Roman"/>
                      <w:sz w:val="21"/>
                    </w:rPr>
                    <w:t>0.5928</w:t>
                  </w:r>
                </w:p>
              </w:tc>
              <w:tc>
                <w:tcPr>
                  <w:tcW w:w="20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1" w:beforeLines="0" w:afterLines="0"/>
                    <w:ind w:left="1"/>
                    <w:jc w:val="center"/>
                    <w:rPr>
                      <w:rFonts w:hint="default"/>
                      <w:sz w:val="24"/>
                    </w:rPr>
                  </w:pPr>
                  <w:r>
                    <w:rPr>
                      <w:rFonts w:hint="default" w:ascii="Times New Roman" w:hAnsi="Times New Roman" w:eastAsia="Times New Roman"/>
                      <w:sz w:val="21"/>
                    </w:rPr>
                    <w:t>0.1317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49" w:beforeLines="0" w:afterLines="0"/>
                    <w:ind w:left="2"/>
                    <w:jc w:val="center"/>
                    <w:rPr>
                      <w:rFonts w:hint="default"/>
                      <w:sz w:val="24"/>
                    </w:rPr>
                  </w:pPr>
                  <w:r>
                    <w:rPr>
                      <w:rFonts w:hint="default" w:ascii="Times New Roman" w:hAnsi="Times New Roman" w:eastAsia="Times New Roman"/>
                      <w:sz w:val="21"/>
                    </w:rPr>
                    <w:t>100</w:t>
                  </w:r>
                </w:p>
              </w:tc>
              <w:tc>
                <w:tcPr>
                  <w:tcW w:w="17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49" w:beforeLines="0" w:afterLines="0"/>
                    <w:jc w:val="center"/>
                    <w:rPr>
                      <w:rFonts w:hint="default"/>
                      <w:sz w:val="24"/>
                    </w:rPr>
                  </w:pPr>
                  <w:r>
                    <w:rPr>
                      <w:rFonts w:hint="default" w:ascii="Times New Roman" w:hAnsi="Times New Roman" w:eastAsia="Times New Roman"/>
                      <w:sz w:val="21"/>
                    </w:rPr>
                    <w:t>9.8041</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49" w:beforeLines="0" w:afterLines="0"/>
                    <w:ind w:right="1"/>
                    <w:jc w:val="center"/>
                    <w:rPr>
                      <w:rFonts w:hint="default"/>
                      <w:sz w:val="24"/>
                    </w:rPr>
                  </w:pPr>
                  <w:r>
                    <w:rPr>
                      <w:rFonts w:hint="default" w:ascii="Times New Roman" w:hAnsi="Times New Roman" w:eastAsia="Times New Roman"/>
                      <w:sz w:val="21"/>
                    </w:rPr>
                    <w:t>2.1787</w:t>
                  </w:r>
                </w:p>
              </w:tc>
              <w:tc>
                <w:tcPr>
                  <w:tcW w:w="191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49" w:beforeLines="0" w:afterLines="0"/>
                    <w:ind w:right="1"/>
                    <w:jc w:val="center"/>
                    <w:rPr>
                      <w:rFonts w:hint="default"/>
                      <w:sz w:val="24"/>
                    </w:rPr>
                  </w:pPr>
                  <w:r>
                    <w:rPr>
                      <w:rFonts w:hint="default" w:ascii="Times New Roman" w:hAnsi="Times New Roman" w:eastAsia="Times New Roman"/>
                      <w:sz w:val="21"/>
                    </w:rPr>
                    <w:t>1.2465</w:t>
                  </w:r>
                </w:p>
              </w:tc>
              <w:tc>
                <w:tcPr>
                  <w:tcW w:w="20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49" w:beforeLines="0" w:afterLines="0"/>
                    <w:ind w:left="1"/>
                    <w:jc w:val="center"/>
                    <w:rPr>
                      <w:rFonts w:hint="default"/>
                      <w:sz w:val="24"/>
                    </w:rPr>
                  </w:pPr>
                  <w:r>
                    <w:rPr>
                      <w:rFonts w:hint="default" w:ascii="Times New Roman" w:hAnsi="Times New Roman" w:eastAsia="Times New Roman"/>
                      <w:sz w:val="21"/>
                    </w:rPr>
                    <w:t>0.2770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49" w:beforeLines="0" w:afterLines="0"/>
                    <w:ind w:left="2"/>
                    <w:jc w:val="center"/>
                    <w:rPr>
                      <w:rFonts w:hint="default"/>
                      <w:sz w:val="24"/>
                    </w:rPr>
                  </w:pPr>
                  <w:r>
                    <w:rPr>
                      <w:rFonts w:hint="default" w:ascii="Times New Roman" w:hAnsi="Times New Roman" w:eastAsia="Times New Roman"/>
                      <w:sz w:val="21"/>
                    </w:rPr>
                    <w:t>162</w:t>
                  </w:r>
                </w:p>
              </w:tc>
              <w:tc>
                <w:tcPr>
                  <w:tcW w:w="17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49" w:beforeLines="0" w:afterLines="0"/>
                    <w:ind w:left="1"/>
                    <w:jc w:val="center"/>
                    <w:rPr>
                      <w:rFonts w:hint="default"/>
                      <w:sz w:val="24"/>
                    </w:rPr>
                  </w:pPr>
                  <w:r>
                    <w:rPr>
                      <w:rFonts w:hint="default" w:ascii="Times New Roman" w:hAnsi="Times New Roman" w:eastAsia="Times New Roman"/>
                      <w:w w:val="99"/>
                      <w:sz w:val="21"/>
                    </w:rPr>
                    <w:t>/</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49" w:beforeLines="0" w:afterLines="0"/>
                    <w:jc w:val="center"/>
                    <w:rPr>
                      <w:rFonts w:hint="default"/>
                      <w:sz w:val="24"/>
                    </w:rPr>
                  </w:pPr>
                  <w:r>
                    <w:rPr>
                      <w:rFonts w:hint="default" w:ascii="Times New Roman" w:hAnsi="Times New Roman" w:eastAsia="Times New Roman"/>
                      <w:w w:val="99"/>
                      <w:sz w:val="21"/>
                    </w:rPr>
                    <w:t>/</w:t>
                  </w:r>
                </w:p>
              </w:tc>
              <w:tc>
                <w:tcPr>
                  <w:tcW w:w="191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49" w:beforeLines="0" w:afterLines="0"/>
                    <w:ind w:right="1"/>
                    <w:jc w:val="center"/>
                    <w:rPr>
                      <w:rFonts w:hint="default"/>
                      <w:sz w:val="24"/>
                    </w:rPr>
                  </w:pPr>
                  <w:r>
                    <w:rPr>
                      <w:rFonts w:hint="default" w:ascii="Times New Roman" w:hAnsi="Times New Roman" w:eastAsia="Times New Roman"/>
                      <w:sz w:val="21"/>
                    </w:rPr>
                    <w:t>1.9209</w:t>
                  </w:r>
                </w:p>
              </w:tc>
              <w:tc>
                <w:tcPr>
                  <w:tcW w:w="20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49" w:beforeLines="0" w:afterLines="0"/>
                    <w:jc w:val="center"/>
                    <w:rPr>
                      <w:rFonts w:hint="default"/>
                      <w:sz w:val="24"/>
                    </w:rPr>
                  </w:pPr>
                  <w:r>
                    <w:rPr>
                      <w:rFonts w:hint="default" w:ascii="Times New Roman" w:hAnsi="Times New Roman" w:eastAsia="Times New Roman"/>
                      <w:sz w:val="21"/>
                    </w:rPr>
                    <w:t>0.4267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0" w:beforeLines="0" w:afterLines="0"/>
                    <w:ind w:left="2"/>
                    <w:jc w:val="center"/>
                    <w:rPr>
                      <w:rFonts w:hint="default"/>
                      <w:sz w:val="24"/>
                    </w:rPr>
                  </w:pPr>
                  <w:r>
                    <w:rPr>
                      <w:rFonts w:hint="default" w:ascii="Times New Roman" w:hAnsi="Times New Roman" w:eastAsia="Times New Roman"/>
                      <w:sz w:val="21"/>
                    </w:rPr>
                    <w:t>200</w:t>
                  </w:r>
                </w:p>
              </w:tc>
              <w:tc>
                <w:tcPr>
                  <w:tcW w:w="17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0" w:beforeLines="0" w:afterLines="0"/>
                    <w:jc w:val="center"/>
                    <w:rPr>
                      <w:rFonts w:hint="default"/>
                      <w:sz w:val="24"/>
                    </w:rPr>
                  </w:pPr>
                  <w:r>
                    <w:rPr>
                      <w:rFonts w:hint="default" w:ascii="Times New Roman" w:hAnsi="Times New Roman" w:eastAsia="Times New Roman"/>
                      <w:sz w:val="21"/>
                    </w:rPr>
                    <w:t>5.9172</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0" w:beforeLines="0" w:afterLines="0"/>
                    <w:ind w:left="1"/>
                    <w:jc w:val="center"/>
                    <w:rPr>
                      <w:rFonts w:hint="default"/>
                      <w:sz w:val="24"/>
                    </w:rPr>
                  </w:pPr>
                  <w:r>
                    <w:rPr>
                      <w:rFonts w:hint="default" w:ascii="Times New Roman" w:hAnsi="Times New Roman" w:eastAsia="Times New Roman"/>
                      <w:sz w:val="21"/>
                    </w:rPr>
                    <w:t>1.3149</w:t>
                  </w:r>
                </w:p>
              </w:tc>
              <w:tc>
                <w:tcPr>
                  <w:tcW w:w="191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0" w:beforeLines="0" w:afterLines="0"/>
                    <w:ind w:right="1"/>
                    <w:jc w:val="center"/>
                    <w:rPr>
                      <w:rFonts w:hint="default"/>
                      <w:sz w:val="24"/>
                    </w:rPr>
                  </w:pPr>
                  <w:r>
                    <w:rPr>
                      <w:rFonts w:hint="default" w:ascii="Times New Roman" w:hAnsi="Times New Roman" w:eastAsia="Times New Roman"/>
                      <w:sz w:val="21"/>
                    </w:rPr>
                    <w:t>1.8685</w:t>
                  </w:r>
                </w:p>
              </w:tc>
              <w:tc>
                <w:tcPr>
                  <w:tcW w:w="20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0" w:beforeLines="0" w:afterLines="0"/>
                    <w:ind w:left="1"/>
                    <w:jc w:val="center"/>
                    <w:rPr>
                      <w:rFonts w:hint="default"/>
                      <w:sz w:val="24"/>
                    </w:rPr>
                  </w:pPr>
                  <w:r>
                    <w:rPr>
                      <w:rFonts w:hint="default" w:ascii="Times New Roman" w:hAnsi="Times New Roman" w:eastAsia="Times New Roman"/>
                      <w:sz w:val="21"/>
                    </w:rPr>
                    <w:t>0.4152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0" w:beforeLines="0" w:afterLines="0"/>
                    <w:ind w:left="2"/>
                    <w:jc w:val="center"/>
                    <w:rPr>
                      <w:rFonts w:hint="default"/>
                      <w:sz w:val="24"/>
                    </w:rPr>
                  </w:pPr>
                  <w:r>
                    <w:rPr>
                      <w:rFonts w:hint="default" w:ascii="Times New Roman" w:hAnsi="Times New Roman" w:eastAsia="Times New Roman"/>
                      <w:sz w:val="21"/>
                    </w:rPr>
                    <w:t>500</w:t>
                  </w:r>
                </w:p>
              </w:tc>
              <w:tc>
                <w:tcPr>
                  <w:tcW w:w="17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0" w:beforeLines="0" w:afterLines="0"/>
                    <w:jc w:val="center"/>
                    <w:rPr>
                      <w:rFonts w:hint="default"/>
                      <w:sz w:val="24"/>
                    </w:rPr>
                  </w:pPr>
                  <w:r>
                    <w:rPr>
                      <w:rFonts w:hint="default" w:ascii="Times New Roman" w:hAnsi="Times New Roman" w:eastAsia="Times New Roman"/>
                      <w:sz w:val="21"/>
                    </w:rPr>
                    <w:t>3.0321</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0" w:beforeLines="0" w:afterLines="0"/>
                    <w:ind w:left="1"/>
                    <w:jc w:val="center"/>
                    <w:rPr>
                      <w:rFonts w:hint="default"/>
                      <w:sz w:val="24"/>
                    </w:rPr>
                  </w:pPr>
                  <w:r>
                    <w:rPr>
                      <w:rFonts w:hint="default" w:ascii="Times New Roman" w:hAnsi="Times New Roman" w:eastAsia="Times New Roman"/>
                      <w:sz w:val="21"/>
                    </w:rPr>
                    <w:t>0.6738</w:t>
                  </w:r>
                </w:p>
              </w:tc>
              <w:tc>
                <w:tcPr>
                  <w:tcW w:w="191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0" w:beforeLines="0" w:afterLines="0"/>
                    <w:ind w:right="1"/>
                    <w:jc w:val="center"/>
                    <w:rPr>
                      <w:rFonts w:hint="default"/>
                      <w:sz w:val="24"/>
                    </w:rPr>
                  </w:pPr>
                  <w:r>
                    <w:rPr>
                      <w:rFonts w:hint="default" w:ascii="Times New Roman" w:hAnsi="Times New Roman" w:eastAsia="Times New Roman"/>
                      <w:sz w:val="21"/>
                    </w:rPr>
                    <w:t>1.1337</w:t>
                  </w:r>
                </w:p>
              </w:tc>
              <w:tc>
                <w:tcPr>
                  <w:tcW w:w="20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0" w:beforeLines="0" w:afterLines="0"/>
                    <w:ind w:left="1"/>
                    <w:jc w:val="center"/>
                    <w:rPr>
                      <w:rFonts w:hint="default"/>
                      <w:sz w:val="24"/>
                    </w:rPr>
                  </w:pPr>
                  <w:r>
                    <w:rPr>
                      <w:rFonts w:hint="default" w:ascii="Times New Roman" w:hAnsi="Times New Roman" w:eastAsia="Times New Roman"/>
                      <w:sz w:val="21"/>
                    </w:rPr>
                    <w:t>0.2519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1" w:beforeLines="0" w:afterLines="0"/>
                    <w:jc w:val="center"/>
                    <w:rPr>
                      <w:rFonts w:hint="default"/>
                      <w:sz w:val="24"/>
                    </w:rPr>
                  </w:pPr>
                  <w:r>
                    <w:rPr>
                      <w:rFonts w:hint="default" w:ascii="Times New Roman" w:hAnsi="Times New Roman" w:eastAsia="Times New Roman"/>
                      <w:sz w:val="21"/>
                    </w:rPr>
                    <w:t>1000</w:t>
                  </w:r>
                </w:p>
              </w:tc>
              <w:tc>
                <w:tcPr>
                  <w:tcW w:w="17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1" w:beforeLines="0" w:afterLines="0"/>
                    <w:jc w:val="center"/>
                    <w:rPr>
                      <w:rFonts w:hint="default"/>
                      <w:sz w:val="24"/>
                    </w:rPr>
                  </w:pPr>
                  <w:r>
                    <w:rPr>
                      <w:rFonts w:hint="default" w:ascii="Times New Roman" w:hAnsi="Times New Roman" w:eastAsia="Times New Roman"/>
                      <w:sz w:val="21"/>
                    </w:rPr>
                    <w:t>1.8268</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1" w:beforeLines="0" w:afterLines="0"/>
                    <w:ind w:left="1"/>
                    <w:jc w:val="center"/>
                    <w:rPr>
                      <w:rFonts w:hint="default"/>
                      <w:sz w:val="24"/>
                    </w:rPr>
                  </w:pPr>
                  <w:r>
                    <w:rPr>
                      <w:rFonts w:hint="default" w:ascii="Times New Roman" w:hAnsi="Times New Roman" w:eastAsia="Times New Roman"/>
                      <w:sz w:val="21"/>
                    </w:rPr>
                    <w:t>0.4060</w:t>
                  </w:r>
                </w:p>
              </w:tc>
              <w:tc>
                <w:tcPr>
                  <w:tcW w:w="191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1" w:beforeLines="0" w:afterLines="0"/>
                    <w:ind w:right="1"/>
                    <w:jc w:val="center"/>
                    <w:rPr>
                      <w:rFonts w:hint="default"/>
                      <w:sz w:val="24"/>
                    </w:rPr>
                  </w:pPr>
                  <w:r>
                    <w:rPr>
                      <w:rFonts w:hint="default" w:ascii="Times New Roman" w:hAnsi="Times New Roman" w:eastAsia="Times New Roman"/>
                      <w:sz w:val="21"/>
                    </w:rPr>
                    <w:t>0.6606</w:t>
                  </w:r>
                </w:p>
              </w:tc>
              <w:tc>
                <w:tcPr>
                  <w:tcW w:w="20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1" w:beforeLines="0" w:afterLines="0"/>
                    <w:jc w:val="center"/>
                    <w:rPr>
                      <w:rFonts w:hint="default"/>
                      <w:sz w:val="24"/>
                    </w:rPr>
                  </w:pPr>
                  <w:r>
                    <w:rPr>
                      <w:rFonts w:hint="default" w:ascii="Times New Roman" w:hAnsi="Times New Roman" w:eastAsia="Times New Roman"/>
                      <w:sz w:val="21"/>
                    </w:rPr>
                    <w:t>0.1468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1" w:beforeLines="0" w:afterLines="0"/>
                    <w:jc w:val="center"/>
                    <w:rPr>
                      <w:rFonts w:hint="default"/>
                      <w:sz w:val="24"/>
                    </w:rPr>
                  </w:pPr>
                  <w:r>
                    <w:rPr>
                      <w:rFonts w:hint="default" w:ascii="Times New Roman" w:hAnsi="Times New Roman" w:eastAsia="Times New Roman"/>
                      <w:sz w:val="21"/>
                    </w:rPr>
                    <w:t>2000</w:t>
                  </w:r>
                </w:p>
              </w:tc>
              <w:tc>
                <w:tcPr>
                  <w:tcW w:w="17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1" w:beforeLines="0" w:afterLines="0"/>
                    <w:jc w:val="center"/>
                    <w:rPr>
                      <w:rFonts w:hint="default"/>
                      <w:sz w:val="24"/>
                    </w:rPr>
                  </w:pPr>
                  <w:r>
                    <w:rPr>
                      <w:rFonts w:hint="default" w:ascii="Times New Roman" w:hAnsi="Times New Roman" w:eastAsia="Times New Roman"/>
                      <w:sz w:val="21"/>
                    </w:rPr>
                    <w:t>1.0905</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1" w:beforeLines="0" w:afterLines="0"/>
                    <w:ind w:left="1"/>
                    <w:jc w:val="center"/>
                    <w:rPr>
                      <w:rFonts w:hint="default"/>
                      <w:sz w:val="24"/>
                    </w:rPr>
                  </w:pPr>
                  <w:r>
                    <w:rPr>
                      <w:rFonts w:hint="default" w:ascii="Times New Roman" w:hAnsi="Times New Roman" w:eastAsia="Times New Roman"/>
                      <w:sz w:val="21"/>
                    </w:rPr>
                    <w:t>0.2423</w:t>
                  </w:r>
                </w:p>
              </w:tc>
              <w:tc>
                <w:tcPr>
                  <w:tcW w:w="191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1" w:beforeLines="0" w:afterLines="0"/>
                    <w:ind w:right="1"/>
                    <w:jc w:val="center"/>
                    <w:rPr>
                      <w:rFonts w:hint="default"/>
                      <w:sz w:val="24"/>
                    </w:rPr>
                  </w:pPr>
                  <w:r>
                    <w:rPr>
                      <w:rFonts w:hint="default" w:ascii="Times New Roman" w:hAnsi="Times New Roman" w:eastAsia="Times New Roman"/>
                      <w:sz w:val="21"/>
                    </w:rPr>
                    <w:t>0.3802</w:t>
                  </w:r>
                </w:p>
              </w:tc>
              <w:tc>
                <w:tcPr>
                  <w:tcW w:w="20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1" w:beforeLines="0" w:afterLines="0"/>
                    <w:ind w:left="630"/>
                    <w:rPr>
                      <w:rFonts w:hint="default"/>
                      <w:sz w:val="24"/>
                    </w:rPr>
                  </w:pPr>
                  <w:r>
                    <w:rPr>
                      <w:rFonts w:hint="default" w:ascii="Times New Roman" w:hAnsi="Times New Roman" w:eastAsia="Times New Roman"/>
                      <w:sz w:val="21"/>
                    </w:rPr>
                    <w:t>0.08449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49" w:beforeLines="0" w:afterLines="0"/>
                    <w:jc w:val="center"/>
                    <w:rPr>
                      <w:rFonts w:hint="default"/>
                      <w:sz w:val="24"/>
                    </w:rPr>
                  </w:pPr>
                  <w:r>
                    <w:rPr>
                      <w:rFonts w:hint="default" w:ascii="Times New Roman" w:hAnsi="Times New Roman" w:eastAsia="Times New Roman"/>
                      <w:sz w:val="21"/>
                    </w:rPr>
                    <w:t>3000</w:t>
                  </w:r>
                </w:p>
              </w:tc>
              <w:tc>
                <w:tcPr>
                  <w:tcW w:w="17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49" w:beforeLines="0" w:afterLines="0"/>
                    <w:ind w:left="531"/>
                    <w:rPr>
                      <w:rFonts w:hint="default"/>
                      <w:sz w:val="24"/>
                    </w:rPr>
                  </w:pPr>
                  <w:r>
                    <w:rPr>
                      <w:rFonts w:hint="default" w:ascii="Times New Roman" w:hAnsi="Times New Roman" w:eastAsia="Times New Roman"/>
                      <w:sz w:val="21"/>
                    </w:rPr>
                    <w:t>0.79903</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49" w:beforeLines="0" w:afterLines="0"/>
                    <w:ind w:right="1"/>
                    <w:jc w:val="center"/>
                    <w:rPr>
                      <w:rFonts w:hint="default"/>
                      <w:sz w:val="24"/>
                    </w:rPr>
                  </w:pPr>
                  <w:r>
                    <w:rPr>
                      <w:rFonts w:hint="default" w:ascii="Times New Roman" w:hAnsi="Times New Roman" w:eastAsia="Times New Roman"/>
                      <w:sz w:val="21"/>
                    </w:rPr>
                    <w:t>0.1776</w:t>
                  </w:r>
                </w:p>
              </w:tc>
              <w:tc>
                <w:tcPr>
                  <w:tcW w:w="191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49" w:beforeLines="0" w:afterLines="0"/>
                    <w:ind w:right="1"/>
                    <w:jc w:val="center"/>
                    <w:rPr>
                      <w:rFonts w:hint="default"/>
                      <w:sz w:val="24"/>
                    </w:rPr>
                  </w:pPr>
                  <w:r>
                    <w:rPr>
                      <w:rFonts w:hint="default" w:ascii="Times New Roman" w:hAnsi="Times New Roman" w:eastAsia="Times New Roman"/>
                      <w:sz w:val="21"/>
                    </w:rPr>
                    <w:t>0.2825</w:t>
                  </w:r>
                </w:p>
              </w:tc>
              <w:tc>
                <w:tcPr>
                  <w:tcW w:w="20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49" w:beforeLines="0" w:afterLines="0"/>
                    <w:ind w:left="630"/>
                    <w:rPr>
                      <w:rFonts w:hint="default"/>
                      <w:sz w:val="24"/>
                    </w:rPr>
                  </w:pPr>
                  <w:r>
                    <w:rPr>
                      <w:rFonts w:hint="default" w:ascii="Times New Roman" w:hAnsi="Times New Roman" w:eastAsia="Times New Roman"/>
                      <w:sz w:val="21"/>
                    </w:rPr>
                    <w:t>0.06278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49" w:beforeLines="0" w:afterLines="0"/>
                    <w:jc w:val="center"/>
                    <w:rPr>
                      <w:rFonts w:hint="default"/>
                      <w:sz w:val="24"/>
                    </w:rPr>
                  </w:pPr>
                  <w:r>
                    <w:rPr>
                      <w:rFonts w:hint="default" w:ascii="Times New Roman" w:hAnsi="Times New Roman" w:eastAsia="Times New Roman"/>
                      <w:sz w:val="21"/>
                    </w:rPr>
                    <w:t>4000</w:t>
                  </w:r>
                </w:p>
              </w:tc>
              <w:tc>
                <w:tcPr>
                  <w:tcW w:w="17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49" w:beforeLines="0" w:afterLines="0"/>
                    <w:ind w:left="531"/>
                    <w:rPr>
                      <w:rFonts w:hint="default"/>
                      <w:sz w:val="24"/>
                    </w:rPr>
                  </w:pPr>
                  <w:r>
                    <w:rPr>
                      <w:rFonts w:hint="default" w:ascii="Times New Roman" w:hAnsi="Times New Roman" w:eastAsia="Times New Roman"/>
                      <w:sz w:val="21"/>
                    </w:rPr>
                    <w:t>0.63652</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49" w:beforeLines="0" w:afterLines="0"/>
                    <w:ind w:left="1"/>
                    <w:jc w:val="center"/>
                    <w:rPr>
                      <w:rFonts w:hint="default"/>
                      <w:sz w:val="24"/>
                    </w:rPr>
                  </w:pPr>
                  <w:r>
                    <w:rPr>
                      <w:rFonts w:hint="default" w:ascii="Times New Roman" w:hAnsi="Times New Roman" w:eastAsia="Times New Roman"/>
                      <w:sz w:val="21"/>
                    </w:rPr>
                    <w:t>0.1414</w:t>
                  </w:r>
                </w:p>
              </w:tc>
              <w:tc>
                <w:tcPr>
                  <w:tcW w:w="191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49" w:beforeLines="0" w:afterLines="0"/>
                    <w:ind w:right="1"/>
                    <w:jc w:val="center"/>
                    <w:rPr>
                      <w:rFonts w:hint="default"/>
                      <w:sz w:val="24"/>
                    </w:rPr>
                  </w:pPr>
                  <w:r>
                    <w:rPr>
                      <w:rFonts w:hint="default" w:ascii="Times New Roman" w:hAnsi="Times New Roman" w:eastAsia="Times New Roman"/>
                      <w:sz w:val="21"/>
                    </w:rPr>
                    <w:t>0.2281</w:t>
                  </w:r>
                </w:p>
              </w:tc>
              <w:tc>
                <w:tcPr>
                  <w:tcW w:w="20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49" w:beforeLines="0" w:afterLines="0"/>
                    <w:ind w:left="630"/>
                    <w:rPr>
                      <w:rFonts w:hint="default"/>
                      <w:sz w:val="24"/>
                    </w:rPr>
                  </w:pPr>
                  <w:r>
                    <w:rPr>
                      <w:rFonts w:hint="default" w:ascii="Times New Roman" w:hAnsi="Times New Roman" w:eastAsia="Times New Roman"/>
                      <w:sz w:val="21"/>
                    </w:rPr>
                    <w:t>0.05069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0" w:beforeLines="0" w:afterLines="0"/>
                    <w:jc w:val="center"/>
                    <w:rPr>
                      <w:rFonts w:hint="default"/>
                      <w:sz w:val="24"/>
                    </w:rPr>
                  </w:pPr>
                  <w:r>
                    <w:rPr>
                      <w:rFonts w:hint="default" w:ascii="Times New Roman" w:hAnsi="Times New Roman" w:eastAsia="Times New Roman"/>
                      <w:sz w:val="21"/>
                    </w:rPr>
                    <w:t>5000</w:t>
                  </w:r>
                </w:p>
              </w:tc>
              <w:tc>
                <w:tcPr>
                  <w:tcW w:w="17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0" w:beforeLines="0" w:afterLines="0"/>
                    <w:ind w:left="531"/>
                    <w:rPr>
                      <w:rFonts w:hint="default"/>
                      <w:sz w:val="24"/>
                    </w:rPr>
                  </w:pPr>
                  <w:r>
                    <w:rPr>
                      <w:rFonts w:hint="default" w:ascii="Times New Roman" w:hAnsi="Times New Roman" w:eastAsia="Times New Roman"/>
                      <w:sz w:val="21"/>
                    </w:rPr>
                    <w:t>0.53078</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0" w:beforeLines="0" w:afterLines="0"/>
                    <w:ind w:left="1"/>
                    <w:jc w:val="center"/>
                    <w:rPr>
                      <w:rFonts w:hint="default"/>
                      <w:sz w:val="24"/>
                    </w:rPr>
                  </w:pPr>
                  <w:r>
                    <w:rPr>
                      <w:rFonts w:hint="default" w:ascii="Times New Roman" w:hAnsi="Times New Roman" w:eastAsia="Times New Roman"/>
                      <w:sz w:val="21"/>
                    </w:rPr>
                    <w:t>0.1180</w:t>
                  </w:r>
                </w:p>
              </w:tc>
              <w:tc>
                <w:tcPr>
                  <w:tcW w:w="191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0" w:beforeLines="0" w:afterLines="0"/>
                    <w:ind w:left="1"/>
                    <w:jc w:val="center"/>
                    <w:rPr>
                      <w:rFonts w:hint="default"/>
                      <w:sz w:val="24"/>
                    </w:rPr>
                  </w:pPr>
                  <w:r>
                    <w:rPr>
                      <w:rFonts w:hint="default" w:ascii="Times New Roman" w:hAnsi="Times New Roman" w:eastAsia="Times New Roman"/>
                      <w:sz w:val="21"/>
                    </w:rPr>
                    <w:t>0.213</w:t>
                  </w:r>
                </w:p>
              </w:tc>
              <w:tc>
                <w:tcPr>
                  <w:tcW w:w="20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50" w:beforeLines="0" w:afterLines="0"/>
                    <w:ind w:left="630"/>
                    <w:rPr>
                      <w:rFonts w:hint="default"/>
                      <w:sz w:val="24"/>
                    </w:rPr>
                  </w:pPr>
                  <w:r>
                    <w:rPr>
                      <w:rFonts w:hint="default" w:ascii="Times New Roman" w:hAnsi="Times New Roman" w:eastAsia="Times New Roman"/>
                      <w:sz w:val="21"/>
                    </w:rPr>
                    <w:t>0.04733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2" w:hRule="exact"/>
              </w:trPr>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Lines="0" w:afterLines="0" w:line="283" w:lineRule="auto"/>
                    <w:ind w:left="376" w:right="166" w:hanging="212"/>
                    <w:rPr>
                      <w:rFonts w:hint="default"/>
                      <w:sz w:val="24"/>
                    </w:rPr>
                  </w:pPr>
                  <w:r>
                    <w:rPr>
                      <w:rFonts w:hint="eastAsia" w:ascii="宋体" w:hAnsi="宋体" w:eastAsia="宋体"/>
                      <w:sz w:val="21"/>
                    </w:rPr>
                    <w:t>最大浓度及</w:t>
                  </w:r>
                  <w:r>
                    <w:rPr>
                      <w:rFonts w:hint="eastAsia" w:ascii="宋体" w:hAnsi="宋体" w:eastAsia="宋体"/>
                      <w:w w:val="99"/>
                      <w:sz w:val="21"/>
                    </w:rPr>
                    <w:t xml:space="preserve"> </w:t>
                  </w:r>
                  <w:r>
                    <w:rPr>
                      <w:rFonts w:hint="eastAsia" w:ascii="宋体" w:hAnsi="宋体" w:eastAsia="宋体"/>
                      <w:sz w:val="21"/>
                    </w:rPr>
                    <w:t>占标率</w:t>
                  </w:r>
                </w:p>
              </w:tc>
              <w:tc>
                <w:tcPr>
                  <w:tcW w:w="17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Lines="0" w:afterLines="0"/>
                    <w:jc w:val="center"/>
                    <w:rPr>
                      <w:rFonts w:hint="default"/>
                      <w:sz w:val="24"/>
                    </w:rPr>
                  </w:pPr>
                  <w:r>
                    <w:rPr>
                      <w:rFonts w:hint="default" w:ascii="Times New Roman" w:hAnsi="Times New Roman" w:eastAsia="Times New Roman"/>
                      <w:sz w:val="21"/>
                    </w:rPr>
                    <w:t>15.769</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Lines="0" w:afterLines="0"/>
                    <w:ind w:left="1"/>
                    <w:jc w:val="center"/>
                    <w:rPr>
                      <w:rFonts w:hint="default"/>
                      <w:sz w:val="24"/>
                    </w:rPr>
                  </w:pPr>
                  <w:r>
                    <w:rPr>
                      <w:rFonts w:hint="default" w:ascii="Times New Roman" w:hAnsi="Times New Roman" w:eastAsia="Times New Roman"/>
                      <w:sz w:val="21"/>
                    </w:rPr>
                    <w:t>3.5042</w:t>
                  </w:r>
                </w:p>
              </w:tc>
              <w:tc>
                <w:tcPr>
                  <w:tcW w:w="191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Lines="0" w:afterLines="0"/>
                    <w:ind w:right="1"/>
                    <w:jc w:val="center"/>
                    <w:rPr>
                      <w:rFonts w:hint="default"/>
                      <w:sz w:val="24"/>
                    </w:rPr>
                  </w:pPr>
                  <w:r>
                    <w:rPr>
                      <w:rFonts w:hint="default" w:ascii="Times New Roman" w:hAnsi="Times New Roman" w:eastAsia="Times New Roman"/>
                      <w:sz w:val="21"/>
                    </w:rPr>
                    <w:t>1.9209</w:t>
                  </w:r>
                </w:p>
              </w:tc>
              <w:tc>
                <w:tcPr>
                  <w:tcW w:w="20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Lines="0" w:afterLines="0"/>
                    <w:jc w:val="center"/>
                    <w:rPr>
                      <w:rFonts w:hint="default"/>
                      <w:sz w:val="24"/>
                    </w:rPr>
                  </w:pPr>
                  <w:r>
                    <w:rPr>
                      <w:rFonts w:hint="default" w:ascii="Times New Roman" w:hAnsi="Times New Roman" w:eastAsia="Times New Roman"/>
                      <w:sz w:val="21"/>
                    </w:rPr>
                    <w:t>0.4267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9" w:hRule="exact"/>
              </w:trPr>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1" w:beforeLines="0" w:afterLines="0" w:line="285" w:lineRule="auto"/>
                    <w:ind w:left="266" w:right="166" w:hanging="101"/>
                    <w:rPr>
                      <w:rFonts w:hint="default"/>
                      <w:sz w:val="24"/>
                    </w:rPr>
                  </w:pPr>
                  <w:r>
                    <w:rPr>
                      <w:rFonts w:hint="eastAsia" w:ascii="宋体" w:hAnsi="宋体" w:eastAsia="宋体"/>
                      <w:sz w:val="21"/>
                    </w:rPr>
                    <w:t>最大浓度对</w:t>
                  </w:r>
                  <w:r>
                    <w:rPr>
                      <w:rFonts w:hint="eastAsia" w:ascii="宋体" w:hAnsi="宋体" w:eastAsia="宋体"/>
                      <w:w w:val="99"/>
                      <w:sz w:val="21"/>
                    </w:rPr>
                    <w:t xml:space="preserve"> </w:t>
                  </w:r>
                  <w:r>
                    <w:rPr>
                      <w:rFonts w:hint="eastAsia" w:ascii="宋体" w:hAnsi="宋体" w:eastAsia="宋体"/>
                      <w:sz w:val="21"/>
                    </w:rPr>
                    <w:t>应距离</w:t>
                  </w:r>
                  <w:r>
                    <w:rPr>
                      <w:rFonts w:hint="default" w:ascii="Times New Roman" w:hAnsi="Times New Roman" w:eastAsia="Times New Roman"/>
                      <w:sz w:val="21"/>
                    </w:rPr>
                    <w:t>/m</w:t>
                  </w:r>
                </w:p>
              </w:tc>
              <w:tc>
                <w:tcPr>
                  <w:tcW w:w="37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Lines="0" w:afterLines="0"/>
                    <w:jc w:val="center"/>
                    <w:rPr>
                      <w:rFonts w:hint="default"/>
                      <w:sz w:val="24"/>
                    </w:rPr>
                  </w:pPr>
                  <w:r>
                    <w:rPr>
                      <w:rFonts w:hint="default" w:ascii="Times New Roman" w:hAnsi="Times New Roman" w:eastAsia="Times New Roman"/>
                      <w:sz w:val="21"/>
                    </w:rPr>
                    <w:t>47</w:t>
                  </w:r>
                </w:p>
              </w:tc>
              <w:tc>
                <w:tcPr>
                  <w:tcW w:w="39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7"/>
                    <w:kinsoku w:val="0"/>
                    <w:overflowPunct w:val="0"/>
                    <w:spacing w:beforeLines="0" w:afterLines="0"/>
                    <w:jc w:val="center"/>
                    <w:rPr>
                      <w:rFonts w:hint="default"/>
                      <w:sz w:val="24"/>
                    </w:rPr>
                  </w:pPr>
                  <w:r>
                    <w:rPr>
                      <w:rFonts w:hint="default" w:ascii="Times New Roman" w:hAnsi="Times New Roman" w:eastAsia="Times New Roman"/>
                      <w:sz w:val="21"/>
                    </w:rPr>
                    <w:t>162</w:t>
                  </w:r>
                </w:p>
              </w:tc>
            </w:tr>
          </w:tbl>
          <w:p>
            <w:pPr>
              <w:pStyle w:val="2"/>
              <w:kinsoku w:val="0"/>
              <w:overflowPunct w:val="0"/>
              <w:spacing w:before="26" w:beforeLines="0" w:afterLines="0" w:line="345" w:lineRule="auto"/>
              <w:ind w:right="226" w:firstLine="480"/>
              <w:jc w:val="both"/>
              <w:rPr>
                <w:rFonts w:hint="eastAsia"/>
                <w:sz w:val="24"/>
              </w:rPr>
            </w:pPr>
            <w:r>
              <w:rPr>
                <w:rFonts w:hint="eastAsia"/>
                <w:sz w:val="24"/>
              </w:rPr>
              <w:t>由表</w:t>
            </w:r>
            <w:r>
              <w:rPr>
                <w:rFonts w:hint="eastAsia"/>
                <w:spacing w:val="-60"/>
                <w:sz w:val="24"/>
              </w:rPr>
              <w:t xml:space="preserve"> </w:t>
            </w:r>
            <w:r>
              <w:rPr>
                <w:rFonts w:hint="default" w:ascii="Times New Roman" w:hAnsi="Times New Roman" w:eastAsia="Times New Roman"/>
                <w:sz w:val="24"/>
              </w:rPr>
              <w:t>7</w:t>
            </w:r>
            <w:r>
              <w:rPr>
                <w:rFonts w:hint="eastAsia" w:eastAsia="宋体"/>
                <w:sz w:val="24"/>
                <w:lang w:val="en-US" w:eastAsia="zh-CN"/>
              </w:rPr>
              <w:t>.3</w:t>
            </w:r>
            <w:r>
              <w:rPr>
                <w:rFonts w:hint="default" w:ascii="Times New Roman" w:hAnsi="Times New Roman" w:eastAsia="Times New Roman"/>
                <w:sz w:val="24"/>
              </w:rPr>
              <w:t>-</w:t>
            </w:r>
            <w:r>
              <w:rPr>
                <w:rFonts w:hint="eastAsia" w:eastAsia="宋体"/>
                <w:sz w:val="24"/>
                <w:lang w:val="en-US" w:eastAsia="zh-CN"/>
              </w:rPr>
              <w:t>5</w:t>
            </w:r>
            <w:r>
              <w:rPr>
                <w:rFonts w:hint="default" w:ascii="Times New Roman" w:hAnsi="Times New Roman" w:eastAsia="Times New Roman"/>
                <w:sz w:val="24"/>
              </w:rPr>
              <w:t xml:space="preserve"> </w:t>
            </w:r>
            <w:r>
              <w:rPr>
                <w:rFonts w:hint="eastAsia"/>
                <w:sz w:val="24"/>
              </w:rPr>
              <w:t>分析可知，项目各项污染物最大浓度占标率为</w:t>
            </w:r>
            <w:r>
              <w:rPr>
                <w:rFonts w:hint="eastAsia"/>
                <w:spacing w:val="-60"/>
                <w:sz w:val="24"/>
              </w:rPr>
              <w:t xml:space="preserve"> </w:t>
            </w:r>
            <w:r>
              <w:rPr>
                <w:rFonts w:hint="default" w:ascii="Times New Roman" w:hAnsi="Times New Roman" w:eastAsia="Times New Roman"/>
                <w:sz w:val="24"/>
              </w:rPr>
              <w:t>0.4267%~3.5042%</w:t>
            </w:r>
            <w:r>
              <w:rPr>
                <w:rFonts w:hint="eastAsia"/>
                <w:sz w:val="24"/>
              </w:rPr>
              <w:t xml:space="preserve">，小于 </w:t>
            </w:r>
            <w:r>
              <w:rPr>
                <w:rFonts w:hint="default" w:ascii="Times New Roman" w:hAnsi="Times New Roman" w:eastAsia="Times New Roman"/>
                <w:sz w:val="24"/>
              </w:rPr>
              <w:t>10%</w:t>
            </w:r>
            <w:r>
              <w:rPr>
                <w:rFonts w:hint="eastAsia"/>
                <w:sz w:val="24"/>
              </w:rPr>
              <w:t>，结合评价等级判定依据得出项目大气评价等级为二级，评价范围为以项目厂址</w:t>
            </w:r>
            <w:r>
              <w:rPr>
                <w:rFonts w:hint="eastAsia"/>
                <w:spacing w:val="-117"/>
                <w:sz w:val="24"/>
              </w:rPr>
              <w:t xml:space="preserve"> </w:t>
            </w:r>
            <w:r>
              <w:rPr>
                <w:rFonts w:hint="eastAsia"/>
                <w:spacing w:val="-5"/>
                <w:sz w:val="24"/>
              </w:rPr>
              <w:t>为中心区域，边长</w:t>
            </w:r>
            <w:r>
              <w:rPr>
                <w:rFonts w:hint="eastAsia"/>
                <w:spacing w:val="-52"/>
                <w:sz w:val="24"/>
              </w:rPr>
              <w:t xml:space="preserve"> </w:t>
            </w:r>
            <w:r>
              <w:rPr>
                <w:rFonts w:hint="default" w:ascii="Times New Roman" w:hAnsi="Times New Roman" w:eastAsia="Times New Roman"/>
                <w:sz w:val="24"/>
              </w:rPr>
              <w:t>5km</w:t>
            </w:r>
            <w:r>
              <w:rPr>
                <w:rFonts w:hint="default" w:ascii="Times New Roman" w:hAnsi="Times New Roman" w:eastAsia="Times New Roman"/>
                <w:spacing w:val="8"/>
                <w:sz w:val="24"/>
              </w:rPr>
              <w:t xml:space="preserve"> </w:t>
            </w:r>
            <w:r>
              <w:rPr>
                <w:rFonts w:hint="eastAsia"/>
                <w:spacing w:val="-3"/>
                <w:sz w:val="24"/>
              </w:rPr>
              <w:t>的矩形区域，二级评价不需要进行进一步预测，只对污染物排</w:t>
            </w:r>
            <w:r>
              <w:rPr>
                <w:rFonts w:hint="eastAsia"/>
                <w:sz w:val="24"/>
              </w:rPr>
              <w:t xml:space="preserve"> 放量进行核算，项目污染物排放量核算见表</w:t>
            </w:r>
            <w:r>
              <w:rPr>
                <w:rFonts w:hint="eastAsia"/>
                <w:spacing w:val="-62"/>
                <w:sz w:val="24"/>
              </w:rPr>
              <w:t xml:space="preserve"> </w:t>
            </w:r>
            <w:r>
              <w:rPr>
                <w:rFonts w:hint="default" w:ascii="Times New Roman" w:hAnsi="Times New Roman" w:eastAsia="Times New Roman"/>
                <w:sz w:val="24"/>
              </w:rPr>
              <w:t>7</w:t>
            </w:r>
            <w:r>
              <w:rPr>
                <w:rFonts w:hint="eastAsia" w:eastAsia="宋体"/>
                <w:sz w:val="24"/>
                <w:lang w:val="en-US" w:eastAsia="zh-CN"/>
              </w:rPr>
              <w:t>.3</w:t>
            </w:r>
            <w:r>
              <w:rPr>
                <w:rFonts w:hint="default" w:ascii="Times New Roman" w:hAnsi="Times New Roman" w:eastAsia="Times New Roman"/>
                <w:sz w:val="24"/>
              </w:rPr>
              <w:t>-</w:t>
            </w:r>
            <w:r>
              <w:rPr>
                <w:rFonts w:hint="eastAsia" w:eastAsia="宋体"/>
                <w:sz w:val="24"/>
                <w:lang w:val="en-US" w:eastAsia="zh-CN"/>
              </w:rPr>
              <w:t>6</w:t>
            </w:r>
            <w:r>
              <w:rPr>
                <w:rFonts w:hint="default" w:ascii="Times New Roman" w:hAnsi="Times New Roman" w:eastAsia="Times New Roman"/>
                <w:sz w:val="24"/>
              </w:rPr>
              <w:t>~</w:t>
            </w:r>
            <w:r>
              <w:rPr>
                <w:rFonts w:hint="eastAsia"/>
                <w:sz w:val="24"/>
              </w:rPr>
              <w:t>表</w:t>
            </w:r>
            <w:r>
              <w:rPr>
                <w:rFonts w:hint="eastAsia"/>
                <w:spacing w:val="-62"/>
                <w:sz w:val="24"/>
              </w:rPr>
              <w:t xml:space="preserve"> </w:t>
            </w:r>
            <w:r>
              <w:rPr>
                <w:rFonts w:hint="default" w:ascii="Times New Roman" w:hAnsi="Times New Roman" w:eastAsia="Times New Roman"/>
                <w:sz w:val="24"/>
              </w:rPr>
              <w:t>7</w:t>
            </w:r>
            <w:r>
              <w:rPr>
                <w:rFonts w:hint="eastAsia" w:eastAsia="宋体"/>
                <w:sz w:val="24"/>
                <w:lang w:val="en-US" w:eastAsia="zh-CN"/>
              </w:rPr>
              <w:t>.3</w:t>
            </w:r>
            <w:r>
              <w:rPr>
                <w:rFonts w:hint="default" w:ascii="Times New Roman" w:hAnsi="Times New Roman" w:eastAsia="Times New Roman"/>
                <w:sz w:val="24"/>
              </w:rPr>
              <w:t>-</w:t>
            </w:r>
            <w:r>
              <w:rPr>
                <w:rFonts w:hint="eastAsia" w:eastAsia="宋体"/>
                <w:sz w:val="24"/>
                <w:lang w:val="en-US" w:eastAsia="zh-CN"/>
              </w:rPr>
              <w:t>7</w:t>
            </w:r>
            <w:r>
              <w:rPr>
                <w:rFonts w:hint="eastAsia"/>
                <w:sz w:val="24"/>
              </w:rPr>
              <w:t>。</w:t>
            </w:r>
          </w:p>
          <w:p>
            <w:pPr>
              <w:pStyle w:val="2"/>
              <w:kinsoku w:val="0"/>
              <w:overflowPunct w:val="0"/>
              <w:spacing w:before="63" w:beforeLines="0" w:afterLines="0"/>
              <w:ind w:left="2832" w:right="95"/>
              <w:rPr>
                <w:rFonts w:hint="eastAsia" w:ascii="黑体" w:hAnsi="黑体" w:eastAsia="黑体"/>
                <w:sz w:val="21"/>
              </w:rPr>
            </w:pPr>
            <w:r>
              <w:rPr>
                <w:rFonts w:hint="eastAsia" w:ascii="黑体" w:hAnsi="黑体" w:eastAsia="黑体"/>
                <w:sz w:val="21"/>
              </w:rPr>
              <w:t>表</w:t>
            </w:r>
            <w:r>
              <w:rPr>
                <w:rFonts w:hint="eastAsia" w:ascii="黑体" w:hAnsi="黑体" w:eastAsia="黑体"/>
                <w:spacing w:val="-56"/>
                <w:sz w:val="21"/>
              </w:rPr>
              <w:t xml:space="preserve"> </w:t>
            </w:r>
            <w:r>
              <w:rPr>
                <w:rFonts w:hint="default" w:ascii="Times New Roman" w:hAnsi="Times New Roman" w:eastAsia="Times New Roman"/>
                <w:sz w:val="21"/>
              </w:rPr>
              <w:t>7</w:t>
            </w:r>
            <w:r>
              <w:rPr>
                <w:rFonts w:hint="eastAsia" w:eastAsia="宋体"/>
                <w:sz w:val="21"/>
                <w:lang w:val="en-US" w:eastAsia="zh-CN"/>
              </w:rPr>
              <w:t>.3</w:t>
            </w:r>
            <w:r>
              <w:rPr>
                <w:rFonts w:hint="default" w:ascii="Times New Roman" w:hAnsi="Times New Roman" w:eastAsia="Times New Roman"/>
                <w:sz w:val="21"/>
              </w:rPr>
              <w:t>-</w:t>
            </w:r>
            <w:r>
              <w:rPr>
                <w:rFonts w:hint="eastAsia" w:eastAsia="宋体"/>
                <w:sz w:val="21"/>
                <w:lang w:val="en-US" w:eastAsia="zh-CN"/>
              </w:rPr>
              <w:t>6</w:t>
            </w:r>
            <w:r>
              <w:rPr>
                <w:rFonts w:hint="default" w:ascii="Times New Roman" w:hAnsi="Times New Roman" w:eastAsia="Times New Roman"/>
                <w:spacing w:val="-7"/>
                <w:sz w:val="21"/>
              </w:rPr>
              <w:t xml:space="preserve"> </w:t>
            </w:r>
            <w:r>
              <w:rPr>
                <w:rFonts w:hint="eastAsia" w:ascii="黑体" w:hAnsi="黑体" w:eastAsia="黑体"/>
                <w:sz w:val="21"/>
              </w:rPr>
              <w:t>项目大气污染物有组织排放量核算表</w:t>
            </w:r>
          </w:p>
          <w:tbl>
            <w:tblPr>
              <w:tblStyle w:val="43"/>
              <w:tblW w:w="90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5"/>
              <w:gridCol w:w="1097"/>
              <w:gridCol w:w="1500"/>
              <w:gridCol w:w="928"/>
              <w:gridCol w:w="1674"/>
              <w:gridCol w:w="1655"/>
              <w:gridCol w:w="1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4" w:hRule="exact"/>
              </w:trPr>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序 号</w:t>
                  </w:r>
                </w:p>
              </w:tc>
              <w:tc>
                <w:tcPr>
                  <w:tcW w:w="10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排放口 编号</w:t>
                  </w:r>
                </w:p>
              </w:tc>
              <w:tc>
                <w:tcPr>
                  <w:tcW w:w="15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产污环节</w:t>
                  </w:r>
                </w:p>
              </w:tc>
              <w:tc>
                <w:tcPr>
                  <w:tcW w:w="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污染物</w:t>
                  </w:r>
                </w:p>
              </w:tc>
              <w:tc>
                <w:tcPr>
                  <w:tcW w:w="16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Times New Roman" w:eastAsia="宋体" w:cs="Times New Roman"/>
                      <w:sz w:val="21"/>
                      <w:szCs w:val="21"/>
                      <w:u w:val="none"/>
                    </w:rPr>
                  </w:pPr>
                  <w:r>
                    <w:rPr>
                      <w:rFonts w:hint="eastAsia" w:ascii="Times New Roman" w:hAnsi="Times New Roman" w:eastAsia="宋体" w:cs="Times New Roman"/>
                      <w:sz w:val="21"/>
                      <w:szCs w:val="21"/>
                      <w:u w:val="none"/>
                    </w:rPr>
                    <w:t>核算排放浓度</w:t>
                  </w:r>
                </w:p>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w:t>
                  </w:r>
                  <w:r>
                    <w:rPr>
                      <w:rFonts w:hint="default" w:ascii="Times New Roman" w:hAnsi="Times New Roman" w:eastAsia="宋体" w:cs="Times New Roman"/>
                      <w:sz w:val="21"/>
                      <w:szCs w:val="21"/>
                      <w:u w:val="none"/>
                    </w:rPr>
                    <w:t>mg/m3</w:t>
                  </w:r>
                  <w:r>
                    <w:rPr>
                      <w:rFonts w:hint="eastAsia" w:ascii="Times New Roman" w:hAnsi="Times New Roman" w:eastAsia="宋体" w:cs="Times New Roman"/>
                      <w:sz w:val="21"/>
                      <w:szCs w:val="21"/>
                      <w:u w:val="none"/>
                    </w:rPr>
                    <w:t>）</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Times New Roman" w:eastAsia="宋体" w:cs="Times New Roman"/>
                      <w:sz w:val="21"/>
                      <w:szCs w:val="21"/>
                      <w:u w:val="none"/>
                    </w:rPr>
                  </w:pPr>
                  <w:r>
                    <w:rPr>
                      <w:rFonts w:hint="eastAsia" w:ascii="Times New Roman" w:hAnsi="Times New Roman" w:eastAsia="宋体" w:cs="Times New Roman"/>
                      <w:sz w:val="21"/>
                      <w:szCs w:val="21"/>
                      <w:u w:val="none"/>
                    </w:rPr>
                    <w:t>核算排放速率</w:t>
                  </w:r>
                </w:p>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w:t>
                  </w:r>
                  <w:r>
                    <w:rPr>
                      <w:rFonts w:hint="default" w:ascii="Times New Roman" w:hAnsi="Times New Roman" w:eastAsia="宋体" w:cs="Times New Roman"/>
                      <w:sz w:val="21"/>
                      <w:szCs w:val="21"/>
                      <w:u w:val="none"/>
                    </w:rPr>
                    <w:t>kg/h</w:t>
                  </w:r>
                  <w:r>
                    <w:rPr>
                      <w:rFonts w:hint="eastAsia" w:ascii="Times New Roman" w:hAnsi="Times New Roman" w:eastAsia="宋体" w:cs="Times New Roman"/>
                      <w:sz w:val="21"/>
                      <w:szCs w:val="21"/>
                      <w:u w:val="none"/>
                    </w:rPr>
                    <w:t>）</w:t>
                  </w:r>
                </w:p>
              </w:tc>
              <w:tc>
                <w:tcPr>
                  <w:tcW w:w="16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核算年排放量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w:t>
                  </w:r>
                </w:p>
              </w:tc>
              <w:tc>
                <w:tcPr>
                  <w:tcW w:w="10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DA001</w:t>
                  </w:r>
                </w:p>
              </w:tc>
              <w:tc>
                <w:tcPr>
                  <w:tcW w:w="15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水泥筒仓</w:t>
                  </w:r>
                </w:p>
              </w:tc>
              <w:tc>
                <w:tcPr>
                  <w:tcW w:w="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粉尘</w:t>
                  </w:r>
                </w:p>
              </w:tc>
              <w:tc>
                <w:tcPr>
                  <w:tcW w:w="16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w:t>
                  </w:r>
                  <w:r>
                    <w:rPr>
                      <w:rFonts w:hint="default" w:ascii="Times New Roman" w:hAnsi="Times New Roman" w:eastAsia="宋体" w:cs="Times New Roman"/>
                      <w:sz w:val="21"/>
                      <w:szCs w:val="21"/>
                      <w:u w:val="none"/>
                    </w:rPr>
                    <w:t>10</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0.03</w:t>
                  </w:r>
                </w:p>
              </w:tc>
              <w:tc>
                <w:tcPr>
                  <w:tcW w:w="16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1.14kg/a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exact"/>
              </w:trPr>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2</w:t>
                  </w:r>
                </w:p>
              </w:tc>
              <w:tc>
                <w:tcPr>
                  <w:tcW w:w="10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DA002</w:t>
                  </w:r>
                </w:p>
              </w:tc>
              <w:tc>
                <w:tcPr>
                  <w:tcW w:w="15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配料、搅拌</w:t>
                  </w:r>
                </w:p>
              </w:tc>
              <w:tc>
                <w:tcPr>
                  <w:tcW w:w="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粉尘</w:t>
                  </w:r>
                </w:p>
              </w:tc>
              <w:tc>
                <w:tcPr>
                  <w:tcW w:w="16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w:t>
                  </w:r>
                  <w:r>
                    <w:rPr>
                      <w:rFonts w:hint="default" w:ascii="Times New Roman" w:hAnsi="Times New Roman" w:eastAsia="宋体" w:cs="Times New Roman"/>
                      <w:sz w:val="21"/>
                      <w:szCs w:val="21"/>
                      <w:u w:val="none"/>
                    </w:rPr>
                    <w:t>10</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0.013</w:t>
                  </w:r>
                </w:p>
              </w:tc>
              <w:tc>
                <w:tcPr>
                  <w:tcW w:w="16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2kg/a</w:t>
                  </w:r>
                </w:p>
              </w:tc>
            </w:tr>
          </w:tbl>
          <w:p>
            <w:pPr>
              <w:pStyle w:val="2"/>
              <w:kinsoku w:val="0"/>
              <w:overflowPunct w:val="0"/>
              <w:spacing w:before="34" w:beforeLines="0" w:afterLines="0"/>
              <w:ind w:left="2811" w:right="95"/>
              <w:rPr>
                <w:rFonts w:hint="eastAsia" w:ascii="黑体" w:hAnsi="黑体" w:eastAsia="黑体"/>
                <w:sz w:val="21"/>
              </w:rPr>
            </w:pPr>
            <w:r>
              <w:rPr>
                <w:rFonts w:hint="eastAsia" w:ascii="黑体" w:hAnsi="黑体" w:eastAsia="黑体"/>
                <w:sz w:val="21"/>
              </w:rPr>
              <w:t>表</w:t>
            </w:r>
            <w:r>
              <w:rPr>
                <w:rFonts w:hint="default" w:ascii="Times New Roman" w:hAnsi="Times New Roman" w:eastAsia="Times New Roman"/>
                <w:sz w:val="21"/>
              </w:rPr>
              <w:t>7</w:t>
            </w:r>
            <w:r>
              <w:rPr>
                <w:rFonts w:hint="eastAsia" w:eastAsia="宋体"/>
                <w:sz w:val="21"/>
                <w:lang w:val="en-US" w:eastAsia="zh-CN"/>
              </w:rPr>
              <w:t>.3</w:t>
            </w:r>
            <w:r>
              <w:rPr>
                <w:rFonts w:hint="default" w:ascii="Times New Roman" w:hAnsi="Times New Roman" w:eastAsia="Times New Roman"/>
                <w:sz w:val="21"/>
              </w:rPr>
              <w:t>-</w:t>
            </w:r>
            <w:r>
              <w:rPr>
                <w:rFonts w:hint="eastAsia" w:eastAsia="宋体"/>
                <w:sz w:val="21"/>
                <w:lang w:val="en-US" w:eastAsia="zh-CN"/>
              </w:rPr>
              <w:t>7</w:t>
            </w:r>
            <w:r>
              <w:rPr>
                <w:rFonts w:hint="default" w:ascii="Times New Roman" w:hAnsi="Times New Roman" w:eastAsia="Times New Roman"/>
                <w:spacing w:val="-21"/>
                <w:sz w:val="21"/>
              </w:rPr>
              <w:t xml:space="preserve"> </w:t>
            </w:r>
            <w:r>
              <w:rPr>
                <w:rFonts w:hint="eastAsia" w:ascii="黑体" w:hAnsi="黑体" w:eastAsia="黑体"/>
                <w:sz w:val="21"/>
              </w:rPr>
              <w:t>项目大气污染物无组织排放量核算表</w:t>
            </w:r>
          </w:p>
          <w:tbl>
            <w:tblPr>
              <w:tblStyle w:val="43"/>
              <w:tblW w:w="90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7"/>
              <w:gridCol w:w="986"/>
              <w:gridCol w:w="872"/>
              <w:gridCol w:w="863"/>
              <w:gridCol w:w="3515"/>
              <w:gridCol w:w="1213"/>
              <w:gridCol w:w="1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exact"/>
              </w:trPr>
              <w:tc>
                <w:tcPr>
                  <w:tcW w:w="52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序 号</w:t>
                  </w:r>
                </w:p>
              </w:tc>
              <w:tc>
                <w:tcPr>
                  <w:tcW w:w="98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排放口 编号</w:t>
                  </w:r>
                </w:p>
              </w:tc>
              <w:tc>
                <w:tcPr>
                  <w:tcW w:w="87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产污环 节</w:t>
                  </w:r>
                </w:p>
              </w:tc>
              <w:tc>
                <w:tcPr>
                  <w:tcW w:w="8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污染 物</w:t>
                  </w:r>
                </w:p>
              </w:tc>
              <w:tc>
                <w:tcPr>
                  <w:tcW w:w="472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国家或地方污染物排放标准</w:t>
                  </w:r>
                </w:p>
              </w:tc>
              <w:tc>
                <w:tcPr>
                  <w:tcW w:w="108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Times New Roman" w:eastAsia="宋体" w:cs="Times New Roman"/>
                      <w:sz w:val="21"/>
                      <w:szCs w:val="21"/>
                      <w:u w:val="none"/>
                    </w:rPr>
                  </w:pPr>
                  <w:r>
                    <w:rPr>
                      <w:rFonts w:hint="eastAsia" w:ascii="Times New Roman" w:hAnsi="Times New Roman" w:eastAsia="宋体" w:cs="Times New Roman"/>
                      <w:sz w:val="21"/>
                      <w:szCs w:val="21"/>
                      <w:u w:val="none"/>
                    </w:rPr>
                    <w:t>年排放量</w:t>
                  </w:r>
                </w:p>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w:t>
                  </w:r>
                  <w:r>
                    <w:rPr>
                      <w:rFonts w:hint="default" w:ascii="Times New Roman" w:hAnsi="Times New Roman" w:eastAsia="宋体" w:cs="Times New Roman"/>
                      <w:sz w:val="21"/>
                      <w:szCs w:val="21"/>
                      <w:u w:val="none"/>
                    </w:rPr>
                    <w:t>t/a</w:t>
                  </w:r>
                  <w:r>
                    <w:rPr>
                      <w:rFonts w:hint="eastAsia" w:ascii="Times New Roman" w:hAnsi="Times New Roman" w:eastAsia="宋体" w:cs="Times New Roman"/>
                      <w:sz w:val="21"/>
                      <w:szCs w:val="21"/>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exact"/>
              </w:trPr>
              <w:tc>
                <w:tcPr>
                  <w:tcW w:w="52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p>
              </w:tc>
              <w:tc>
                <w:tcPr>
                  <w:tcW w:w="9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p>
              </w:tc>
              <w:tc>
                <w:tcPr>
                  <w:tcW w:w="8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p>
              </w:tc>
              <w:tc>
                <w:tcPr>
                  <w:tcW w:w="8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p>
              </w:tc>
              <w:tc>
                <w:tcPr>
                  <w:tcW w:w="35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标准名称</w:t>
                  </w: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浓度限值</w:t>
                  </w:r>
                </w:p>
              </w:tc>
              <w:tc>
                <w:tcPr>
                  <w:tcW w:w="108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6" w:hRule="exact"/>
              </w:trPr>
              <w:tc>
                <w:tcPr>
                  <w:tcW w:w="5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w:t>
                  </w:r>
                </w:p>
              </w:tc>
              <w:tc>
                <w:tcPr>
                  <w:tcW w:w="9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配料、 搅拌</w:t>
                  </w:r>
                </w:p>
              </w:tc>
              <w:tc>
                <w:tcPr>
                  <w:tcW w:w="8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粉尘</w:t>
                  </w:r>
                </w:p>
              </w:tc>
              <w:tc>
                <w:tcPr>
                  <w:tcW w:w="35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Times New Roman" w:eastAsia="宋体" w:cs="Times New Roman"/>
                      <w:sz w:val="21"/>
                      <w:szCs w:val="21"/>
                      <w:u w:val="none"/>
                    </w:rPr>
                  </w:pPr>
                  <w:r>
                    <w:rPr>
                      <w:rFonts w:hint="eastAsia" w:ascii="Times New Roman" w:hAnsi="Times New Roman" w:eastAsia="宋体" w:cs="Times New Roman"/>
                      <w:sz w:val="21"/>
                      <w:szCs w:val="21"/>
                      <w:u w:val="none"/>
                    </w:rPr>
                    <w:t>《水泥工业大气污染物排放标准》</w:t>
                  </w:r>
                </w:p>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w:t>
                  </w:r>
                  <w:r>
                    <w:rPr>
                      <w:rFonts w:hint="default" w:ascii="Times New Roman" w:hAnsi="Times New Roman" w:eastAsia="宋体" w:cs="Times New Roman"/>
                      <w:sz w:val="21"/>
                      <w:szCs w:val="21"/>
                      <w:u w:val="none"/>
                    </w:rPr>
                    <w:t>GB4915-2013</w:t>
                  </w:r>
                  <w:r>
                    <w:rPr>
                      <w:rFonts w:hint="eastAsia" w:ascii="Times New Roman" w:hAnsi="Times New Roman" w:eastAsia="宋体" w:cs="Times New Roman"/>
                      <w:sz w:val="21"/>
                      <w:szCs w:val="21"/>
                      <w:u w:val="none"/>
                    </w:rPr>
                    <w:t>）表</w:t>
                  </w:r>
                  <w:r>
                    <w:rPr>
                      <w:rFonts w:hint="default" w:ascii="Times New Roman" w:hAnsi="Times New Roman" w:eastAsia="宋体" w:cs="Times New Roman"/>
                      <w:sz w:val="21"/>
                      <w:szCs w:val="21"/>
                      <w:u w:val="none"/>
                    </w:rPr>
                    <w:t>3</w:t>
                  </w:r>
                  <w:r>
                    <w:rPr>
                      <w:rFonts w:hint="eastAsia" w:ascii="Times New Roman" w:hAnsi="Times New Roman" w:eastAsia="宋体" w:cs="Times New Roman"/>
                      <w:sz w:val="21"/>
                      <w:szCs w:val="21"/>
                      <w:u w:val="none"/>
                    </w:rPr>
                    <w:t>相关标准限值</w:t>
                  </w: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0.5mg/m3</w:t>
                  </w:r>
                </w:p>
              </w:tc>
              <w:tc>
                <w:tcPr>
                  <w:tcW w:w="10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7" w:hRule="exact"/>
              </w:trPr>
              <w:tc>
                <w:tcPr>
                  <w:tcW w:w="5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2</w:t>
                  </w:r>
                </w:p>
              </w:tc>
              <w:tc>
                <w:tcPr>
                  <w:tcW w:w="9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车辆运 输</w:t>
                  </w:r>
                </w:p>
              </w:tc>
              <w:tc>
                <w:tcPr>
                  <w:tcW w:w="8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粉尘</w:t>
                  </w:r>
                </w:p>
              </w:tc>
              <w:tc>
                <w:tcPr>
                  <w:tcW w:w="35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Times New Roman" w:eastAsia="宋体" w:cs="Times New Roman"/>
                      <w:sz w:val="21"/>
                      <w:szCs w:val="21"/>
                      <w:u w:val="none"/>
                    </w:rPr>
                  </w:pPr>
                  <w:r>
                    <w:rPr>
                      <w:rFonts w:hint="eastAsia" w:ascii="Times New Roman" w:hAnsi="Times New Roman" w:eastAsia="宋体" w:cs="Times New Roman"/>
                      <w:sz w:val="21"/>
                      <w:szCs w:val="21"/>
                      <w:u w:val="none"/>
                    </w:rPr>
                    <w:t>《大气污染物综合排放标准》</w:t>
                  </w:r>
                </w:p>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w:t>
                  </w:r>
                  <w:r>
                    <w:rPr>
                      <w:rFonts w:hint="default" w:ascii="Times New Roman" w:hAnsi="Times New Roman" w:eastAsia="宋体" w:cs="Times New Roman"/>
                      <w:sz w:val="21"/>
                      <w:szCs w:val="21"/>
                      <w:u w:val="none"/>
                    </w:rPr>
                    <w:t>GB16297-1996</w:t>
                  </w:r>
                  <w:r>
                    <w:rPr>
                      <w:rFonts w:hint="eastAsia" w:ascii="Times New Roman" w:hAnsi="Times New Roman" w:eastAsia="宋体" w:cs="Times New Roman"/>
                      <w:sz w:val="21"/>
                      <w:szCs w:val="21"/>
                      <w:u w:val="none"/>
                    </w:rPr>
                    <w:t>）表</w:t>
                  </w:r>
                  <w:r>
                    <w:rPr>
                      <w:rFonts w:hint="default" w:ascii="Times New Roman" w:hAnsi="Times New Roman" w:eastAsia="宋体" w:cs="Times New Roman"/>
                      <w:sz w:val="21"/>
                      <w:szCs w:val="21"/>
                      <w:u w:val="none"/>
                    </w:rPr>
                    <w:t>2</w:t>
                  </w:r>
                  <w:r>
                    <w:rPr>
                      <w:rFonts w:hint="eastAsia" w:ascii="Times New Roman" w:hAnsi="Times New Roman" w:eastAsia="宋体" w:cs="Times New Roman"/>
                      <w:sz w:val="21"/>
                      <w:szCs w:val="21"/>
                      <w:u w:val="none"/>
                    </w:rPr>
                    <w:t>标准</w:t>
                  </w:r>
                </w:p>
              </w:tc>
              <w:tc>
                <w:tcPr>
                  <w:tcW w:w="121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1.0mg/m3</w:t>
                  </w:r>
                </w:p>
              </w:tc>
              <w:tc>
                <w:tcPr>
                  <w:tcW w:w="10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6" w:hRule="exact"/>
              </w:trPr>
              <w:tc>
                <w:tcPr>
                  <w:tcW w:w="5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3</w:t>
                  </w:r>
                </w:p>
              </w:tc>
              <w:tc>
                <w:tcPr>
                  <w:tcW w:w="9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焊接</w:t>
                  </w:r>
                </w:p>
              </w:tc>
              <w:tc>
                <w:tcPr>
                  <w:tcW w:w="8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烟尘</w:t>
                  </w:r>
                </w:p>
              </w:tc>
              <w:tc>
                <w:tcPr>
                  <w:tcW w:w="35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p>
              </w:tc>
              <w:tc>
                <w:tcPr>
                  <w:tcW w:w="121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0.51kg/a</w:t>
                  </w:r>
                </w:p>
              </w:tc>
            </w:tr>
          </w:tbl>
          <w:p>
            <w:pPr>
              <w:pStyle w:val="2"/>
              <w:tabs>
                <w:tab w:val="left" w:pos="3821"/>
              </w:tabs>
              <w:kinsoku w:val="0"/>
              <w:overflowPunct w:val="0"/>
              <w:spacing w:before="34" w:beforeLines="0" w:afterLines="0"/>
              <w:ind w:left="2964" w:right="95"/>
              <w:rPr>
                <w:rFonts w:hint="eastAsia" w:ascii="黑体" w:hAnsi="黑体" w:eastAsia="黑体"/>
                <w:sz w:val="21"/>
              </w:rPr>
            </w:pPr>
            <w:r>
              <w:rPr>
                <w:rFonts w:hint="eastAsia" w:ascii="黑体" w:hAnsi="黑体" w:eastAsia="黑体"/>
                <w:sz w:val="21"/>
              </w:rPr>
              <w:t>表</w:t>
            </w:r>
            <w:r>
              <w:rPr>
                <w:rFonts w:hint="eastAsia" w:ascii="黑体" w:hAnsi="黑体" w:eastAsia="黑体"/>
                <w:spacing w:val="-54"/>
                <w:sz w:val="21"/>
              </w:rPr>
              <w:t xml:space="preserve"> </w:t>
            </w:r>
            <w:r>
              <w:rPr>
                <w:rFonts w:hint="default" w:ascii="Times New Roman" w:hAnsi="Times New Roman" w:eastAsia="Times New Roman"/>
                <w:sz w:val="21"/>
              </w:rPr>
              <w:t>7</w:t>
            </w:r>
            <w:r>
              <w:rPr>
                <w:rFonts w:hint="eastAsia" w:eastAsia="宋体"/>
                <w:sz w:val="21"/>
                <w:lang w:val="en-US" w:eastAsia="zh-CN"/>
              </w:rPr>
              <w:t>.3</w:t>
            </w:r>
            <w:r>
              <w:rPr>
                <w:rFonts w:hint="default" w:ascii="Times New Roman" w:hAnsi="Times New Roman" w:eastAsia="Times New Roman"/>
                <w:sz w:val="21"/>
              </w:rPr>
              <w:t>-</w:t>
            </w:r>
            <w:r>
              <w:rPr>
                <w:rFonts w:hint="eastAsia" w:eastAsia="宋体"/>
                <w:sz w:val="21"/>
                <w:lang w:val="en-US" w:eastAsia="zh-CN"/>
              </w:rPr>
              <w:t>8</w:t>
            </w:r>
            <w:r>
              <w:rPr>
                <w:rFonts w:hint="default" w:ascii="Times New Roman" w:hAnsi="Times New Roman" w:eastAsia="Times New Roman"/>
                <w:sz w:val="21"/>
              </w:rPr>
              <w:tab/>
            </w:r>
            <w:r>
              <w:rPr>
                <w:rFonts w:hint="eastAsia" w:ascii="黑体" w:hAnsi="黑体" w:eastAsia="黑体"/>
                <w:sz w:val="21"/>
              </w:rPr>
              <w:t>项目大气污染物年排放量核算表</w:t>
            </w:r>
          </w:p>
          <w:tbl>
            <w:tblPr>
              <w:tblStyle w:val="43"/>
              <w:tblW w:w="90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23"/>
              <w:gridCol w:w="2420"/>
              <w:gridCol w:w="4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4" w:hRule="exact"/>
              </w:trPr>
              <w:tc>
                <w:tcPr>
                  <w:tcW w:w="18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序号</w:t>
                  </w:r>
                </w:p>
              </w:tc>
              <w:tc>
                <w:tcPr>
                  <w:tcW w:w="2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污染物</w:t>
                  </w:r>
                </w:p>
              </w:tc>
              <w:tc>
                <w:tcPr>
                  <w:tcW w:w="48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年排放量（</w:t>
                  </w:r>
                  <w:r>
                    <w:rPr>
                      <w:rFonts w:hint="default" w:ascii="Times New Roman" w:hAnsi="Times New Roman" w:eastAsia="宋体" w:cs="Times New Roman"/>
                      <w:sz w:val="21"/>
                      <w:szCs w:val="21"/>
                      <w:u w:val="none"/>
                    </w:rPr>
                    <w:t>t/a</w:t>
                  </w:r>
                  <w:r>
                    <w:rPr>
                      <w:rFonts w:hint="eastAsia" w:ascii="Times New Roman" w:hAnsi="Times New Roman" w:eastAsia="宋体" w:cs="Times New Roman"/>
                      <w:sz w:val="21"/>
                      <w:szCs w:val="21"/>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4" w:hRule="exact"/>
              </w:trPr>
              <w:tc>
                <w:tcPr>
                  <w:tcW w:w="18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w:t>
                  </w:r>
                </w:p>
              </w:tc>
              <w:tc>
                <w:tcPr>
                  <w:tcW w:w="2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rPr>
                    <w:t>颗粒物</w:t>
                  </w:r>
                </w:p>
              </w:tc>
              <w:tc>
                <w:tcPr>
                  <w:tcW w:w="48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0.1156</w:t>
                  </w:r>
                </w:p>
              </w:tc>
            </w:tr>
          </w:tbl>
          <w:p>
            <w:pPr>
              <w:pStyle w:val="95"/>
              <w:spacing w:line="240" w:lineRule="auto"/>
              <w:ind w:firstLine="482"/>
              <w:rPr>
                <w:rFonts w:hint="default" w:hAnsi="Times New Roman" w:eastAsia="宋体" w:cs="Times New Roman"/>
                <w:b/>
                <w:lang w:val="en-US" w:eastAsia="zh-CN"/>
              </w:rPr>
            </w:pPr>
            <w:r>
              <w:rPr>
                <w:rFonts w:hint="eastAsia" w:hAnsi="Times New Roman" w:cs="Times New Roman"/>
                <w:b/>
                <w:lang w:eastAsia="zh-CN"/>
              </w:rPr>
              <w:t>（</w:t>
            </w:r>
            <w:r>
              <w:rPr>
                <w:rFonts w:hint="eastAsia" w:hAnsi="Times New Roman" w:cs="Times New Roman"/>
                <w:b/>
                <w:lang w:val="en-US" w:eastAsia="zh-CN"/>
              </w:rPr>
              <w:t>四</w:t>
            </w:r>
            <w:r>
              <w:rPr>
                <w:rFonts w:hint="eastAsia" w:hAnsi="Times New Roman" w:cs="Times New Roman"/>
                <w:b/>
                <w:lang w:eastAsia="zh-CN"/>
              </w:rPr>
              <w:t>）</w:t>
            </w:r>
            <w:r>
              <w:rPr>
                <w:rFonts w:hint="eastAsia" w:hAnsi="Times New Roman" w:cs="Times New Roman"/>
                <w:b/>
                <w:lang w:val="en-US" w:eastAsia="zh-CN"/>
              </w:rPr>
              <w:t>钢筋加工场</w:t>
            </w:r>
          </w:p>
          <w:p>
            <w:pPr>
              <w:pStyle w:val="2"/>
              <w:kinsoku w:val="0"/>
              <w:overflowPunct w:val="0"/>
              <w:spacing w:before="152" w:beforeLines="0" w:afterLines="0"/>
              <w:ind w:left="705"/>
              <w:rPr>
                <w:rFonts w:hint="eastAsia" w:ascii="黑体" w:hAnsi="黑体" w:eastAsia="黑体"/>
                <w:sz w:val="24"/>
              </w:rPr>
            </w:pPr>
            <w:r>
              <w:rPr>
                <w:rFonts w:hint="eastAsia" w:ascii="黑体" w:hAnsi="黑体" w:eastAsia="黑体"/>
                <w:sz w:val="24"/>
                <w:lang w:val="en-US" w:eastAsia="zh-CN"/>
              </w:rPr>
              <w:t>1.</w:t>
            </w:r>
            <w:r>
              <w:rPr>
                <w:rFonts w:hint="eastAsia" w:ascii="黑体" w:hAnsi="黑体" w:eastAsia="黑体"/>
                <w:sz w:val="24"/>
              </w:rPr>
              <w:t>环境空气影响分析</w:t>
            </w:r>
          </w:p>
          <w:p>
            <w:pPr>
              <w:pStyle w:val="21"/>
              <w:bidi w:val="0"/>
              <w:rPr>
                <w:rFonts w:hint="eastAsia"/>
                <w:sz w:val="24"/>
                <w:szCs w:val="22"/>
              </w:rPr>
            </w:pPr>
            <w:r>
              <w:rPr>
                <w:rFonts w:hint="eastAsia"/>
                <w:sz w:val="24"/>
                <w:szCs w:val="22"/>
              </w:rPr>
              <w:t>本项目主要废气的产生及排放为焊接烟尘。 焊接烟尘由金属及非金属在过热条件下产生的蒸发气体经氧化和冷凝而形成的。</w:t>
            </w:r>
          </w:p>
          <w:p>
            <w:pPr>
              <w:pStyle w:val="21"/>
              <w:bidi w:val="0"/>
              <w:rPr>
                <w:rFonts w:hint="eastAsia"/>
                <w:spacing w:val="-4"/>
              </w:rPr>
            </w:pPr>
            <w:r>
              <w:rPr>
                <w:rFonts w:hint="eastAsia"/>
                <w:sz w:val="24"/>
                <w:szCs w:val="22"/>
              </w:rPr>
              <w:t xml:space="preserve">经产污环节分析计算，产生量为 </w:t>
            </w:r>
            <w:r>
              <w:rPr>
                <w:rFonts w:hint="default"/>
                <w:sz w:val="24"/>
                <w:szCs w:val="22"/>
              </w:rPr>
              <w:t>0.007t/a</w:t>
            </w:r>
            <w:r>
              <w:rPr>
                <w:rFonts w:hint="eastAsia"/>
                <w:sz w:val="24"/>
                <w:szCs w:val="22"/>
              </w:rPr>
              <w:t>，本项目焊接为间歇性操作，焊接烟尘产生量较小。在车间内设置移动式焊接烟尘净化器，经净化后车间内无组织排放。移动式 焊接烟尘净化器净化效率取</w:t>
            </w:r>
            <w:r>
              <w:rPr>
                <w:rFonts w:hint="default"/>
                <w:sz w:val="24"/>
                <w:szCs w:val="22"/>
              </w:rPr>
              <w:t>80%</w:t>
            </w:r>
            <w:r>
              <w:rPr>
                <w:rFonts w:hint="eastAsia"/>
                <w:sz w:val="24"/>
                <w:szCs w:val="22"/>
              </w:rPr>
              <w:t>，则排放焊接烟尘量约为</w:t>
            </w:r>
            <w:r>
              <w:rPr>
                <w:rFonts w:hint="default"/>
                <w:sz w:val="24"/>
                <w:szCs w:val="22"/>
              </w:rPr>
              <w:t>0.0014t/a</w:t>
            </w:r>
            <w:r>
              <w:rPr>
                <w:rFonts w:hint="eastAsia"/>
                <w:sz w:val="24"/>
                <w:szCs w:val="22"/>
              </w:rPr>
              <w:t>。通过采取机械通风，设置车间排风扇，加快车间通风换气。类比同类项目，通过机械通风预计焊接车间烟尘浓度满足《工作场所有害因素职业接触限值</w:t>
            </w:r>
            <w:r>
              <w:rPr>
                <w:rFonts w:hint="eastAsia"/>
                <w:sz w:val="24"/>
                <w:szCs w:val="22"/>
                <w:lang w:val="en-US" w:eastAsia="zh-CN"/>
              </w:rPr>
              <w:t xml:space="preserve"> </w:t>
            </w:r>
            <w:r>
              <w:rPr>
                <w:rFonts w:hint="eastAsia"/>
                <w:sz w:val="24"/>
                <w:szCs w:val="22"/>
              </w:rPr>
              <w:t>化学有害因素》（</w:t>
            </w:r>
            <w:r>
              <w:rPr>
                <w:rFonts w:hint="default"/>
                <w:sz w:val="24"/>
                <w:szCs w:val="22"/>
              </w:rPr>
              <w:t>GBZ2.1-2007</w:t>
            </w:r>
            <w:r>
              <w:rPr>
                <w:rFonts w:hint="eastAsia"/>
                <w:sz w:val="24"/>
                <w:szCs w:val="22"/>
              </w:rPr>
              <w:t>）标准，无组织排放的焊接烟尘满足《大气污染物综合排放标准》（</w:t>
            </w:r>
            <w:r>
              <w:rPr>
                <w:rFonts w:hint="default"/>
                <w:sz w:val="24"/>
                <w:szCs w:val="22"/>
              </w:rPr>
              <w:t>GB16297-1996</w:t>
            </w:r>
            <w:r>
              <w:rPr>
                <w:rFonts w:hint="eastAsia"/>
                <w:sz w:val="24"/>
                <w:szCs w:val="22"/>
              </w:rPr>
              <w:t>）表</w:t>
            </w:r>
            <w:r>
              <w:rPr>
                <w:rFonts w:hint="default"/>
                <w:sz w:val="24"/>
                <w:szCs w:val="22"/>
              </w:rPr>
              <w:t>2</w:t>
            </w:r>
            <w:r>
              <w:rPr>
                <w:rFonts w:hint="eastAsia"/>
                <w:sz w:val="24"/>
                <w:szCs w:val="22"/>
              </w:rPr>
              <w:t>无组织排放监控浓度限值（</w:t>
            </w:r>
            <w:r>
              <w:rPr>
                <w:rFonts w:hint="default"/>
                <w:sz w:val="24"/>
                <w:szCs w:val="22"/>
              </w:rPr>
              <w:t>≤1.0mg/m³</w:t>
            </w:r>
            <w:r>
              <w:rPr>
                <w:rFonts w:hint="eastAsia"/>
                <w:sz w:val="24"/>
                <w:szCs w:val="22"/>
              </w:rPr>
              <w:t>），对周围环境空气影响较小。</w:t>
            </w:r>
          </w:p>
          <w:p>
            <w:pPr>
              <w:pStyle w:val="2"/>
              <w:kinsoku w:val="0"/>
              <w:overflowPunct w:val="0"/>
              <w:spacing w:before="20" w:beforeLines="0" w:afterLines="0"/>
              <w:ind w:left="705"/>
              <w:rPr>
                <w:rFonts w:hint="eastAsia" w:ascii="黑体" w:hAnsi="黑体" w:eastAsia="黑体"/>
                <w:sz w:val="24"/>
              </w:rPr>
            </w:pPr>
            <w:r>
              <w:rPr>
                <w:rFonts w:hint="eastAsia" w:ascii="黑体" w:hAnsi="黑体" w:eastAsia="黑体"/>
                <w:sz w:val="24"/>
                <w:lang w:val="en-US" w:eastAsia="zh-CN"/>
              </w:rPr>
              <w:t>2.</w:t>
            </w:r>
            <w:r>
              <w:rPr>
                <w:rFonts w:hint="eastAsia" w:ascii="黑体" w:hAnsi="黑体" w:eastAsia="黑体"/>
                <w:sz w:val="24"/>
              </w:rPr>
              <w:t>水环境影响分析</w:t>
            </w:r>
          </w:p>
          <w:p>
            <w:pPr>
              <w:pStyle w:val="21"/>
              <w:bidi w:val="0"/>
              <w:rPr>
                <w:rFonts w:hint="eastAsia"/>
                <w:sz w:val="24"/>
                <w:szCs w:val="22"/>
              </w:rPr>
            </w:pPr>
            <w:r>
              <w:rPr>
                <w:rFonts w:hint="eastAsia"/>
                <w:sz w:val="24"/>
                <w:szCs w:val="22"/>
              </w:rPr>
              <w:t>拟建工废水主要为职工的生活污水，产生量约为312t/a。生活污水处理措施</w:t>
            </w:r>
            <w:r>
              <w:rPr>
                <w:rFonts w:hint="eastAsia"/>
                <w:sz w:val="24"/>
                <w:szCs w:val="22"/>
                <w:lang w:val="en-US" w:eastAsia="zh-CN"/>
              </w:rPr>
              <w:t>为</w:t>
            </w:r>
            <w:r>
              <w:rPr>
                <w:rFonts w:hint="eastAsia"/>
                <w:sz w:val="24"/>
                <w:szCs w:val="22"/>
              </w:rPr>
              <w:t>化粪池处理达到《污水排入城镇下水道水质标准》（GB/T31962-2015）及</w:t>
            </w:r>
            <w:r>
              <w:rPr>
                <w:rFonts w:hint="eastAsia"/>
                <w:sz w:val="24"/>
                <w:szCs w:val="22"/>
                <w:lang w:val="en-US" w:eastAsia="zh-CN"/>
              </w:rPr>
              <w:t>霞湾</w:t>
            </w:r>
            <w:r>
              <w:rPr>
                <w:rFonts w:hint="eastAsia"/>
                <w:sz w:val="24"/>
                <w:szCs w:val="22"/>
              </w:rPr>
              <w:t>污水处理厂进水水质标准后排入污水管网，进入</w:t>
            </w:r>
            <w:r>
              <w:rPr>
                <w:rFonts w:hint="eastAsia"/>
                <w:sz w:val="24"/>
                <w:szCs w:val="22"/>
                <w:lang w:val="en-US" w:eastAsia="zh-CN"/>
              </w:rPr>
              <w:t>霞湾</w:t>
            </w:r>
            <w:r>
              <w:rPr>
                <w:rFonts w:hint="eastAsia"/>
                <w:sz w:val="24"/>
                <w:szCs w:val="22"/>
              </w:rPr>
              <w:t>污水处理厂进行处理。经化粪池沉淀处理后进入</w:t>
            </w:r>
            <w:r>
              <w:rPr>
                <w:rFonts w:hint="eastAsia"/>
                <w:sz w:val="24"/>
                <w:szCs w:val="22"/>
                <w:lang w:val="en-US" w:eastAsia="zh-CN"/>
              </w:rPr>
              <w:t>霞湾</w:t>
            </w:r>
            <w:r>
              <w:rPr>
                <w:rFonts w:hint="eastAsia"/>
                <w:sz w:val="24"/>
                <w:szCs w:val="22"/>
              </w:rPr>
              <w:t>污水处理厂的COD浓度为300mg/l，排放量为0.09t/a，氨氮的浓度为30mg/l，排放量为 0.009t/a。经</w:t>
            </w:r>
            <w:r>
              <w:rPr>
                <w:rFonts w:hint="eastAsia"/>
                <w:sz w:val="24"/>
                <w:szCs w:val="22"/>
                <w:lang w:val="en-US" w:eastAsia="zh-CN"/>
              </w:rPr>
              <w:t>霞湾</w:t>
            </w:r>
            <w:r>
              <w:rPr>
                <w:rFonts w:hint="eastAsia"/>
                <w:sz w:val="24"/>
                <w:szCs w:val="22"/>
              </w:rPr>
              <w:t>污水处理厂满足《城镇污水处理厂污染物排放标准》（GB18918-2002）中一级 A 标准要求后排至</w:t>
            </w:r>
            <w:r>
              <w:rPr>
                <w:rFonts w:hint="eastAsia"/>
                <w:sz w:val="24"/>
                <w:szCs w:val="22"/>
                <w:lang w:val="en-US" w:eastAsia="zh-CN"/>
              </w:rPr>
              <w:t>湘江</w:t>
            </w:r>
            <w:r>
              <w:rPr>
                <w:rFonts w:hint="eastAsia"/>
                <w:sz w:val="24"/>
                <w:szCs w:val="22"/>
              </w:rPr>
              <w:t>，排放浓度为 COD：50mg/l，氨氮：5mg/l，排放量分别为0.016t/a，0.0016 t/a。</w:t>
            </w:r>
          </w:p>
          <w:p>
            <w:pPr>
              <w:pStyle w:val="21"/>
              <w:bidi w:val="0"/>
              <w:rPr>
                <w:rFonts w:hint="eastAsia"/>
              </w:rPr>
            </w:pPr>
            <w:r>
              <w:rPr>
                <w:rFonts w:hint="eastAsia"/>
                <w:sz w:val="24"/>
                <w:szCs w:val="22"/>
              </w:rPr>
              <w:t>厂区内的污水收集</w:t>
            </w:r>
            <w:r>
              <w:rPr>
                <w:rFonts w:hint="eastAsia"/>
                <w:sz w:val="24"/>
                <w:szCs w:val="22"/>
                <w:lang w:val="en-US" w:eastAsia="zh-CN"/>
              </w:rPr>
              <w:t>管网</w:t>
            </w:r>
            <w:r>
              <w:rPr>
                <w:rFonts w:hint="eastAsia"/>
                <w:sz w:val="24"/>
                <w:szCs w:val="22"/>
              </w:rPr>
              <w:t>、化粪池采取水泥硬化处理。定期对厂区生产装置进行巡 检，减少设备跑冒滴漏现象，切实落实好地下水防渗工作，尽可能减少对项目区地下 水环境的影响。</w:t>
            </w:r>
          </w:p>
          <w:p>
            <w:pPr>
              <w:pStyle w:val="2"/>
              <w:kinsoku w:val="0"/>
              <w:overflowPunct w:val="0"/>
              <w:spacing w:beforeLines="0" w:afterLines="0"/>
              <w:ind w:left="705"/>
              <w:rPr>
                <w:rFonts w:hint="eastAsia" w:ascii="黑体" w:hAnsi="黑体" w:eastAsia="黑体"/>
                <w:sz w:val="24"/>
              </w:rPr>
            </w:pPr>
            <w:r>
              <w:rPr>
                <w:rFonts w:hint="eastAsia" w:ascii="黑体" w:hAnsi="黑体" w:eastAsia="黑体"/>
                <w:sz w:val="24"/>
                <w:lang w:val="en-US" w:eastAsia="zh-CN"/>
              </w:rPr>
              <w:t>3.</w:t>
            </w:r>
            <w:r>
              <w:rPr>
                <w:rFonts w:hint="eastAsia" w:ascii="黑体" w:hAnsi="黑体" w:eastAsia="黑体"/>
                <w:sz w:val="24"/>
              </w:rPr>
              <w:t>固体废物影响分析</w:t>
            </w:r>
          </w:p>
          <w:p>
            <w:pPr>
              <w:pStyle w:val="21"/>
              <w:bidi w:val="0"/>
              <w:rPr>
                <w:rFonts w:hint="default" w:ascii="Times New Roman" w:hAnsi="Times New Roman" w:eastAsia="宋体" w:cs="Times New Roman"/>
                <w:sz w:val="24"/>
                <w:szCs w:val="22"/>
              </w:rPr>
            </w:pPr>
            <w:r>
              <w:rPr>
                <w:rFonts w:hint="default" w:ascii="Times New Roman" w:hAnsi="Times New Roman" w:eastAsia="宋体" w:cs="Times New Roman"/>
                <w:sz w:val="24"/>
                <w:szCs w:val="22"/>
              </w:rPr>
              <w:t>本项目运营期固体废物产生主要有以下几方面：</w:t>
            </w:r>
          </w:p>
          <w:p>
            <w:pPr>
              <w:pStyle w:val="21"/>
              <w:bidi w:val="0"/>
              <w:rPr>
                <w:rFonts w:hint="default" w:ascii="Times New Roman" w:hAnsi="Times New Roman" w:eastAsia="宋体" w:cs="Times New Roman"/>
                <w:sz w:val="24"/>
                <w:szCs w:val="22"/>
              </w:rPr>
            </w:pPr>
            <w:r>
              <w:rPr>
                <w:rFonts w:hint="default" w:ascii="Times New Roman" w:hAnsi="Times New Roman" w:eastAsia="宋体" w:cs="Times New Roman"/>
                <w:sz w:val="24"/>
                <w:szCs w:val="22"/>
              </w:rPr>
              <w:t>⑴下脚料：切割过程中产生一定量的下脚料，类比同类行业产生量约为1t/a，经收集后统一外售。</w:t>
            </w:r>
          </w:p>
          <w:p>
            <w:pPr>
              <w:pStyle w:val="21"/>
              <w:bidi w:val="0"/>
              <w:rPr>
                <w:rFonts w:hint="default" w:ascii="Times New Roman" w:hAnsi="Times New Roman" w:eastAsia="宋体" w:cs="Times New Roman"/>
                <w:sz w:val="24"/>
                <w:szCs w:val="22"/>
              </w:rPr>
            </w:pPr>
            <w:r>
              <w:rPr>
                <w:rFonts w:hint="default" w:ascii="Times New Roman" w:hAnsi="Times New Roman" w:eastAsia="宋体" w:cs="Times New Roman"/>
                <w:sz w:val="24"/>
                <w:szCs w:val="22"/>
              </w:rPr>
              <w:t>⑵废焊丝：焊接过程中会产生一定量的废焊丝，产生量按照焊材使用量的 1%计 算，废焊丝产生量约为 0.0</w:t>
            </w:r>
            <w:r>
              <w:rPr>
                <w:rFonts w:hint="default" w:ascii="Times New Roman" w:hAnsi="Times New Roman" w:eastAsia="宋体" w:cs="Times New Roman"/>
                <w:sz w:val="24"/>
                <w:szCs w:val="22"/>
                <w:lang w:val="en-US" w:eastAsia="zh-CN"/>
              </w:rPr>
              <w:t>34</w:t>
            </w:r>
            <w:r>
              <w:rPr>
                <w:rFonts w:hint="default" w:ascii="Times New Roman" w:hAnsi="Times New Roman" w:eastAsia="宋体" w:cs="Times New Roman"/>
                <w:sz w:val="24"/>
                <w:szCs w:val="22"/>
              </w:rPr>
              <w:t>t/a，经收集后统一外售。</w:t>
            </w:r>
          </w:p>
          <w:p>
            <w:pPr>
              <w:pStyle w:val="21"/>
              <w:bidi w:val="0"/>
              <w:rPr>
                <w:rFonts w:hint="default" w:ascii="Times New Roman" w:hAnsi="Times New Roman" w:eastAsia="宋体" w:cs="Times New Roman"/>
                <w:sz w:val="24"/>
                <w:szCs w:val="22"/>
              </w:rPr>
            </w:pPr>
            <w:r>
              <w:rPr>
                <w:rFonts w:hint="default" w:ascii="Times New Roman" w:hAnsi="Times New Roman" w:eastAsia="宋体" w:cs="Times New Roman"/>
                <w:sz w:val="24"/>
                <w:szCs w:val="22"/>
              </w:rPr>
              <w:t>⑶收集焊接烟尘：移动式焊接烟尘净化器收集的焊接烟尘约为0.0056t/a，经收集后统一外售。</w:t>
            </w:r>
          </w:p>
          <w:p>
            <w:pPr>
              <w:pStyle w:val="21"/>
              <w:bidi w:val="0"/>
              <w:rPr>
                <w:rFonts w:hint="default" w:ascii="Times New Roman" w:hAnsi="Times New Roman" w:eastAsia="宋体" w:cs="Times New Roman"/>
                <w:sz w:val="24"/>
                <w:szCs w:val="22"/>
              </w:rPr>
            </w:pPr>
            <w:r>
              <w:rPr>
                <w:rFonts w:hint="default" w:ascii="Times New Roman" w:hAnsi="Times New Roman" w:eastAsia="宋体" w:cs="Times New Roman"/>
                <w:sz w:val="24"/>
                <w:szCs w:val="22"/>
              </w:rPr>
              <w:t>⑷生活垃圾：生活垃圾产生量按照 0.5kg/人·天计算，本项目共有26 人，则生活 垃圾产生量为 3.9t/a，经收集后定期由环卫部分负责清运。</w:t>
            </w:r>
          </w:p>
          <w:p>
            <w:pPr>
              <w:pStyle w:val="21"/>
              <w:bidi w:val="0"/>
              <w:rPr>
                <w:rFonts w:hint="default" w:ascii="Times New Roman" w:hAnsi="Times New Roman" w:eastAsia="宋体" w:cs="Times New Roman"/>
                <w:sz w:val="24"/>
                <w:szCs w:val="22"/>
              </w:rPr>
            </w:pPr>
            <w:r>
              <w:rPr>
                <w:rFonts w:hint="default" w:ascii="Times New Roman" w:hAnsi="Times New Roman" w:eastAsia="宋体" w:cs="Times New Roman"/>
                <w:sz w:val="24"/>
                <w:szCs w:val="22"/>
              </w:rPr>
              <w:t>堆放固体废物的场所应做地面硬化处理并分类堆放，固体废物只在厂内短时间堆 放，不会对环境产生影响，一般固体废物处理处置均满足《一般工业固体废物贮存、 处置场污染控制标准》（GB18599-2001）及其修改单中相关标准。</w:t>
            </w:r>
          </w:p>
          <w:p>
            <w:pPr>
              <w:pStyle w:val="2"/>
              <w:kinsoku w:val="0"/>
              <w:overflowPunct w:val="0"/>
              <w:spacing w:before="25" w:beforeLines="0" w:afterLines="0" w:line="357" w:lineRule="auto"/>
              <w:ind w:right="197" w:firstLine="480"/>
              <w:jc w:val="left"/>
              <w:rPr>
                <w:rFonts w:hint="eastAsia"/>
                <w:sz w:val="24"/>
                <w:szCs w:val="24"/>
              </w:rPr>
            </w:pPr>
            <w:r>
              <w:rPr>
                <w:rStyle w:val="209"/>
                <w:rFonts w:hint="default" w:ascii="Times New Roman" w:hAnsi="Times New Roman" w:eastAsia="宋体" w:cs="Times New Roman"/>
                <w:sz w:val="24"/>
                <w:szCs w:val="24"/>
              </w:rPr>
              <w:t>综上，本项目实施后，固体废物均进行有效处理，符合相关标准，不乱堆乱放。</w:t>
            </w:r>
            <w:r>
              <w:rPr>
                <w:rFonts w:hint="eastAsia"/>
                <w:sz w:val="24"/>
                <w:szCs w:val="24"/>
              </w:rPr>
              <w:t xml:space="preserve"> </w:t>
            </w:r>
          </w:p>
          <w:p>
            <w:pPr>
              <w:pStyle w:val="2"/>
              <w:numPr>
                <w:ilvl w:val="0"/>
                <w:numId w:val="0"/>
              </w:numPr>
              <w:kinsoku w:val="0"/>
              <w:overflowPunct w:val="0"/>
              <w:spacing w:before="4" w:beforeLines="0" w:afterLines="0" w:line="357" w:lineRule="auto"/>
              <w:ind w:left="482" w:leftChars="0" w:right="101" w:rightChars="0"/>
              <w:rPr>
                <w:rFonts w:hint="eastAsia" w:ascii="黑体" w:hAnsi="黑体" w:eastAsia="黑体"/>
                <w:sz w:val="24"/>
              </w:rPr>
            </w:pPr>
            <w:r>
              <w:rPr>
                <w:rFonts w:hint="eastAsia" w:ascii="黑体" w:hAnsi="黑体" w:eastAsia="黑体"/>
                <w:sz w:val="24"/>
                <w:lang w:val="en-US" w:eastAsia="zh-CN"/>
              </w:rPr>
              <w:t>4.</w:t>
            </w:r>
            <w:r>
              <w:rPr>
                <w:rFonts w:hint="eastAsia" w:ascii="黑体" w:hAnsi="黑体" w:eastAsia="黑体"/>
                <w:sz w:val="24"/>
              </w:rPr>
              <w:t>噪声环境影响分析</w:t>
            </w:r>
          </w:p>
          <w:p>
            <w:pPr>
              <w:pStyle w:val="2"/>
              <w:numPr>
                <w:ilvl w:val="0"/>
                <w:numId w:val="0"/>
              </w:numPr>
              <w:kinsoku w:val="0"/>
              <w:overflowPunct w:val="0"/>
              <w:spacing w:before="4" w:beforeLines="0" w:afterLines="0" w:line="357" w:lineRule="auto"/>
              <w:ind w:left="482" w:leftChars="0" w:right="101" w:rightChars="0"/>
              <w:rPr>
                <w:rFonts w:hint="eastAsia"/>
                <w:spacing w:val="-4"/>
                <w:sz w:val="24"/>
              </w:rPr>
            </w:pPr>
            <w:r>
              <w:rPr>
                <w:rFonts w:hint="eastAsia"/>
                <w:spacing w:val="-4"/>
                <w:sz w:val="24"/>
              </w:rPr>
              <w:t>拟建工程营运期噪声主要来源开式可倾式压力机、调直切断机、卷簧机、点焊机、</w:t>
            </w:r>
          </w:p>
          <w:p>
            <w:pPr>
              <w:pStyle w:val="2"/>
              <w:kinsoku w:val="0"/>
              <w:overflowPunct w:val="0"/>
              <w:spacing w:beforeLines="0" w:afterLines="0" w:line="357" w:lineRule="auto"/>
              <w:ind w:left="705" w:right="101" w:hanging="480"/>
              <w:rPr>
                <w:rFonts w:hint="eastAsia"/>
                <w:spacing w:val="-1"/>
                <w:sz w:val="24"/>
              </w:rPr>
            </w:pPr>
            <w:r>
              <w:rPr>
                <w:rFonts w:hint="eastAsia"/>
                <w:sz w:val="24"/>
              </w:rPr>
              <w:t>拔丝机、折弯器、倒盘架等设备运转过程噪声，噪声值范围在</w:t>
            </w:r>
            <w:r>
              <w:rPr>
                <w:rFonts w:hint="eastAsia"/>
                <w:spacing w:val="-60"/>
                <w:sz w:val="24"/>
              </w:rPr>
              <w:t xml:space="preserve"> </w:t>
            </w:r>
            <w:r>
              <w:rPr>
                <w:rFonts w:hint="eastAsia"/>
                <w:spacing w:val="-11"/>
                <w:sz w:val="24"/>
              </w:rPr>
              <w:t>70～90dB（A）。</w:t>
            </w:r>
            <w:r>
              <w:rPr>
                <w:rFonts w:hint="eastAsia"/>
                <w:sz w:val="24"/>
              </w:rPr>
              <w:t xml:space="preserve"> </w:t>
            </w:r>
            <w:r>
              <w:rPr>
                <w:rFonts w:hint="eastAsia"/>
                <w:spacing w:val="-1"/>
                <w:sz w:val="24"/>
              </w:rPr>
              <w:t>该项目尽量选取低噪声设备，对噪声较高的设备采取加减振垫、安装消声器、设</w:t>
            </w:r>
          </w:p>
          <w:p>
            <w:pPr>
              <w:pStyle w:val="2"/>
              <w:kinsoku w:val="0"/>
              <w:overflowPunct w:val="0"/>
              <w:spacing w:beforeLines="0" w:afterLines="0" w:line="348" w:lineRule="auto"/>
              <w:ind w:left="0" w:right="221"/>
              <w:jc w:val="right"/>
              <w:rPr>
                <w:rFonts w:hint="eastAsia"/>
                <w:spacing w:val="-1"/>
                <w:sz w:val="24"/>
              </w:rPr>
            </w:pPr>
            <w:r>
              <w:rPr>
                <w:rFonts w:hint="eastAsia"/>
                <w:spacing w:val="-1"/>
                <w:sz w:val="24"/>
              </w:rPr>
              <w:t>置隔声罩等措施。加强厂区绿化，起到一定的吸声、消声作用。根据类比，对高噪声</w:t>
            </w:r>
            <w:r>
              <w:rPr>
                <w:rFonts w:hint="eastAsia"/>
                <w:spacing w:val="-117"/>
                <w:sz w:val="24"/>
              </w:rPr>
              <w:t xml:space="preserve"> </w:t>
            </w:r>
            <w:r>
              <w:rPr>
                <w:rFonts w:hint="eastAsia"/>
                <w:sz w:val="24"/>
              </w:rPr>
              <w:t>设备产生的噪声，设置隔声罩可降噪</w:t>
            </w:r>
            <w:r>
              <w:rPr>
                <w:rFonts w:hint="eastAsia"/>
                <w:spacing w:val="-61"/>
                <w:sz w:val="24"/>
              </w:rPr>
              <w:t xml:space="preserve"> </w:t>
            </w:r>
            <w:r>
              <w:rPr>
                <w:rFonts w:hint="default" w:ascii="Times New Roman" w:hAnsi="Times New Roman" w:eastAsia="Times New Roman"/>
                <w:sz w:val="24"/>
              </w:rPr>
              <w:t>10dB</w:t>
            </w:r>
            <w:r>
              <w:rPr>
                <w:rFonts w:hint="default" w:ascii="Times New Roman" w:hAnsi="Times New Roman" w:eastAsia="Times New Roman"/>
                <w:spacing w:val="-2"/>
                <w:sz w:val="24"/>
              </w:rPr>
              <w:t xml:space="preserve"> </w:t>
            </w:r>
            <w:r>
              <w:rPr>
                <w:rFonts w:hint="eastAsia"/>
                <w:sz w:val="24"/>
              </w:rPr>
              <w:t>左右；厂界绿化工程可降噪</w:t>
            </w:r>
            <w:r>
              <w:rPr>
                <w:rFonts w:hint="eastAsia"/>
                <w:spacing w:val="-61"/>
                <w:sz w:val="24"/>
              </w:rPr>
              <w:t xml:space="preserve"> </w:t>
            </w:r>
            <w:r>
              <w:rPr>
                <w:rFonts w:hint="default" w:ascii="Times New Roman" w:hAnsi="Times New Roman" w:eastAsia="Times New Roman"/>
                <w:sz w:val="24"/>
              </w:rPr>
              <w:t>3.0</w:t>
            </w:r>
            <w:r>
              <w:rPr>
                <w:rFonts w:hint="eastAsia"/>
                <w:sz w:val="24"/>
              </w:rPr>
              <w:t>～</w:t>
            </w:r>
            <w:r>
              <w:rPr>
                <w:rFonts w:hint="default" w:ascii="Times New Roman" w:hAnsi="Times New Roman" w:eastAsia="Times New Roman"/>
                <w:sz w:val="24"/>
              </w:rPr>
              <w:t>5.0dB</w:t>
            </w:r>
            <w:r>
              <w:rPr>
                <w:rFonts w:hint="eastAsia"/>
                <w:sz w:val="24"/>
              </w:rPr>
              <w:t xml:space="preserve">。 </w:t>
            </w:r>
            <w:r>
              <w:rPr>
                <w:rFonts w:hint="eastAsia"/>
                <w:spacing w:val="-1"/>
                <w:sz w:val="24"/>
              </w:rPr>
              <w:t>该项目夜间不生产，在采取以上措施后，厂界噪声能够满足《工业企业厂界环境</w:t>
            </w:r>
          </w:p>
          <w:p>
            <w:pPr>
              <w:pStyle w:val="2"/>
              <w:kinsoku w:val="0"/>
              <w:overflowPunct w:val="0"/>
              <w:spacing w:before="44" w:beforeLines="0" w:afterLines="0" w:line="348" w:lineRule="auto"/>
              <w:ind w:left="705" w:right="101" w:hanging="480"/>
              <w:rPr>
                <w:rFonts w:hint="eastAsia"/>
                <w:sz w:val="24"/>
              </w:rPr>
            </w:pPr>
            <w:r>
              <w:rPr>
                <w:rFonts w:hint="eastAsia"/>
                <w:spacing w:val="-6"/>
                <w:sz w:val="24"/>
              </w:rPr>
              <w:t>噪声排放标准》（</w:t>
            </w:r>
            <w:r>
              <w:rPr>
                <w:rFonts w:hint="default" w:ascii="Times New Roman" w:hAnsi="Times New Roman" w:eastAsia="Times New Roman"/>
                <w:spacing w:val="-6"/>
                <w:sz w:val="24"/>
              </w:rPr>
              <w:t>GB12348</w:t>
            </w:r>
            <w:r>
              <w:rPr>
                <w:rFonts w:hint="eastAsia"/>
                <w:spacing w:val="-6"/>
                <w:sz w:val="24"/>
              </w:rPr>
              <w:t>－</w:t>
            </w:r>
            <w:r>
              <w:rPr>
                <w:rFonts w:hint="default" w:ascii="Times New Roman" w:hAnsi="Times New Roman" w:eastAsia="Times New Roman"/>
                <w:spacing w:val="-6"/>
                <w:sz w:val="24"/>
              </w:rPr>
              <w:t>2008</w:t>
            </w:r>
            <w:r>
              <w:rPr>
                <w:rFonts w:hint="eastAsia"/>
                <w:spacing w:val="-6"/>
                <w:sz w:val="24"/>
              </w:rPr>
              <w:t>）中</w:t>
            </w:r>
            <w:r>
              <w:rPr>
                <w:rFonts w:hint="eastAsia"/>
                <w:spacing w:val="-60"/>
                <w:sz w:val="24"/>
              </w:rPr>
              <w:t xml:space="preserve"> </w:t>
            </w:r>
            <w:r>
              <w:rPr>
                <w:rFonts w:hint="default" w:ascii="Times New Roman" w:hAnsi="Times New Roman" w:eastAsia="Times New Roman"/>
                <w:sz w:val="24"/>
              </w:rPr>
              <w:t xml:space="preserve">2 </w:t>
            </w:r>
            <w:r>
              <w:rPr>
                <w:rFonts w:hint="eastAsia"/>
                <w:sz w:val="24"/>
              </w:rPr>
              <w:t>类标准规定，对周围环境影响不大。</w:t>
            </w:r>
          </w:p>
          <w:p>
            <w:pPr>
              <w:pStyle w:val="2"/>
              <w:numPr>
                <w:ilvl w:val="0"/>
                <w:numId w:val="5"/>
              </w:numPr>
              <w:kinsoku w:val="0"/>
              <w:overflowPunct w:val="0"/>
              <w:spacing w:before="44" w:beforeLines="0" w:afterLines="0" w:line="348" w:lineRule="auto"/>
              <w:ind w:left="0" w:leftChars="0" w:right="101" w:firstLine="482" w:firstLineChars="0"/>
              <w:rPr>
                <w:rFonts w:hint="eastAsia" w:ascii="黑体" w:hAnsi="黑体" w:eastAsia="黑体"/>
                <w:sz w:val="24"/>
              </w:rPr>
            </w:pPr>
            <w:r>
              <w:rPr>
                <w:rFonts w:hint="eastAsia" w:ascii="黑体" w:hAnsi="黑体" w:eastAsia="黑体"/>
                <w:sz w:val="24"/>
              </w:rPr>
              <w:t>环境防护距离</w:t>
            </w:r>
          </w:p>
          <w:p>
            <w:pPr>
              <w:pStyle w:val="2"/>
              <w:numPr>
                <w:ilvl w:val="0"/>
                <w:numId w:val="0"/>
              </w:numPr>
              <w:kinsoku w:val="0"/>
              <w:overflowPunct w:val="0"/>
              <w:spacing w:before="44" w:beforeLines="0" w:afterLines="0" w:line="348" w:lineRule="auto"/>
              <w:ind w:left="482" w:leftChars="0" w:right="101" w:rightChars="0"/>
              <w:rPr>
                <w:rFonts w:hint="eastAsia"/>
                <w:sz w:val="24"/>
              </w:rPr>
            </w:pPr>
            <w:r>
              <w:rPr>
                <w:rFonts w:hint="eastAsia"/>
                <w:sz w:val="24"/>
              </w:rPr>
              <w:t>采用推荐模式中的大气环境防护距离模式计算各无组织源的大气环境防护距离。</w:t>
            </w:r>
          </w:p>
          <w:p>
            <w:pPr>
              <w:pStyle w:val="2"/>
              <w:kinsoku w:val="0"/>
              <w:overflowPunct w:val="0"/>
              <w:spacing w:before="44" w:beforeLines="0" w:afterLines="0" w:line="357" w:lineRule="auto"/>
              <w:ind w:right="101"/>
              <w:rPr>
                <w:rFonts w:hint="eastAsia"/>
                <w:sz w:val="24"/>
              </w:rPr>
            </w:pPr>
            <w:r>
              <w:rPr>
                <w:rFonts w:hint="eastAsia"/>
                <w:spacing w:val="-1"/>
                <w:sz w:val="24"/>
              </w:rPr>
              <w:t>计算出的距离是以污染源中心为起点的控制距离，并结合厂区平面布置图，确定控制</w:t>
            </w:r>
            <w:r>
              <w:rPr>
                <w:rFonts w:hint="eastAsia"/>
                <w:spacing w:val="-107"/>
                <w:sz w:val="24"/>
              </w:rPr>
              <w:t xml:space="preserve"> </w:t>
            </w:r>
            <w:r>
              <w:rPr>
                <w:rFonts w:hint="eastAsia"/>
                <w:sz w:val="24"/>
              </w:rPr>
              <w:t>距离范围，超出厂界以外的范围，即为项目大气环境防护区域。</w:t>
            </w:r>
          </w:p>
          <w:p>
            <w:pPr>
              <w:pStyle w:val="2"/>
              <w:kinsoku w:val="0"/>
              <w:overflowPunct w:val="0"/>
              <w:spacing w:beforeLines="0" w:afterLines="0"/>
              <w:ind w:left="615" w:right="101"/>
              <w:rPr>
                <w:rFonts w:hint="eastAsia"/>
                <w:sz w:val="24"/>
              </w:rPr>
            </w:pPr>
            <w:r>
              <w:rPr>
                <w:rFonts w:hint="eastAsia"/>
                <w:sz w:val="24"/>
              </w:rPr>
              <w:t>各无组织排放废气污染物的参数：</w:t>
            </w:r>
          </w:p>
          <w:p>
            <w:pPr>
              <w:pStyle w:val="7"/>
              <w:kinsoku w:val="0"/>
              <w:overflowPunct w:val="0"/>
              <w:spacing w:before="152" w:beforeLines="0" w:afterLines="0"/>
              <w:ind w:right="101"/>
              <w:jc w:val="center"/>
              <w:rPr>
                <w:rFonts w:hint="eastAsia"/>
                <w:b w:val="0"/>
                <w:sz w:val="24"/>
              </w:rPr>
            </w:pPr>
            <w:r>
              <w:rPr>
                <w:rFonts w:hint="eastAsia"/>
                <w:sz w:val="24"/>
              </w:rPr>
              <w:t>表</w:t>
            </w:r>
            <w:r>
              <w:rPr>
                <w:rFonts w:hint="eastAsia"/>
                <w:sz w:val="24"/>
                <w:lang w:val="en-US" w:eastAsia="zh-CN"/>
              </w:rPr>
              <w:t>7.4-1</w:t>
            </w:r>
            <w:r>
              <w:rPr>
                <w:rFonts w:hint="default" w:ascii="Times New Roman" w:hAnsi="Times New Roman" w:eastAsia="Times New Roman"/>
                <w:spacing w:val="-1"/>
                <w:sz w:val="24"/>
              </w:rPr>
              <w:t xml:space="preserve"> </w:t>
            </w:r>
            <w:r>
              <w:rPr>
                <w:rFonts w:hint="eastAsia"/>
                <w:sz w:val="24"/>
              </w:rPr>
              <w:t>无组织排放废气污染物参数</w:t>
            </w:r>
          </w:p>
          <w:tbl>
            <w:tblPr>
              <w:tblStyle w:val="43"/>
              <w:tblW w:w="90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0"/>
              <w:gridCol w:w="921"/>
              <w:gridCol w:w="1482"/>
              <w:gridCol w:w="1536"/>
              <w:gridCol w:w="1569"/>
              <w:gridCol w:w="1260"/>
              <w:gridCol w:w="1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5" w:hRule="exact"/>
              </w:trPr>
              <w:tc>
                <w:tcPr>
                  <w:tcW w:w="1070" w:type="dxa"/>
                  <w:tcBorders>
                    <w:top w:val="single" w:color="000000" w:sz="12" w:space="0"/>
                    <w:left w:val="single" w:color="000000" w:sz="12" w:space="0"/>
                    <w:bottom w:val="single" w:color="000000" w:sz="4" w:space="0"/>
                    <w:right w:val="single" w:color="000000" w:sz="4" w:space="0"/>
                    <w:tl2br w:val="nil"/>
                    <w:tr2bl w:val="nil"/>
                  </w:tcBorders>
                  <w:noWrap w:val="0"/>
                  <w:vAlign w:val="center"/>
                </w:tcPr>
                <w:p>
                  <w:pPr>
                    <w:pStyle w:val="157"/>
                    <w:kinsoku w:val="0"/>
                    <w:overflowPunct w:val="0"/>
                    <w:spacing w:before="100" w:beforeLines="0" w:afterLines="0"/>
                    <w:jc w:val="center"/>
                    <w:rPr>
                      <w:rFonts w:hint="default"/>
                      <w:sz w:val="24"/>
                    </w:rPr>
                  </w:pPr>
                  <w:r>
                    <w:rPr>
                      <w:rFonts w:hint="eastAsia" w:ascii="宋体" w:hAnsi="宋体" w:eastAsia="宋体"/>
                      <w:sz w:val="21"/>
                    </w:rPr>
                    <w:t>面源名称</w:t>
                  </w:r>
                </w:p>
              </w:tc>
              <w:tc>
                <w:tcPr>
                  <w:tcW w:w="921" w:type="dxa"/>
                  <w:tcBorders>
                    <w:top w:val="single" w:color="000000" w:sz="12"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before="100" w:beforeLines="0" w:afterLines="0"/>
                    <w:jc w:val="center"/>
                    <w:rPr>
                      <w:rFonts w:hint="default"/>
                      <w:sz w:val="24"/>
                    </w:rPr>
                  </w:pPr>
                  <w:r>
                    <w:rPr>
                      <w:rFonts w:hint="eastAsia" w:ascii="宋体" w:hAnsi="宋体" w:eastAsia="宋体"/>
                      <w:sz w:val="21"/>
                    </w:rPr>
                    <w:t>污染源</w:t>
                  </w:r>
                </w:p>
              </w:tc>
              <w:tc>
                <w:tcPr>
                  <w:tcW w:w="1482" w:type="dxa"/>
                  <w:tcBorders>
                    <w:top w:val="single" w:color="000000" w:sz="12"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beforeLines="0" w:afterLines="0" w:line="238" w:lineRule="exact"/>
                    <w:jc w:val="center"/>
                    <w:rPr>
                      <w:rFonts w:hint="eastAsia" w:ascii="宋体" w:hAnsi="宋体" w:eastAsia="宋体"/>
                      <w:sz w:val="21"/>
                    </w:rPr>
                  </w:pPr>
                  <w:r>
                    <w:rPr>
                      <w:rFonts w:hint="eastAsia" w:ascii="宋体" w:hAnsi="宋体" w:eastAsia="宋体"/>
                      <w:sz w:val="21"/>
                    </w:rPr>
                    <w:t>面源长度</w:t>
                  </w:r>
                </w:p>
                <w:p>
                  <w:pPr>
                    <w:pStyle w:val="157"/>
                    <w:kinsoku w:val="0"/>
                    <w:overflowPunct w:val="0"/>
                    <w:spacing w:beforeLines="0" w:afterLines="0" w:line="238" w:lineRule="exact"/>
                    <w:jc w:val="center"/>
                    <w:rPr>
                      <w:rFonts w:hint="default"/>
                      <w:sz w:val="24"/>
                    </w:rPr>
                  </w:pPr>
                  <w:r>
                    <w:rPr>
                      <w:rFonts w:hint="eastAsia" w:ascii="宋体" w:hAnsi="宋体" w:eastAsia="宋体"/>
                      <w:sz w:val="21"/>
                    </w:rPr>
                    <w:t>（</w:t>
                  </w:r>
                  <w:r>
                    <w:rPr>
                      <w:rFonts w:hint="default" w:ascii="Times New Roman" w:hAnsi="Times New Roman" w:eastAsia="Times New Roman"/>
                      <w:sz w:val="21"/>
                    </w:rPr>
                    <w:t>m</w:t>
                  </w:r>
                  <w:r>
                    <w:rPr>
                      <w:rFonts w:hint="eastAsia" w:ascii="宋体" w:hAnsi="宋体" w:eastAsia="宋体"/>
                      <w:sz w:val="21"/>
                    </w:rPr>
                    <w:t>）</w:t>
                  </w:r>
                </w:p>
              </w:tc>
              <w:tc>
                <w:tcPr>
                  <w:tcW w:w="1536" w:type="dxa"/>
                  <w:tcBorders>
                    <w:top w:val="single" w:color="000000" w:sz="12"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beforeLines="0" w:afterLines="0" w:line="238" w:lineRule="exact"/>
                    <w:jc w:val="center"/>
                    <w:rPr>
                      <w:rFonts w:hint="default"/>
                      <w:sz w:val="24"/>
                    </w:rPr>
                  </w:pPr>
                  <w:r>
                    <w:rPr>
                      <w:rFonts w:hint="eastAsia" w:ascii="宋体" w:hAnsi="宋体" w:eastAsia="宋体"/>
                      <w:sz w:val="21"/>
                    </w:rPr>
                    <w:t>面源宽度（</w:t>
                  </w:r>
                  <w:r>
                    <w:rPr>
                      <w:rFonts w:hint="default" w:ascii="Times New Roman" w:hAnsi="Times New Roman" w:eastAsia="Times New Roman"/>
                      <w:sz w:val="21"/>
                    </w:rPr>
                    <w:t>m</w:t>
                  </w:r>
                  <w:r>
                    <w:rPr>
                      <w:rFonts w:hint="eastAsia" w:ascii="宋体" w:hAnsi="宋体" w:eastAsia="宋体"/>
                      <w:sz w:val="21"/>
                    </w:rPr>
                    <w:t>）</w:t>
                  </w:r>
                </w:p>
              </w:tc>
              <w:tc>
                <w:tcPr>
                  <w:tcW w:w="1569" w:type="dxa"/>
                  <w:tcBorders>
                    <w:top w:val="single" w:color="000000" w:sz="12"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beforeLines="0" w:afterLines="0" w:line="238" w:lineRule="exact"/>
                    <w:jc w:val="center"/>
                    <w:rPr>
                      <w:rFonts w:hint="default"/>
                      <w:sz w:val="24"/>
                    </w:rPr>
                  </w:pPr>
                  <w:r>
                    <w:rPr>
                      <w:rFonts w:hint="eastAsia" w:ascii="宋体" w:hAnsi="宋体" w:eastAsia="宋体"/>
                      <w:sz w:val="21"/>
                    </w:rPr>
                    <w:t>面源高度（</w:t>
                  </w:r>
                  <w:r>
                    <w:rPr>
                      <w:rFonts w:hint="default" w:ascii="Times New Roman" w:hAnsi="Times New Roman" w:eastAsia="Times New Roman"/>
                      <w:sz w:val="21"/>
                    </w:rPr>
                    <w:t>m</w:t>
                  </w:r>
                  <w:r>
                    <w:rPr>
                      <w:rFonts w:hint="eastAsia" w:ascii="宋体" w:hAnsi="宋体" w:eastAsia="宋体"/>
                      <w:sz w:val="21"/>
                    </w:rPr>
                    <w:t>）</w:t>
                  </w:r>
                </w:p>
              </w:tc>
              <w:tc>
                <w:tcPr>
                  <w:tcW w:w="1260" w:type="dxa"/>
                  <w:tcBorders>
                    <w:top w:val="single" w:color="000000" w:sz="12" w:space="0"/>
                    <w:left w:val="single" w:color="000000" w:sz="4" w:space="0"/>
                    <w:bottom w:val="single" w:color="000000" w:sz="4" w:space="0"/>
                    <w:right w:val="single" w:color="000000" w:sz="4" w:space="0"/>
                    <w:tl2br w:val="nil"/>
                    <w:tr2bl w:val="nil"/>
                  </w:tcBorders>
                  <w:noWrap w:val="0"/>
                  <w:vAlign w:val="center"/>
                </w:tcPr>
                <w:p>
                  <w:pPr>
                    <w:pStyle w:val="157"/>
                    <w:kinsoku w:val="0"/>
                    <w:overflowPunct w:val="0"/>
                    <w:spacing w:beforeLines="0" w:afterLines="0" w:line="238" w:lineRule="exact"/>
                    <w:jc w:val="center"/>
                    <w:rPr>
                      <w:rFonts w:hint="eastAsia" w:ascii="宋体" w:hAnsi="宋体" w:eastAsia="宋体"/>
                      <w:sz w:val="21"/>
                    </w:rPr>
                  </w:pPr>
                  <w:r>
                    <w:rPr>
                      <w:rFonts w:hint="eastAsia" w:ascii="宋体" w:hAnsi="宋体" w:eastAsia="宋体"/>
                      <w:sz w:val="21"/>
                    </w:rPr>
                    <w:t>排放量</w:t>
                  </w:r>
                </w:p>
                <w:p>
                  <w:pPr>
                    <w:pStyle w:val="157"/>
                    <w:kinsoku w:val="0"/>
                    <w:overflowPunct w:val="0"/>
                    <w:spacing w:beforeLines="0" w:afterLines="0" w:line="238" w:lineRule="exact"/>
                    <w:jc w:val="center"/>
                    <w:rPr>
                      <w:rFonts w:hint="default"/>
                      <w:sz w:val="24"/>
                    </w:rPr>
                  </w:pPr>
                  <w:r>
                    <w:rPr>
                      <w:rFonts w:hint="eastAsia" w:ascii="宋体" w:hAnsi="宋体" w:eastAsia="宋体"/>
                      <w:sz w:val="21"/>
                    </w:rPr>
                    <w:t>（</w:t>
                  </w:r>
                  <w:r>
                    <w:rPr>
                      <w:rFonts w:hint="default" w:ascii="Times New Roman" w:hAnsi="Times New Roman" w:eastAsia="Times New Roman"/>
                      <w:sz w:val="21"/>
                    </w:rPr>
                    <w:t>t/a</w:t>
                  </w:r>
                  <w:r>
                    <w:rPr>
                      <w:rFonts w:hint="eastAsia" w:ascii="宋体" w:hAnsi="宋体" w:eastAsia="宋体"/>
                      <w:sz w:val="21"/>
                    </w:rPr>
                    <w:t>）</w:t>
                  </w:r>
                </w:p>
              </w:tc>
              <w:tc>
                <w:tcPr>
                  <w:tcW w:w="1233" w:type="dxa"/>
                  <w:tcBorders>
                    <w:top w:val="single" w:color="000000" w:sz="12" w:space="0"/>
                    <w:left w:val="single" w:color="000000" w:sz="4" w:space="0"/>
                    <w:bottom w:val="single" w:color="000000" w:sz="4" w:space="0"/>
                    <w:right w:val="single" w:color="000000" w:sz="12" w:space="0"/>
                    <w:tl2br w:val="nil"/>
                    <w:tr2bl w:val="nil"/>
                  </w:tcBorders>
                  <w:noWrap w:val="0"/>
                  <w:vAlign w:val="center"/>
                </w:tcPr>
                <w:p>
                  <w:pPr>
                    <w:pStyle w:val="157"/>
                    <w:kinsoku w:val="0"/>
                    <w:overflowPunct w:val="0"/>
                    <w:spacing w:beforeLines="0" w:afterLines="0" w:line="238" w:lineRule="exact"/>
                    <w:jc w:val="center"/>
                    <w:rPr>
                      <w:rFonts w:hint="default"/>
                      <w:sz w:val="24"/>
                    </w:rPr>
                  </w:pPr>
                  <w:r>
                    <w:rPr>
                      <w:rFonts w:hint="eastAsia" w:ascii="宋体" w:hAnsi="宋体" w:eastAsia="宋体"/>
                      <w:sz w:val="21"/>
                    </w:rPr>
                    <w:t>评价标准（</w:t>
                  </w:r>
                  <w:r>
                    <w:rPr>
                      <w:rFonts w:hint="default" w:ascii="Times New Roman" w:hAnsi="Times New Roman" w:eastAsia="Times New Roman"/>
                      <w:sz w:val="21"/>
                    </w:rPr>
                    <w:t>mg/m³</w:t>
                  </w:r>
                  <w:r>
                    <w:rPr>
                      <w:rFonts w:hint="eastAsia" w:ascii="宋体" w:hAnsi="宋体" w:eastAsia="宋体"/>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3" w:hRule="exact"/>
              </w:trPr>
              <w:tc>
                <w:tcPr>
                  <w:tcW w:w="1070" w:type="dxa"/>
                  <w:tcBorders>
                    <w:top w:val="single" w:color="000000" w:sz="4" w:space="0"/>
                    <w:left w:val="single" w:color="000000" w:sz="12" w:space="0"/>
                    <w:bottom w:val="single" w:color="000000" w:sz="12" w:space="0"/>
                    <w:right w:val="single" w:color="000000" w:sz="4" w:space="0"/>
                    <w:tl2br w:val="nil"/>
                    <w:tr2bl w:val="nil"/>
                  </w:tcBorders>
                  <w:noWrap w:val="0"/>
                  <w:vAlign w:val="center"/>
                </w:tcPr>
                <w:p>
                  <w:pPr>
                    <w:pStyle w:val="157"/>
                    <w:kinsoku w:val="0"/>
                    <w:overflowPunct w:val="0"/>
                    <w:spacing w:before="59" w:beforeLines="0" w:afterLines="0"/>
                    <w:jc w:val="center"/>
                    <w:rPr>
                      <w:rFonts w:hint="default"/>
                      <w:sz w:val="24"/>
                    </w:rPr>
                  </w:pPr>
                  <w:r>
                    <w:rPr>
                      <w:rFonts w:hint="eastAsia" w:ascii="宋体" w:hAnsi="宋体" w:eastAsia="宋体"/>
                      <w:sz w:val="21"/>
                    </w:rPr>
                    <w:t>生产车间</w:t>
                  </w:r>
                </w:p>
              </w:tc>
              <w:tc>
                <w:tcPr>
                  <w:tcW w:w="921" w:type="dxa"/>
                  <w:tcBorders>
                    <w:top w:val="single" w:color="000000" w:sz="4" w:space="0"/>
                    <w:left w:val="single" w:color="000000" w:sz="4" w:space="0"/>
                    <w:bottom w:val="single" w:color="000000" w:sz="12" w:space="0"/>
                    <w:right w:val="single" w:color="000000" w:sz="4" w:space="0"/>
                    <w:tl2br w:val="nil"/>
                    <w:tr2bl w:val="nil"/>
                  </w:tcBorders>
                  <w:noWrap w:val="0"/>
                  <w:vAlign w:val="center"/>
                </w:tcPr>
                <w:p>
                  <w:pPr>
                    <w:pStyle w:val="157"/>
                    <w:kinsoku w:val="0"/>
                    <w:overflowPunct w:val="0"/>
                    <w:spacing w:before="59" w:beforeLines="0" w:afterLines="0"/>
                    <w:jc w:val="center"/>
                    <w:rPr>
                      <w:rFonts w:hint="default"/>
                      <w:sz w:val="24"/>
                    </w:rPr>
                  </w:pPr>
                  <w:r>
                    <w:rPr>
                      <w:rFonts w:hint="eastAsia" w:ascii="宋体" w:hAnsi="宋体" w:eastAsia="宋体"/>
                      <w:sz w:val="21"/>
                    </w:rPr>
                    <w:t>颗粒物</w:t>
                  </w:r>
                </w:p>
              </w:tc>
              <w:tc>
                <w:tcPr>
                  <w:tcW w:w="1482" w:type="dxa"/>
                  <w:tcBorders>
                    <w:top w:val="single" w:color="000000" w:sz="4" w:space="0"/>
                    <w:left w:val="single" w:color="000000" w:sz="4" w:space="0"/>
                    <w:bottom w:val="single" w:color="000000" w:sz="12" w:space="0"/>
                    <w:right w:val="single" w:color="000000" w:sz="4" w:space="0"/>
                    <w:tl2br w:val="nil"/>
                    <w:tr2bl w:val="nil"/>
                  </w:tcBorders>
                  <w:noWrap w:val="0"/>
                  <w:vAlign w:val="center"/>
                </w:tcPr>
                <w:p>
                  <w:pPr>
                    <w:pStyle w:val="157"/>
                    <w:kinsoku w:val="0"/>
                    <w:overflowPunct w:val="0"/>
                    <w:spacing w:before="108" w:beforeLines="0" w:afterLines="0"/>
                    <w:jc w:val="center"/>
                    <w:rPr>
                      <w:rFonts w:hint="default"/>
                      <w:sz w:val="24"/>
                    </w:rPr>
                  </w:pPr>
                  <w:r>
                    <w:rPr>
                      <w:rFonts w:hint="default" w:ascii="Times New Roman" w:hAnsi="Times New Roman" w:eastAsia="Times New Roman"/>
                      <w:sz w:val="21"/>
                    </w:rPr>
                    <w:t>150.73</w:t>
                  </w:r>
                </w:p>
              </w:tc>
              <w:tc>
                <w:tcPr>
                  <w:tcW w:w="1536" w:type="dxa"/>
                  <w:tcBorders>
                    <w:top w:val="single" w:color="000000" w:sz="4" w:space="0"/>
                    <w:left w:val="single" w:color="000000" w:sz="4" w:space="0"/>
                    <w:bottom w:val="single" w:color="000000" w:sz="12" w:space="0"/>
                    <w:right w:val="single" w:color="000000" w:sz="4" w:space="0"/>
                    <w:tl2br w:val="nil"/>
                    <w:tr2bl w:val="nil"/>
                  </w:tcBorders>
                  <w:noWrap w:val="0"/>
                  <w:vAlign w:val="center"/>
                </w:tcPr>
                <w:p>
                  <w:pPr>
                    <w:pStyle w:val="157"/>
                    <w:kinsoku w:val="0"/>
                    <w:overflowPunct w:val="0"/>
                    <w:spacing w:before="108" w:beforeLines="0" w:afterLines="0"/>
                    <w:jc w:val="center"/>
                    <w:rPr>
                      <w:rFonts w:hint="default"/>
                      <w:sz w:val="24"/>
                    </w:rPr>
                  </w:pPr>
                  <w:r>
                    <w:rPr>
                      <w:rFonts w:hint="default" w:ascii="Times New Roman" w:hAnsi="Times New Roman" w:eastAsia="Times New Roman"/>
                      <w:sz w:val="21"/>
                    </w:rPr>
                    <w:t>24.48</w:t>
                  </w:r>
                </w:p>
              </w:tc>
              <w:tc>
                <w:tcPr>
                  <w:tcW w:w="1569" w:type="dxa"/>
                  <w:tcBorders>
                    <w:top w:val="single" w:color="000000" w:sz="4" w:space="0"/>
                    <w:left w:val="single" w:color="000000" w:sz="4" w:space="0"/>
                    <w:bottom w:val="single" w:color="000000" w:sz="12" w:space="0"/>
                    <w:right w:val="single" w:color="000000" w:sz="4" w:space="0"/>
                    <w:tl2br w:val="nil"/>
                    <w:tr2bl w:val="nil"/>
                  </w:tcBorders>
                  <w:noWrap w:val="0"/>
                  <w:vAlign w:val="center"/>
                </w:tcPr>
                <w:p>
                  <w:pPr>
                    <w:pStyle w:val="157"/>
                    <w:kinsoku w:val="0"/>
                    <w:overflowPunct w:val="0"/>
                    <w:spacing w:before="108" w:beforeLines="0" w:afterLines="0"/>
                    <w:jc w:val="center"/>
                    <w:rPr>
                      <w:rFonts w:hint="default"/>
                      <w:sz w:val="24"/>
                    </w:rPr>
                  </w:pPr>
                  <w:r>
                    <w:rPr>
                      <w:rFonts w:hint="default" w:ascii="Times New Roman" w:hAnsi="Times New Roman" w:eastAsia="Times New Roman"/>
                      <w:spacing w:val="-3"/>
                      <w:sz w:val="21"/>
                    </w:rPr>
                    <w:t>11.95</w:t>
                  </w:r>
                </w:p>
              </w:tc>
              <w:tc>
                <w:tcPr>
                  <w:tcW w:w="1260" w:type="dxa"/>
                  <w:tcBorders>
                    <w:top w:val="single" w:color="000000" w:sz="4" w:space="0"/>
                    <w:left w:val="single" w:color="000000" w:sz="4" w:space="0"/>
                    <w:bottom w:val="single" w:color="000000" w:sz="12" w:space="0"/>
                    <w:right w:val="single" w:color="000000" w:sz="4" w:space="0"/>
                    <w:tl2br w:val="nil"/>
                    <w:tr2bl w:val="nil"/>
                  </w:tcBorders>
                  <w:noWrap w:val="0"/>
                  <w:vAlign w:val="center"/>
                </w:tcPr>
                <w:p>
                  <w:pPr>
                    <w:pStyle w:val="157"/>
                    <w:kinsoku w:val="0"/>
                    <w:overflowPunct w:val="0"/>
                    <w:spacing w:before="108" w:beforeLines="0" w:afterLines="0"/>
                    <w:jc w:val="center"/>
                    <w:rPr>
                      <w:rFonts w:hint="default"/>
                      <w:sz w:val="24"/>
                    </w:rPr>
                  </w:pPr>
                  <w:r>
                    <w:rPr>
                      <w:rFonts w:hint="default" w:ascii="Times New Roman" w:hAnsi="Times New Roman" w:eastAsia="Times New Roman"/>
                      <w:sz w:val="21"/>
                    </w:rPr>
                    <w:t>0.0014</w:t>
                  </w:r>
                </w:p>
              </w:tc>
              <w:tc>
                <w:tcPr>
                  <w:tcW w:w="1233" w:type="dxa"/>
                  <w:tcBorders>
                    <w:top w:val="single" w:color="000000" w:sz="4" w:space="0"/>
                    <w:left w:val="single" w:color="000000" w:sz="4" w:space="0"/>
                    <w:bottom w:val="single" w:color="000000" w:sz="12" w:space="0"/>
                    <w:right w:val="single" w:color="000000" w:sz="12" w:space="0"/>
                    <w:tl2br w:val="nil"/>
                    <w:tr2bl w:val="nil"/>
                  </w:tcBorders>
                  <w:noWrap w:val="0"/>
                  <w:vAlign w:val="center"/>
                </w:tcPr>
                <w:p>
                  <w:pPr>
                    <w:pStyle w:val="157"/>
                    <w:kinsoku w:val="0"/>
                    <w:overflowPunct w:val="0"/>
                    <w:spacing w:before="108" w:beforeLines="0" w:afterLines="0"/>
                    <w:ind w:right="1"/>
                    <w:jc w:val="center"/>
                    <w:rPr>
                      <w:rFonts w:hint="default"/>
                      <w:sz w:val="24"/>
                    </w:rPr>
                  </w:pPr>
                  <w:r>
                    <w:rPr>
                      <w:rFonts w:hint="default" w:ascii="Times New Roman" w:hAnsi="Times New Roman" w:eastAsia="Times New Roman"/>
                      <w:sz w:val="21"/>
                    </w:rPr>
                    <w:t>0.45</w:t>
                  </w:r>
                </w:p>
              </w:tc>
            </w:tr>
          </w:tbl>
          <w:p>
            <w:pPr>
              <w:pStyle w:val="21"/>
              <w:bidi w:val="0"/>
              <w:rPr>
                <w:rFonts w:hint="default" w:ascii="Times New Roman" w:hAnsi="Times New Roman" w:cs="Times New Roman"/>
                <w:sz w:val="24"/>
                <w:szCs w:val="24"/>
              </w:rPr>
            </w:pPr>
            <w:r>
              <w:rPr>
                <w:rFonts w:hint="default" w:ascii="Times New Roman" w:hAnsi="Times New Roman" w:cs="Times New Roman"/>
                <w:sz w:val="24"/>
                <w:szCs w:val="24"/>
              </w:rPr>
              <w:t>计算结果如下：无超标点。因此本项目无组织废气颗粒物排放量较小，厂界外无需设置大气环境防护距离，项目无组织排放颗粒物对大气环境影响较小。</w:t>
            </w:r>
          </w:p>
          <w:p>
            <w:pPr>
              <w:pStyle w:val="95"/>
              <w:spacing w:line="240" w:lineRule="auto"/>
              <w:ind w:firstLine="482"/>
              <w:rPr>
                <w:rFonts w:hint="default" w:hAnsi="Times New Roman" w:cs="Times New Roman"/>
                <w:b/>
                <w:lang w:val="en-US" w:eastAsia="zh-CN"/>
              </w:rPr>
            </w:pPr>
            <w:r>
              <w:rPr>
                <w:rFonts w:hint="eastAsia" w:hAnsi="Times New Roman" w:cs="Times New Roman"/>
                <w:b/>
                <w:lang w:eastAsia="zh-CN"/>
              </w:rPr>
              <w:t>（</w:t>
            </w:r>
            <w:r>
              <w:rPr>
                <w:rFonts w:hint="eastAsia" w:hAnsi="Times New Roman" w:cs="Times New Roman"/>
                <w:b/>
                <w:lang w:val="en-US" w:eastAsia="zh-CN"/>
              </w:rPr>
              <w:t>五</w:t>
            </w:r>
            <w:r>
              <w:rPr>
                <w:rFonts w:hint="eastAsia" w:hAnsi="Times New Roman" w:cs="Times New Roman"/>
                <w:b/>
                <w:lang w:eastAsia="zh-CN"/>
              </w:rPr>
              <w:t>）</w:t>
            </w:r>
            <w:r>
              <w:rPr>
                <w:rFonts w:hint="eastAsia" w:hAnsi="Times New Roman" w:cs="Times New Roman"/>
                <w:b/>
                <w:lang w:val="en-US" w:eastAsia="zh-CN"/>
              </w:rPr>
              <w:t>破碎制砂车间</w:t>
            </w:r>
          </w:p>
          <w:p>
            <w:pPr>
              <w:adjustRightInd w:val="0"/>
              <w:snapToGrid w:val="0"/>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1、大气环境影响分析</w:t>
            </w:r>
          </w:p>
          <w:p>
            <w:pPr>
              <w:adjustRightInd w:val="0"/>
              <w:snapToGrid w:val="0"/>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（1）废气污染源基本情况</w:t>
            </w:r>
          </w:p>
          <w:p>
            <w:pPr>
              <w:adjustRightInd w:val="0"/>
              <w:snapToGrid w:val="0"/>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szCs w:val="24"/>
              </w:rPr>
              <w:t>项目废气污染源基本情况见下表：</w:t>
            </w:r>
          </w:p>
          <w:p>
            <w:pPr>
              <w:pStyle w:val="231"/>
              <w:spacing w:line="360" w:lineRule="auto"/>
              <w:ind w:firstLine="0" w:firstLineChars="0"/>
              <w:jc w:val="center"/>
              <w:rPr>
                <w:rFonts w:hint="default" w:ascii="Times New Roman" w:hAnsi="Times New Roman" w:eastAsia="宋体" w:cs="Times New Roman"/>
                <w:b/>
                <w:bCs/>
                <w:sz w:val="21"/>
                <w:szCs w:val="22"/>
              </w:rPr>
            </w:pPr>
            <w:r>
              <w:rPr>
                <w:rFonts w:hint="default" w:ascii="Times New Roman" w:hAnsi="Times New Roman" w:eastAsia="宋体" w:cs="Times New Roman"/>
                <w:b/>
                <w:bCs/>
                <w:sz w:val="21"/>
                <w:szCs w:val="22"/>
              </w:rPr>
              <w:t>表</w:t>
            </w:r>
            <w:r>
              <w:rPr>
                <w:rFonts w:hint="eastAsia" w:eastAsia="宋体" w:cs="Times New Roman"/>
                <w:b/>
                <w:bCs/>
                <w:sz w:val="21"/>
                <w:szCs w:val="22"/>
                <w:lang w:val="en-US" w:eastAsia="zh-CN"/>
              </w:rPr>
              <w:t>7.5-1</w:t>
            </w:r>
            <w:r>
              <w:rPr>
                <w:rFonts w:hint="default" w:ascii="Times New Roman" w:hAnsi="Times New Roman" w:eastAsia="宋体" w:cs="Times New Roman"/>
                <w:b/>
                <w:bCs/>
                <w:sz w:val="21"/>
                <w:szCs w:val="22"/>
              </w:rPr>
              <w:t xml:space="preserve">   主要点源参数一览表</w:t>
            </w:r>
          </w:p>
          <w:tbl>
            <w:tblPr>
              <w:tblStyle w:val="44"/>
              <w:tblW w:w="8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74"/>
              <w:gridCol w:w="1113"/>
              <w:gridCol w:w="974"/>
              <w:gridCol w:w="613"/>
              <w:gridCol w:w="651"/>
              <w:gridCol w:w="761"/>
              <w:gridCol w:w="966"/>
              <w:gridCol w:w="839"/>
              <w:gridCol w:w="937"/>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74" w:type="dxa"/>
                  <w:vMerge w:val="restart"/>
                  <w:vAlign w:val="center"/>
                </w:tcPr>
                <w:p>
                  <w:pPr>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污染源名称</w:t>
                  </w:r>
                </w:p>
              </w:tc>
              <w:tc>
                <w:tcPr>
                  <w:tcW w:w="2087" w:type="dxa"/>
                  <w:gridSpan w:val="2"/>
                  <w:vAlign w:val="center"/>
                </w:tcPr>
                <w:p>
                  <w:pPr>
                    <w:snapToGrid w:val="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排气筒底部中心坐标(</w:t>
                  </w:r>
                  <w:r>
                    <w:rPr>
                      <w:rFonts w:hint="default" w:ascii="Times New Roman" w:hAnsi="Times New Roman" w:cs="Times New Roman"/>
                      <w:b/>
                      <w:bCs/>
                      <w:kern w:val="0"/>
                      <w:sz w:val="21"/>
                      <w:szCs w:val="21"/>
                      <w:vertAlign w:val="superscript"/>
                    </w:rPr>
                    <w:t>o</w:t>
                  </w:r>
                  <w:r>
                    <w:rPr>
                      <w:rFonts w:hint="default" w:ascii="Times New Roman" w:hAnsi="Times New Roman" w:cs="Times New Roman"/>
                      <w:b/>
                      <w:bCs/>
                      <w:kern w:val="0"/>
                      <w:sz w:val="21"/>
                      <w:szCs w:val="21"/>
                    </w:rPr>
                    <w:t>)</w:t>
                  </w:r>
                </w:p>
              </w:tc>
              <w:tc>
                <w:tcPr>
                  <w:tcW w:w="613" w:type="dxa"/>
                  <w:vMerge w:val="restart"/>
                  <w:vAlign w:val="center"/>
                </w:tcPr>
                <w:p>
                  <w:pPr>
                    <w:snapToGrid w:val="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排气筒底部海拔高度(m)</w:t>
                  </w:r>
                </w:p>
              </w:tc>
              <w:tc>
                <w:tcPr>
                  <w:tcW w:w="3217" w:type="dxa"/>
                  <w:gridSpan w:val="4"/>
                  <w:vAlign w:val="center"/>
                </w:tcPr>
                <w:p>
                  <w:pPr>
                    <w:snapToGrid w:val="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排气筒参数</w:t>
                  </w:r>
                </w:p>
              </w:tc>
              <w:tc>
                <w:tcPr>
                  <w:tcW w:w="937" w:type="dxa"/>
                  <w:vMerge w:val="restart"/>
                  <w:vAlign w:val="center"/>
                </w:tcPr>
                <w:p>
                  <w:pPr>
                    <w:snapToGrid w:val="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污染物</w:t>
                  </w:r>
                </w:p>
                <w:p>
                  <w:pPr>
                    <w:snapToGrid w:val="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名称</w:t>
                  </w:r>
                </w:p>
              </w:tc>
              <w:tc>
                <w:tcPr>
                  <w:tcW w:w="875" w:type="dxa"/>
                  <w:vMerge w:val="restart"/>
                  <w:vAlign w:val="center"/>
                </w:tcPr>
                <w:p>
                  <w:pPr>
                    <w:snapToGrid w:val="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排放</w:t>
                  </w:r>
                </w:p>
                <w:p>
                  <w:pPr>
                    <w:snapToGrid w:val="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74" w:type="dxa"/>
                  <w:vMerge w:val="continue"/>
                  <w:vAlign w:val="center"/>
                </w:tcPr>
                <w:p>
                  <w:pPr>
                    <w:snapToGrid w:val="0"/>
                    <w:jc w:val="center"/>
                    <w:rPr>
                      <w:rFonts w:hint="default" w:ascii="Times New Roman" w:hAnsi="Times New Roman" w:cs="Times New Roman"/>
                      <w:bCs/>
                      <w:kern w:val="0"/>
                      <w:sz w:val="21"/>
                      <w:szCs w:val="21"/>
                    </w:rPr>
                  </w:pPr>
                </w:p>
              </w:tc>
              <w:tc>
                <w:tcPr>
                  <w:tcW w:w="1113" w:type="dxa"/>
                  <w:vAlign w:val="center"/>
                </w:tcPr>
                <w:p>
                  <w:pPr>
                    <w:snapToGrid w:val="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经度</w:t>
                  </w:r>
                </w:p>
              </w:tc>
              <w:tc>
                <w:tcPr>
                  <w:tcW w:w="974" w:type="dxa"/>
                  <w:vAlign w:val="center"/>
                </w:tcPr>
                <w:p>
                  <w:pPr>
                    <w:snapToGrid w:val="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纬度</w:t>
                  </w:r>
                </w:p>
              </w:tc>
              <w:tc>
                <w:tcPr>
                  <w:tcW w:w="613" w:type="dxa"/>
                  <w:vMerge w:val="continue"/>
                  <w:vAlign w:val="center"/>
                </w:tcPr>
                <w:p>
                  <w:pPr>
                    <w:snapToGrid w:val="0"/>
                    <w:jc w:val="center"/>
                    <w:rPr>
                      <w:rFonts w:hint="default" w:ascii="Times New Roman" w:hAnsi="Times New Roman" w:cs="Times New Roman"/>
                      <w:b/>
                      <w:bCs/>
                      <w:kern w:val="0"/>
                      <w:sz w:val="21"/>
                      <w:szCs w:val="21"/>
                    </w:rPr>
                  </w:pPr>
                </w:p>
              </w:tc>
              <w:tc>
                <w:tcPr>
                  <w:tcW w:w="651" w:type="dxa"/>
                  <w:vAlign w:val="center"/>
                </w:tcPr>
                <w:p>
                  <w:pPr>
                    <w:snapToGrid w:val="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高度</w:t>
                  </w:r>
                </w:p>
                <w:p>
                  <w:pPr>
                    <w:snapToGrid w:val="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(m)</w:t>
                  </w:r>
                </w:p>
              </w:tc>
              <w:tc>
                <w:tcPr>
                  <w:tcW w:w="761" w:type="dxa"/>
                  <w:vAlign w:val="center"/>
                </w:tcPr>
                <w:p>
                  <w:pPr>
                    <w:snapToGrid w:val="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内径</w:t>
                  </w:r>
                </w:p>
                <w:p>
                  <w:pPr>
                    <w:snapToGrid w:val="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(m)</w:t>
                  </w:r>
                </w:p>
              </w:tc>
              <w:tc>
                <w:tcPr>
                  <w:tcW w:w="966" w:type="dxa"/>
                  <w:vAlign w:val="center"/>
                </w:tcPr>
                <w:p>
                  <w:pPr>
                    <w:snapToGrid w:val="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温度</w:t>
                  </w:r>
                </w:p>
                <w:p>
                  <w:pPr>
                    <w:snapToGrid w:val="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w:t>
                  </w:r>
                </w:p>
              </w:tc>
              <w:tc>
                <w:tcPr>
                  <w:tcW w:w="839" w:type="dxa"/>
                  <w:vAlign w:val="center"/>
                </w:tcPr>
                <w:p>
                  <w:pPr>
                    <w:snapToGrid w:val="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流速</w:t>
                  </w:r>
                </w:p>
                <w:p>
                  <w:pPr>
                    <w:snapToGrid w:val="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(m/s)</w:t>
                  </w:r>
                </w:p>
              </w:tc>
              <w:tc>
                <w:tcPr>
                  <w:tcW w:w="937" w:type="dxa"/>
                  <w:vMerge w:val="continue"/>
                  <w:vAlign w:val="center"/>
                </w:tcPr>
                <w:p>
                  <w:pPr>
                    <w:snapToGrid w:val="0"/>
                    <w:jc w:val="center"/>
                    <w:rPr>
                      <w:rFonts w:hint="default" w:ascii="Times New Roman" w:hAnsi="Times New Roman" w:cs="Times New Roman"/>
                      <w:bCs/>
                      <w:kern w:val="0"/>
                      <w:sz w:val="21"/>
                      <w:szCs w:val="21"/>
                    </w:rPr>
                  </w:pPr>
                </w:p>
              </w:tc>
              <w:tc>
                <w:tcPr>
                  <w:tcW w:w="875" w:type="dxa"/>
                  <w:vMerge w:val="continue"/>
                  <w:vAlign w:val="center"/>
                </w:tcPr>
                <w:p>
                  <w:pPr>
                    <w:snapToGrid w:val="0"/>
                    <w:jc w:val="center"/>
                    <w:rPr>
                      <w:rFonts w:hint="default" w:ascii="Times New Roman" w:hAnsi="Times New Roman"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72" w:hRule="atLeast"/>
              </w:trPr>
              <w:tc>
                <w:tcPr>
                  <w:tcW w:w="574" w:type="dxa"/>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 xml:space="preserve">破碎、筛分排气筒 </w:t>
                  </w:r>
                </w:p>
              </w:tc>
              <w:tc>
                <w:tcPr>
                  <w:tcW w:w="1113" w:type="dxa"/>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 xml:space="preserve"> 115.917027</w:t>
                  </w:r>
                </w:p>
              </w:tc>
              <w:tc>
                <w:tcPr>
                  <w:tcW w:w="974" w:type="dxa"/>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 xml:space="preserve"> 32.273037</w:t>
                  </w:r>
                </w:p>
              </w:tc>
              <w:tc>
                <w:tcPr>
                  <w:tcW w:w="613" w:type="dxa"/>
                  <w:vAlign w:val="center"/>
                </w:tcPr>
                <w:p>
                  <w:pPr>
                    <w:jc w:val="center"/>
                    <w:rPr>
                      <w:rFonts w:hint="default" w:ascii="Times New Roman" w:hAnsi="Times New Roman" w:eastAsia="宋体" w:cs="Times New Roman"/>
                      <w:bCs/>
                      <w:kern w:val="0"/>
                      <w:sz w:val="21"/>
                      <w:szCs w:val="21"/>
                      <w:lang w:val="en-US" w:eastAsia="zh-CN"/>
                    </w:rPr>
                  </w:pPr>
                  <w:r>
                    <w:rPr>
                      <w:rFonts w:hint="default" w:ascii="Times New Roman" w:hAnsi="Times New Roman" w:cs="Times New Roman"/>
                      <w:bCs/>
                      <w:kern w:val="0"/>
                      <w:sz w:val="21"/>
                      <w:szCs w:val="21"/>
                      <w:lang w:val="en-US" w:eastAsia="zh-CN"/>
                    </w:rPr>
                    <w:t>80</w:t>
                  </w:r>
                </w:p>
              </w:tc>
              <w:tc>
                <w:tcPr>
                  <w:tcW w:w="651" w:type="dxa"/>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15</w:t>
                  </w:r>
                </w:p>
              </w:tc>
              <w:tc>
                <w:tcPr>
                  <w:tcW w:w="761" w:type="dxa"/>
                  <w:vAlign w:val="center"/>
                </w:tcPr>
                <w:p>
                  <w:pPr>
                    <w:jc w:val="center"/>
                    <w:rPr>
                      <w:rFonts w:hint="eastAsia" w:ascii="Times New Roman" w:hAnsi="Times New Roman" w:eastAsia="宋体" w:cs="Times New Roman"/>
                      <w:bCs/>
                      <w:kern w:val="0"/>
                      <w:sz w:val="21"/>
                      <w:szCs w:val="21"/>
                      <w:lang w:eastAsia="zh-CN"/>
                    </w:rPr>
                  </w:pPr>
                  <w:r>
                    <w:rPr>
                      <w:rFonts w:hint="default" w:ascii="Times New Roman" w:hAnsi="Times New Roman" w:cs="Times New Roman"/>
                      <w:bCs/>
                      <w:kern w:val="0"/>
                      <w:sz w:val="21"/>
                      <w:szCs w:val="21"/>
                    </w:rPr>
                    <w:t>0.</w:t>
                  </w:r>
                  <w:r>
                    <w:rPr>
                      <w:rFonts w:hint="eastAsia" w:ascii="Times New Roman" w:hAnsi="Times New Roman" w:cs="Times New Roman"/>
                      <w:bCs/>
                      <w:kern w:val="0"/>
                      <w:sz w:val="21"/>
                      <w:szCs w:val="21"/>
                      <w:lang w:val="en-US" w:eastAsia="zh-CN"/>
                    </w:rPr>
                    <w:t>8</w:t>
                  </w:r>
                </w:p>
              </w:tc>
              <w:tc>
                <w:tcPr>
                  <w:tcW w:w="966" w:type="dxa"/>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20</w:t>
                  </w:r>
                </w:p>
              </w:tc>
              <w:tc>
                <w:tcPr>
                  <w:tcW w:w="839" w:type="dxa"/>
                  <w:vAlign w:val="center"/>
                </w:tcPr>
                <w:p>
                  <w:pPr>
                    <w:jc w:val="center"/>
                    <w:rPr>
                      <w:rFonts w:hint="default" w:ascii="Times New Roman" w:hAnsi="Times New Roman" w:eastAsia="宋体" w:cs="Times New Roman"/>
                      <w:bCs/>
                      <w:kern w:val="0"/>
                      <w:sz w:val="21"/>
                      <w:szCs w:val="21"/>
                      <w:lang w:val="en-US" w:eastAsia="zh-CN"/>
                    </w:rPr>
                  </w:pPr>
                  <w:r>
                    <w:rPr>
                      <w:rFonts w:hint="eastAsia" w:ascii="Times New Roman" w:hAnsi="Times New Roman" w:cs="Times New Roman"/>
                      <w:bCs/>
                      <w:kern w:val="0"/>
                      <w:sz w:val="21"/>
                      <w:szCs w:val="21"/>
                      <w:lang w:val="en-US" w:eastAsia="zh-CN"/>
                    </w:rPr>
                    <w:t>13.3</w:t>
                  </w:r>
                </w:p>
              </w:tc>
              <w:tc>
                <w:tcPr>
                  <w:tcW w:w="937" w:type="dxa"/>
                  <w:vAlign w:val="center"/>
                </w:tcPr>
                <w:p>
                  <w:pPr>
                    <w:jc w:val="center"/>
                    <w:rPr>
                      <w:rFonts w:hint="default" w:ascii="Times New Roman" w:hAnsi="Times New Roman" w:eastAsia="宋体" w:cs="Times New Roman"/>
                      <w:bCs/>
                      <w:kern w:val="0"/>
                      <w:sz w:val="21"/>
                      <w:szCs w:val="21"/>
                      <w:lang w:val="en-US" w:eastAsia="zh-CN"/>
                    </w:rPr>
                  </w:pPr>
                  <w:r>
                    <w:rPr>
                      <w:rFonts w:hint="eastAsia" w:ascii="Times New Roman" w:hAnsi="Times New Roman" w:cs="Times New Roman"/>
                      <w:bCs/>
                      <w:kern w:val="0"/>
                      <w:sz w:val="21"/>
                      <w:szCs w:val="21"/>
                      <w:lang w:val="en-US" w:eastAsia="zh-CN"/>
                    </w:rPr>
                    <w:t>PM10</w:t>
                  </w:r>
                </w:p>
              </w:tc>
              <w:tc>
                <w:tcPr>
                  <w:tcW w:w="875" w:type="dxa"/>
                  <w:vAlign w:val="center"/>
                </w:tcPr>
                <w:p>
                  <w:pPr>
                    <w:jc w:val="center"/>
                    <w:rPr>
                      <w:rFonts w:hint="default" w:ascii="Times New Roman" w:hAnsi="Times New Roman" w:eastAsia="宋体" w:cs="Times New Roman"/>
                      <w:bCs/>
                      <w:kern w:val="0"/>
                      <w:sz w:val="21"/>
                      <w:szCs w:val="21"/>
                      <w:lang w:val="en-US" w:eastAsia="zh-CN"/>
                    </w:rPr>
                  </w:pPr>
                  <w:r>
                    <w:rPr>
                      <w:rFonts w:hint="default" w:ascii="Times New Roman" w:hAnsi="Times New Roman" w:cs="Times New Roman"/>
                      <w:bCs/>
                      <w:kern w:val="0"/>
                      <w:sz w:val="21"/>
                      <w:szCs w:val="21"/>
                    </w:rPr>
                    <w:t>0.</w:t>
                  </w:r>
                  <w:r>
                    <w:rPr>
                      <w:rFonts w:hint="default" w:ascii="Times New Roman" w:hAnsi="Times New Roman" w:cs="Times New Roman"/>
                      <w:bCs/>
                      <w:kern w:val="0"/>
                      <w:sz w:val="21"/>
                      <w:szCs w:val="21"/>
                      <w:lang w:val="en-US" w:eastAsia="zh-CN"/>
                    </w:rPr>
                    <w:t>28</w:t>
                  </w:r>
                </w:p>
              </w:tc>
            </w:tr>
          </w:tbl>
          <w:p>
            <w:pPr>
              <w:spacing w:before="156" w:beforeLines="50"/>
              <w:ind w:hanging="6"/>
              <w:jc w:val="center"/>
              <w:rPr>
                <w:rFonts w:hint="default" w:ascii="Times New Roman" w:hAnsi="Times New Roman" w:cs="Times New Roman"/>
                <w:b/>
                <w:bCs/>
                <w:sz w:val="21"/>
                <w:szCs w:val="21"/>
              </w:rPr>
            </w:pPr>
            <w:r>
              <w:rPr>
                <w:rFonts w:hint="default" w:ascii="Times New Roman" w:hAnsi="Times New Roman" w:cs="Times New Roman"/>
                <w:b/>
                <w:bCs/>
                <w:sz w:val="21"/>
                <w:szCs w:val="21"/>
              </w:rPr>
              <w:t>表</w:t>
            </w:r>
            <w:r>
              <w:rPr>
                <w:rFonts w:hint="eastAsia" w:cs="Times New Roman"/>
                <w:b/>
                <w:bCs/>
                <w:sz w:val="21"/>
                <w:szCs w:val="21"/>
                <w:lang w:val="en-US" w:eastAsia="zh-CN"/>
              </w:rPr>
              <w:t>7.5-2</w:t>
            </w:r>
            <w:r>
              <w:rPr>
                <w:rFonts w:hint="default" w:ascii="Times New Roman" w:hAnsi="Times New Roman" w:cs="Times New Roman"/>
                <w:b/>
                <w:bCs/>
                <w:sz w:val="21"/>
                <w:szCs w:val="21"/>
              </w:rPr>
              <w:t xml:space="preserve">    主要面源参数一览表</w:t>
            </w:r>
          </w:p>
          <w:tbl>
            <w:tblPr>
              <w:tblStyle w:val="44"/>
              <w:tblW w:w="8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214"/>
              <w:gridCol w:w="1109"/>
              <w:gridCol w:w="813"/>
              <w:gridCol w:w="813"/>
              <w:gridCol w:w="813"/>
              <w:gridCol w:w="813"/>
              <w:gridCol w:w="699"/>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94" w:type="dxa"/>
                  <w:vMerge w:val="restart"/>
                  <w:vAlign w:val="center"/>
                </w:tcPr>
                <w:p>
                  <w:pPr>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污染源名称</w:t>
                  </w:r>
                </w:p>
              </w:tc>
              <w:tc>
                <w:tcPr>
                  <w:tcW w:w="2323" w:type="dxa"/>
                  <w:gridSpan w:val="2"/>
                  <w:vAlign w:val="center"/>
                </w:tcPr>
                <w:p>
                  <w:pPr>
                    <w:snapToGrid w:val="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坐标</w:t>
                  </w:r>
                </w:p>
              </w:tc>
              <w:tc>
                <w:tcPr>
                  <w:tcW w:w="813" w:type="dxa"/>
                  <w:vMerge w:val="restart"/>
                  <w:vAlign w:val="center"/>
                </w:tcPr>
                <w:p>
                  <w:pPr>
                    <w:snapToGrid w:val="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海拔高度（m）</w:t>
                  </w:r>
                </w:p>
              </w:tc>
              <w:tc>
                <w:tcPr>
                  <w:tcW w:w="2439" w:type="dxa"/>
                  <w:gridSpan w:val="3"/>
                  <w:vAlign w:val="center"/>
                </w:tcPr>
                <w:p>
                  <w:pPr>
                    <w:snapToGrid w:val="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矩形面源</w:t>
                  </w:r>
                </w:p>
              </w:tc>
              <w:tc>
                <w:tcPr>
                  <w:tcW w:w="699" w:type="dxa"/>
                  <w:vMerge w:val="restart"/>
                  <w:vAlign w:val="center"/>
                </w:tcPr>
                <w:p>
                  <w:pPr>
                    <w:snapToGrid w:val="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污染物</w:t>
                  </w:r>
                </w:p>
                <w:p>
                  <w:pPr>
                    <w:snapToGrid w:val="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名称</w:t>
                  </w:r>
                </w:p>
              </w:tc>
              <w:tc>
                <w:tcPr>
                  <w:tcW w:w="1035" w:type="dxa"/>
                  <w:vMerge w:val="restart"/>
                  <w:vAlign w:val="center"/>
                </w:tcPr>
                <w:p>
                  <w:pPr>
                    <w:snapToGrid w:val="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994" w:type="dxa"/>
                  <w:vMerge w:val="continue"/>
                  <w:vAlign w:val="center"/>
                </w:tcPr>
                <w:p>
                  <w:pPr>
                    <w:snapToGrid w:val="0"/>
                    <w:jc w:val="center"/>
                    <w:rPr>
                      <w:rFonts w:hint="default" w:ascii="Times New Roman" w:hAnsi="Times New Roman" w:cs="Times New Roman"/>
                      <w:bCs/>
                      <w:kern w:val="0"/>
                      <w:sz w:val="21"/>
                      <w:szCs w:val="21"/>
                    </w:rPr>
                  </w:pPr>
                </w:p>
              </w:tc>
              <w:tc>
                <w:tcPr>
                  <w:tcW w:w="1214" w:type="dxa"/>
                  <w:vAlign w:val="center"/>
                </w:tcPr>
                <w:p>
                  <w:pPr>
                    <w:snapToGrid w:val="0"/>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X</w:t>
                  </w:r>
                </w:p>
              </w:tc>
              <w:tc>
                <w:tcPr>
                  <w:tcW w:w="1109" w:type="dxa"/>
                  <w:vAlign w:val="center"/>
                </w:tcPr>
                <w:p>
                  <w:pPr>
                    <w:snapToGrid w:val="0"/>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Y</w:t>
                  </w:r>
                </w:p>
              </w:tc>
              <w:tc>
                <w:tcPr>
                  <w:tcW w:w="813" w:type="dxa"/>
                  <w:vMerge w:val="continue"/>
                  <w:vAlign w:val="center"/>
                </w:tcPr>
                <w:p>
                  <w:pPr>
                    <w:snapToGrid w:val="0"/>
                    <w:jc w:val="center"/>
                    <w:rPr>
                      <w:rFonts w:hint="default" w:ascii="Times New Roman" w:hAnsi="Times New Roman" w:cs="Times New Roman"/>
                      <w:bCs/>
                      <w:kern w:val="0"/>
                      <w:sz w:val="21"/>
                      <w:szCs w:val="21"/>
                    </w:rPr>
                  </w:pPr>
                </w:p>
              </w:tc>
              <w:tc>
                <w:tcPr>
                  <w:tcW w:w="813" w:type="dxa"/>
                  <w:vAlign w:val="center"/>
                </w:tcPr>
                <w:p>
                  <w:pPr>
                    <w:snapToGrid w:val="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长度（m）</w:t>
                  </w:r>
                </w:p>
              </w:tc>
              <w:tc>
                <w:tcPr>
                  <w:tcW w:w="813" w:type="dxa"/>
                  <w:vAlign w:val="center"/>
                </w:tcPr>
                <w:p>
                  <w:pPr>
                    <w:snapToGrid w:val="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宽度（m）</w:t>
                  </w:r>
                </w:p>
              </w:tc>
              <w:tc>
                <w:tcPr>
                  <w:tcW w:w="813" w:type="dxa"/>
                  <w:vAlign w:val="center"/>
                </w:tcPr>
                <w:p>
                  <w:pPr>
                    <w:snapToGrid w:val="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有效高度（m）</w:t>
                  </w:r>
                </w:p>
              </w:tc>
              <w:tc>
                <w:tcPr>
                  <w:tcW w:w="699" w:type="dxa"/>
                  <w:vMerge w:val="continue"/>
                  <w:vAlign w:val="center"/>
                </w:tcPr>
                <w:p>
                  <w:pPr>
                    <w:snapToGrid w:val="0"/>
                    <w:jc w:val="center"/>
                    <w:rPr>
                      <w:rFonts w:hint="default" w:ascii="Times New Roman" w:hAnsi="Times New Roman" w:cs="Times New Roman"/>
                      <w:bCs/>
                      <w:kern w:val="0"/>
                      <w:sz w:val="21"/>
                      <w:szCs w:val="21"/>
                    </w:rPr>
                  </w:pPr>
                </w:p>
              </w:tc>
              <w:tc>
                <w:tcPr>
                  <w:tcW w:w="1035" w:type="dxa"/>
                  <w:vMerge w:val="continue"/>
                  <w:vAlign w:val="center"/>
                </w:tcPr>
                <w:p>
                  <w:pPr>
                    <w:snapToGrid w:val="0"/>
                    <w:jc w:val="center"/>
                    <w:rPr>
                      <w:rFonts w:hint="default" w:ascii="Times New Roman" w:hAnsi="Times New Roman"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94" w:type="dxa"/>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生产车间面源</w:t>
                  </w:r>
                </w:p>
              </w:tc>
              <w:tc>
                <w:tcPr>
                  <w:tcW w:w="1214" w:type="dxa"/>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115.916989</w:t>
                  </w:r>
                </w:p>
              </w:tc>
              <w:tc>
                <w:tcPr>
                  <w:tcW w:w="1109" w:type="dxa"/>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32.272896</w:t>
                  </w:r>
                </w:p>
              </w:tc>
              <w:tc>
                <w:tcPr>
                  <w:tcW w:w="813" w:type="dxa"/>
                  <w:vAlign w:val="center"/>
                </w:tcPr>
                <w:p>
                  <w:pPr>
                    <w:jc w:val="center"/>
                    <w:rPr>
                      <w:rFonts w:hint="default" w:ascii="Times New Roman" w:hAnsi="Times New Roman" w:eastAsia="宋体" w:cs="Times New Roman"/>
                      <w:bCs/>
                      <w:kern w:val="0"/>
                      <w:sz w:val="21"/>
                      <w:szCs w:val="21"/>
                      <w:lang w:val="en-US" w:eastAsia="zh-CN"/>
                    </w:rPr>
                  </w:pPr>
                  <w:r>
                    <w:rPr>
                      <w:rFonts w:hint="default" w:ascii="Times New Roman" w:hAnsi="Times New Roman" w:cs="Times New Roman"/>
                      <w:bCs/>
                      <w:kern w:val="0"/>
                      <w:sz w:val="21"/>
                      <w:szCs w:val="21"/>
                      <w:lang w:val="en-US" w:eastAsia="zh-CN"/>
                    </w:rPr>
                    <w:t>80</w:t>
                  </w:r>
                </w:p>
              </w:tc>
              <w:tc>
                <w:tcPr>
                  <w:tcW w:w="813" w:type="dxa"/>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46.5</w:t>
                  </w:r>
                </w:p>
              </w:tc>
              <w:tc>
                <w:tcPr>
                  <w:tcW w:w="813" w:type="dxa"/>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40</w:t>
                  </w:r>
                </w:p>
              </w:tc>
              <w:tc>
                <w:tcPr>
                  <w:tcW w:w="813" w:type="dxa"/>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8.0</w:t>
                  </w:r>
                </w:p>
              </w:tc>
              <w:tc>
                <w:tcPr>
                  <w:tcW w:w="699" w:type="dxa"/>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TSP</w:t>
                  </w:r>
                </w:p>
              </w:tc>
              <w:tc>
                <w:tcPr>
                  <w:tcW w:w="1035" w:type="dxa"/>
                  <w:vAlign w:val="center"/>
                </w:tcPr>
                <w:p>
                  <w:pPr>
                    <w:jc w:val="center"/>
                    <w:rPr>
                      <w:rFonts w:hint="default" w:ascii="Times New Roman" w:hAnsi="Times New Roman" w:eastAsia="宋体" w:cs="Times New Roman"/>
                      <w:bCs/>
                      <w:kern w:val="0"/>
                      <w:sz w:val="21"/>
                      <w:szCs w:val="21"/>
                      <w:lang w:val="en-US" w:eastAsia="zh-CN"/>
                    </w:rPr>
                  </w:pPr>
                  <w:r>
                    <w:rPr>
                      <w:rFonts w:hint="default" w:ascii="Times New Roman" w:hAnsi="Times New Roman" w:cs="Times New Roman"/>
                      <w:bCs/>
                      <w:kern w:val="0"/>
                      <w:sz w:val="21"/>
                      <w:szCs w:val="21"/>
                    </w:rPr>
                    <w:t>0.</w:t>
                  </w:r>
                  <w:r>
                    <w:rPr>
                      <w:rFonts w:hint="eastAsia" w:ascii="Times New Roman" w:hAnsi="Times New Roman" w:cs="Times New Roman"/>
                      <w:bCs/>
                      <w:kern w:val="0"/>
                      <w:sz w:val="21"/>
                      <w:szCs w:val="21"/>
                      <w:lang w:val="en-US" w:eastAsia="zh-CN"/>
                    </w:rPr>
                    <w:t>082</w:t>
                  </w:r>
                </w:p>
              </w:tc>
            </w:tr>
          </w:tbl>
          <w:p>
            <w:pPr>
              <w:adjustRightInd w:val="0"/>
              <w:snapToGrid w:val="0"/>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（2）大气评价等级划分依据</w:t>
            </w:r>
          </w:p>
          <w:p>
            <w:pPr>
              <w:adjustRightInd w:val="0"/>
              <w:snapToGrid w:val="0"/>
              <w:spacing w:line="360" w:lineRule="auto"/>
              <w:ind w:firstLine="422" w:firstLineChars="176"/>
              <w:jc w:val="left"/>
              <w:rPr>
                <w:rFonts w:hint="default" w:ascii="Times New Roman" w:hAnsi="Times New Roman" w:cs="Times New Roman"/>
                <w:bCs/>
                <w:sz w:val="24"/>
                <w:szCs w:val="24"/>
              </w:rPr>
            </w:pPr>
            <w:r>
              <w:rPr>
                <w:rFonts w:hint="default" w:ascii="Times New Roman" w:hAnsi="Times New Roman" w:cs="Times New Roman"/>
                <w:bCs/>
                <w:sz w:val="24"/>
                <w:szCs w:val="24"/>
              </w:rPr>
              <w:t>依据《环境影响评价技术导则-大气环境》(HJ2.2-2018)中5.3节工作等级的确定方法，结合项目工程分析结果，选择正常排放的主要污染物及排放参数，采用附录A推荐模型中的AERSCREEN模式计算项目污染源的最大环境影响，然后按评价工作分级判据进行分级。</w:t>
            </w:r>
          </w:p>
          <w:p>
            <w:pPr>
              <w:adjustRightInd w:val="0"/>
              <w:snapToGrid w:val="0"/>
              <w:spacing w:line="360" w:lineRule="auto"/>
              <w:ind w:firstLine="422" w:firstLineChars="176"/>
              <w:jc w:val="left"/>
              <w:rPr>
                <w:rFonts w:hint="default" w:ascii="Times New Roman" w:hAnsi="Times New Roman" w:cs="Times New Roman"/>
                <w:bCs/>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 1 \* GB3 \* MERGEFORMAT </w:instrText>
            </w:r>
            <w:r>
              <w:rPr>
                <w:rFonts w:hint="default" w:ascii="Times New Roman" w:hAnsi="Times New Roman" w:cs="Times New Roman"/>
                <w:bCs/>
                <w:sz w:val="24"/>
                <w:szCs w:val="24"/>
              </w:rPr>
              <w:fldChar w:fldCharType="separate"/>
            </w:r>
            <w:r>
              <w:rPr>
                <w:rFonts w:hint="default" w:ascii="Times New Roman" w:hAnsi="Times New Roman" w:cs="Times New Roman"/>
                <w:bCs/>
              </w:rPr>
              <w:t>①</w:t>
            </w:r>
            <w:r>
              <w:rPr>
                <w:rFonts w:hint="default" w:ascii="Times New Roman" w:hAnsi="Times New Roman" w:cs="Times New Roman"/>
                <w:bCs/>
                <w:sz w:val="24"/>
                <w:szCs w:val="24"/>
              </w:rPr>
              <w:fldChar w:fldCharType="end"/>
            </w:r>
            <w:r>
              <w:rPr>
                <w:rFonts w:hint="default" w:ascii="Times New Roman" w:hAnsi="Times New Roman" w:cs="Times New Roman"/>
                <w:bCs/>
                <w:sz w:val="24"/>
                <w:szCs w:val="24"/>
              </w:rPr>
              <w:t>P</w:t>
            </w:r>
            <w:r>
              <w:rPr>
                <w:rFonts w:hint="default" w:ascii="Times New Roman" w:hAnsi="Times New Roman" w:cs="Times New Roman"/>
                <w:bCs/>
                <w:sz w:val="24"/>
                <w:szCs w:val="24"/>
                <w:vertAlign w:val="subscript"/>
              </w:rPr>
              <w:t>max</w:t>
            </w:r>
            <w:r>
              <w:rPr>
                <w:rFonts w:hint="default" w:ascii="Times New Roman" w:hAnsi="Times New Roman" w:cs="Times New Roman"/>
                <w:bCs/>
                <w:sz w:val="24"/>
                <w:szCs w:val="24"/>
              </w:rPr>
              <w:t>及D</w:t>
            </w:r>
            <w:r>
              <w:rPr>
                <w:rFonts w:hint="default" w:ascii="Times New Roman" w:hAnsi="Times New Roman" w:cs="Times New Roman"/>
                <w:bCs/>
                <w:sz w:val="24"/>
                <w:szCs w:val="24"/>
                <w:vertAlign w:val="subscript"/>
              </w:rPr>
              <w:t>10%</w:t>
            </w:r>
            <w:r>
              <w:rPr>
                <w:rFonts w:hint="default" w:ascii="Times New Roman" w:hAnsi="Times New Roman" w:cs="Times New Roman"/>
                <w:bCs/>
                <w:sz w:val="24"/>
                <w:szCs w:val="24"/>
              </w:rPr>
              <w:t>的确定</w:t>
            </w:r>
          </w:p>
          <w:p>
            <w:pPr>
              <w:adjustRightInd w:val="0"/>
              <w:snapToGrid w:val="0"/>
              <w:spacing w:line="360" w:lineRule="auto"/>
              <w:ind w:firstLine="422" w:firstLineChars="176"/>
              <w:jc w:val="left"/>
              <w:rPr>
                <w:rFonts w:hint="default" w:ascii="Times New Roman" w:hAnsi="Times New Roman" w:cs="Times New Roman"/>
                <w:bCs/>
                <w:sz w:val="24"/>
                <w:szCs w:val="24"/>
              </w:rPr>
            </w:pPr>
            <w:r>
              <w:rPr>
                <w:rFonts w:hint="default" w:ascii="Times New Roman" w:hAnsi="Times New Roman" w:cs="Times New Roman"/>
                <w:bCs/>
                <w:sz w:val="24"/>
                <w:szCs w:val="24"/>
              </w:rPr>
              <w:t>依据《环境影响评价技术导则 大气环境》(HJ2.2-2018)中最大地面浓度占标率P</w:t>
            </w:r>
            <w:r>
              <w:rPr>
                <w:rFonts w:hint="default" w:ascii="Times New Roman" w:hAnsi="Times New Roman" w:cs="Times New Roman"/>
                <w:bCs/>
                <w:i/>
                <w:sz w:val="24"/>
                <w:szCs w:val="24"/>
              </w:rPr>
              <w:t>i</w:t>
            </w:r>
            <w:r>
              <w:rPr>
                <w:rFonts w:hint="default" w:ascii="Times New Roman" w:hAnsi="Times New Roman" w:cs="Times New Roman"/>
                <w:bCs/>
                <w:sz w:val="24"/>
                <w:szCs w:val="24"/>
              </w:rPr>
              <w:t>定义如下：</w:t>
            </w:r>
          </w:p>
          <w:p>
            <w:pPr>
              <w:adjustRightInd w:val="0"/>
              <w:snapToGrid w:val="0"/>
              <w:spacing w:line="360" w:lineRule="auto"/>
              <w:ind w:firstLine="422" w:firstLineChars="176"/>
              <w:jc w:val="center"/>
              <w:rPr>
                <w:rFonts w:hint="default" w:ascii="Times New Roman" w:hAnsi="Times New Roman" w:cs="Times New Roman"/>
                <w:bCs/>
                <w:sz w:val="24"/>
                <w:szCs w:val="24"/>
              </w:rPr>
            </w:pPr>
            <m:oMathPara>
              <m:oMath>
                <m:sSub>
                  <m:sSubPr>
                    <m:ctrlPr>
                      <w:rPr>
                        <w:rFonts w:hint="default" w:ascii="Cambria Math" w:hAnsi="Cambria Math" w:cs="Times New Roman"/>
                        <w:sz w:val="24"/>
                        <w:szCs w:val="24"/>
                      </w:rPr>
                    </m:ctrlPr>
                  </m:sSubPr>
                  <m:e>
                    <m:r>
                      <w:rPr>
                        <w:rFonts w:hint="default" w:ascii="Cambria Math" w:hAnsi="Cambria Math" w:cs="Times New Roman"/>
                        <w:sz w:val="24"/>
                        <w:szCs w:val="24"/>
                      </w:rPr>
                      <m:t>P</m:t>
                    </m:r>
                    <m:ctrlPr>
                      <w:rPr>
                        <w:rFonts w:hint="default" w:ascii="Cambria Math" w:hAnsi="Cambria Math" w:cs="Times New Roman"/>
                        <w:sz w:val="24"/>
                        <w:szCs w:val="24"/>
                      </w:rPr>
                    </m:ctrlPr>
                  </m:e>
                  <m:sub>
                    <m:r>
                      <w:rPr>
                        <w:rFonts w:hint="default" w:ascii="Cambria Math" w:hAnsi="Cambria Math" w:cs="Times New Roman"/>
                        <w:sz w:val="24"/>
                        <w:szCs w:val="24"/>
                      </w:rPr>
                      <m:t>i</m:t>
                    </m:r>
                    <m:ctrlPr>
                      <w:rPr>
                        <w:rFonts w:hint="default" w:ascii="Cambria Math" w:hAnsi="Cambria Math" w:cs="Times New Roman"/>
                        <w:sz w:val="24"/>
                        <w:szCs w:val="24"/>
                      </w:rPr>
                    </m:ctrlPr>
                  </m:sub>
                </m:sSub>
                <m:r>
                  <m:rPr>
                    <m:sty m:val="p"/>
                  </m:rPr>
                  <w:rPr>
                    <w:rFonts w:hint="default" w:ascii="Cambria Math" w:hAnsi="Cambria Math" w:cs="Times New Roman"/>
                    <w:sz w:val="24"/>
                    <w:szCs w:val="24"/>
                  </w:rPr>
                  <m:t>=</m:t>
                </m:r>
                <m:f>
                  <m:fPr>
                    <m:ctrlPr>
                      <w:rPr>
                        <w:rFonts w:hint="default" w:ascii="Cambria Math" w:hAnsi="Cambria Math" w:cs="Times New Roman"/>
                        <w:sz w:val="24"/>
                        <w:szCs w:val="24"/>
                      </w:rPr>
                    </m:ctrlPr>
                  </m:fPr>
                  <m:num>
                    <m:sSub>
                      <m:sSubPr>
                        <m:ctrlPr>
                          <w:rPr>
                            <w:rFonts w:hint="default" w:ascii="Cambria Math" w:hAnsi="Cambria Math" w:cs="Times New Roman"/>
                            <w:i/>
                            <w:sz w:val="24"/>
                            <w:szCs w:val="24"/>
                          </w:rPr>
                        </m:ctrlPr>
                      </m:sSubPr>
                      <m:e>
                        <m:r>
                          <w:rPr>
                            <w:rFonts w:hint="default" w:ascii="Cambria Math" w:hAnsi="Cambria Math" w:cs="Times New Roman"/>
                            <w:sz w:val="24"/>
                            <w:szCs w:val="24"/>
                          </w:rPr>
                          <m:t>C</m:t>
                        </m:r>
                        <m:ctrlPr>
                          <w:rPr>
                            <w:rFonts w:hint="default" w:ascii="Cambria Math" w:hAnsi="Cambria Math" w:cs="Times New Roman"/>
                            <w:i/>
                            <w:sz w:val="24"/>
                            <w:szCs w:val="24"/>
                          </w:rPr>
                        </m:ctrlPr>
                      </m:e>
                      <m:sub>
                        <m:r>
                          <w:rPr>
                            <w:rFonts w:hint="default" w:ascii="Cambria Math" w:hAnsi="Cambria Math" w:cs="Times New Roman"/>
                            <w:sz w:val="24"/>
                            <w:szCs w:val="24"/>
                          </w:rPr>
                          <m:t>i</m:t>
                        </m:r>
                        <m:ctrlPr>
                          <w:rPr>
                            <w:rFonts w:hint="default" w:ascii="Cambria Math" w:hAnsi="Cambria Math" w:cs="Times New Roman"/>
                            <w:i/>
                            <w:sz w:val="24"/>
                            <w:szCs w:val="24"/>
                          </w:rPr>
                        </m:ctrlPr>
                      </m:sub>
                    </m:sSub>
                    <m:ctrlPr>
                      <w:rPr>
                        <w:rFonts w:hint="default" w:ascii="Cambria Math" w:hAnsi="Cambria Math" w:cs="Times New Roman"/>
                        <w:sz w:val="24"/>
                        <w:szCs w:val="24"/>
                      </w:rPr>
                    </m:ctrlPr>
                  </m:num>
                  <m:den>
                    <m:sSub>
                      <m:sSubPr>
                        <m:ctrlPr>
                          <w:rPr>
                            <w:rFonts w:hint="default" w:ascii="Cambria Math" w:hAnsi="Cambria Math" w:cs="Times New Roman"/>
                            <w:i/>
                            <w:sz w:val="24"/>
                            <w:szCs w:val="24"/>
                          </w:rPr>
                        </m:ctrlPr>
                      </m:sSubPr>
                      <m:e>
                        <m:r>
                          <w:rPr>
                            <w:rFonts w:hint="default" w:ascii="Cambria Math" w:hAnsi="Cambria Math" w:cs="Times New Roman"/>
                            <w:sz w:val="24"/>
                            <w:szCs w:val="24"/>
                          </w:rPr>
                          <m:t>C</m:t>
                        </m:r>
                        <m:ctrlPr>
                          <w:rPr>
                            <w:rFonts w:hint="default" w:ascii="Cambria Math" w:hAnsi="Cambria Math" w:cs="Times New Roman"/>
                            <w:i/>
                            <w:sz w:val="24"/>
                            <w:szCs w:val="24"/>
                          </w:rPr>
                        </m:ctrlPr>
                      </m:e>
                      <m:sub>
                        <m:r>
                          <w:rPr>
                            <w:rFonts w:hint="default" w:ascii="Cambria Math" w:hAnsi="Cambria Math" w:cs="Times New Roman"/>
                            <w:sz w:val="24"/>
                            <w:szCs w:val="24"/>
                          </w:rPr>
                          <m:t>0i</m:t>
                        </m:r>
                        <m:ctrlPr>
                          <w:rPr>
                            <w:rFonts w:hint="default" w:ascii="Cambria Math" w:hAnsi="Cambria Math" w:cs="Times New Roman"/>
                            <w:i/>
                            <w:sz w:val="24"/>
                            <w:szCs w:val="24"/>
                          </w:rPr>
                        </m:ctrlPr>
                      </m:sub>
                    </m:sSub>
                    <m:ctrlPr>
                      <w:rPr>
                        <w:rFonts w:hint="default" w:ascii="Cambria Math" w:hAnsi="Cambria Math" w:cs="Times New Roman"/>
                        <w:sz w:val="24"/>
                        <w:szCs w:val="24"/>
                      </w:rPr>
                    </m:ctrlPr>
                  </m:den>
                </m:f>
                <m:r>
                  <w:rPr>
                    <w:rFonts w:hint="default" w:ascii="Cambria Math" w:hAnsi="Cambria Math" w:cs="Times New Roman"/>
                    <w:sz w:val="24"/>
                    <w:szCs w:val="24"/>
                  </w:rPr>
                  <m:t>×100%</m:t>
                </m:r>
              </m:oMath>
            </m:oMathPara>
          </w:p>
          <w:p>
            <w:pPr>
              <w:adjustRightInd w:val="0"/>
              <w:snapToGrid w:val="0"/>
              <w:spacing w:line="360" w:lineRule="auto"/>
              <w:ind w:firstLine="422" w:firstLineChars="176"/>
              <w:jc w:val="left"/>
              <w:rPr>
                <w:rFonts w:hint="default" w:ascii="Times New Roman" w:hAnsi="Times New Roman" w:cs="Times New Roman"/>
                <w:bCs/>
                <w:sz w:val="24"/>
                <w:szCs w:val="24"/>
              </w:rPr>
            </w:pPr>
            <m:oMath>
              <m:sSub>
                <m:sSubPr>
                  <m:ctrlPr>
                    <w:rPr>
                      <w:rFonts w:hint="default" w:ascii="Cambria Math" w:hAnsi="Cambria Math" w:cs="Times New Roman"/>
                      <w:sz w:val="24"/>
                      <w:szCs w:val="24"/>
                    </w:rPr>
                  </m:ctrlPr>
                </m:sSubPr>
                <m:e>
                  <m:r>
                    <w:rPr>
                      <w:rFonts w:hint="default" w:ascii="Cambria Math" w:hAnsi="Cambria Math" w:cs="Times New Roman"/>
                      <w:sz w:val="24"/>
                      <w:szCs w:val="24"/>
                    </w:rPr>
                    <m:t>P</m:t>
                  </m:r>
                  <m:ctrlPr>
                    <w:rPr>
                      <w:rFonts w:hint="default" w:ascii="Cambria Math" w:hAnsi="Cambria Math" w:cs="Times New Roman"/>
                      <w:sz w:val="24"/>
                      <w:szCs w:val="24"/>
                    </w:rPr>
                  </m:ctrlPr>
                </m:e>
                <m:sub>
                  <m:r>
                    <w:rPr>
                      <w:rFonts w:hint="default" w:ascii="Cambria Math" w:hAnsi="Cambria Math" w:cs="Times New Roman"/>
                      <w:sz w:val="24"/>
                      <w:szCs w:val="24"/>
                    </w:rPr>
                    <m:t>i</m:t>
                  </m:r>
                  <m:ctrlPr>
                    <w:rPr>
                      <w:rFonts w:hint="default" w:ascii="Cambria Math" w:hAnsi="Cambria Math" w:cs="Times New Roman"/>
                      <w:sz w:val="24"/>
                      <w:szCs w:val="24"/>
                    </w:rPr>
                  </m:ctrlPr>
                </m:sub>
              </m:sSub>
            </m:oMath>
            <w:r>
              <w:rPr>
                <w:rFonts w:hint="default" w:ascii="Times New Roman" w:hAnsi="Times New Roman" w:cs="Times New Roman"/>
                <w:bCs/>
                <w:sz w:val="24"/>
                <w:szCs w:val="24"/>
              </w:rPr>
              <w:t xml:space="preserve"> ——第i个污染物的最大地面空气质量浓度 占标率，%；</w:t>
            </w:r>
          </w:p>
          <w:p>
            <w:pPr>
              <w:adjustRightInd w:val="0"/>
              <w:snapToGrid w:val="0"/>
              <w:spacing w:line="360" w:lineRule="auto"/>
              <w:ind w:firstLine="422" w:firstLineChars="176"/>
              <w:jc w:val="left"/>
              <w:rPr>
                <w:rFonts w:hint="default" w:ascii="Times New Roman" w:hAnsi="Times New Roman" w:cs="Times New Roman"/>
                <w:bCs/>
                <w:sz w:val="24"/>
                <w:szCs w:val="24"/>
              </w:rPr>
            </w:pPr>
            <m:oMath>
              <m:sSub>
                <m:sSubPr>
                  <m:ctrlPr>
                    <w:rPr>
                      <w:rFonts w:hint="default" w:ascii="Cambria Math" w:hAnsi="Cambria Math" w:cs="Times New Roman"/>
                      <w:i/>
                      <w:sz w:val="24"/>
                      <w:szCs w:val="24"/>
                    </w:rPr>
                  </m:ctrlPr>
                </m:sSubPr>
                <m:e>
                  <m:r>
                    <w:rPr>
                      <w:rFonts w:hint="default" w:ascii="Cambria Math" w:hAnsi="Cambria Math" w:cs="Times New Roman"/>
                      <w:sz w:val="24"/>
                      <w:szCs w:val="24"/>
                    </w:rPr>
                    <m:t>C</m:t>
                  </m:r>
                  <m:ctrlPr>
                    <w:rPr>
                      <w:rFonts w:hint="default" w:ascii="Cambria Math" w:hAnsi="Cambria Math" w:cs="Times New Roman"/>
                      <w:i/>
                      <w:sz w:val="24"/>
                      <w:szCs w:val="24"/>
                    </w:rPr>
                  </m:ctrlPr>
                </m:e>
                <m:sub>
                  <m:r>
                    <w:rPr>
                      <w:rFonts w:hint="default" w:ascii="Cambria Math" w:hAnsi="Cambria Math" w:cs="Times New Roman"/>
                      <w:sz w:val="24"/>
                      <w:szCs w:val="24"/>
                    </w:rPr>
                    <m:t>i</m:t>
                  </m:r>
                  <m:ctrlPr>
                    <w:rPr>
                      <w:rFonts w:hint="default" w:ascii="Cambria Math" w:hAnsi="Cambria Math" w:cs="Times New Roman"/>
                      <w:i/>
                      <w:sz w:val="24"/>
                      <w:szCs w:val="24"/>
                    </w:rPr>
                  </m:ctrlPr>
                </m:sub>
              </m:sSub>
            </m:oMath>
            <w:r>
              <w:rPr>
                <w:rFonts w:hint="default" w:ascii="Times New Roman" w:hAnsi="Times New Roman" w:cs="Times New Roman"/>
                <w:bCs/>
                <w:sz w:val="24"/>
                <w:szCs w:val="24"/>
              </w:rPr>
              <w:t>——采用估算模型计算出的第i个污染物的最大1h地面空气质量浓度，μg/m</w:t>
            </w:r>
            <w:r>
              <w:rPr>
                <w:rFonts w:hint="default" w:ascii="Times New Roman" w:hAnsi="Times New Roman" w:cs="Times New Roman"/>
                <w:bCs/>
                <w:sz w:val="24"/>
                <w:szCs w:val="24"/>
                <w:vertAlign w:val="superscript"/>
              </w:rPr>
              <w:t>3</w:t>
            </w:r>
            <w:r>
              <w:rPr>
                <w:rFonts w:hint="default" w:ascii="Times New Roman" w:hAnsi="Times New Roman" w:cs="Times New Roman"/>
                <w:bCs/>
                <w:sz w:val="24"/>
                <w:szCs w:val="24"/>
              </w:rPr>
              <w:t>；</w:t>
            </w:r>
          </w:p>
          <w:p>
            <w:pPr>
              <w:adjustRightInd w:val="0"/>
              <w:snapToGrid w:val="0"/>
              <w:spacing w:line="360" w:lineRule="auto"/>
              <w:ind w:firstLine="422" w:firstLineChars="176"/>
              <w:jc w:val="left"/>
              <w:rPr>
                <w:rFonts w:hint="default" w:ascii="Times New Roman" w:hAnsi="Times New Roman" w:cs="Times New Roman"/>
                <w:bCs/>
                <w:sz w:val="24"/>
                <w:szCs w:val="24"/>
              </w:rPr>
            </w:pPr>
            <m:oMath>
              <m:sSub>
                <m:sSubPr>
                  <m:ctrlPr>
                    <w:rPr>
                      <w:rFonts w:hint="default" w:ascii="Cambria Math" w:hAnsi="Cambria Math" w:cs="Times New Roman"/>
                      <w:i/>
                      <w:sz w:val="24"/>
                      <w:szCs w:val="24"/>
                    </w:rPr>
                  </m:ctrlPr>
                </m:sSubPr>
                <m:e>
                  <m:r>
                    <w:rPr>
                      <w:rFonts w:hint="default" w:ascii="Cambria Math" w:hAnsi="Cambria Math" w:cs="Times New Roman"/>
                      <w:sz w:val="24"/>
                      <w:szCs w:val="24"/>
                    </w:rPr>
                    <m:t>C</m:t>
                  </m:r>
                  <m:ctrlPr>
                    <w:rPr>
                      <w:rFonts w:hint="default" w:ascii="Cambria Math" w:hAnsi="Cambria Math" w:cs="Times New Roman"/>
                      <w:i/>
                      <w:sz w:val="24"/>
                      <w:szCs w:val="24"/>
                    </w:rPr>
                  </m:ctrlPr>
                </m:e>
                <m:sub>
                  <m:r>
                    <w:rPr>
                      <w:rFonts w:hint="default" w:ascii="Cambria Math" w:hAnsi="Cambria Math" w:cs="Times New Roman"/>
                      <w:sz w:val="24"/>
                      <w:szCs w:val="24"/>
                    </w:rPr>
                    <m:t>0i</m:t>
                  </m:r>
                  <m:ctrlPr>
                    <w:rPr>
                      <w:rFonts w:hint="default" w:ascii="Cambria Math" w:hAnsi="Cambria Math" w:cs="Times New Roman"/>
                      <w:i/>
                      <w:sz w:val="24"/>
                      <w:szCs w:val="24"/>
                    </w:rPr>
                  </m:ctrlPr>
                </m:sub>
              </m:sSub>
            </m:oMath>
            <w:r>
              <w:rPr>
                <w:rFonts w:hint="default" w:ascii="Times New Roman" w:hAnsi="Times New Roman" w:cs="Times New Roman"/>
                <w:bCs/>
                <w:sz w:val="24"/>
                <w:szCs w:val="24"/>
              </w:rPr>
              <w:t>——第i个污染物的环境空气质量浓度标准，μg/m</w:t>
            </w:r>
            <w:r>
              <w:rPr>
                <w:rFonts w:hint="default" w:ascii="Times New Roman" w:hAnsi="Times New Roman" w:cs="Times New Roman"/>
                <w:bCs/>
                <w:sz w:val="24"/>
                <w:szCs w:val="24"/>
                <w:vertAlign w:val="superscript"/>
              </w:rPr>
              <w:t>3</w:t>
            </w:r>
            <w:r>
              <w:rPr>
                <w:rFonts w:hint="default" w:ascii="Times New Roman" w:hAnsi="Times New Roman" w:cs="Times New Roman"/>
                <w:bCs/>
                <w:sz w:val="24"/>
                <w:szCs w:val="24"/>
              </w:rPr>
              <w:t>。</w:t>
            </w:r>
          </w:p>
          <w:p>
            <w:pPr>
              <w:adjustRightInd w:val="0"/>
              <w:snapToGrid w:val="0"/>
              <w:spacing w:line="360" w:lineRule="auto"/>
              <w:ind w:firstLine="422" w:firstLineChars="176"/>
              <w:jc w:val="left"/>
              <w:rPr>
                <w:rFonts w:hint="default" w:ascii="Times New Roman" w:hAnsi="Times New Roman" w:cs="Times New Roman"/>
                <w:bCs/>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 2 \* GB3 \* MERGEFORMAT </w:instrText>
            </w:r>
            <w:r>
              <w:rPr>
                <w:rFonts w:hint="default" w:ascii="Times New Roman" w:hAnsi="Times New Roman" w:cs="Times New Roman"/>
                <w:bCs/>
                <w:sz w:val="24"/>
                <w:szCs w:val="24"/>
              </w:rPr>
              <w:fldChar w:fldCharType="separate"/>
            </w:r>
            <w:r>
              <w:rPr>
                <w:rFonts w:hint="default" w:ascii="Times New Roman" w:hAnsi="Times New Roman" w:cs="Times New Roman"/>
                <w:bCs/>
              </w:rPr>
              <w:t>②</w:t>
            </w:r>
            <w:r>
              <w:rPr>
                <w:rFonts w:hint="default" w:ascii="Times New Roman" w:hAnsi="Times New Roman" w:cs="Times New Roman"/>
                <w:bCs/>
                <w:sz w:val="24"/>
                <w:szCs w:val="24"/>
              </w:rPr>
              <w:fldChar w:fldCharType="end"/>
            </w:r>
            <w:r>
              <w:rPr>
                <w:rFonts w:hint="default" w:ascii="Times New Roman" w:hAnsi="Times New Roman" w:cs="Times New Roman"/>
                <w:bCs/>
                <w:sz w:val="24"/>
                <w:szCs w:val="24"/>
              </w:rPr>
              <w:t>评价等级判别表</w:t>
            </w:r>
          </w:p>
          <w:p>
            <w:pPr>
              <w:adjustRightInd w:val="0"/>
              <w:snapToGrid w:val="0"/>
              <w:spacing w:line="360" w:lineRule="auto"/>
              <w:ind w:firstLine="422" w:firstLineChars="176"/>
              <w:jc w:val="left"/>
              <w:rPr>
                <w:rFonts w:hint="default" w:ascii="Times New Roman" w:hAnsi="Times New Roman" w:cs="Times New Roman"/>
                <w:bCs/>
                <w:sz w:val="24"/>
                <w:szCs w:val="24"/>
              </w:rPr>
            </w:pPr>
            <w:r>
              <w:rPr>
                <w:rFonts w:hint="default" w:ascii="Times New Roman" w:hAnsi="Times New Roman" w:cs="Times New Roman"/>
                <w:bCs/>
                <w:sz w:val="24"/>
                <w:szCs w:val="24"/>
              </w:rPr>
              <w:t>评价等级按下表的分级判据进行划分。</w:t>
            </w:r>
          </w:p>
          <w:p>
            <w:pPr>
              <w:adjustRightInd w:val="0"/>
              <w:snapToGrid w:val="0"/>
              <w:spacing w:line="360" w:lineRule="auto"/>
              <w:ind w:hanging="6"/>
              <w:jc w:val="center"/>
              <w:rPr>
                <w:rFonts w:hint="default" w:ascii="Times New Roman" w:hAnsi="Times New Roman" w:cs="Times New Roman"/>
                <w:b/>
                <w:bCs/>
                <w:sz w:val="21"/>
                <w:szCs w:val="16"/>
              </w:rPr>
            </w:pPr>
            <w:r>
              <w:rPr>
                <w:rFonts w:hint="default" w:ascii="Times New Roman" w:hAnsi="Times New Roman" w:cs="Times New Roman"/>
                <w:b/>
                <w:bCs/>
                <w:sz w:val="21"/>
                <w:szCs w:val="16"/>
              </w:rPr>
              <w:t>表</w:t>
            </w:r>
            <w:r>
              <w:rPr>
                <w:rFonts w:hint="eastAsia" w:cs="Times New Roman"/>
                <w:b/>
                <w:bCs/>
                <w:sz w:val="21"/>
                <w:szCs w:val="16"/>
                <w:lang w:val="en-US" w:eastAsia="zh-CN"/>
              </w:rPr>
              <w:t>7.5-3</w:t>
            </w:r>
            <w:r>
              <w:rPr>
                <w:rFonts w:hint="default" w:ascii="Times New Roman" w:hAnsi="Times New Roman" w:cs="Times New Roman"/>
                <w:b/>
                <w:bCs/>
                <w:sz w:val="21"/>
                <w:szCs w:val="16"/>
              </w:rPr>
              <w:t xml:space="preserve">   评价等级判别表</w:t>
            </w:r>
          </w:p>
          <w:tbl>
            <w:tblPr>
              <w:tblStyle w:val="44"/>
              <w:tblW w:w="8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2"/>
              <w:gridCol w:w="4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4152" w:type="dxa"/>
                  <w:vAlign w:val="center"/>
                </w:tcPr>
                <w:p>
                  <w:pPr>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评价工作等级</w:t>
                  </w:r>
                </w:p>
              </w:tc>
              <w:tc>
                <w:tcPr>
                  <w:tcW w:w="4151" w:type="dxa"/>
                  <w:vAlign w:val="center"/>
                </w:tcPr>
                <w:p>
                  <w:pPr>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评价工作分级判据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4152" w:type="dxa"/>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一级评价</w:t>
                  </w:r>
                </w:p>
              </w:tc>
              <w:tc>
                <w:tcPr>
                  <w:tcW w:w="4151" w:type="dxa"/>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Pmax≧10%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4152" w:type="dxa"/>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二级评价</w:t>
                  </w:r>
                </w:p>
              </w:tc>
              <w:tc>
                <w:tcPr>
                  <w:tcW w:w="4151" w:type="dxa"/>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1%≦Pmax&lt;10%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4152" w:type="dxa"/>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三级评价</w:t>
                  </w:r>
                </w:p>
              </w:tc>
              <w:tc>
                <w:tcPr>
                  <w:tcW w:w="4151" w:type="dxa"/>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Pmax&lt;1%</w:t>
                  </w:r>
                </w:p>
              </w:tc>
            </w:tr>
          </w:tbl>
          <w:p>
            <w:pPr>
              <w:spacing w:line="480" w:lineRule="exact"/>
              <w:ind w:firstLine="422" w:firstLineChars="176"/>
              <w:jc w:val="left"/>
              <w:rPr>
                <w:rFonts w:hint="default" w:ascii="Times New Roman" w:hAnsi="Times New Roman" w:cs="Times New Roman"/>
                <w:bCs/>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 3 \* GB3 \* MERGEFORMAT </w:instrText>
            </w:r>
            <w:r>
              <w:rPr>
                <w:rFonts w:hint="default" w:ascii="Times New Roman" w:hAnsi="Times New Roman" w:cs="Times New Roman"/>
                <w:bCs/>
                <w:sz w:val="24"/>
                <w:szCs w:val="24"/>
              </w:rPr>
              <w:fldChar w:fldCharType="separate"/>
            </w:r>
            <w:r>
              <w:rPr>
                <w:rFonts w:hint="default" w:ascii="Times New Roman" w:hAnsi="Times New Roman" w:cs="Times New Roman"/>
                <w:bCs/>
              </w:rPr>
              <w:t>③</w:t>
            </w:r>
            <w:r>
              <w:rPr>
                <w:rFonts w:hint="default" w:ascii="Times New Roman" w:hAnsi="Times New Roman" w:cs="Times New Roman"/>
                <w:bCs/>
                <w:sz w:val="24"/>
                <w:szCs w:val="24"/>
              </w:rPr>
              <w:fldChar w:fldCharType="end"/>
            </w:r>
            <w:r>
              <w:rPr>
                <w:rFonts w:hint="default" w:ascii="Times New Roman" w:hAnsi="Times New Roman" w:cs="Times New Roman"/>
                <w:bCs/>
                <w:sz w:val="24"/>
                <w:szCs w:val="24"/>
              </w:rPr>
              <w:t>污染物评价标准</w:t>
            </w:r>
          </w:p>
          <w:p>
            <w:pPr>
              <w:spacing w:line="360" w:lineRule="auto"/>
              <w:ind w:firstLine="422" w:firstLineChars="176"/>
              <w:rPr>
                <w:rFonts w:hint="default" w:ascii="Times New Roman" w:hAnsi="Times New Roman" w:cs="Times New Roman"/>
                <w:bCs/>
                <w:sz w:val="24"/>
                <w:szCs w:val="24"/>
              </w:rPr>
            </w:pPr>
            <w:r>
              <w:rPr>
                <w:rFonts w:hint="default" w:ascii="Times New Roman" w:hAnsi="Times New Roman" w:cs="Times New Roman"/>
                <w:bCs/>
                <w:sz w:val="24"/>
                <w:szCs w:val="24"/>
              </w:rPr>
              <w:t>污染物评价标准和来源见下表。</w:t>
            </w:r>
          </w:p>
          <w:p>
            <w:pPr>
              <w:adjustRightInd w:val="0"/>
              <w:snapToGrid w:val="0"/>
              <w:spacing w:line="36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表</w:t>
            </w:r>
            <w:r>
              <w:rPr>
                <w:rFonts w:hint="eastAsia" w:cs="Times New Roman"/>
                <w:b/>
                <w:bCs/>
                <w:sz w:val="21"/>
                <w:szCs w:val="21"/>
                <w:lang w:val="en-US" w:eastAsia="zh-CN"/>
              </w:rPr>
              <w:t>7.5-4</w:t>
            </w:r>
            <w:r>
              <w:rPr>
                <w:rFonts w:hint="default" w:ascii="Times New Roman" w:hAnsi="Times New Roman" w:cs="Times New Roman"/>
                <w:b/>
                <w:bCs/>
                <w:sz w:val="21"/>
                <w:szCs w:val="21"/>
              </w:rPr>
              <w:t xml:space="preserve">  污染物评价标准</w:t>
            </w:r>
          </w:p>
          <w:tbl>
            <w:tblPr>
              <w:tblStyle w:val="44"/>
              <w:tblW w:w="8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275"/>
              <w:gridCol w:w="3207"/>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4" w:type="dxa"/>
                  <w:vAlign w:val="center"/>
                </w:tcPr>
                <w:p>
                  <w:pPr>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污染物名称</w:t>
                  </w:r>
                </w:p>
              </w:tc>
              <w:tc>
                <w:tcPr>
                  <w:tcW w:w="1275" w:type="dxa"/>
                  <w:vAlign w:val="center"/>
                </w:tcPr>
                <w:p>
                  <w:pPr>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功能区</w:t>
                  </w:r>
                </w:p>
              </w:tc>
              <w:tc>
                <w:tcPr>
                  <w:tcW w:w="3207" w:type="dxa"/>
                  <w:vAlign w:val="center"/>
                </w:tcPr>
                <w:p>
                  <w:pPr>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1小时平均质量浓度限值</w:t>
                  </w:r>
                  <w:bookmarkStart w:id="81" w:name="OLE_LINK14"/>
                  <w:bookmarkStart w:id="82" w:name="OLE_LINK15"/>
                  <w:r>
                    <w:rPr>
                      <w:rFonts w:hint="default" w:ascii="Times New Roman" w:hAnsi="Times New Roman" w:cs="Times New Roman"/>
                      <w:b/>
                      <w:bCs/>
                      <w:kern w:val="0"/>
                      <w:sz w:val="21"/>
                      <w:szCs w:val="21"/>
                    </w:rPr>
                    <w:t>(μg/m</w:t>
                  </w:r>
                  <w:r>
                    <w:rPr>
                      <w:rFonts w:hint="default" w:ascii="Times New Roman" w:hAnsi="Times New Roman" w:cs="Times New Roman"/>
                      <w:b/>
                      <w:bCs/>
                      <w:kern w:val="0"/>
                      <w:sz w:val="21"/>
                      <w:szCs w:val="21"/>
                      <w:vertAlign w:val="superscript"/>
                    </w:rPr>
                    <w:t>3</w:t>
                  </w:r>
                  <w:r>
                    <w:rPr>
                      <w:rFonts w:hint="default" w:ascii="Times New Roman" w:hAnsi="Times New Roman" w:cs="Times New Roman"/>
                      <w:b/>
                      <w:bCs/>
                      <w:kern w:val="0"/>
                      <w:sz w:val="21"/>
                      <w:szCs w:val="21"/>
                    </w:rPr>
                    <w:t>)</w:t>
                  </w:r>
                  <w:bookmarkEnd w:id="81"/>
                  <w:bookmarkEnd w:id="82"/>
                </w:p>
              </w:tc>
              <w:tc>
                <w:tcPr>
                  <w:tcW w:w="2267" w:type="dxa"/>
                  <w:vAlign w:val="center"/>
                </w:tcPr>
                <w:p>
                  <w:pPr>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554" w:type="dxa"/>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TSP</w:t>
                  </w:r>
                </w:p>
              </w:tc>
              <w:tc>
                <w:tcPr>
                  <w:tcW w:w="1275" w:type="dxa"/>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二类限区</w:t>
                  </w:r>
                </w:p>
              </w:tc>
              <w:tc>
                <w:tcPr>
                  <w:tcW w:w="3207" w:type="dxa"/>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900</w:t>
                  </w:r>
                </w:p>
              </w:tc>
              <w:tc>
                <w:tcPr>
                  <w:tcW w:w="2267" w:type="dxa"/>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根据GB 3095-2012，按TSP日均值的3倍折算</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④估算模型参数表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val="0"/>
                <w:sz w:val="21"/>
                <w:szCs w:val="21"/>
              </w:rPr>
            </w:pPr>
            <w:r>
              <w:rPr>
                <w:rFonts w:hint="eastAsia" w:asciiTheme="minorEastAsia" w:hAnsiTheme="minorEastAsia" w:eastAsiaTheme="minorEastAsia" w:cstheme="minorEastAsia"/>
                <w:b/>
                <w:bCs w:val="0"/>
                <w:sz w:val="21"/>
                <w:szCs w:val="21"/>
              </w:rPr>
              <w:t>表</w:t>
            </w:r>
            <w:r>
              <w:rPr>
                <w:rFonts w:hint="eastAsia" w:asciiTheme="minorEastAsia" w:hAnsiTheme="minorEastAsia" w:eastAsiaTheme="minorEastAsia" w:cstheme="minorEastAsia"/>
                <w:b/>
                <w:bCs w:val="0"/>
                <w:sz w:val="21"/>
                <w:szCs w:val="21"/>
                <w:lang w:val="en-US" w:eastAsia="zh-CN"/>
              </w:rPr>
              <w:t>7.5-5</w:t>
            </w:r>
            <w:r>
              <w:rPr>
                <w:rFonts w:hint="eastAsia" w:asciiTheme="minorEastAsia" w:hAnsiTheme="minorEastAsia" w:eastAsiaTheme="minorEastAsia" w:cstheme="minorEastAsia"/>
                <w:b/>
                <w:bCs w:val="0"/>
                <w:sz w:val="21"/>
                <w:szCs w:val="21"/>
              </w:rPr>
              <w:t xml:space="preserve">  估算模型参数表</w:t>
            </w:r>
          </w:p>
          <w:tbl>
            <w:tblPr>
              <w:tblStyle w:val="43"/>
              <w:tblW w:w="8306" w:type="dxa"/>
              <w:jc w:val="center"/>
              <w:tblInd w:w="0" w:type="dxa"/>
              <w:tblLayout w:type="fixed"/>
              <w:tblCellMar>
                <w:top w:w="0" w:type="dxa"/>
                <w:left w:w="28" w:type="dxa"/>
                <w:bottom w:w="0" w:type="dxa"/>
                <w:right w:w="28" w:type="dxa"/>
              </w:tblCellMar>
            </w:tblPr>
            <w:tblGrid>
              <w:gridCol w:w="2236"/>
              <w:gridCol w:w="2590"/>
              <w:gridCol w:w="3480"/>
            </w:tblGrid>
            <w:tr>
              <w:tblPrEx>
                <w:tblLayout w:type="fixed"/>
                <w:tblCellMar>
                  <w:top w:w="0" w:type="dxa"/>
                  <w:left w:w="28" w:type="dxa"/>
                  <w:bottom w:w="0" w:type="dxa"/>
                  <w:right w:w="28" w:type="dxa"/>
                </w:tblCellMar>
              </w:tblPrEx>
              <w:trPr>
                <w:trHeight w:val="20" w:hRule="atLeast"/>
                <w:jc w:val="center"/>
              </w:trPr>
              <w:tc>
                <w:tcPr>
                  <w:tcW w:w="4826" w:type="dxa"/>
                  <w:gridSpan w:val="2"/>
                  <w:tcBorders>
                    <w:top w:val="single" w:color="auto" w:sz="4" w:space="0"/>
                    <w:bottom w:val="single" w:color="auto" w:sz="4" w:space="0"/>
                    <w:right w:val="single" w:color="auto" w:sz="4" w:space="0"/>
                  </w:tcBorders>
                  <w:noWrap w:val="0"/>
                  <w:vAlign w:val="center"/>
                </w:tcPr>
                <w:p>
                  <w:pPr>
                    <w:adjustRightInd w:val="0"/>
                    <w:snapToGrid w:val="0"/>
                    <w:spacing w:line="273" w:lineRule="auto"/>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参数</w:t>
                  </w:r>
                </w:p>
              </w:tc>
              <w:tc>
                <w:tcPr>
                  <w:tcW w:w="3480" w:type="dxa"/>
                  <w:tcBorders>
                    <w:top w:val="single" w:color="auto" w:sz="4" w:space="0"/>
                    <w:left w:val="single" w:color="auto" w:sz="4" w:space="0"/>
                    <w:bottom w:val="single" w:color="auto" w:sz="4" w:space="0"/>
                  </w:tcBorders>
                  <w:noWrap w:val="0"/>
                  <w:vAlign w:val="center"/>
                </w:tcPr>
                <w:p>
                  <w:pPr>
                    <w:adjustRightInd w:val="0"/>
                    <w:snapToGrid w:val="0"/>
                    <w:spacing w:line="273" w:lineRule="auto"/>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取值</w:t>
                  </w:r>
                </w:p>
              </w:tc>
            </w:tr>
            <w:tr>
              <w:tblPrEx>
                <w:tblLayout w:type="fixed"/>
                <w:tblCellMar>
                  <w:top w:w="0" w:type="dxa"/>
                  <w:left w:w="28" w:type="dxa"/>
                  <w:bottom w:w="0" w:type="dxa"/>
                  <w:right w:w="28" w:type="dxa"/>
                </w:tblCellMar>
              </w:tblPrEx>
              <w:trPr>
                <w:trHeight w:val="20" w:hRule="atLeast"/>
                <w:jc w:val="center"/>
              </w:trPr>
              <w:tc>
                <w:tcPr>
                  <w:tcW w:w="2236" w:type="dxa"/>
                  <w:vMerge w:val="restart"/>
                  <w:tcBorders>
                    <w:top w:val="nil"/>
                    <w:bottom w:val="single" w:color="auto" w:sz="4" w:space="0"/>
                    <w:right w:val="single" w:color="auto" w:sz="4" w:space="0"/>
                  </w:tcBorders>
                  <w:noWrap w:val="0"/>
                  <w:vAlign w:val="center"/>
                </w:tcPr>
                <w:p>
                  <w:pPr>
                    <w:adjustRightInd w:val="0"/>
                    <w:snapToGrid w:val="0"/>
                    <w:spacing w:line="273" w:lineRule="auto"/>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城市/农村选项</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3" w:lineRule="auto"/>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城市/农村</w:t>
                  </w:r>
                </w:p>
              </w:tc>
              <w:tc>
                <w:tcPr>
                  <w:tcW w:w="3480" w:type="dxa"/>
                  <w:tcBorders>
                    <w:top w:val="single" w:color="auto" w:sz="4" w:space="0"/>
                    <w:left w:val="single" w:color="auto" w:sz="4" w:space="0"/>
                    <w:bottom w:val="single" w:color="auto" w:sz="4" w:space="0"/>
                  </w:tcBorders>
                  <w:noWrap w:val="0"/>
                  <w:vAlign w:val="center"/>
                </w:tcPr>
                <w:p>
                  <w:pPr>
                    <w:adjustRightInd w:val="0"/>
                    <w:snapToGrid w:val="0"/>
                    <w:spacing w:line="273" w:lineRule="auto"/>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农村</w:t>
                  </w:r>
                </w:p>
              </w:tc>
            </w:tr>
            <w:tr>
              <w:tblPrEx>
                <w:tblLayout w:type="fixed"/>
                <w:tblCellMar>
                  <w:top w:w="0" w:type="dxa"/>
                  <w:left w:w="28" w:type="dxa"/>
                  <w:bottom w:w="0" w:type="dxa"/>
                  <w:right w:w="28" w:type="dxa"/>
                </w:tblCellMar>
              </w:tblPrEx>
              <w:trPr>
                <w:trHeight w:val="20" w:hRule="atLeast"/>
                <w:jc w:val="center"/>
              </w:trPr>
              <w:tc>
                <w:tcPr>
                  <w:tcW w:w="2236" w:type="dxa"/>
                  <w:vMerge w:val="continue"/>
                  <w:tcBorders>
                    <w:top w:val="nil"/>
                    <w:bottom w:val="single" w:color="auto" w:sz="4" w:space="0"/>
                    <w:right w:val="single" w:color="auto" w:sz="4" w:space="0"/>
                  </w:tcBorders>
                  <w:noWrap w:val="0"/>
                  <w:vAlign w:val="center"/>
                </w:tcPr>
                <w:p>
                  <w:pPr>
                    <w:widowControl/>
                    <w:jc w:val="left"/>
                    <w:rPr>
                      <w:rFonts w:hint="default" w:ascii="Times New Roman" w:hAnsi="Times New Roman" w:cs="Times New Roman"/>
                      <w:sz w:val="21"/>
                      <w:szCs w:val="21"/>
                    </w:rPr>
                  </w:pPr>
                </w:p>
              </w:tc>
              <w:tc>
                <w:tcPr>
                  <w:tcW w:w="2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3" w:lineRule="auto"/>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人口数(城市人口数)</w:t>
                  </w:r>
                </w:p>
              </w:tc>
              <w:tc>
                <w:tcPr>
                  <w:tcW w:w="3480" w:type="dxa"/>
                  <w:tcBorders>
                    <w:top w:val="single" w:color="auto" w:sz="4" w:space="0"/>
                    <w:left w:val="single" w:color="auto" w:sz="4" w:space="0"/>
                    <w:bottom w:val="single" w:color="auto" w:sz="4" w:space="0"/>
                  </w:tcBorders>
                  <w:noWrap w:val="0"/>
                  <w:vAlign w:val="center"/>
                </w:tcPr>
                <w:p>
                  <w:pPr>
                    <w:adjustRightInd w:val="0"/>
                    <w:snapToGrid w:val="0"/>
                    <w:spacing w:line="273" w:lineRule="auto"/>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Layout w:type="fixed"/>
                <w:tblCellMar>
                  <w:top w:w="0" w:type="dxa"/>
                  <w:left w:w="28" w:type="dxa"/>
                  <w:bottom w:w="0" w:type="dxa"/>
                  <w:right w:w="28" w:type="dxa"/>
                </w:tblCellMar>
              </w:tblPrEx>
              <w:trPr>
                <w:trHeight w:val="20" w:hRule="atLeast"/>
                <w:jc w:val="center"/>
              </w:trPr>
              <w:tc>
                <w:tcPr>
                  <w:tcW w:w="4826" w:type="dxa"/>
                  <w:gridSpan w:val="2"/>
                  <w:tcBorders>
                    <w:top w:val="single" w:color="auto" w:sz="4" w:space="0"/>
                    <w:bottom w:val="single" w:color="auto" w:sz="4" w:space="0"/>
                    <w:right w:val="single" w:color="auto" w:sz="4" w:space="0"/>
                  </w:tcBorders>
                  <w:noWrap w:val="0"/>
                  <w:vAlign w:val="center"/>
                </w:tcPr>
                <w:p>
                  <w:pPr>
                    <w:adjustRightInd w:val="0"/>
                    <w:snapToGrid w:val="0"/>
                    <w:spacing w:line="273" w:lineRule="auto"/>
                    <w:ind w:firstLine="420" w:firstLineChars="200"/>
                    <w:jc w:val="center"/>
                    <w:rPr>
                      <w:rFonts w:hint="default" w:ascii="Times New Roman" w:hAnsi="Times New Roman" w:eastAsia="Yu Mincho" w:cs="Times New Roman"/>
                      <w:sz w:val="21"/>
                      <w:szCs w:val="21"/>
                    </w:rPr>
                  </w:pPr>
                  <w:r>
                    <w:rPr>
                      <w:rFonts w:hint="default" w:ascii="Times New Roman" w:hAnsi="Times New Roman" w:cs="Times New Roman"/>
                      <w:sz w:val="21"/>
                      <w:szCs w:val="21"/>
                    </w:rPr>
                    <w:t>最高环境温度/℃</w:t>
                  </w:r>
                </w:p>
              </w:tc>
              <w:tc>
                <w:tcPr>
                  <w:tcW w:w="3480" w:type="dxa"/>
                  <w:tcBorders>
                    <w:top w:val="single" w:color="auto" w:sz="4" w:space="0"/>
                    <w:left w:val="single" w:color="auto" w:sz="4" w:space="0"/>
                    <w:bottom w:val="single" w:color="auto" w:sz="4" w:space="0"/>
                  </w:tcBorders>
                  <w:noWrap w:val="0"/>
                  <w:vAlign w:val="center"/>
                </w:tcPr>
                <w:p>
                  <w:pPr>
                    <w:adjustRightInd w:val="0"/>
                    <w:snapToGrid w:val="0"/>
                    <w:spacing w:line="273" w:lineRule="auto"/>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40.7</w:t>
                  </w:r>
                </w:p>
              </w:tc>
            </w:tr>
            <w:tr>
              <w:tblPrEx>
                <w:tblLayout w:type="fixed"/>
                <w:tblCellMar>
                  <w:top w:w="0" w:type="dxa"/>
                  <w:left w:w="28" w:type="dxa"/>
                  <w:bottom w:w="0" w:type="dxa"/>
                  <w:right w:w="28" w:type="dxa"/>
                </w:tblCellMar>
              </w:tblPrEx>
              <w:trPr>
                <w:trHeight w:val="20" w:hRule="atLeast"/>
                <w:jc w:val="center"/>
              </w:trPr>
              <w:tc>
                <w:tcPr>
                  <w:tcW w:w="4826" w:type="dxa"/>
                  <w:gridSpan w:val="2"/>
                  <w:tcBorders>
                    <w:top w:val="single" w:color="auto" w:sz="4" w:space="0"/>
                    <w:bottom w:val="single" w:color="auto" w:sz="4" w:space="0"/>
                    <w:right w:val="single" w:color="auto" w:sz="4" w:space="0"/>
                  </w:tcBorders>
                  <w:noWrap w:val="0"/>
                  <w:vAlign w:val="center"/>
                </w:tcPr>
                <w:p>
                  <w:pPr>
                    <w:adjustRightInd w:val="0"/>
                    <w:snapToGrid w:val="0"/>
                    <w:spacing w:line="273" w:lineRule="auto"/>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最低环境温度/℃</w:t>
                  </w:r>
                </w:p>
              </w:tc>
              <w:tc>
                <w:tcPr>
                  <w:tcW w:w="3480" w:type="dxa"/>
                  <w:tcBorders>
                    <w:top w:val="single" w:color="auto" w:sz="4" w:space="0"/>
                    <w:left w:val="single" w:color="auto" w:sz="4" w:space="0"/>
                    <w:bottom w:val="single" w:color="auto" w:sz="4" w:space="0"/>
                  </w:tcBorders>
                  <w:noWrap w:val="0"/>
                  <w:vAlign w:val="center"/>
                </w:tcPr>
                <w:p>
                  <w:pPr>
                    <w:adjustRightInd w:val="0"/>
                    <w:snapToGrid w:val="0"/>
                    <w:spacing w:line="273" w:lineRule="auto"/>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-15</w:t>
                  </w:r>
                </w:p>
              </w:tc>
            </w:tr>
            <w:tr>
              <w:tblPrEx>
                <w:tblLayout w:type="fixed"/>
                <w:tblCellMar>
                  <w:top w:w="0" w:type="dxa"/>
                  <w:left w:w="28" w:type="dxa"/>
                  <w:bottom w:w="0" w:type="dxa"/>
                  <w:right w:w="28" w:type="dxa"/>
                </w:tblCellMar>
              </w:tblPrEx>
              <w:trPr>
                <w:trHeight w:val="20" w:hRule="atLeast"/>
                <w:jc w:val="center"/>
              </w:trPr>
              <w:tc>
                <w:tcPr>
                  <w:tcW w:w="4826" w:type="dxa"/>
                  <w:gridSpan w:val="2"/>
                  <w:tcBorders>
                    <w:top w:val="single" w:color="auto" w:sz="4" w:space="0"/>
                    <w:bottom w:val="single" w:color="auto" w:sz="4" w:space="0"/>
                    <w:right w:val="single" w:color="auto" w:sz="4" w:space="0"/>
                  </w:tcBorders>
                  <w:noWrap w:val="0"/>
                  <w:vAlign w:val="center"/>
                </w:tcPr>
                <w:p>
                  <w:pPr>
                    <w:adjustRightInd w:val="0"/>
                    <w:snapToGrid w:val="0"/>
                    <w:spacing w:line="273" w:lineRule="auto"/>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土地利用类型</w:t>
                  </w:r>
                </w:p>
              </w:tc>
              <w:tc>
                <w:tcPr>
                  <w:tcW w:w="3480" w:type="dxa"/>
                  <w:tcBorders>
                    <w:top w:val="single" w:color="auto" w:sz="4" w:space="0"/>
                    <w:left w:val="single" w:color="auto" w:sz="4" w:space="0"/>
                    <w:bottom w:val="single" w:color="auto" w:sz="4" w:space="0"/>
                  </w:tcBorders>
                  <w:noWrap w:val="0"/>
                  <w:vAlign w:val="center"/>
                </w:tcPr>
                <w:p>
                  <w:pPr>
                    <w:adjustRightInd w:val="0"/>
                    <w:snapToGrid w:val="0"/>
                    <w:spacing w:line="273" w:lineRule="auto"/>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农田</w:t>
                  </w:r>
                </w:p>
              </w:tc>
            </w:tr>
            <w:tr>
              <w:tblPrEx>
                <w:tblLayout w:type="fixed"/>
                <w:tblCellMar>
                  <w:top w:w="0" w:type="dxa"/>
                  <w:left w:w="28" w:type="dxa"/>
                  <w:bottom w:w="0" w:type="dxa"/>
                  <w:right w:w="28" w:type="dxa"/>
                </w:tblCellMar>
              </w:tblPrEx>
              <w:trPr>
                <w:trHeight w:val="20" w:hRule="atLeast"/>
                <w:jc w:val="center"/>
              </w:trPr>
              <w:tc>
                <w:tcPr>
                  <w:tcW w:w="4826" w:type="dxa"/>
                  <w:gridSpan w:val="2"/>
                  <w:tcBorders>
                    <w:top w:val="single" w:color="auto" w:sz="4" w:space="0"/>
                    <w:bottom w:val="single" w:color="auto" w:sz="4" w:space="0"/>
                    <w:right w:val="single" w:color="auto" w:sz="4" w:space="0"/>
                  </w:tcBorders>
                  <w:noWrap w:val="0"/>
                  <w:vAlign w:val="center"/>
                </w:tcPr>
                <w:p>
                  <w:pPr>
                    <w:adjustRightInd w:val="0"/>
                    <w:snapToGrid w:val="0"/>
                    <w:spacing w:line="273" w:lineRule="auto"/>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区域湿度条件</w:t>
                  </w:r>
                </w:p>
              </w:tc>
              <w:tc>
                <w:tcPr>
                  <w:tcW w:w="3480" w:type="dxa"/>
                  <w:tcBorders>
                    <w:top w:val="single" w:color="auto" w:sz="4" w:space="0"/>
                    <w:left w:val="single" w:color="auto" w:sz="4" w:space="0"/>
                    <w:bottom w:val="single" w:color="auto" w:sz="4" w:space="0"/>
                  </w:tcBorders>
                  <w:noWrap w:val="0"/>
                  <w:vAlign w:val="center"/>
                </w:tcPr>
                <w:p>
                  <w:pPr>
                    <w:adjustRightInd w:val="0"/>
                    <w:snapToGrid w:val="0"/>
                    <w:spacing w:line="273" w:lineRule="auto"/>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中等湿度</w:t>
                  </w:r>
                </w:p>
              </w:tc>
            </w:tr>
            <w:tr>
              <w:tblPrEx>
                <w:tblLayout w:type="fixed"/>
                <w:tblCellMar>
                  <w:top w:w="0" w:type="dxa"/>
                  <w:left w:w="28" w:type="dxa"/>
                  <w:bottom w:w="0" w:type="dxa"/>
                  <w:right w:w="28" w:type="dxa"/>
                </w:tblCellMar>
              </w:tblPrEx>
              <w:trPr>
                <w:trHeight w:val="20" w:hRule="atLeast"/>
                <w:jc w:val="center"/>
              </w:trPr>
              <w:tc>
                <w:tcPr>
                  <w:tcW w:w="2236" w:type="dxa"/>
                  <w:vMerge w:val="restart"/>
                  <w:tcBorders>
                    <w:top w:val="nil"/>
                    <w:bottom w:val="single" w:color="auto" w:sz="4" w:space="0"/>
                    <w:right w:val="single" w:color="auto" w:sz="4" w:space="0"/>
                  </w:tcBorders>
                  <w:noWrap w:val="0"/>
                  <w:vAlign w:val="center"/>
                </w:tcPr>
                <w:p>
                  <w:pPr>
                    <w:adjustRightInd w:val="0"/>
                    <w:snapToGrid w:val="0"/>
                    <w:spacing w:line="273" w:lineRule="auto"/>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是否考虑地形</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3" w:lineRule="auto"/>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考虑地形</w:t>
                  </w:r>
                </w:p>
              </w:tc>
              <w:tc>
                <w:tcPr>
                  <w:tcW w:w="3480" w:type="dxa"/>
                  <w:tcBorders>
                    <w:top w:val="single" w:color="auto" w:sz="4" w:space="0"/>
                    <w:left w:val="single" w:color="auto" w:sz="4" w:space="0"/>
                    <w:bottom w:val="single" w:color="auto" w:sz="4" w:space="0"/>
                  </w:tcBorders>
                  <w:noWrap w:val="0"/>
                  <w:vAlign w:val="center"/>
                </w:tcPr>
                <w:p>
                  <w:pPr>
                    <w:adjustRightInd w:val="0"/>
                    <w:snapToGrid w:val="0"/>
                    <w:spacing w:line="273" w:lineRule="auto"/>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否</w:t>
                  </w:r>
                </w:p>
              </w:tc>
            </w:tr>
            <w:tr>
              <w:tblPrEx>
                <w:tblLayout w:type="fixed"/>
                <w:tblCellMar>
                  <w:top w:w="0" w:type="dxa"/>
                  <w:left w:w="28" w:type="dxa"/>
                  <w:bottom w:w="0" w:type="dxa"/>
                  <w:right w:w="28" w:type="dxa"/>
                </w:tblCellMar>
              </w:tblPrEx>
              <w:trPr>
                <w:trHeight w:val="20" w:hRule="atLeast"/>
                <w:jc w:val="center"/>
              </w:trPr>
              <w:tc>
                <w:tcPr>
                  <w:tcW w:w="2236" w:type="dxa"/>
                  <w:vMerge w:val="continue"/>
                  <w:tcBorders>
                    <w:top w:val="nil"/>
                    <w:bottom w:val="single" w:color="auto" w:sz="4" w:space="0"/>
                    <w:right w:val="single" w:color="auto" w:sz="4" w:space="0"/>
                  </w:tcBorders>
                  <w:noWrap w:val="0"/>
                  <w:vAlign w:val="center"/>
                </w:tcPr>
                <w:p>
                  <w:pPr>
                    <w:widowControl/>
                    <w:jc w:val="left"/>
                    <w:rPr>
                      <w:rFonts w:hint="default" w:ascii="Times New Roman" w:hAnsi="Times New Roman" w:cs="Times New Roman"/>
                      <w:sz w:val="21"/>
                      <w:szCs w:val="21"/>
                    </w:rPr>
                  </w:pPr>
                </w:p>
              </w:tc>
              <w:tc>
                <w:tcPr>
                  <w:tcW w:w="2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3" w:lineRule="auto"/>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地形数据分辨率(m)</w:t>
                  </w:r>
                </w:p>
              </w:tc>
              <w:tc>
                <w:tcPr>
                  <w:tcW w:w="3480" w:type="dxa"/>
                  <w:tcBorders>
                    <w:top w:val="single" w:color="auto" w:sz="4" w:space="0"/>
                    <w:left w:val="single" w:color="auto" w:sz="4" w:space="0"/>
                    <w:bottom w:val="single" w:color="auto" w:sz="4" w:space="0"/>
                  </w:tcBorders>
                  <w:noWrap w:val="0"/>
                  <w:vAlign w:val="center"/>
                </w:tcPr>
                <w:p>
                  <w:pPr>
                    <w:adjustRightInd w:val="0"/>
                    <w:snapToGrid w:val="0"/>
                    <w:spacing w:line="273" w:lineRule="auto"/>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Layout w:type="fixed"/>
                <w:tblCellMar>
                  <w:top w:w="0" w:type="dxa"/>
                  <w:left w:w="28" w:type="dxa"/>
                  <w:bottom w:w="0" w:type="dxa"/>
                  <w:right w:w="28" w:type="dxa"/>
                </w:tblCellMar>
              </w:tblPrEx>
              <w:trPr>
                <w:trHeight w:val="20" w:hRule="atLeast"/>
                <w:jc w:val="center"/>
              </w:trPr>
              <w:tc>
                <w:tcPr>
                  <w:tcW w:w="2236" w:type="dxa"/>
                  <w:vMerge w:val="restart"/>
                  <w:tcBorders>
                    <w:top w:val="nil"/>
                    <w:bottom w:val="single" w:color="auto" w:sz="4" w:space="0"/>
                    <w:right w:val="single" w:color="auto" w:sz="4" w:space="0"/>
                  </w:tcBorders>
                  <w:noWrap w:val="0"/>
                  <w:vAlign w:val="center"/>
                </w:tcPr>
                <w:p>
                  <w:pPr>
                    <w:adjustRightInd w:val="0"/>
                    <w:snapToGrid w:val="0"/>
                    <w:spacing w:line="273" w:lineRule="auto"/>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是否考虑海岸线熏烟</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3" w:lineRule="auto"/>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考虑海岸线熏烟</w:t>
                  </w:r>
                </w:p>
              </w:tc>
              <w:tc>
                <w:tcPr>
                  <w:tcW w:w="3480" w:type="dxa"/>
                  <w:tcBorders>
                    <w:top w:val="single" w:color="auto" w:sz="4" w:space="0"/>
                    <w:left w:val="single" w:color="auto" w:sz="4" w:space="0"/>
                    <w:bottom w:val="single" w:color="auto" w:sz="4" w:space="0"/>
                  </w:tcBorders>
                  <w:noWrap w:val="0"/>
                  <w:vAlign w:val="center"/>
                </w:tcPr>
                <w:p>
                  <w:pPr>
                    <w:adjustRightInd w:val="0"/>
                    <w:snapToGrid w:val="0"/>
                    <w:spacing w:line="273" w:lineRule="auto"/>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否</w:t>
                  </w:r>
                </w:p>
              </w:tc>
            </w:tr>
            <w:tr>
              <w:tblPrEx>
                <w:tblLayout w:type="fixed"/>
                <w:tblCellMar>
                  <w:top w:w="0" w:type="dxa"/>
                  <w:left w:w="28" w:type="dxa"/>
                  <w:bottom w:w="0" w:type="dxa"/>
                  <w:right w:w="28" w:type="dxa"/>
                </w:tblCellMar>
              </w:tblPrEx>
              <w:trPr>
                <w:trHeight w:val="20" w:hRule="atLeast"/>
                <w:jc w:val="center"/>
              </w:trPr>
              <w:tc>
                <w:tcPr>
                  <w:tcW w:w="2236" w:type="dxa"/>
                  <w:vMerge w:val="continue"/>
                  <w:tcBorders>
                    <w:top w:val="nil"/>
                    <w:bottom w:val="single" w:color="auto" w:sz="4" w:space="0"/>
                    <w:right w:val="single" w:color="auto" w:sz="4" w:space="0"/>
                  </w:tcBorders>
                  <w:noWrap w:val="0"/>
                  <w:vAlign w:val="center"/>
                </w:tcPr>
                <w:p>
                  <w:pPr>
                    <w:widowControl/>
                    <w:jc w:val="left"/>
                    <w:rPr>
                      <w:rFonts w:hint="default" w:ascii="Times New Roman" w:hAnsi="Times New Roman" w:cs="Times New Roman"/>
                      <w:sz w:val="21"/>
                      <w:szCs w:val="21"/>
                    </w:rPr>
                  </w:pPr>
                </w:p>
              </w:tc>
              <w:tc>
                <w:tcPr>
                  <w:tcW w:w="2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3" w:lineRule="auto"/>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海岸线距离/km</w:t>
                  </w:r>
                </w:p>
              </w:tc>
              <w:tc>
                <w:tcPr>
                  <w:tcW w:w="3480" w:type="dxa"/>
                  <w:tcBorders>
                    <w:top w:val="single" w:color="auto" w:sz="4" w:space="0"/>
                    <w:left w:val="single" w:color="auto" w:sz="4" w:space="0"/>
                    <w:bottom w:val="single" w:color="auto" w:sz="4" w:space="0"/>
                  </w:tcBorders>
                  <w:noWrap w:val="0"/>
                  <w:vAlign w:val="center"/>
                </w:tcPr>
                <w:p>
                  <w:pPr>
                    <w:adjustRightInd w:val="0"/>
                    <w:snapToGrid w:val="0"/>
                    <w:spacing w:line="273" w:lineRule="auto"/>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Layout w:type="fixed"/>
                <w:tblCellMar>
                  <w:top w:w="0" w:type="dxa"/>
                  <w:left w:w="28" w:type="dxa"/>
                  <w:bottom w:w="0" w:type="dxa"/>
                  <w:right w:w="28" w:type="dxa"/>
                </w:tblCellMar>
              </w:tblPrEx>
              <w:trPr>
                <w:trHeight w:val="20" w:hRule="atLeast"/>
                <w:jc w:val="center"/>
              </w:trPr>
              <w:tc>
                <w:tcPr>
                  <w:tcW w:w="2236" w:type="dxa"/>
                  <w:vMerge w:val="continue"/>
                  <w:tcBorders>
                    <w:top w:val="nil"/>
                    <w:bottom w:val="single" w:color="auto" w:sz="4" w:space="0"/>
                    <w:right w:val="single" w:color="auto" w:sz="4" w:space="0"/>
                  </w:tcBorders>
                  <w:noWrap w:val="0"/>
                  <w:vAlign w:val="center"/>
                </w:tcPr>
                <w:p>
                  <w:pPr>
                    <w:widowControl/>
                    <w:jc w:val="left"/>
                    <w:rPr>
                      <w:rFonts w:hint="default" w:ascii="Times New Roman" w:hAnsi="Times New Roman" w:cs="Times New Roman"/>
                      <w:sz w:val="21"/>
                      <w:szCs w:val="21"/>
                    </w:rPr>
                  </w:pPr>
                </w:p>
              </w:tc>
              <w:tc>
                <w:tcPr>
                  <w:tcW w:w="2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3" w:lineRule="auto"/>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海岸线方向/</w:t>
                  </w:r>
                  <w:r>
                    <w:rPr>
                      <w:rFonts w:hint="default" w:ascii="Times New Roman" w:hAnsi="Times New Roman" w:cs="Times New Roman"/>
                      <w:sz w:val="21"/>
                      <w:szCs w:val="21"/>
                      <w:vertAlign w:val="superscript"/>
                    </w:rPr>
                    <w:t>o</w:t>
                  </w:r>
                </w:p>
              </w:tc>
              <w:tc>
                <w:tcPr>
                  <w:tcW w:w="3480" w:type="dxa"/>
                  <w:tcBorders>
                    <w:top w:val="single" w:color="auto" w:sz="4" w:space="0"/>
                    <w:left w:val="single" w:color="auto" w:sz="4" w:space="0"/>
                    <w:bottom w:val="single" w:color="auto" w:sz="4" w:space="0"/>
                  </w:tcBorders>
                  <w:noWrap w:val="0"/>
                  <w:vAlign w:val="center"/>
                </w:tcPr>
                <w:p>
                  <w:pPr>
                    <w:adjustRightInd w:val="0"/>
                    <w:snapToGrid w:val="0"/>
                    <w:spacing w:line="273" w:lineRule="auto"/>
                    <w:ind w:firstLine="420" w:firstLineChars="200"/>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bl>
          <w:p>
            <w:pPr>
              <w:spacing w:line="360" w:lineRule="auto"/>
              <w:ind w:left="422"/>
              <w:rPr>
                <w:rFonts w:hint="default" w:ascii="Times New Roman" w:hAnsi="Times New Roman" w:cs="Times New Roman"/>
                <w:bCs/>
                <w:sz w:val="24"/>
                <w:szCs w:val="24"/>
              </w:rPr>
            </w:pPr>
            <w:r>
              <w:rPr>
                <w:rFonts w:hint="default" w:ascii="Times New Roman" w:hAnsi="Times New Roman" w:cs="Times New Roman"/>
                <w:bCs/>
                <w:sz w:val="24"/>
                <w:szCs w:val="24"/>
              </w:rPr>
              <w:t>（3）估算模型计算结果</w:t>
            </w:r>
          </w:p>
          <w:p>
            <w:pPr>
              <w:adjustRightInd w:val="0"/>
              <w:snapToGrid w:val="0"/>
              <w:spacing w:line="36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表</w:t>
            </w:r>
            <w:r>
              <w:rPr>
                <w:rFonts w:hint="eastAsia" w:cs="Times New Roman"/>
                <w:b/>
                <w:bCs/>
                <w:sz w:val="21"/>
                <w:szCs w:val="21"/>
                <w:lang w:val="en-US" w:eastAsia="zh-CN"/>
              </w:rPr>
              <w:t>7.5-5</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点源估算模型预测结果</w:t>
            </w:r>
          </w:p>
          <w:tbl>
            <w:tblPr>
              <w:tblStyle w:val="43"/>
              <w:tblW w:w="83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1"/>
              <w:gridCol w:w="1223"/>
              <w:gridCol w:w="1946"/>
              <w:gridCol w:w="1740"/>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1221" w:type="dxa"/>
                  <w:vAlign w:val="center"/>
                </w:tcPr>
                <w:p>
                  <w:pPr>
                    <w:widowControl/>
                    <w:jc w:val="center"/>
                    <w:textAlignment w:val="center"/>
                    <w:rPr>
                      <w:rFonts w:hint="default" w:ascii="Times New Roman" w:hAnsi="Times New Roman" w:cs="Times New Roman"/>
                      <w:b/>
                      <w:sz w:val="21"/>
                      <w:szCs w:val="21"/>
                    </w:rPr>
                  </w:pPr>
                  <w:r>
                    <w:rPr>
                      <w:rFonts w:hint="default" w:ascii="Times New Roman" w:hAnsi="Times New Roman" w:cs="Times New Roman"/>
                      <w:b/>
                      <w:kern w:val="0"/>
                      <w:sz w:val="21"/>
                      <w:szCs w:val="21"/>
                      <w:lang w:bidi="ar"/>
                    </w:rPr>
                    <w:t>序号</w:t>
                  </w:r>
                </w:p>
              </w:tc>
              <w:tc>
                <w:tcPr>
                  <w:tcW w:w="1223" w:type="dxa"/>
                  <w:vAlign w:val="center"/>
                </w:tcPr>
                <w:p>
                  <w:pPr>
                    <w:widowControl/>
                    <w:jc w:val="center"/>
                    <w:textAlignment w:val="center"/>
                    <w:rPr>
                      <w:rFonts w:hint="default" w:ascii="Times New Roman" w:hAnsi="Times New Roman" w:cs="Times New Roman"/>
                      <w:b/>
                      <w:sz w:val="21"/>
                      <w:szCs w:val="21"/>
                    </w:rPr>
                  </w:pPr>
                  <w:r>
                    <w:rPr>
                      <w:rFonts w:hint="default" w:ascii="Times New Roman" w:hAnsi="Times New Roman" w:cs="Times New Roman"/>
                      <w:b/>
                      <w:kern w:val="0"/>
                      <w:sz w:val="21"/>
                      <w:szCs w:val="21"/>
                      <w:lang w:bidi="ar"/>
                    </w:rPr>
                    <w:t>离源距离(m)</w:t>
                  </w:r>
                </w:p>
              </w:tc>
              <w:tc>
                <w:tcPr>
                  <w:tcW w:w="1946" w:type="dxa"/>
                  <w:vAlign w:val="center"/>
                </w:tcPr>
                <w:p>
                  <w:pPr>
                    <w:widowControl/>
                    <w:jc w:val="center"/>
                    <w:textAlignment w:val="center"/>
                    <w:rPr>
                      <w:rFonts w:hint="default" w:ascii="Times New Roman" w:hAnsi="Times New Roman" w:cs="Times New Roman"/>
                      <w:b/>
                      <w:sz w:val="21"/>
                      <w:szCs w:val="21"/>
                    </w:rPr>
                  </w:pPr>
                  <w:r>
                    <w:rPr>
                      <w:rFonts w:hint="default" w:ascii="Times New Roman" w:hAnsi="Times New Roman" w:cs="Times New Roman"/>
                      <w:b/>
                      <w:kern w:val="0"/>
                      <w:sz w:val="21"/>
                      <w:szCs w:val="21"/>
                      <w:lang w:bidi="ar"/>
                    </w:rPr>
                    <w:t>浓度</w:t>
                  </w:r>
                  <w:r>
                    <w:rPr>
                      <w:rFonts w:hint="default" w:ascii="Times New Roman" w:hAnsi="Times New Roman" w:cs="Times New Roman"/>
                      <w:b/>
                      <w:bCs/>
                      <w:sz w:val="21"/>
                      <w:szCs w:val="21"/>
                    </w:rPr>
                    <w:t>（mg/m</w:t>
                  </w:r>
                  <w:r>
                    <w:rPr>
                      <w:rFonts w:hint="default" w:ascii="Times New Roman" w:hAnsi="Times New Roman" w:cs="Times New Roman"/>
                      <w:b/>
                      <w:bCs/>
                      <w:sz w:val="21"/>
                      <w:szCs w:val="21"/>
                      <w:vertAlign w:val="superscript"/>
                    </w:rPr>
                    <w:t>3</w:t>
                  </w:r>
                  <w:r>
                    <w:rPr>
                      <w:rFonts w:hint="default" w:ascii="Times New Roman" w:hAnsi="Times New Roman" w:cs="Times New Roman"/>
                      <w:b/>
                      <w:bCs/>
                      <w:sz w:val="21"/>
                      <w:szCs w:val="21"/>
                    </w:rPr>
                    <w:t>）</w:t>
                  </w:r>
                </w:p>
              </w:tc>
              <w:tc>
                <w:tcPr>
                  <w:tcW w:w="1740" w:type="dxa"/>
                  <w:vAlign w:val="center"/>
                </w:tcPr>
                <w:p>
                  <w:pPr>
                    <w:widowControl/>
                    <w:jc w:val="center"/>
                    <w:textAlignment w:val="center"/>
                    <w:rPr>
                      <w:rFonts w:hint="default" w:ascii="Times New Roman" w:hAnsi="Times New Roman" w:cs="Times New Roman"/>
                      <w:b/>
                      <w:sz w:val="21"/>
                      <w:szCs w:val="21"/>
                    </w:rPr>
                  </w:pPr>
                  <w:r>
                    <w:rPr>
                      <w:rFonts w:hint="default" w:ascii="Times New Roman" w:hAnsi="Times New Roman" w:cs="Times New Roman"/>
                      <w:b/>
                      <w:kern w:val="0"/>
                      <w:sz w:val="21"/>
                      <w:szCs w:val="21"/>
                      <w:lang w:bidi="ar"/>
                    </w:rPr>
                    <w:t>占标率</w:t>
                  </w:r>
                  <w:r>
                    <w:rPr>
                      <w:rFonts w:hint="default" w:ascii="Times New Roman" w:hAnsi="Times New Roman" w:cs="Times New Roman"/>
                      <w:b/>
                      <w:bCs/>
                      <w:sz w:val="21"/>
                      <w:szCs w:val="21"/>
                    </w:rPr>
                    <w:t>（%）</w:t>
                  </w:r>
                </w:p>
              </w:tc>
              <w:tc>
                <w:tcPr>
                  <w:tcW w:w="2173" w:type="dxa"/>
                  <w:vAlign w:val="center"/>
                </w:tcPr>
                <w:p>
                  <w:pPr>
                    <w:widowControl/>
                    <w:jc w:val="center"/>
                    <w:textAlignment w:val="center"/>
                    <w:rPr>
                      <w:rFonts w:hint="default" w:ascii="Times New Roman" w:hAnsi="Times New Roman" w:cs="Times New Roman"/>
                      <w:b/>
                      <w:kern w:val="0"/>
                      <w:sz w:val="21"/>
                      <w:szCs w:val="21"/>
                      <w:lang w:bidi="ar"/>
                    </w:rPr>
                  </w:pPr>
                  <w:r>
                    <w:rPr>
                      <w:rFonts w:hint="default" w:ascii="Times New Roman" w:hAnsi="Times New Roman" w:cs="Times New Roman"/>
                      <w:b/>
                      <w:kern w:val="0"/>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1221" w:type="dxa"/>
                  <w:vAlign w:val="center"/>
                </w:tcPr>
                <w:p>
                  <w:pPr>
                    <w:widowControl/>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cs="Times New Roman"/>
                      <w:kern w:val="0"/>
                      <w:sz w:val="21"/>
                      <w:szCs w:val="21"/>
                      <w:lang w:val="en-US" w:eastAsia="zh-CN" w:bidi="ar"/>
                    </w:rPr>
                    <w:t>1</w:t>
                  </w:r>
                </w:p>
              </w:tc>
              <w:tc>
                <w:tcPr>
                  <w:tcW w:w="1223"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1946"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0.0000</w:t>
                  </w:r>
                  <w:r>
                    <w:rPr>
                      <w:rFonts w:hint="eastAsia" w:ascii="Times New Roman" w:hAnsi="Times New Roman" w:cs="Times New Roman"/>
                      <w:sz w:val="21"/>
                      <w:szCs w:val="21"/>
                      <w:lang w:val="en-US" w:eastAsia="zh-CN"/>
                    </w:rPr>
                    <w:t>24</w:t>
                  </w:r>
                </w:p>
              </w:tc>
              <w:tc>
                <w:tcPr>
                  <w:tcW w:w="1740"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0.00</w:t>
                  </w:r>
                </w:p>
              </w:tc>
              <w:tc>
                <w:tcPr>
                  <w:tcW w:w="2173"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网格点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1221" w:type="dxa"/>
                  <w:vAlign w:val="center"/>
                </w:tcPr>
                <w:p>
                  <w:pPr>
                    <w:widowControl/>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cs="Times New Roman"/>
                      <w:kern w:val="0"/>
                      <w:sz w:val="21"/>
                      <w:szCs w:val="21"/>
                      <w:lang w:val="en-US" w:eastAsia="zh-CN" w:bidi="ar"/>
                    </w:rPr>
                    <w:t>2</w:t>
                  </w:r>
                </w:p>
              </w:tc>
              <w:tc>
                <w:tcPr>
                  <w:tcW w:w="1223" w:type="dxa"/>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70</w:t>
                  </w:r>
                </w:p>
              </w:tc>
              <w:tc>
                <w:tcPr>
                  <w:tcW w:w="1946" w:type="dxa"/>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w:t>
                  </w:r>
                  <w:r>
                    <w:rPr>
                      <w:rFonts w:hint="eastAsia" w:ascii="Times New Roman" w:hAnsi="Times New Roman" w:cs="Times New Roman"/>
                      <w:sz w:val="21"/>
                      <w:szCs w:val="21"/>
                      <w:lang w:val="en-US" w:eastAsia="zh-CN"/>
                    </w:rPr>
                    <w:t>14585</w:t>
                  </w:r>
                </w:p>
              </w:tc>
              <w:tc>
                <w:tcPr>
                  <w:tcW w:w="1740" w:type="dxa"/>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1.62</w:t>
                  </w:r>
                </w:p>
              </w:tc>
              <w:tc>
                <w:tcPr>
                  <w:tcW w:w="2173" w:type="dxa"/>
                  <w:vAlign w:val="center"/>
                </w:tcPr>
                <w:p>
                  <w:pPr>
                    <w:widowControl/>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cs="Times New Roman"/>
                      <w:kern w:val="0"/>
                      <w:sz w:val="21"/>
                      <w:szCs w:val="21"/>
                      <w:lang w:val="en-US" w:eastAsia="zh-CN" w:bidi="ar"/>
                    </w:rPr>
                    <w:t>敏感点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1221" w:type="dxa"/>
                  <w:vAlign w:val="center"/>
                </w:tcPr>
                <w:p>
                  <w:pPr>
                    <w:widowControl/>
                    <w:jc w:val="center"/>
                    <w:textAlignment w:val="center"/>
                    <w:rPr>
                      <w:rFonts w:hint="default" w:ascii="Times New Roman" w:hAnsi="Times New Roman" w:eastAsia="宋体" w:cs="Times New Roman"/>
                      <w:kern w:val="0"/>
                      <w:sz w:val="21"/>
                      <w:szCs w:val="21"/>
                      <w:lang w:eastAsia="zh-CN" w:bidi="ar"/>
                    </w:rPr>
                  </w:pPr>
                  <w:r>
                    <w:rPr>
                      <w:rFonts w:hint="default" w:ascii="Times New Roman" w:hAnsi="Times New Roman" w:cs="Times New Roman"/>
                      <w:kern w:val="0"/>
                      <w:sz w:val="21"/>
                      <w:szCs w:val="21"/>
                      <w:lang w:val="en-US" w:eastAsia="zh-CN" w:bidi="ar"/>
                    </w:rPr>
                    <w:t>3</w:t>
                  </w:r>
                </w:p>
              </w:tc>
              <w:tc>
                <w:tcPr>
                  <w:tcW w:w="1223"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1946"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w:t>
                  </w:r>
                  <w:r>
                    <w:rPr>
                      <w:rFonts w:hint="eastAsia" w:ascii="Times New Roman" w:hAnsi="Times New Roman" w:cs="Times New Roman"/>
                      <w:sz w:val="21"/>
                      <w:szCs w:val="21"/>
                      <w:lang w:val="en-US" w:eastAsia="zh-CN"/>
                    </w:rPr>
                    <w:t>17856</w:t>
                  </w:r>
                </w:p>
              </w:tc>
              <w:tc>
                <w:tcPr>
                  <w:tcW w:w="1740" w:type="dxa"/>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1.98</w:t>
                  </w:r>
                </w:p>
              </w:tc>
              <w:tc>
                <w:tcPr>
                  <w:tcW w:w="2173"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网格点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1221" w:type="dxa"/>
                  <w:vAlign w:val="center"/>
                </w:tcPr>
                <w:p>
                  <w:pPr>
                    <w:widowControl/>
                    <w:jc w:val="center"/>
                    <w:textAlignment w:val="center"/>
                    <w:rPr>
                      <w:rFonts w:hint="default" w:ascii="Times New Roman" w:hAnsi="Times New Roman" w:eastAsia="宋体" w:cs="Times New Roman"/>
                      <w:kern w:val="0"/>
                      <w:sz w:val="21"/>
                      <w:szCs w:val="21"/>
                      <w:lang w:eastAsia="zh-CN" w:bidi="ar"/>
                    </w:rPr>
                  </w:pPr>
                  <w:r>
                    <w:rPr>
                      <w:rFonts w:hint="default" w:ascii="Times New Roman" w:hAnsi="Times New Roman" w:cs="Times New Roman"/>
                      <w:kern w:val="0"/>
                      <w:sz w:val="21"/>
                      <w:szCs w:val="21"/>
                      <w:lang w:val="en-US" w:eastAsia="zh-CN" w:bidi="ar"/>
                    </w:rPr>
                    <w:t>4</w:t>
                  </w:r>
                </w:p>
              </w:tc>
              <w:tc>
                <w:tcPr>
                  <w:tcW w:w="1223"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1946"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0.01</w:t>
                  </w:r>
                  <w:r>
                    <w:rPr>
                      <w:rFonts w:hint="eastAsia" w:ascii="Times New Roman" w:hAnsi="Times New Roman" w:cs="Times New Roman"/>
                      <w:sz w:val="21"/>
                      <w:szCs w:val="21"/>
                      <w:lang w:val="en-US" w:eastAsia="zh-CN"/>
                    </w:rPr>
                    <w:t>7126</w:t>
                  </w:r>
                </w:p>
              </w:tc>
              <w:tc>
                <w:tcPr>
                  <w:tcW w:w="1740"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1.9</w:t>
                  </w:r>
                  <w:r>
                    <w:rPr>
                      <w:rFonts w:hint="eastAsia" w:ascii="Times New Roman" w:hAnsi="Times New Roman" w:cs="Times New Roman"/>
                      <w:sz w:val="21"/>
                      <w:szCs w:val="21"/>
                      <w:lang w:val="en-US" w:eastAsia="zh-CN"/>
                    </w:rPr>
                    <w:t>0</w:t>
                  </w:r>
                </w:p>
              </w:tc>
              <w:tc>
                <w:tcPr>
                  <w:tcW w:w="2173"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网格点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1221" w:type="dxa"/>
                  <w:vAlign w:val="center"/>
                </w:tcPr>
                <w:p>
                  <w:pPr>
                    <w:widowControl/>
                    <w:jc w:val="center"/>
                    <w:textAlignment w:val="center"/>
                    <w:rPr>
                      <w:rFonts w:hint="default" w:ascii="Times New Roman" w:hAnsi="Times New Roman" w:eastAsia="宋体" w:cs="Times New Roman"/>
                      <w:kern w:val="0"/>
                      <w:sz w:val="21"/>
                      <w:szCs w:val="21"/>
                      <w:lang w:eastAsia="zh-CN" w:bidi="ar"/>
                    </w:rPr>
                  </w:pPr>
                  <w:r>
                    <w:rPr>
                      <w:rFonts w:hint="default" w:ascii="Times New Roman" w:hAnsi="Times New Roman" w:cs="Times New Roman"/>
                      <w:kern w:val="0"/>
                      <w:sz w:val="21"/>
                      <w:szCs w:val="21"/>
                      <w:lang w:val="en-US" w:eastAsia="zh-CN" w:bidi="ar"/>
                    </w:rPr>
                    <w:t>5</w:t>
                  </w:r>
                </w:p>
              </w:tc>
              <w:tc>
                <w:tcPr>
                  <w:tcW w:w="1223"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26</w:t>
                  </w:r>
                  <w:r>
                    <w:rPr>
                      <w:rFonts w:hint="eastAsia" w:ascii="Times New Roman" w:hAnsi="Times New Roman" w:cs="Times New Roman"/>
                      <w:sz w:val="21"/>
                      <w:szCs w:val="21"/>
                      <w:lang w:val="en-US" w:eastAsia="zh-CN"/>
                    </w:rPr>
                    <w:t>7</w:t>
                  </w:r>
                </w:p>
              </w:tc>
              <w:tc>
                <w:tcPr>
                  <w:tcW w:w="1946"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0.01</w:t>
                  </w:r>
                  <w:r>
                    <w:rPr>
                      <w:rFonts w:hint="eastAsia" w:ascii="Times New Roman" w:hAnsi="Times New Roman" w:cs="Times New Roman"/>
                      <w:sz w:val="21"/>
                      <w:szCs w:val="21"/>
                      <w:lang w:val="en-US" w:eastAsia="zh-CN"/>
                    </w:rPr>
                    <w:t>9203</w:t>
                  </w:r>
                </w:p>
              </w:tc>
              <w:tc>
                <w:tcPr>
                  <w:tcW w:w="1740"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2.1</w:t>
                  </w:r>
                  <w:r>
                    <w:rPr>
                      <w:rFonts w:hint="eastAsia" w:ascii="Times New Roman" w:hAnsi="Times New Roman" w:cs="Times New Roman"/>
                      <w:sz w:val="21"/>
                      <w:szCs w:val="21"/>
                      <w:lang w:val="en-US" w:eastAsia="zh-CN"/>
                    </w:rPr>
                    <w:t>3</w:t>
                  </w:r>
                </w:p>
              </w:tc>
              <w:tc>
                <w:tcPr>
                  <w:tcW w:w="2173" w:type="dxa"/>
                  <w:vAlign w:val="center"/>
                </w:tcPr>
                <w:p>
                  <w:pPr>
                    <w:widowControl/>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cs="Times New Roman"/>
                      <w:kern w:val="0"/>
                      <w:sz w:val="21"/>
                      <w:szCs w:val="21"/>
                      <w:lang w:val="en-US" w:eastAsia="zh-CN" w:bidi="ar"/>
                    </w:rPr>
                    <w:t>下风向最大落地点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1221" w:type="dxa"/>
                  <w:vAlign w:val="center"/>
                </w:tcPr>
                <w:p>
                  <w:pPr>
                    <w:widowControl/>
                    <w:jc w:val="center"/>
                    <w:textAlignment w:val="center"/>
                    <w:rPr>
                      <w:rFonts w:hint="default" w:ascii="Times New Roman" w:hAnsi="Times New Roman" w:eastAsia="宋体" w:cs="Times New Roman"/>
                      <w:kern w:val="0"/>
                      <w:sz w:val="21"/>
                      <w:szCs w:val="21"/>
                      <w:lang w:eastAsia="zh-CN" w:bidi="ar"/>
                    </w:rPr>
                  </w:pPr>
                  <w:r>
                    <w:rPr>
                      <w:rFonts w:hint="default" w:ascii="Times New Roman" w:hAnsi="Times New Roman" w:cs="Times New Roman"/>
                      <w:kern w:val="0"/>
                      <w:sz w:val="21"/>
                      <w:szCs w:val="21"/>
                      <w:lang w:val="en-US" w:eastAsia="zh-CN" w:bidi="ar"/>
                    </w:rPr>
                    <w:t>6</w:t>
                  </w:r>
                </w:p>
              </w:tc>
              <w:tc>
                <w:tcPr>
                  <w:tcW w:w="1223"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300</w:t>
                  </w:r>
                </w:p>
              </w:tc>
              <w:tc>
                <w:tcPr>
                  <w:tcW w:w="1946"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0.01</w:t>
                  </w:r>
                  <w:r>
                    <w:rPr>
                      <w:rFonts w:hint="eastAsia" w:ascii="Times New Roman" w:hAnsi="Times New Roman" w:cs="Times New Roman"/>
                      <w:sz w:val="21"/>
                      <w:szCs w:val="21"/>
                      <w:lang w:val="en-US" w:eastAsia="zh-CN"/>
                    </w:rPr>
                    <w:t>892</w:t>
                  </w:r>
                </w:p>
              </w:tc>
              <w:tc>
                <w:tcPr>
                  <w:tcW w:w="1740"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2.10</w:t>
                  </w:r>
                </w:p>
              </w:tc>
              <w:tc>
                <w:tcPr>
                  <w:tcW w:w="2173"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网格点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1221" w:type="dxa"/>
                  <w:vAlign w:val="center"/>
                </w:tcPr>
                <w:p>
                  <w:pPr>
                    <w:widowControl/>
                    <w:jc w:val="center"/>
                    <w:textAlignment w:val="center"/>
                    <w:rPr>
                      <w:rFonts w:hint="default" w:ascii="Times New Roman" w:hAnsi="Times New Roman" w:eastAsia="宋体" w:cs="Times New Roman"/>
                      <w:kern w:val="0"/>
                      <w:sz w:val="21"/>
                      <w:szCs w:val="21"/>
                      <w:lang w:eastAsia="zh-CN" w:bidi="ar"/>
                    </w:rPr>
                  </w:pPr>
                  <w:r>
                    <w:rPr>
                      <w:rFonts w:hint="default" w:ascii="Times New Roman" w:hAnsi="Times New Roman" w:cs="Times New Roman"/>
                      <w:kern w:val="0"/>
                      <w:sz w:val="21"/>
                      <w:szCs w:val="21"/>
                      <w:lang w:val="en-US" w:eastAsia="zh-CN" w:bidi="ar"/>
                    </w:rPr>
                    <w:t>7</w:t>
                  </w:r>
                </w:p>
              </w:tc>
              <w:tc>
                <w:tcPr>
                  <w:tcW w:w="1223"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400</w:t>
                  </w:r>
                </w:p>
              </w:tc>
              <w:tc>
                <w:tcPr>
                  <w:tcW w:w="1946"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0.01</w:t>
                  </w:r>
                  <w:r>
                    <w:rPr>
                      <w:rFonts w:hint="eastAsia" w:ascii="Times New Roman" w:hAnsi="Times New Roman" w:cs="Times New Roman"/>
                      <w:sz w:val="21"/>
                      <w:szCs w:val="21"/>
                      <w:lang w:val="en-US" w:eastAsia="zh-CN"/>
                    </w:rPr>
                    <w:t>6494</w:t>
                  </w:r>
                </w:p>
              </w:tc>
              <w:tc>
                <w:tcPr>
                  <w:tcW w:w="1740"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1.83</w:t>
                  </w:r>
                </w:p>
              </w:tc>
              <w:tc>
                <w:tcPr>
                  <w:tcW w:w="2173"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网格点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1221" w:type="dxa"/>
                  <w:vAlign w:val="center"/>
                </w:tcPr>
                <w:p>
                  <w:pPr>
                    <w:widowControl/>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cs="Times New Roman"/>
                      <w:kern w:val="0"/>
                      <w:sz w:val="21"/>
                      <w:szCs w:val="21"/>
                      <w:lang w:val="en-US" w:eastAsia="zh-CN" w:bidi="ar"/>
                    </w:rPr>
                    <w:t>8</w:t>
                  </w:r>
                </w:p>
              </w:tc>
              <w:tc>
                <w:tcPr>
                  <w:tcW w:w="1223" w:type="dxa"/>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450</w:t>
                  </w:r>
                </w:p>
              </w:tc>
              <w:tc>
                <w:tcPr>
                  <w:tcW w:w="1946" w:type="dxa"/>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0.01</w:t>
                  </w:r>
                  <w:r>
                    <w:rPr>
                      <w:rFonts w:hint="eastAsia" w:ascii="Times New Roman" w:hAnsi="Times New Roman" w:cs="Times New Roman"/>
                      <w:sz w:val="21"/>
                      <w:szCs w:val="21"/>
                      <w:lang w:val="en-US" w:eastAsia="zh-CN"/>
                    </w:rPr>
                    <w:t>5122</w:t>
                  </w:r>
                </w:p>
              </w:tc>
              <w:tc>
                <w:tcPr>
                  <w:tcW w:w="1740"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1.68</w:t>
                  </w:r>
                </w:p>
              </w:tc>
              <w:tc>
                <w:tcPr>
                  <w:tcW w:w="2173" w:type="dxa"/>
                  <w:vAlign w:val="center"/>
                </w:tcPr>
                <w:p>
                  <w:pPr>
                    <w:widowControl/>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cs="Times New Roman"/>
                      <w:kern w:val="0"/>
                      <w:sz w:val="21"/>
                      <w:szCs w:val="21"/>
                      <w:lang w:val="en-US" w:eastAsia="zh-CN" w:bidi="ar"/>
                    </w:rPr>
                    <w:t>网格点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1221" w:type="dxa"/>
                  <w:vAlign w:val="center"/>
                </w:tcPr>
                <w:p>
                  <w:pPr>
                    <w:widowControl/>
                    <w:jc w:val="center"/>
                    <w:textAlignment w:val="center"/>
                    <w:rPr>
                      <w:rFonts w:hint="default" w:ascii="Times New Roman" w:hAnsi="Times New Roman" w:eastAsia="宋体" w:cs="Times New Roman"/>
                      <w:kern w:val="0"/>
                      <w:sz w:val="21"/>
                      <w:szCs w:val="21"/>
                      <w:lang w:eastAsia="zh-CN" w:bidi="ar"/>
                    </w:rPr>
                  </w:pPr>
                  <w:r>
                    <w:rPr>
                      <w:rFonts w:hint="default" w:ascii="Times New Roman" w:hAnsi="Times New Roman" w:cs="Times New Roman"/>
                      <w:kern w:val="0"/>
                      <w:sz w:val="21"/>
                      <w:szCs w:val="21"/>
                      <w:lang w:val="en-US" w:eastAsia="zh-CN" w:bidi="ar"/>
                    </w:rPr>
                    <w:t>9</w:t>
                  </w:r>
                </w:p>
              </w:tc>
              <w:tc>
                <w:tcPr>
                  <w:tcW w:w="1223"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500</w:t>
                  </w:r>
                </w:p>
              </w:tc>
              <w:tc>
                <w:tcPr>
                  <w:tcW w:w="1946"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0.01</w:t>
                  </w:r>
                  <w:r>
                    <w:rPr>
                      <w:rFonts w:hint="eastAsia" w:ascii="Times New Roman" w:hAnsi="Times New Roman" w:cs="Times New Roman"/>
                      <w:sz w:val="21"/>
                      <w:szCs w:val="21"/>
                      <w:lang w:val="en-US" w:eastAsia="zh-CN"/>
                    </w:rPr>
                    <w:t>3836</w:t>
                  </w:r>
                </w:p>
              </w:tc>
              <w:tc>
                <w:tcPr>
                  <w:tcW w:w="1740"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1.5</w:t>
                  </w:r>
                  <w:r>
                    <w:rPr>
                      <w:rFonts w:hint="eastAsia" w:ascii="Times New Roman" w:hAnsi="Times New Roman" w:cs="Times New Roman"/>
                      <w:sz w:val="21"/>
                      <w:szCs w:val="21"/>
                      <w:lang w:val="en-US" w:eastAsia="zh-CN"/>
                    </w:rPr>
                    <w:t>4</w:t>
                  </w:r>
                </w:p>
              </w:tc>
              <w:tc>
                <w:tcPr>
                  <w:tcW w:w="2173"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网格点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1221" w:type="dxa"/>
                  <w:vAlign w:val="center"/>
                </w:tcPr>
                <w:p>
                  <w:pPr>
                    <w:widowControl/>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cs="Times New Roman"/>
                      <w:kern w:val="0"/>
                      <w:sz w:val="21"/>
                      <w:szCs w:val="21"/>
                      <w:lang w:val="en-US" w:eastAsia="zh-CN" w:bidi="ar"/>
                    </w:rPr>
                    <w:t>10</w:t>
                  </w:r>
                </w:p>
              </w:tc>
              <w:tc>
                <w:tcPr>
                  <w:tcW w:w="1223"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600</w:t>
                  </w:r>
                </w:p>
              </w:tc>
              <w:tc>
                <w:tcPr>
                  <w:tcW w:w="1946"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0.01</w:t>
                  </w:r>
                  <w:r>
                    <w:rPr>
                      <w:rFonts w:hint="eastAsia" w:ascii="Times New Roman" w:hAnsi="Times New Roman" w:cs="Times New Roman"/>
                      <w:sz w:val="21"/>
                      <w:szCs w:val="21"/>
                      <w:lang w:val="en-US" w:eastAsia="zh-CN"/>
                    </w:rPr>
                    <w:t>2475</w:t>
                  </w:r>
                </w:p>
              </w:tc>
              <w:tc>
                <w:tcPr>
                  <w:tcW w:w="1740"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w:t>
                  </w:r>
                  <w:r>
                    <w:rPr>
                      <w:rFonts w:hint="eastAsia" w:ascii="Times New Roman" w:hAnsi="Times New Roman" w:cs="Times New Roman"/>
                      <w:sz w:val="21"/>
                      <w:szCs w:val="21"/>
                      <w:lang w:val="en-US" w:eastAsia="zh-CN"/>
                    </w:rPr>
                    <w:t>39</w:t>
                  </w:r>
                </w:p>
              </w:tc>
              <w:tc>
                <w:tcPr>
                  <w:tcW w:w="2173"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网格点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1221" w:type="dxa"/>
                  <w:vAlign w:val="center"/>
                </w:tcPr>
                <w:p>
                  <w:pPr>
                    <w:widowControl/>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cs="Times New Roman"/>
                      <w:kern w:val="0"/>
                      <w:sz w:val="21"/>
                      <w:szCs w:val="21"/>
                      <w:lang w:val="en-US" w:eastAsia="zh-CN" w:bidi="ar"/>
                    </w:rPr>
                    <w:t>11</w:t>
                  </w:r>
                </w:p>
              </w:tc>
              <w:tc>
                <w:tcPr>
                  <w:tcW w:w="1223"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700</w:t>
                  </w:r>
                </w:p>
              </w:tc>
              <w:tc>
                <w:tcPr>
                  <w:tcW w:w="1946"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0.01</w:t>
                  </w:r>
                  <w:r>
                    <w:rPr>
                      <w:rFonts w:hint="eastAsia" w:ascii="Times New Roman" w:hAnsi="Times New Roman" w:cs="Times New Roman"/>
                      <w:sz w:val="21"/>
                      <w:szCs w:val="21"/>
                      <w:lang w:val="en-US" w:eastAsia="zh-CN"/>
                    </w:rPr>
                    <w:t>2376</w:t>
                  </w:r>
                </w:p>
              </w:tc>
              <w:tc>
                <w:tcPr>
                  <w:tcW w:w="1740"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w:t>
                  </w:r>
                  <w:r>
                    <w:rPr>
                      <w:rFonts w:hint="eastAsia" w:ascii="Times New Roman" w:hAnsi="Times New Roman" w:cs="Times New Roman"/>
                      <w:sz w:val="21"/>
                      <w:szCs w:val="21"/>
                      <w:lang w:val="en-US" w:eastAsia="zh-CN"/>
                    </w:rPr>
                    <w:t>38</w:t>
                  </w:r>
                </w:p>
              </w:tc>
              <w:tc>
                <w:tcPr>
                  <w:tcW w:w="2173"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网格点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1221" w:type="dxa"/>
                  <w:vAlign w:val="center"/>
                </w:tcPr>
                <w:p>
                  <w:pPr>
                    <w:widowControl/>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cs="Times New Roman"/>
                      <w:kern w:val="0"/>
                      <w:sz w:val="21"/>
                      <w:szCs w:val="21"/>
                      <w:lang w:val="en-US" w:eastAsia="zh-CN" w:bidi="ar"/>
                    </w:rPr>
                    <w:t>13</w:t>
                  </w:r>
                </w:p>
              </w:tc>
              <w:tc>
                <w:tcPr>
                  <w:tcW w:w="1223"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800</w:t>
                  </w:r>
                </w:p>
              </w:tc>
              <w:tc>
                <w:tcPr>
                  <w:tcW w:w="1946"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0.01</w:t>
                  </w:r>
                  <w:r>
                    <w:rPr>
                      <w:rFonts w:hint="eastAsia" w:ascii="Times New Roman" w:hAnsi="Times New Roman" w:cs="Times New Roman"/>
                      <w:sz w:val="21"/>
                      <w:szCs w:val="21"/>
                      <w:lang w:val="en-US" w:eastAsia="zh-CN"/>
                    </w:rPr>
                    <w:t>1953</w:t>
                  </w:r>
                </w:p>
              </w:tc>
              <w:tc>
                <w:tcPr>
                  <w:tcW w:w="1740"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1.3</w:t>
                  </w:r>
                  <w:r>
                    <w:rPr>
                      <w:rFonts w:hint="eastAsia" w:ascii="Times New Roman" w:hAnsi="Times New Roman" w:cs="Times New Roman"/>
                      <w:sz w:val="21"/>
                      <w:szCs w:val="21"/>
                      <w:lang w:val="en-US" w:eastAsia="zh-CN"/>
                    </w:rPr>
                    <w:t>3</w:t>
                  </w:r>
                </w:p>
              </w:tc>
              <w:tc>
                <w:tcPr>
                  <w:tcW w:w="2173"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网格点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9" w:hRule="atLeast"/>
                <w:jc w:val="center"/>
              </w:trPr>
              <w:tc>
                <w:tcPr>
                  <w:tcW w:w="1221" w:type="dxa"/>
                  <w:vAlign w:val="center"/>
                </w:tcPr>
                <w:p>
                  <w:pPr>
                    <w:widowControl/>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cs="Times New Roman"/>
                      <w:kern w:val="0"/>
                      <w:sz w:val="21"/>
                      <w:szCs w:val="21"/>
                      <w:lang w:val="en-US" w:eastAsia="zh-CN" w:bidi="ar"/>
                    </w:rPr>
                    <w:t>14</w:t>
                  </w:r>
                </w:p>
              </w:tc>
              <w:tc>
                <w:tcPr>
                  <w:tcW w:w="1223"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9</w:t>
                  </w:r>
                  <w:r>
                    <w:rPr>
                      <w:rFonts w:hint="default" w:ascii="Times New Roman" w:hAnsi="Times New Roman" w:cs="Times New Roman"/>
                      <w:sz w:val="21"/>
                      <w:szCs w:val="21"/>
                      <w:lang w:val="en-US" w:eastAsia="zh-CN"/>
                    </w:rPr>
                    <w:t>80</w:t>
                  </w:r>
                </w:p>
              </w:tc>
              <w:tc>
                <w:tcPr>
                  <w:tcW w:w="1946"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w:t>
                  </w:r>
                  <w:r>
                    <w:rPr>
                      <w:rFonts w:hint="eastAsia" w:ascii="Times New Roman" w:hAnsi="Times New Roman" w:cs="Times New Roman"/>
                      <w:sz w:val="21"/>
                      <w:szCs w:val="21"/>
                      <w:lang w:val="en-US" w:eastAsia="zh-CN"/>
                    </w:rPr>
                    <w:t>10888</w:t>
                  </w:r>
                </w:p>
              </w:tc>
              <w:tc>
                <w:tcPr>
                  <w:tcW w:w="1740"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1.2</w:t>
                  </w:r>
                  <w:r>
                    <w:rPr>
                      <w:rFonts w:hint="eastAsia" w:ascii="Times New Roman" w:hAnsi="Times New Roman" w:cs="Times New Roman"/>
                      <w:sz w:val="21"/>
                      <w:szCs w:val="21"/>
                      <w:lang w:val="en-US" w:eastAsia="zh-CN"/>
                    </w:rPr>
                    <w:t>1</w:t>
                  </w:r>
                </w:p>
              </w:tc>
              <w:tc>
                <w:tcPr>
                  <w:tcW w:w="2173" w:type="dxa"/>
                  <w:vAlign w:val="center"/>
                </w:tcPr>
                <w:p>
                  <w:pPr>
                    <w:widowControl/>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cs="Times New Roman"/>
                      <w:kern w:val="0"/>
                      <w:sz w:val="21"/>
                      <w:szCs w:val="21"/>
                      <w:lang w:val="en-US" w:eastAsia="zh-CN" w:bidi="ar"/>
                    </w:rPr>
                    <w:t>敏感点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1221" w:type="dxa"/>
                  <w:vAlign w:val="center"/>
                </w:tcPr>
                <w:p>
                  <w:pPr>
                    <w:widowControl/>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cs="Times New Roman"/>
                      <w:kern w:val="0"/>
                      <w:sz w:val="21"/>
                      <w:szCs w:val="21"/>
                      <w:lang w:val="en-US" w:eastAsia="zh-CN" w:bidi="ar"/>
                    </w:rPr>
                    <w:t>15</w:t>
                  </w:r>
                </w:p>
              </w:tc>
              <w:tc>
                <w:tcPr>
                  <w:tcW w:w="1223"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1000</w:t>
                  </w:r>
                </w:p>
              </w:tc>
              <w:tc>
                <w:tcPr>
                  <w:tcW w:w="1946"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w:t>
                  </w:r>
                  <w:r>
                    <w:rPr>
                      <w:rFonts w:hint="eastAsia" w:ascii="Times New Roman" w:hAnsi="Times New Roman" w:cs="Times New Roman"/>
                      <w:sz w:val="21"/>
                      <w:szCs w:val="21"/>
                      <w:lang w:val="en-US" w:eastAsia="zh-CN"/>
                    </w:rPr>
                    <w:t>10762</w:t>
                  </w:r>
                </w:p>
              </w:tc>
              <w:tc>
                <w:tcPr>
                  <w:tcW w:w="1740"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1.20</w:t>
                  </w:r>
                </w:p>
              </w:tc>
              <w:tc>
                <w:tcPr>
                  <w:tcW w:w="2173" w:type="dxa"/>
                  <w:vAlign w:val="center"/>
                </w:tcPr>
                <w:p>
                  <w:pPr>
                    <w:widowControl/>
                    <w:jc w:val="center"/>
                    <w:textAlignment w:val="center"/>
                    <w:rPr>
                      <w:rFonts w:hint="default" w:ascii="Times New Roman" w:hAnsi="Times New Roman" w:eastAsia="宋体" w:cs="Times New Roman"/>
                      <w:kern w:val="0"/>
                      <w:sz w:val="21"/>
                      <w:szCs w:val="21"/>
                      <w:lang w:eastAsia="zh-CN" w:bidi="ar"/>
                    </w:rPr>
                  </w:pPr>
                  <w:r>
                    <w:rPr>
                      <w:rFonts w:hint="default" w:ascii="Times New Roman" w:hAnsi="Times New Roman" w:cs="Times New Roman"/>
                      <w:kern w:val="0"/>
                      <w:sz w:val="21"/>
                      <w:szCs w:val="21"/>
                      <w:lang w:val="en-US" w:eastAsia="zh-CN" w:bidi="ar"/>
                    </w:rPr>
                    <w:t>网格点</w:t>
                  </w:r>
                </w:p>
              </w:tc>
            </w:tr>
          </w:tbl>
          <w:p>
            <w:pPr>
              <w:adjustRightInd w:val="0"/>
              <w:snapToGrid w:val="0"/>
              <w:spacing w:line="36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表</w:t>
            </w:r>
            <w:r>
              <w:rPr>
                <w:rFonts w:hint="eastAsia" w:cs="Times New Roman"/>
                <w:b/>
                <w:bCs/>
                <w:sz w:val="21"/>
                <w:szCs w:val="21"/>
                <w:lang w:val="en-US" w:eastAsia="zh-CN"/>
              </w:rPr>
              <w:t>7.5-6</w:t>
            </w:r>
            <w:r>
              <w:rPr>
                <w:rFonts w:hint="eastAsia"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 xml:space="preserve">   面源估算模型预测结果</w:t>
            </w:r>
          </w:p>
          <w:tbl>
            <w:tblPr>
              <w:tblStyle w:val="43"/>
              <w:tblW w:w="83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1"/>
              <w:gridCol w:w="1222"/>
              <w:gridCol w:w="1946"/>
              <w:gridCol w:w="1740"/>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1221" w:type="dxa"/>
                  <w:vAlign w:val="center"/>
                </w:tcPr>
                <w:p>
                  <w:pPr>
                    <w:widowControl/>
                    <w:jc w:val="center"/>
                    <w:textAlignment w:val="center"/>
                    <w:rPr>
                      <w:rFonts w:hint="default" w:ascii="Times New Roman" w:hAnsi="Times New Roman" w:cs="Times New Roman"/>
                      <w:b/>
                      <w:kern w:val="0"/>
                      <w:sz w:val="21"/>
                      <w:szCs w:val="21"/>
                      <w:lang w:bidi="ar"/>
                    </w:rPr>
                  </w:pPr>
                  <w:r>
                    <w:rPr>
                      <w:rFonts w:hint="default" w:ascii="Times New Roman" w:hAnsi="Times New Roman" w:cs="Times New Roman"/>
                      <w:b/>
                      <w:kern w:val="0"/>
                      <w:sz w:val="21"/>
                      <w:szCs w:val="21"/>
                      <w:lang w:bidi="ar"/>
                    </w:rPr>
                    <w:t>序号</w:t>
                  </w:r>
                </w:p>
              </w:tc>
              <w:tc>
                <w:tcPr>
                  <w:tcW w:w="1222" w:type="dxa"/>
                  <w:vAlign w:val="center"/>
                </w:tcPr>
                <w:p>
                  <w:pPr>
                    <w:widowControl/>
                    <w:jc w:val="center"/>
                    <w:textAlignment w:val="center"/>
                    <w:rPr>
                      <w:rFonts w:hint="default" w:ascii="Times New Roman" w:hAnsi="Times New Roman" w:cs="Times New Roman"/>
                      <w:b/>
                      <w:kern w:val="0"/>
                      <w:sz w:val="21"/>
                      <w:szCs w:val="21"/>
                      <w:lang w:bidi="ar"/>
                    </w:rPr>
                  </w:pPr>
                  <w:r>
                    <w:rPr>
                      <w:rFonts w:hint="default" w:ascii="Times New Roman" w:hAnsi="Times New Roman" w:cs="Times New Roman"/>
                      <w:b/>
                      <w:kern w:val="0"/>
                      <w:sz w:val="21"/>
                      <w:szCs w:val="21"/>
                      <w:lang w:bidi="ar"/>
                    </w:rPr>
                    <w:t>离源距离(m)</w:t>
                  </w:r>
                </w:p>
              </w:tc>
              <w:tc>
                <w:tcPr>
                  <w:tcW w:w="1946" w:type="dxa"/>
                  <w:vAlign w:val="center"/>
                </w:tcPr>
                <w:p>
                  <w:pPr>
                    <w:widowControl/>
                    <w:jc w:val="center"/>
                    <w:textAlignment w:val="center"/>
                    <w:rPr>
                      <w:rFonts w:hint="default" w:ascii="Times New Roman" w:hAnsi="Times New Roman" w:cs="Times New Roman"/>
                      <w:b/>
                      <w:kern w:val="0"/>
                      <w:sz w:val="21"/>
                      <w:szCs w:val="21"/>
                      <w:lang w:bidi="ar"/>
                    </w:rPr>
                  </w:pPr>
                  <w:r>
                    <w:rPr>
                      <w:rFonts w:hint="default" w:ascii="Times New Roman" w:hAnsi="Times New Roman" w:cs="Times New Roman"/>
                      <w:b/>
                      <w:kern w:val="0"/>
                      <w:sz w:val="21"/>
                      <w:szCs w:val="21"/>
                      <w:lang w:bidi="ar"/>
                    </w:rPr>
                    <w:t>浓度（mg/m</w:t>
                  </w:r>
                  <w:r>
                    <w:rPr>
                      <w:rFonts w:hint="default" w:ascii="Times New Roman" w:hAnsi="Times New Roman" w:cs="Times New Roman"/>
                      <w:b/>
                      <w:kern w:val="0"/>
                      <w:sz w:val="21"/>
                      <w:szCs w:val="21"/>
                      <w:vertAlign w:val="superscript"/>
                      <w:lang w:bidi="ar"/>
                    </w:rPr>
                    <w:t>3</w:t>
                  </w:r>
                  <w:r>
                    <w:rPr>
                      <w:rFonts w:hint="default" w:ascii="Times New Roman" w:hAnsi="Times New Roman" w:cs="Times New Roman"/>
                      <w:b/>
                      <w:kern w:val="0"/>
                      <w:sz w:val="21"/>
                      <w:szCs w:val="21"/>
                      <w:lang w:bidi="ar"/>
                    </w:rPr>
                    <w:t>）</w:t>
                  </w:r>
                </w:p>
              </w:tc>
              <w:tc>
                <w:tcPr>
                  <w:tcW w:w="1740" w:type="dxa"/>
                  <w:vAlign w:val="center"/>
                </w:tcPr>
                <w:p>
                  <w:pPr>
                    <w:widowControl/>
                    <w:jc w:val="center"/>
                    <w:textAlignment w:val="center"/>
                    <w:rPr>
                      <w:rFonts w:hint="default" w:ascii="Times New Roman" w:hAnsi="Times New Roman" w:cs="Times New Roman"/>
                      <w:b/>
                      <w:kern w:val="0"/>
                      <w:sz w:val="21"/>
                      <w:szCs w:val="21"/>
                      <w:lang w:bidi="ar"/>
                    </w:rPr>
                  </w:pPr>
                  <w:r>
                    <w:rPr>
                      <w:rFonts w:hint="default" w:ascii="Times New Roman" w:hAnsi="Times New Roman" w:cs="Times New Roman"/>
                      <w:b/>
                      <w:kern w:val="0"/>
                      <w:sz w:val="21"/>
                      <w:szCs w:val="21"/>
                      <w:lang w:bidi="ar"/>
                    </w:rPr>
                    <w:t>占标率（%）</w:t>
                  </w:r>
                </w:p>
              </w:tc>
              <w:tc>
                <w:tcPr>
                  <w:tcW w:w="2174" w:type="dxa"/>
                  <w:vAlign w:val="center"/>
                </w:tcPr>
                <w:p>
                  <w:pPr>
                    <w:widowControl/>
                    <w:jc w:val="center"/>
                    <w:textAlignment w:val="center"/>
                    <w:rPr>
                      <w:rFonts w:hint="default" w:ascii="Times New Roman" w:hAnsi="Times New Roman" w:cs="Times New Roman"/>
                      <w:b/>
                      <w:kern w:val="0"/>
                      <w:sz w:val="21"/>
                      <w:szCs w:val="21"/>
                      <w:lang w:bidi="ar"/>
                    </w:rPr>
                  </w:pPr>
                  <w:r>
                    <w:rPr>
                      <w:rFonts w:hint="default" w:ascii="Times New Roman" w:hAnsi="Times New Roman" w:cs="Times New Roman"/>
                      <w:b/>
                      <w:kern w:val="0"/>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1221"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1</w:t>
                  </w:r>
                </w:p>
              </w:tc>
              <w:tc>
                <w:tcPr>
                  <w:tcW w:w="1222"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1946"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w:t>
                  </w:r>
                  <w:r>
                    <w:rPr>
                      <w:rFonts w:hint="eastAsia" w:ascii="Times New Roman" w:hAnsi="Times New Roman" w:cs="Times New Roman"/>
                      <w:sz w:val="21"/>
                      <w:szCs w:val="21"/>
                      <w:lang w:val="en-US" w:eastAsia="zh-CN"/>
                    </w:rPr>
                    <w:t>47505</w:t>
                  </w:r>
                </w:p>
              </w:tc>
              <w:tc>
                <w:tcPr>
                  <w:tcW w:w="1740" w:type="dxa"/>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5.28</w:t>
                  </w:r>
                </w:p>
              </w:tc>
              <w:tc>
                <w:tcPr>
                  <w:tcW w:w="2174"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网格点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1221"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2</w:t>
                  </w:r>
                </w:p>
              </w:tc>
              <w:tc>
                <w:tcPr>
                  <w:tcW w:w="1222" w:type="dxa"/>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39</w:t>
                  </w:r>
                </w:p>
              </w:tc>
              <w:tc>
                <w:tcPr>
                  <w:tcW w:w="1946" w:type="dxa"/>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0.07263</w:t>
                  </w:r>
                </w:p>
              </w:tc>
              <w:tc>
                <w:tcPr>
                  <w:tcW w:w="1740" w:type="dxa"/>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8.07</w:t>
                  </w:r>
                </w:p>
              </w:tc>
              <w:tc>
                <w:tcPr>
                  <w:tcW w:w="2174"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下风向最大落地点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1221"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3</w:t>
                  </w:r>
                </w:p>
              </w:tc>
              <w:tc>
                <w:tcPr>
                  <w:tcW w:w="1222" w:type="dxa"/>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70</w:t>
                  </w:r>
                </w:p>
              </w:tc>
              <w:tc>
                <w:tcPr>
                  <w:tcW w:w="1946"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w:t>
                  </w:r>
                  <w:r>
                    <w:rPr>
                      <w:rFonts w:hint="eastAsia" w:ascii="Times New Roman" w:hAnsi="Times New Roman" w:cs="Times New Roman"/>
                      <w:sz w:val="21"/>
                      <w:szCs w:val="21"/>
                      <w:lang w:val="en-US" w:eastAsia="zh-CN"/>
                    </w:rPr>
                    <w:t>54095</w:t>
                  </w:r>
                </w:p>
              </w:tc>
              <w:tc>
                <w:tcPr>
                  <w:tcW w:w="1740" w:type="dxa"/>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6.01</w:t>
                  </w:r>
                </w:p>
              </w:tc>
              <w:tc>
                <w:tcPr>
                  <w:tcW w:w="2174" w:type="dxa"/>
                  <w:vAlign w:val="center"/>
                </w:tcPr>
                <w:p>
                  <w:pPr>
                    <w:widowControl/>
                    <w:jc w:val="center"/>
                    <w:textAlignment w:val="center"/>
                    <w:rPr>
                      <w:rFonts w:hint="default" w:ascii="Times New Roman" w:hAnsi="Times New Roman" w:eastAsia="宋体" w:cs="Times New Roman"/>
                      <w:kern w:val="0"/>
                      <w:sz w:val="21"/>
                      <w:szCs w:val="21"/>
                      <w:lang w:eastAsia="zh-CN" w:bidi="ar"/>
                    </w:rPr>
                  </w:pPr>
                  <w:r>
                    <w:rPr>
                      <w:rFonts w:hint="default" w:ascii="Times New Roman" w:hAnsi="Times New Roman" w:cs="Times New Roman"/>
                      <w:kern w:val="0"/>
                      <w:sz w:val="21"/>
                      <w:szCs w:val="21"/>
                      <w:lang w:val="en-US" w:eastAsia="zh-CN" w:bidi="ar"/>
                    </w:rPr>
                    <w:t>敏感点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1221"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4</w:t>
                  </w:r>
                </w:p>
              </w:tc>
              <w:tc>
                <w:tcPr>
                  <w:tcW w:w="1222"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100</w:t>
                  </w:r>
                </w:p>
              </w:tc>
              <w:tc>
                <w:tcPr>
                  <w:tcW w:w="1946"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w:t>
                  </w:r>
                  <w:r>
                    <w:rPr>
                      <w:rFonts w:hint="eastAsia" w:ascii="Times New Roman" w:hAnsi="Times New Roman" w:cs="Times New Roman"/>
                      <w:sz w:val="21"/>
                      <w:szCs w:val="21"/>
                      <w:lang w:val="en-US" w:eastAsia="zh-CN"/>
                    </w:rPr>
                    <w:t>39976</w:t>
                  </w:r>
                </w:p>
              </w:tc>
              <w:tc>
                <w:tcPr>
                  <w:tcW w:w="1740" w:type="dxa"/>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4.22</w:t>
                  </w:r>
                </w:p>
              </w:tc>
              <w:tc>
                <w:tcPr>
                  <w:tcW w:w="2174"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网格点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1221"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5</w:t>
                  </w:r>
                </w:p>
              </w:tc>
              <w:tc>
                <w:tcPr>
                  <w:tcW w:w="1222"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200</w:t>
                  </w:r>
                </w:p>
              </w:tc>
              <w:tc>
                <w:tcPr>
                  <w:tcW w:w="1946"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w:t>
                  </w:r>
                  <w:r>
                    <w:rPr>
                      <w:rFonts w:hint="eastAsia" w:ascii="Times New Roman" w:hAnsi="Times New Roman" w:cs="Times New Roman"/>
                      <w:sz w:val="21"/>
                      <w:szCs w:val="21"/>
                      <w:lang w:val="en-US" w:eastAsia="zh-CN"/>
                    </w:rPr>
                    <w:t>29799</w:t>
                  </w:r>
                </w:p>
              </w:tc>
              <w:tc>
                <w:tcPr>
                  <w:tcW w:w="1740"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3.20</w:t>
                  </w:r>
                </w:p>
              </w:tc>
              <w:tc>
                <w:tcPr>
                  <w:tcW w:w="2174" w:type="dxa"/>
                  <w:vAlign w:val="center"/>
                </w:tcPr>
                <w:p>
                  <w:pPr>
                    <w:widowControl/>
                    <w:jc w:val="both"/>
                    <w:textAlignment w:val="center"/>
                    <w:rPr>
                      <w:rFonts w:hint="default" w:ascii="Times New Roman" w:hAnsi="Times New Roman" w:eastAsia="宋体" w:cs="Times New Roman"/>
                      <w:kern w:val="0"/>
                      <w:sz w:val="21"/>
                      <w:szCs w:val="21"/>
                      <w:lang w:val="en-US" w:eastAsia="zh-CN" w:bidi="ar"/>
                    </w:rPr>
                  </w:pPr>
                  <w:r>
                    <w:rPr>
                      <w:rFonts w:hint="eastAsia" w:ascii="Times New Roman" w:hAnsi="Times New Roman" w:cs="Times New Roman"/>
                      <w:kern w:val="0"/>
                      <w:sz w:val="21"/>
                      <w:szCs w:val="21"/>
                      <w:lang w:val="en-US" w:eastAsia="zh-CN" w:bidi="ar"/>
                    </w:rPr>
                    <w:t xml:space="preserve">       网格点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1221"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6</w:t>
                  </w:r>
                </w:p>
              </w:tc>
              <w:tc>
                <w:tcPr>
                  <w:tcW w:w="1222"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300</w:t>
                  </w:r>
                </w:p>
              </w:tc>
              <w:tc>
                <w:tcPr>
                  <w:tcW w:w="1946"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0.02</w:t>
                  </w:r>
                  <w:r>
                    <w:rPr>
                      <w:rFonts w:hint="eastAsia" w:ascii="Times New Roman" w:hAnsi="Times New Roman" w:cs="Times New Roman"/>
                      <w:sz w:val="21"/>
                      <w:szCs w:val="21"/>
                      <w:lang w:val="en-US" w:eastAsia="zh-CN"/>
                    </w:rPr>
                    <w:t>6729</w:t>
                  </w:r>
                </w:p>
              </w:tc>
              <w:tc>
                <w:tcPr>
                  <w:tcW w:w="1740"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w:t>
                  </w:r>
                  <w:r>
                    <w:rPr>
                      <w:rFonts w:hint="eastAsia" w:ascii="Times New Roman" w:hAnsi="Times New Roman" w:cs="Times New Roman"/>
                      <w:sz w:val="21"/>
                      <w:szCs w:val="21"/>
                      <w:lang w:val="en-US" w:eastAsia="zh-CN"/>
                    </w:rPr>
                    <w:t>97</w:t>
                  </w:r>
                </w:p>
              </w:tc>
              <w:tc>
                <w:tcPr>
                  <w:tcW w:w="2174"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网格点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1221"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7</w:t>
                  </w:r>
                </w:p>
              </w:tc>
              <w:tc>
                <w:tcPr>
                  <w:tcW w:w="1222"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400</w:t>
                  </w:r>
                </w:p>
              </w:tc>
              <w:tc>
                <w:tcPr>
                  <w:tcW w:w="1946"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w:t>
                  </w:r>
                  <w:r>
                    <w:rPr>
                      <w:rFonts w:hint="eastAsia" w:ascii="Times New Roman" w:hAnsi="Times New Roman" w:cs="Times New Roman"/>
                      <w:sz w:val="21"/>
                      <w:szCs w:val="21"/>
                      <w:lang w:val="en-US" w:eastAsia="zh-CN"/>
                    </w:rPr>
                    <w:t>24513</w:t>
                  </w:r>
                </w:p>
              </w:tc>
              <w:tc>
                <w:tcPr>
                  <w:tcW w:w="1740"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w:t>
                  </w:r>
                  <w:r>
                    <w:rPr>
                      <w:rFonts w:hint="eastAsia" w:ascii="Times New Roman" w:hAnsi="Times New Roman" w:cs="Times New Roman"/>
                      <w:sz w:val="21"/>
                      <w:szCs w:val="21"/>
                      <w:lang w:val="en-US" w:eastAsia="zh-CN"/>
                    </w:rPr>
                    <w:t>72</w:t>
                  </w:r>
                </w:p>
              </w:tc>
              <w:tc>
                <w:tcPr>
                  <w:tcW w:w="2174"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网格点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1221"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8</w:t>
                  </w:r>
                </w:p>
              </w:tc>
              <w:tc>
                <w:tcPr>
                  <w:tcW w:w="1222"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500</w:t>
                  </w:r>
                </w:p>
              </w:tc>
              <w:tc>
                <w:tcPr>
                  <w:tcW w:w="1946"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w:t>
                  </w:r>
                  <w:r>
                    <w:rPr>
                      <w:rFonts w:hint="eastAsia" w:ascii="Times New Roman" w:hAnsi="Times New Roman" w:cs="Times New Roman"/>
                      <w:sz w:val="21"/>
                      <w:szCs w:val="21"/>
                      <w:lang w:val="en-US" w:eastAsia="zh-CN"/>
                    </w:rPr>
                    <w:t>22693</w:t>
                  </w:r>
                </w:p>
              </w:tc>
              <w:tc>
                <w:tcPr>
                  <w:tcW w:w="1740" w:type="dxa"/>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2.52</w:t>
                  </w:r>
                </w:p>
              </w:tc>
              <w:tc>
                <w:tcPr>
                  <w:tcW w:w="2174"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网格点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1221"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9</w:t>
                  </w:r>
                </w:p>
              </w:tc>
              <w:tc>
                <w:tcPr>
                  <w:tcW w:w="1222"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600</w:t>
                  </w:r>
                </w:p>
              </w:tc>
              <w:tc>
                <w:tcPr>
                  <w:tcW w:w="1946"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w:t>
                  </w:r>
                  <w:r>
                    <w:rPr>
                      <w:rFonts w:hint="eastAsia" w:ascii="Times New Roman" w:hAnsi="Times New Roman" w:cs="Times New Roman"/>
                      <w:sz w:val="21"/>
                      <w:szCs w:val="21"/>
                      <w:lang w:val="en-US" w:eastAsia="zh-CN"/>
                    </w:rPr>
                    <w:t>21161</w:t>
                  </w:r>
                </w:p>
              </w:tc>
              <w:tc>
                <w:tcPr>
                  <w:tcW w:w="1740" w:type="dxa"/>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2.35</w:t>
                  </w:r>
                </w:p>
              </w:tc>
              <w:tc>
                <w:tcPr>
                  <w:tcW w:w="2174"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网格点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1221"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10</w:t>
                  </w:r>
                </w:p>
              </w:tc>
              <w:tc>
                <w:tcPr>
                  <w:tcW w:w="1222"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700</w:t>
                  </w:r>
                </w:p>
              </w:tc>
              <w:tc>
                <w:tcPr>
                  <w:tcW w:w="1946"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w:t>
                  </w:r>
                  <w:r>
                    <w:rPr>
                      <w:rFonts w:hint="eastAsia" w:ascii="Times New Roman" w:hAnsi="Times New Roman" w:cs="Times New Roman"/>
                      <w:sz w:val="21"/>
                      <w:szCs w:val="21"/>
                      <w:lang w:val="en-US" w:eastAsia="zh-CN"/>
                    </w:rPr>
                    <w:t>19806</w:t>
                  </w:r>
                </w:p>
              </w:tc>
              <w:tc>
                <w:tcPr>
                  <w:tcW w:w="1740" w:type="dxa"/>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2.20</w:t>
                  </w:r>
                </w:p>
              </w:tc>
              <w:tc>
                <w:tcPr>
                  <w:tcW w:w="2174"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网格点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1221"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11</w:t>
                  </w:r>
                </w:p>
              </w:tc>
              <w:tc>
                <w:tcPr>
                  <w:tcW w:w="1222"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800</w:t>
                  </w:r>
                </w:p>
              </w:tc>
              <w:tc>
                <w:tcPr>
                  <w:tcW w:w="1946"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0.01</w:t>
                  </w:r>
                  <w:r>
                    <w:rPr>
                      <w:rFonts w:hint="eastAsia" w:ascii="Times New Roman" w:hAnsi="Times New Roman" w:cs="Times New Roman"/>
                      <w:sz w:val="21"/>
                      <w:szCs w:val="21"/>
                      <w:lang w:val="en-US" w:eastAsia="zh-CN"/>
                    </w:rPr>
                    <w:t>8606</w:t>
                  </w:r>
                </w:p>
              </w:tc>
              <w:tc>
                <w:tcPr>
                  <w:tcW w:w="1740" w:type="dxa"/>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2.07</w:t>
                  </w:r>
                </w:p>
              </w:tc>
              <w:tc>
                <w:tcPr>
                  <w:tcW w:w="2174"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网格点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9" w:hRule="atLeast"/>
                <w:jc w:val="center"/>
              </w:trPr>
              <w:tc>
                <w:tcPr>
                  <w:tcW w:w="1221"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12</w:t>
                  </w:r>
                </w:p>
              </w:tc>
              <w:tc>
                <w:tcPr>
                  <w:tcW w:w="1222"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900</w:t>
                  </w:r>
                </w:p>
              </w:tc>
              <w:tc>
                <w:tcPr>
                  <w:tcW w:w="1946"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0.01</w:t>
                  </w:r>
                  <w:r>
                    <w:rPr>
                      <w:rFonts w:hint="eastAsia" w:ascii="Times New Roman" w:hAnsi="Times New Roman" w:cs="Times New Roman"/>
                      <w:sz w:val="21"/>
                      <w:szCs w:val="21"/>
                      <w:lang w:val="en-US" w:eastAsia="zh-CN"/>
                    </w:rPr>
                    <w:t>753</w:t>
                  </w:r>
                </w:p>
              </w:tc>
              <w:tc>
                <w:tcPr>
                  <w:tcW w:w="1740"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w:t>
                  </w:r>
                  <w:r>
                    <w:rPr>
                      <w:rFonts w:hint="eastAsia" w:ascii="Times New Roman" w:hAnsi="Times New Roman" w:cs="Times New Roman"/>
                      <w:sz w:val="21"/>
                      <w:szCs w:val="21"/>
                      <w:lang w:val="en-US" w:eastAsia="zh-CN"/>
                    </w:rPr>
                    <w:t>95</w:t>
                  </w:r>
                </w:p>
              </w:tc>
              <w:tc>
                <w:tcPr>
                  <w:tcW w:w="2174"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网格点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1221"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13</w:t>
                  </w:r>
                </w:p>
              </w:tc>
              <w:tc>
                <w:tcPr>
                  <w:tcW w:w="1222"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1000</w:t>
                  </w:r>
                </w:p>
              </w:tc>
              <w:tc>
                <w:tcPr>
                  <w:tcW w:w="1946"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w:t>
                  </w:r>
                  <w:r>
                    <w:rPr>
                      <w:rFonts w:hint="eastAsia" w:ascii="Times New Roman" w:hAnsi="Times New Roman" w:cs="Times New Roman"/>
                      <w:sz w:val="21"/>
                      <w:szCs w:val="21"/>
                      <w:lang w:val="en-US" w:eastAsia="zh-CN"/>
                    </w:rPr>
                    <w:t>16569</w:t>
                  </w:r>
                </w:p>
              </w:tc>
              <w:tc>
                <w:tcPr>
                  <w:tcW w:w="1740"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w:t>
                  </w:r>
                  <w:r>
                    <w:rPr>
                      <w:rFonts w:hint="eastAsia" w:ascii="Times New Roman" w:hAnsi="Times New Roman" w:cs="Times New Roman"/>
                      <w:sz w:val="21"/>
                      <w:szCs w:val="21"/>
                      <w:lang w:val="en-US" w:eastAsia="zh-CN"/>
                    </w:rPr>
                    <w:t>84</w:t>
                  </w:r>
                </w:p>
              </w:tc>
              <w:tc>
                <w:tcPr>
                  <w:tcW w:w="2174" w:type="dxa"/>
                  <w:vAlign w:val="center"/>
                </w:tcPr>
                <w:p>
                  <w:pPr>
                    <w:widowControl/>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网格点</w:t>
                  </w:r>
                </w:p>
              </w:tc>
            </w:tr>
          </w:tbl>
          <w:p>
            <w:pPr>
              <w:adjustRightInd w:val="0"/>
              <w:snapToGrid w:val="0"/>
              <w:spacing w:line="36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表</w:t>
            </w:r>
            <w:r>
              <w:rPr>
                <w:rFonts w:hint="eastAsia" w:cs="Times New Roman"/>
                <w:b/>
                <w:bCs/>
                <w:sz w:val="21"/>
                <w:szCs w:val="21"/>
                <w:lang w:val="en-US" w:eastAsia="zh-CN"/>
              </w:rPr>
              <w:t>7.5-7</w:t>
            </w:r>
            <w:r>
              <w:rPr>
                <w:rFonts w:hint="eastAsia"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 xml:space="preserve"> 无组织废气厂界预测结果</w:t>
            </w:r>
          </w:p>
          <w:tbl>
            <w:tblPr>
              <w:tblStyle w:val="43"/>
              <w:tblW w:w="829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2468"/>
              <w:gridCol w:w="3183"/>
              <w:gridCol w:w="26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2468" w:type="dxa"/>
                  <w:vMerge w:val="restart"/>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预测点</w:t>
                  </w:r>
                </w:p>
              </w:tc>
              <w:tc>
                <w:tcPr>
                  <w:tcW w:w="5825" w:type="dxa"/>
                  <w:gridSpan w:val="2"/>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粉尘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2468" w:type="dxa"/>
                  <w:vMerge w:val="continue"/>
                  <w:vAlign w:val="center"/>
                </w:tcPr>
                <w:p>
                  <w:pPr>
                    <w:jc w:val="center"/>
                    <w:rPr>
                      <w:rFonts w:hint="default" w:ascii="Times New Roman" w:hAnsi="Times New Roman" w:cs="Times New Roman"/>
                      <w:b/>
                      <w:bCs/>
                      <w:sz w:val="21"/>
                      <w:szCs w:val="21"/>
                    </w:rPr>
                  </w:pPr>
                </w:p>
              </w:tc>
              <w:tc>
                <w:tcPr>
                  <w:tcW w:w="3183" w:type="dxa"/>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预测值mg/m</w:t>
                  </w:r>
                  <w:r>
                    <w:rPr>
                      <w:rFonts w:hint="default" w:ascii="Times New Roman" w:hAnsi="Times New Roman" w:cs="Times New Roman"/>
                      <w:b/>
                      <w:bCs/>
                      <w:sz w:val="21"/>
                      <w:szCs w:val="21"/>
                      <w:vertAlign w:val="superscript"/>
                    </w:rPr>
                    <w:t>3</w:t>
                  </w:r>
                </w:p>
              </w:tc>
              <w:tc>
                <w:tcPr>
                  <w:tcW w:w="2642" w:type="dxa"/>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标准值mg/m</w:t>
                  </w:r>
                  <w:r>
                    <w:rPr>
                      <w:rFonts w:hint="default" w:ascii="Times New Roman" w:hAnsi="Times New Roman" w:cs="Times New Roman"/>
                      <w:b/>
                      <w:bCs/>
                      <w:sz w:val="21"/>
                      <w:szCs w:val="21"/>
                      <w:vertAlign w:val="superscript"/>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2468" w:type="dxa"/>
                  <w:vAlign w:val="center"/>
                </w:tcPr>
                <w:p>
                  <w:pPr>
                    <w:jc w:val="center"/>
                    <w:rPr>
                      <w:rFonts w:hint="default" w:ascii="Times New Roman" w:hAnsi="Times New Roman" w:cs="Times New Roman"/>
                      <w:bCs/>
                      <w:sz w:val="21"/>
                      <w:szCs w:val="21"/>
                    </w:rPr>
                  </w:pPr>
                  <w:r>
                    <w:rPr>
                      <w:rFonts w:hint="default" w:ascii="Times New Roman" w:hAnsi="Times New Roman" w:cs="Times New Roman"/>
                      <w:bCs/>
                      <w:sz w:val="21"/>
                      <w:szCs w:val="21"/>
                    </w:rPr>
                    <w:t>东厂界（</w:t>
                  </w:r>
                  <w:r>
                    <w:rPr>
                      <w:rFonts w:hint="eastAsia" w:ascii="Times New Roman" w:hAnsi="Times New Roman" w:cs="Times New Roman"/>
                      <w:bCs/>
                      <w:sz w:val="21"/>
                      <w:szCs w:val="21"/>
                      <w:lang w:val="en-US" w:eastAsia="zh-CN"/>
                    </w:rPr>
                    <w:t>2</w:t>
                  </w:r>
                  <w:r>
                    <w:rPr>
                      <w:rFonts w:hint="default" w:ascii="Times New Roman" w:hAnsi="Times New Roman" w:cs="Times New Roman"/>
                      <w:bCs/>
                      <w:sz w:val="21"/>
                      <w:szCs w:val="21"/>
                    </w:rPr>
                    <w:t>m）</w:t>
                  </w:r>
                </w:p>
              </w:tc>
              <w:tc>
                <w:tcPr>
                  <w:tcW w:w="3183" w:type="dxa"/>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0.0</w:t>
                  </w:r>
                  <w:r>
                    <w:rPr>
                      <w:rFonts w:hint="eastAsia" w:ascii="Times New Roman" w:hAnsi="Times New Roman" w:cs="Times New Roman"/>
                      <w:bCs/>
                      <w:sz w:val="21"/>
                      <w:szCs w:val="21"/>
                      <w:lang w:val="en-US" w:eastAsia="zh-CN"/>
                    </w:rPr>
                    <w:t>35718</w:t>
                  </w:r>
                </w:p>
              </w:tc>
              <w:tc>
                <w:tcPr>
                  <w:tcW w:w="2642" w:type="dxa"/>
                  <w:vAlign w:val="center"/>
                </w:tcPr>
                <w:p>
                  <w:pPr>
                    <w:widowControl/>
                    <w:jc w:val="center"/>
                    <w:textAlignment w:val="center"/>
                    <w:rPr>
                      <w:rFonts w:hint="default" w:ascii="Times New Roman" w:hAnsi="Times New Roman" w:cs="Times New Roman"/>
                      <w:bCs/>
                      <w:sz w:val="21"/>
                      <w:szCs w:val="21"/>
                    </w:rPr>
                  </w:pPr>
                  <w:r>
                    <w:rPr>
                      <w:rFonts w:hint="default" w:ascii="Times New Roman" w:hAnsi="Times New Roman" w:cs="Times New Roman"/>
                      <w:bCs/>
                      <w:kern w:val="0"/>
                      <w:sz w:val="21"/>
                      <w:szCs w:val="21"/>
                      <w:lang w:bidi="ar"/>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2468" w:type="dxa"/>
                  <w:vAlign w:val="center"/>
                </w:tcPr>
                <w:p>
                  <w:pPr>
                    <w:jc w:val="center"/>
                    <w:rPr>
                      <w:rFonts w:hint="default" w:ascii="Times New Roman" w:hAnsi="Times New Roman" w:cs="Times New Roman"/>
                      <w:bCs/>
                      <w:sz w:val="21"/>
                      <w:szCs w:val="21"/>
                    </w:rPr>
                  </w:pPr>
                  <w:r>
                    <w:rPr>
                      <w:rFonts w:hint="default" w:ascii="Times New Roman" w:hAnsi="Times New Roman" w:cs="Times New Roman"/>
                      <w:bCs/>
                      <w:sz w:val="21"/>
                      <w:szCs w:val="21"/>
                    </w:rPr>
                    <w:t>南厂界（</w:t>
                  </w:r>
                  <w:r>
                    <w:rPr>
                      <w:rFonts w:hint="eastAsia" w:ascii="Times New Roman" w:hAnsi="Times New Roman" w:cs="Times New Roman"/>
                      <w:bCs/>
                      <w:sz w:val="21"/>
                      <w:szCs w:val="21"/>
                      <w:lang w:val="en-US" w:eastAsia="zh-CN"/>
                    </w:rPr>
                    <w:t>30</w:t>
                  </w:r>
                  <w:r>
                    <w:rPr>
                      <w:rFonts w:hint="default" w:ascii="Times New Roman" w:hAnsi="Times New Roman" w:cs="Times New Roman"/>
                      <w:bCs/>
                      <w:sz w:val="21"/>
                      <w:szCs w:val="21"/>
                    </w:rPr>
                    <w:t>m）</w:t>
                  </w:r>
                </w:p>
              </w:tc>
              <w:tc>
                <w:tcPr>
                  <w:tcW w:w="3183" w:type="dxa"/>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0.0</w:t>
                  </w:r>
                  <w:r>
                    <w:rPr>
                      <w:rFonts w:hint="eastAsia" w:ascii="Times New Roman" w:hAnsi="Times New Roman" w:cs="Times New Roman"/>
                      <w:bCs/>
                      <w:sz w:val="21"/>
                      <w:szCs w:val="21"/>
                      <w:lang w:val="en-US" w:eastAsia="zh-CN"/>
                    </w:rPr>
                    <w:t>69925</w:t>
                  </w:r>
                </w:p>
              </w:tc>
              <w:tc>
                <w:tcPr>
                  <w:tcW w:w="2642" w:type="dxa"/>
                  <w:vAlign w:val="center"/>
                </w:tcPr>
                <w:p>
                  <w:pPr>
                    <w:widowControl/>
                    <w:jc w:val="center"/>
                    <w:textAlignment w:val="center"/>
                    <w:rPr>
                      <w:rFonts w:hint="default" w:ascii="Times New Roman" w:hAnsi="Times New Roman" w:cs="Times New Roman"/>
                      <w:bCs/>
                      <w:sz w:val="21"/>
                      <w:szCs w:val="21"/>
                    </w:rPr>
                  </w:pPr>
                  <w:r>
                    <w:rPr>
                      <w:rFonts w:hint="default" w:ascii="Times New Roman" w:hAnsi="Times New Roman" w:cs="Times New Roman"/>
                      <w:bCs/>
                      <w:kern w:val="0"/>
                      <w:sz w:val="21"/>
                      <w:szCs w:val="21"/>
                      <w:lang w:bidi="ar"/>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2468" w:type="dxa"/>
                  <w:vAlign w:val="center"/>
                </w:tcPr>
                <w:p>
                  <w:pPr>
                    <w:jc w:val="center"/>
                    <w:rPr>
                      <w:rFonts w:hint="default" w:ascii="Times New Roman" w:hAnsi="Times New Roman" w:cs="Times New Roman"/>
                      <w:bCs/>
                      <w:sz w:val="21"/>
                      <w:szCs w:val="21"/>
                    </w:rPr>
                  </w:pPr>
                  <w:r>
                    <w:rPr>
                      <w:rFonts w:hint="default" w:ascii="Times New Roman" w:hAnsi="Times New Roman" w:cs="Times New Roman"/>
                      <w:bCs/>
                      <w:sz w:val="21"/>
                      <w:szCs w:val="21"/>
                    </w:rPr>
                    <w:t>西厂界（</w:t>
                  </w:r>
                  <w:r>
                    <w:rPr>
                      <w:rFonts w:hint="eastAsia" w:ascii="Times New Roman" w:hAnsi="Times New Roman" w:cs="Times New Roman"/>
                      <w:bCs/>
                      <w:sz w:val="21"/>
                      <w:szCs w:val="21"/>
                      <w:lang w:val="en-US" w:eastAsia="zh-CN"/>
                    </w:rPr>
                    <w:t>2</w:t>
                  </w:r>
                  <w:r>
                    <w:rPr>
                      <w:rFonts w:hint="default" w:ascii="Times New Roman" w:hAnsi="Times New Roman" w:cs="Times New Roman"/>
                      <w:bCs/>
                      <w:sz w:val="21"/>
                      <w:szCs w:val="21"/>
                    </w:rPr>
                    <w:t>m）</w:t>
                  </w:r>
                </w:p>
              </w:tc>
              <w:tc>
                <w:tcPr>
                  <w:tcW w:w="3183" w:type="dxa"/>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0.0</w:t>
                  </w:r>
                  <w:r>
                    <w:rPr>
                      <w:rFonts w:hint="eastAsia" w:ascii="Times New Roman" w:hAnsi="Times New Roman" w:cs="Times New Roman"/>
                      <w:bCs/>
                      <w:sz w:val="21"/>
                      <w:szCs w:val="21"/>
                      <w:lang w:val="en-US" w:eastAsia="zh-CN"/>
                    </w:rPr>
                    <w:t>35718</w:t>
                  </w:r>
                </w:p>
              </w:tc>
              <w:tc>
                <w:tcPr>
                  <w:tcW w:w="2642" w:type="dxa"/>
                  <w:vAlign w:val="center"/>
                </w:tcPr>
                <w:p>
                  <w:pPr>
                    <w:widowControl/>
                    <w:jc w:val="center"/>
                    <w:textAlignment w:val="center"/>
                    <w:rPr>
                      <w:rFonts w:hint="default" w:ascii="Times New Roman" w:hAnsi="Times New Roman" w:cs="Times New Roman"/>
                      <w:bCs/>
                      <w:sz w:val="21"/>
                      <w:szCs w:val="21"/>
                    </w:rPr>
                  </w:pPr>
                  <w:r>
                    <w:rPr>
                      <w:rFonts w:hint="default" w:ascii="Times New Roman" w:hAnsi="Times New Roman" w:cs="Times New Roman"/>
                      <w:bCs/>
                      <w:kern w:val="0"/>
                      <w:sz w:val="21"/>
                      <w:szCs w:val="21"/>
                      <w:lang w:bidi="ar"/>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2468" w:type="dxa"/>
                  <w:vAlign w:val="center"/>
                </w:tcPr>
                <w:p>
                  <w:pPr>
                    <w:jc w:val="center"/>
                    <w:rPr>
                      <w:rFonts w:hint="default" w:ascii="Times New Roman" w:hAnsi="Times New Roman" w:cs="Times New Roman"/>
                      <w:bCs/>
                      <w:sz w:val="21"/>
                      <w:szCs w:val="21"/>
                    </w:rPr>
                  </w:pPr>
                  <w:r>
                    <w:rPr>
                      <w:rFonts w:hint="default" w:ascii="Times New Roman" w:hAnsi="Times New Roman" w:cs="Times New Roman"/>
                      <w:bCs/>
                      <w:sz w:val="21"/>
                      <w:szCs w:val="21"/>
                    </w:rPr>
                    <w:t>北厂界（</w:t>
                  </w:r>
                  <w:r>
                    <w:rPr>
                      <w:rFonts w:hint="default" w:ascii="Times New Roman" w:hAnsi="Times New Roman" w:cs="Times New Roman"/>
                      <w:bCs/>
                      <w:sz w:val="21"/>
                      <w:szCs w:val="21"/>
                      <w:lang w:val="en-US" w:eastAsia="zh-CN"/>
                    </w:rPr>
                    <w:t>2</w:t>
                  </w:r>
                  <w:r>
                    <w:rPr>
                      <w:rFonts w:hint="default" w:ascii="Times New Roman" w:hAnsi="Times New Roman" w:cs="Times New Roman"/>
                      <w:bCs/>
                      <w:sz w:val="21"/>
                      <w:szCs w:val="21"/>
                    </w:rPr>
                    <w:t>m）</w:t>
                  </w:r>
                </w:p>
              </w:tc>
              <w:tc>
                <w:tcPr>
                  <w:tcW w:w="3183" w:type="dxa"/>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0.0</w:t>
                  </w:r>
                  <w:r>
                    <w:rPr>
                      <w:rFonts w:hint="eastAsia" w:ascii="Times New Roman" w:hAnsi="Times New Roman" w:cs="Times New Roman"/>
                      <w:bCs/>
                      <w:sz w:val="21"/>
                      <w:szCs w:val="21"/>
                      <w:lang w:val="en-US" w:eastAsia="zh-CN"/>
                    </w:rPr>
                    <w:t>35718</w:t>
                  </w:r>
                </w:p>
              </w:tc>
              <w:tc>
                <w:tcPr>
                  <w:tcW w:w="2642" w:type="dxa"/>
                  <w:vAlign w:val="center"/>
                </w:tcPr>
                <w:p>
                  <w:pPr>
                    <w:widowControl/>
                    <w:jc w:val="center"/>
                    <w:textAlignment w:val="center"/>
                    <w:rPr>
                      <w:rFonts w:hint="default" w:ascii="Times New Roman" w:hAnsi="Times New Roman" w:cs="Times New Roman"/>
                      <w:bCs/>
                      <w:sz w:val="21"/>
                      <w:szCs w:val="21"/>
                    </w:rPr>
                  </w:pPr>
                  <w:r>
                    <w:rPr>
                      <w:rFonts w:hint="default" w:ascii="Times New Roman" w:hAnsi="Times New Roman" w:cs="Times New Roman"/>
                      <w:bCs/>
                      <w:kern w:val="0"/>
                      <w:sz w:val="21"/>
                      <w:szCs w:val="21"/>
                      <w:lang w:bidi="ar"/>
                    </w:rPr>
                    <w:t>1.0</w:t>
                  </w:r>
                </w:p>
              </w:tc>
            </w:tr>
          </w:tbl>
          <w:p>
            <w:pPr>
              <w:adjustRightInd w:val="0"/>
              <w:snapToGrid w:val="0"/>
              <w:spacing w:line="360" w:lineRule="auto"/>
              <w:ind w:firstLine="480" w:firstLineChars="200"/>
              <w:rPr>
                <w:rFonts w:hint="default" w:ascii="Times New Roman" w:hAnsi="Times New Roman" w:cs="Times New Roman"/>
                <w:bCs/>
                <w:kern w:val="0"/>
                <w:sz w:val="24"/>
              </w:rPr>
            </w:pPr>
            <w:r>
              <w:rPr>
                <w:rFonts w:hint="default" w:ascii="Times New Roman" w:hAnsi="Times New Roman" w:cs="Times New Roman"/>
                <w:bCs/>
                <w:kern w:val="0"/>
                <w:sz w:val="24"/>
              </w:rPr>
              <w:t>经预测本项目厂界粉尘小时浓度贡献值满足</w:t>
            </w:r>
            <w:r>
              <w:rPr>
                <w:rFonts w:hint="default" w:ascii="Times New Roman" w:hAnsi="Times New Roman" w:cs="Times New Roman"/>
                <w:bCs/>
                <w:sz w:val="24"/>
                <w:szCs w:val="24"/>
              </w:rPr>
              <w:t>《大气污染物综合排放标准》（</w:t>
            </w:r>
            <w:r>
              <w:rPr>
                <w:rFonts w:hint="default" w:ascii="Times New Roman" w:hAnsi="Times New Roman" w:cs="Times New Roman"/>
                <w:bCs/>
                <w:sz w:val="24"/>
                <w:szCs w:val="22"/>
              </w:rPr>
              <w:t>GB16297-1996</w:t>
            </w:r>
            <w:r>
              <w:rPr>
                <w:rFonts w:hint="default" w:ascii="Times New Roman" w:hAnsi="Times New Roman" w:cs="Times New Roman"/>
                <w:bCs/>
                <w:sz w:val="24"/>
                <w:szCs w:val="24"/>
              </w:rPr>
              <w:t>）表2</w:t>
            </w:r>
            <w:r>
              <w:rPr>
                <w:rFonts w:hint="default" w:ascii="Times New Roman" w:hAnsi="Times New Roman" w:cs="Times New Roman"/>
                <w:bCs/>
                <w:kern w:val="0"/>
                <w:sz w:val="24"/>
              </w:rPr>
              <w:t>无组织排放监控点浓度限值要求。网格点及最大落地点处预测浓度可满足《环境空气质量标准》（GB3095-2012）二级标准要求。</w:t>
            </w:r>
          </w:p>
          <w:p>
            <w:pPr>
              <w:adjustRightInd w:val="0"/>
              <w:snapToGrid w:val="0"/>
              <w:spacing w:line="360" w:lineRule="auto"/>
              <w:ind w:firstLine="480" w:firstLineChars="200"/>
              <w:rPr>
                <w:rFonts w:hint="default" w:ascii="Times New Roman" w:hAnsi="Times New Roman" w:cs="Times New Roman"/>
                <w:bCs/>
                <w:sz w:val="24"/>
                <w:szCs w:val="24"/>
                <w:u w:val="none"/>
              </w:rPr>
            </w:pPr>
            <w:r>
              <w:rPr>
                <w:rFonts w:hint="default" w:ascii="Times New Roman" w:hAnsi="Times New Roman" w:cs="Times New Roman"/>
                <w:bCs/>
                <w:sz w:val="24"/>
                <w:szCs w:val="24"/>
                <w:u w:val="none"/>
              </w:rPr>
              <w:t>项目P</w:t>
            </w:r>
            <w:r>
              <w:rPr>
                <w:rFonts w:hint="default" w:ascii="Times New Roman" w:hAnsi="Times New Roman" w:cs="Times New Roman"/>
                <w:bCs/>
                <w:sz w:val="24"/>
                <w:szCs w:val="24"/>
                <w:u w:val="none"/>
                <w:vertAlign w:val="subscript"/>
              </w:rPr>
              <w:t>max</w:t>
            </w:r>
            <w:r>
              <w:rPr>
                <w:rFonts w:hint="default" w:ascii="Times New Roman" w:hAnsi="Times New Roman" w:cs="Times New Roman"/>
                <w:bCs/>
                <w:sz w:val="24"/>
                <w:szCs w:val="24"/>
                <w:u w:val="none"/>
              </w:rPr>
              <w:t>最大值出现为面源排放的TSP，C</w:t>
            </w:r>
            <w:r>
              <w:rPr>
                <w:rFonts w:hint="default" w:ascii="Times New Roman" w:hAnsi="Times New Roman" w:cs="Times New Roman"/>
                <w:bCs/>
                <w:sz w:val="24"/>
                <w:szCs w:val="24"/>
                <w:u w:val="none"/>
                <w:vertAlign w:val="subscript"/>
              </w:rPr>
              <w:t>max</w:t>
            </w:r>
            <w:r>
              <w:rPr>
                <w:rFonts w:hint="default" w:ascii="Times New Roman" w:hAnsi="Times New Roman" w:cs="Times New Roman"/>
                <w:bCs/>
                <w:sz w:val="24"/>
                <w:szCs w:val="24"/>
                <w:u w:val="none"/>
              </w:rPr>
              <w:t>为0.0</w:t>
            </w:r>
            <w:r>
              <w:rPr>
                <w:rFonts w:hint="eastAsia" w:ascii="Times New Roman" w:hAnsi="Times New Roman" w:cs="Times New Roman"/>
                <w:bCs/>
                <w:sz w:val="24"/>
                <w:szCs w:val="24"/>
                <w:u w:val="none"/>
                <w:lang w:val="en-US" w:eastAsia="zh-CN"/>
              </w:rPr>
              <w:t>7263</w:t>
            </w:r>
            <w:r>
              <w:rPr>
                <w:rFonts w:hint="default" w:ascii="Times New Roman" w:hAnsi="Times New Roman" w:cs="Times New Roman"/>
                <w:bCs/>
                <w:sz w:val="24"/>
                <w:szCs w:val="24"/>
                <w:u w:val="none"/>
              </w:rPr>
              <w:t>mg/m</w:t>
            </w:r>
            <w:r>
              <w:rPr>
                <w:rFonts w:hint="default" w:ascii="Times New Roman" w:hAnsi="Times New Roman" w:cs="Times New Roman"/>
                <w:bCs/>
                <w:sz w:val="24"/>
                <w:szCs w:val="24"/>
                <w:u w:val="none"/>
                <w:vertAlign w:val="superscript"/>
              </w:rPr>
              <w:t>3</w:t>
            </w:r>
            <w:r>
              <w:rPr>
                <w:rFonts w:hint="default" w:ascii="Times New Roman" w:hAnsi="Times New Roman" w:cs="Times New Roman"/>
                <w:bCs/>
                <w:sz w:val="24"/>
                <w:szCs w:val="24"/>
                <w:u w:val="none"/>
              </w:rPr>
              <w:t>，P</w:t>
            </w:r>
            <w:r>
              <w:rPr>
                <w:rFonts w:hint="default" w:ascii="Times New Roman" w:hAnsi="Times New Roman" w:cs="Times New Roman"/>
                <w:bCs/>
                <w:sz w:val="24"/>
                <w:szCs w:val="24"/>
                <w:u w:val="none"/>
                <w:vertAlign w:val="subscript"/>
              </w:rPr>
              <w:t>max</w:t>
            </w:r>
            <w:r>
              <w:rPr>
                <w:rFonts w:hint="default" w:ascii="Times New Roman" w:hAnsi="Times New Roman" w:cs="Times New Roman"/>
                <w:bCs/>
                <w:sz w:val="24"/>
                <w:szCs w:val="24"/>
                <w:u w:val="none"/>
              </w:rPr>
              <w:t>值为</w:t>
            </w:r>
            <w:r>
              <w:rPr>
                <w:rFonts w:hint="eastAsia" w:ascii="Times New Roman" w:hAnsi="Times New Roman" w:cs="Times New Roman"/>
                <w:bCs/>
                <w:sz w:val="24"/>
                <w:szCs w:val="24"/>
                <w:u w:val="none"/>
                <w:lang w:val="en-US" w:eastAsia="zh-CN"/>
              </w:rPr>
              <w:t>8.07</w:t>
            </w:r>
            <w:r>
              <w:rPr>
                <w:rFonts w:hint="default" w:ascii="Times New Roman" w:hAnsi="Times New Roman" w:cs="Times New Roman"/>
                <w:bCs/>
                <w:sz w:val="24"/>
                <w:szCs w:val="24"/>
                <w:u w:val="none"/>
              </w:rPr>
              <w:t>%，根据《环境影响评价技术导则 大气环境》(HJ2.2-2018)分级判据，确定本项目大气环境影响评价工作等级为二级。二级评价项目不进行进一步预测与评价，无需设置大气环境防护距离，只对污染物排放量进行核算。</w:t>
            </w:r>
          </w:p>
          <w:p>
            <w:pPr>
              <w:adjustRightInd w:val="0"/>
              <w:snapToGrid w:val="0"/>
              <w:spacing w:line="360" w:lineRule="auto"/>
              <w:ind w:firstLine="480" w:firstLineChars="200"/>
              <w:rPr>
                <w:rFonts w:hint="default" w:ascii="Times New Roman" w:hAnsi="Times New Roman" w:cs="Times New Roman"/>
                <w:sz w:val="24"/>
                <w:u w:val="none"/>
              </w:rPr>
            </w:pPr>
            <w:r>
              <w:rPr>
                <w:rFonts w:hint="default" w:ascii="Times New Roman" w:hAnsi="Times New Roman" w:cs="Times New Roman"/>
                <w:sz w:val="24"/>
                <w:u w:val="none"/>
              </w:rPr>
              <w:t>此外，本项目无组织废气主要为块石破碎、</w:t>
            </w:r>
            <w:r>
              <w:rPr>
                <w:rFonts w:hint="default" w:ascii="Times New Roman" w:hAnsi="Times New Roman" w:cs="Times New Roman"/>
                <w:sz w:val="24"/>
                <w:u w:val="none"/>
                <w:lang w:eastAsia="zh-CN"/>
              </w:rPr>
              <w:t>石沫</w:t>
            </w:r>
            <w:r>
              <w:rPr>
                <w:rFonts w:hint="default" w:ascii="Times New Roman" w:hAnsi="Times New Roman" w:cs="Times New Roman"/>
                <w:sz w:val="24"/>
                <w:u w:val="none"/>
              </w:rPr>
              <w:t>过程产生的粉尘，不属于玻璃棉尘、石英粉尘、矿渣棉尘等有毒有害粉尘，无需设置卫生防护距离。</w:t>
            </w:r>
          </w:p>
          <w:p>
            <w:pPr>
              <w:adjustRightInd w:val="0"/>
              <w:snapToGrid w:val="0"/>
              <w:spacing w:line="360" w:lineRule="auto"/>
              <w:ind w:firstLine="480" w:firstLineChars="200"/>
              <w:rPr>
                <w:rFonts w:hint="default" w:ascii="Times New Roman" w:hAnsi="Times New Roman" w:cs="Times New Roman"/>
                <w:bCs/>
                <w:kern w:val="0"/>
                <w:sz w:val="24"/>
              </w:rPr>
            </w:pPr>
            <w:r>
              <w:rPr>
                <w:rFonts w:hint="default" w:ascii="Times New Roman" w:hAnsi="Times New Roman" w:cs="Times New Roman"/>
                <w:bCs/>
                <w:kern w:val="0"/>
                <w:sz w:val="24"/>
              </w:rPr>
              <w:t>（4）污染物排放量核算</w:t>
            </w:r>
          </w:p>
          <w:p>
            <w:pPr>
              <w:pStyle w:val="63"/>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eastAsia" w:ascii="Times New Roman" w:cs="Times New Roman"/>
                <w:b/>
                <w:color w:val="auto"/>
                <w:sz w:val="21"/>
                <w:szCs w:val="21"/>
                <w:lang w:val="en-US" w:eastAsia="zh-CN"/>
              </w:rPr>
              <w:t>7.5-8</w:t>
            </w:r>
            <w:r>
              <w:rPr>
                <w:rFonts w:hint="default" w:ascii="Times New Roman" w:hAnsi="Times New Roman" w:cs="Times New Roman"/>
                <w:b/>
                <w:color w:val="auto"/>
                <w:sz w:val="21"/>
                <w:szCs w:val="21"/>
              </w:rPr>
              <w:t xml:space="preserve">  大气污染物有组织排放量核算表</w:t>
            </w:r>
          </w:p>
          <w:tbl>
            <w:tblPr>
              <w:tblStyle w:val="44"/>
              <w:tblW w:w="8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276"/>
              <w:gridCol w:w="1418"/>
              <w:gridCol w:w="1701"/>
              <w:gridCol w:w="1701"/>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vAlign w:val="center"/>
                </w:tcPr>
                <w:p>
                  <w:pPr>
                    <w:pStyle w:val="63"/>
                    <w:snapToGrid w:val="0"/>
                    <w:spacing w:line="360" w:lineRule="exact"/>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序号</w:t>
                  </w:r>
                </w:p>
              </w:tc>
              <w:tc>
                <w:tcPr>
                  <w:tcW w:w="1276" w:type="dxa"/>
                  <w:vAlign w:val="center"/>
                </w:tcPr>
                <w:p>
                  <w:pPr>
                    <w:pStyle w:val="63"/>
                    <w:snapToGrid w:val="0"/>
                    <w:spacing w:line="360" w:lineRule="exact"/>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排放口编号</w:t>
                  </w:r>
                </w:p>
              </w:tc>
              <w:tc>
                <w:tcPr>
                  <w:tcW w:w="1418" w:type="dxa"/>
                  <w:vAlign w:val="center"/>
                </w:tcPr>
                <w:p>
                  <w:pPr>
                    <w:pStyle w:val="63"/>
                    <w:snapToGrid w:val="0"/>
                    <w:spacing w:line="360" w:lineRule="exact"/>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污染物</w:t>
                  </w:r>
                </w:p>
              </w:tc>
              <w:tc>
                <w:tcPr>
                  <w:tcW w:w="1701" w:type="dxa"/>
                  <w:vAlign w:val="center"/>
                </w:tcPr>
                <w:p>
                  <w:pPr>
                    <w:pStyle w:val="63"/>
                    <w:snapToGrid w:val="0"/>
                    <w:spacing w:line="360" w:lineRule="exact"/>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核算排放浓度/（</w:t>
                  </w:r>
                  <w:r>
                    <w:rPr>
                      <w:rFonts w:hint="default" w:ascii="Times New Roman" w:hAnsi="Times New Roman" w:cs="Times New Roman" w:eastAsiaTheme="minorEastAsia"/>
                      <w:b/>
                      <w:color w:val="auto"/>
                      <w:spacing w:val="-1"/>
                      <w:sz w:val="21"/>
                      <w:szCs w:val="21"/>
                    </w:rPr>
                    <w:t>mg/m</w:t>
                  </w:r>
                  <w:r>
                    <w:rPr>
                      <w:rFonts w:hint="default" w:ascii="Times New Roman" w:hAnsi="Times New Roman" w:cs="Times New Roman" w:eastAsiaTheme="minorEastAsia"/>
                      <w:b/>
                      <w:color w:val="auto"/>
                      <w:spacing w:val="-1"/>
                      <w:position w:val="10"/>
                      <w:sz w:val="21"/>
                      <w:szCs w:val="21"/>
                    </w:rPr>
                    <w:t>3</w:t>
                  </w:r>
                  <w:r>
                    <w:rPr>
                      <w:rFonts w:hint="default" w:ascii="Times New Roman" w:hAnsi="Times New Roman" w:cs="Times New Roman"/>
                      <w:b/>
                      <w:color w:val="auto"/>
                      <w:sz w:val="21"/>
                      <w:szCs w:val="21"/>
                    </w:rPr>
                    <w:t>）</w:t>
                  </w:r>
                </w:p>
              </w:tc>
              <w:tc>
                <w:tcPr>
                  <w:tcW w:w="1701" w:type="dxa"/>
                  <w:vAlign w:val="center"/>
                </w:tcPr>
                <w:p>
                  <w:pPr>
                    <w:pStyle w:val="63"/>
                    <w:snapToGrid w:val="0"/>
                    <w:spacing w:line="360" w:lineRule="exact"/>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核算排放速率/（kg/h）</w:t>
                  </w:r>
                </w:p>
              </w:tc>
              <w:tc>
                <w:tcPr>
                  <w:tcW w:w="1640" w:type="dxa"/>
                  <w:vAlign w:val="center"/>
                </w:tcPr>
                <w:p>
                  <w:pPr>
                    <w:pStyle w:val="63"/>
                    <w:snapToGrid w:val="0"/>
                    <w:spacing w:line="360" w:lineRule="exact"/>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核算年排放量/（t/a）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8" w:type="dxa"/>
                  <w:gridSpan w:val="6"/>
                  <w:vAlign w:val="center"/>
                </w:tcPr>
                <w:p>
                  <w:pPr>
                    <w:pStyle w:val="63"/>
                    <w:snapToGrid w:val="0"/>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vAlign w:val="center"/>
                </w:tcPr>
                <w:p>
                  <w:pPr>
                    <w:pStyle w:val="63"/>
                    <w:snapToGrid w:val="0"/>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76" w:type="dxa"/>
                  <w:vAlign w:val="center"/>
                </w:tcPr>
                <w:p>
                  <w:pPr>
                    <w:pStyle w:val="63"/>
                    <w:snapToGrid w:val="0"/>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破碎、筛分工序排放口</w:t>
                  </w:r>
                </w:p>
              </w:tc>
              <w:tc>
                <w:tcPr>
                  <w:tcW w:w="1418" w:type="dxa"/>
                  <w:vAlign w:val="center"/>
                </w:tcPr>
                <w:p>
                  <w:pPr>
                    <w:pStyle w:val="63"/>
                    <w:snapToGrid w:val="0"/>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颗粒物</w:t>
                  </w:r>
                </w:p>
              </w:tc>
              <w:tc>
                <w:tcPr>
                  <w:tcW w:w="1701" w:type="dxa"/>
                  <w:vAlign w:val="center"/>
                </w:tcPr>
                <w:p>
                  <w:pPr>
                    <w:pStyle w:val="63"/>
                    <w:snapToGrid w:val="0"/>
                    <w:spacing w:line="3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11.7</w:t>
                  </w:r>
                </w:p>
              </w:tc>
              <w:tc>
                <w:tcPr>
                  <w:tcW w:w="1701" w:type="dxa"/>
                  <w:vAlign w:val="center"/>
                </w:tcPr>
                <w:p>
                  <w:pPr>
                    <w:pStyle w:val="63"/>
                    <w:snapToGrid w:val="0"/>
                    <w:spacing w:line="3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0.</w:t>
                  </w:r>
                  <w:r>
                    <w:rPr>
                      <w:rFonts w:hint="default" w:ascii="Times New Roman" w:hAnsi="Times New Roman" w:cs="Times New Roman"/>
                      <w:color w:val="auto"/>
                      <w:sz w:val="21"/>
                      <w:szCs w:val="21"/>
                      <w:lang w:val="en-US" w:eastAsia="zh-CN"/>
                    </w:rPr>
                    <w:t>28</w:t>
                  </w:r>
                </w:p>
              </w:tc>
              <w:tc>
                <w:tcPr>
                  <w:tcW w:w="1640" w:type="dxa"/>
                  <w:vAlign w:val="center"/>
                </w:tcPr>
                <w:p>
                  <w:pPr>
                    <w:pStyle w:val="63"/>
                    <w:snapToGrid w:val="0"/>
                    <w:spacing w:line="3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0.</w:t>
                  </w:r>
                  <w:r>
                    <w:rPr>
                      <w:rFonts w:hint="default" w:ascii="Times New Roman" w:hAnsi="Times New Roman" w:cs="Times New Roman"/>
                      <w:color w:val="auto"/>
                      <w:sz w:val="21"/>
                      <w:szCs w:val="21"/>
                      <w:lang w:val="en-US" w:eastAsia="zh-CN"/>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gridSpan w:val="2"/>
                  <w:vAlign w:val="center"/>
                </w:tcPr>
                <w:p>
                  <w:pPr>
                    <w:pStyle w:val="63"/>
                    <w:snapToGrid w:val="0"/>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主要排放口合计</w:t>
                  </w:r>
                </w:p>
              </w:tc>
              <w:tc>
                <w:tcPr>
                  <w:tcW w:w="4820" w:type="dxa"/>
                  <w:gridSpan w:val="3"/>
                  <w:vAlign w:val="center"/>
                </w:tcPr>
                <w:p>
                  <w:pPr>
                    <w:pStyle w:val="63"/>
                    <w:snapToGrid w:val="0"/>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颗粒物</w:t>
                  </w:r>
                </w:p>
              </w:tc>
              <w:tc>
                <w:tcPr>
                  <w:tcW w:w="1640" w:type="dxa"/>
                  <w:vAlign w:val="center"/>
                </w:tcPr>
                <w:p>
                  <w:pPr>
                    <w:pStyle w:val="63"/>
                    <w:snapToGrid w:val="0"/>
                    <w:spacing w:line="3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0.</w:t>
                  </w:r>
                  <w:r>
                    <w:rPr>
                      <w:rFonts w:hint="default" w:ascii="Times New Roman" w:hAnsi="Times New Roman" w:cs="Times New Roman"/>
                      <w:color w:val="auto"/>
                      <w:sz w:val="21"/>
                      <w:szCs w:val="21"/>
                      <w:lang w:val="en-US" w:eastAsia="zh-CN"/>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8" w:type="dxa"/>
                  <w:gridSpan w:val="6"/>
                  <w:vAlign w:val="center"/>
                </w:tcPr>
                <w:p>
                  <w:pPr>
                    <w:pStyle w:val="63"/>
                    <w:snapToGrid w:val="0"/>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gridSpan w:val="2"/>
                  <w:vAlign w:val="center"/>
                </w:tcPr>
                <w:p>
                  <w:pPr>
                    <w:pStyle w:val="63"/>
                    <w:snapToGrid w:val="0"/>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一般排放口合计</w:t>
                  </w:r>
                </w:p>
              </w:tc>
              <w:tc>
                <w:tcPr>
                  <w:tcW w:w="4820" w:type="dxa"/>
                  <w:gridSpan w:val="3"/>
                  <w:vAlign w:val="center"/>
                </w:tcPr>
                <w:p>
                  <w:pPr>
                    <w:pStyle w:val="63"/>
                    <w:snapToGrid w:val="0"/>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640" w:type="dxa"/>
                  <w:vAlign w:val="center"/>
                </w:tcPr>
                <w:p>
                  <w:pPr>
                    <w:pStyle w:val="63"/>
                    <w:snapToGrid w:val="0"/>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gridSpan w:val="2"/>
                  <w:vAlign w:val="center"/>
                </w:tcPr>
                <w:p>
                  <w:pPr>
                    <w:pStyle w:val="63"/>
                    <w:snapToGrid w:val="0"/>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有组织排放总计</w:t>
                  </w:r>
                </w:p>
              </w:tc>
              <w:tc>
                <w:tcPr>
                  <w:tcW w:w="4820" w:type="dxa"/>
                  <w:gridSpan w:val="3"/>
                  <w:vAlign w:val="center"/>
                </w:tcPr>
                <w:p>
                  <w:pPr>
                    <w:pStyle w:val="63"/>
                    <w:snapToGrid w:val="0"/>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颗粒物</w:t>
                  </w:r>
                </w:p>
              </w:tc>
              <w:tc>
                <w:tcPr>
                  <w:tcW w:w="1640" w:type="dxa"/>
                  <w:vAlign w:val="center"/>
                </w:tcPr>
                <w:p>
                  <w:pPr>
                    <w:pStyle w:val="63"/>
                    <w:snapToGrid w:val="0"/>
                    <w:spacing w:line="3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0.</w:t>
                  </w:r>
                  <w:r>
                    <w:rPr>
                      <w:rFonts w:hint="default" w:ascii="Times New Roman" w:hAnsi="Times New Roman" w:cs="Times New Roman"/>
                      <w:color w:val="auto"/>
                      <w:sz w:val="21"/>
                      <w:szCs w:val="21"/>
                      <w:lang w:val="en-US" w:eastAsia="zh-CN"/>
                    </w:rPr>
                    <w:t>675</w:t>
                  </w:r>
                </w:p>
              </w:tc>
            </w:tr>
          </w:tbl>
          <w:p>
            <w:pPr>
              <w:pStyle w:val="63"/>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eastAsia" w:ascii="Times New Roman" w:cs="Times New Roman"/>
                <w:b/>
                <w:color w:val="auto"/>
                <w:sz w:val="21"/>
                <w:szCs w:val="21"/>
                <w:lang w:val="en-US" w:eastAsia="zh-CN"/>
              </w:rPr>
              <w:t>7.5-9</w:t>
            </w:r>
            <w:r>
              <w:rPr>
                <w:rFonts w:hint="default" w:ascii="Times New Roman" w:hAnsi="Times New Roman" w:cs="Times New Roman"/>
                <w:b/>
                <w:color w:val="auto"/>
                <w:sz w:val="21"/>
                <w:szCs w:val="21"/>
              </w:rPr>
              <w:t xml:space="preserve"> 大气污染物无组织排放量核算表</w:t>
            </w:r>
          </w:p>
          <w:tbl>
            <w:tblPr>
              <w:tblStyle w:val="44"/>
              <w:tblW w:w="8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996"/>
              <w:gridCol w:w="997"/>
              <w:gridCol w:w="997"/>
              <w:gridCol w:w="236"/>
              <w:gridCol w:w="908"/>
              <w:gridCol w:w="1523"/>
              <w:gridCol w:w="1216"/>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Merge w:val="restart"/>
                  <w:vAlign w:val="center"/>
                </w:tcPr>
                <w:p>
                  <w:pPr>
                    <w:pStyle w:val="63"/>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序号</w:t>
                  </w:r>
                </w:p>
              </w:tc>
              <w:tc>
                <w:tcPr>
                  <w:tcW w:w="996" w:type="dxa"/>
                  <w:vMerge w:val="restart"/>
                  <w:vAlign w:val="center"/>
                </w:tcPr>
                <w:p>
                  <w:pPr>
                    <w:pStyle w:val="63"/>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排放口编号</w:t>
                  </w:r>
                </w:p>
              </w:tc>
              <w:tc>
                <w:tcPr>
                  <w:tcW w:w="997" w:type="dxa"/>
                  <w:vMerge w:val="restart"/>
                  <w:vAlign w:val="center"/>
                </w:tcPr>
                <w:p>
                  <w:pPr>
                    <w:pStyle w:val="63"/>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产污环节</w:t>
                  </w:r>
                </w:p>
              </w:tc>
              <w:tc>
                <w:tcPr>
                  <w:tcW w:w="997" w:type="dxa"/>
                  <w:vMerge w:val="restart"/>
                  <w:vAlign w:val="center"/>
                </w:tcPr>
                <w:p>
                  <w:pPr>
                    <w:pStyle w:val="63"/>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污染物</w:t>
                  </w:r>
                </w:p>
              </w:tc>
              <w:tc>
                <w:tcPr>
                  <w:tcW w:w="1144" w:type="dxa"/>
                  <w:gridSpan w:val="2"/>
                  <w:vMerge w:val="restart"/>
                  <w:vAlign w:val="center"/>
                </w:tcPr>
                <w:p>
                  <w:pPr>
                    <w:pStyle w:val="63"/>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主要污染防治措施</w:t>
                  </w:r>
                </w:p>
              </w:tc>
              <w:tc>
                <w:tcPr>
                  <w:tcW w:w="2739" w:type="dxa"/>
                  <w:gridSpan w:val="2"/>
                  <w:vAlign w:val="center"/>
                </w:tcPr>
                <w:p>
                  <w:pPr>
                    <w:pStyle w:val="63"/>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排放标准</w:t>
                  </w:r>
                </w:p>
              </w:tc>
              <w:tc>
                <w:tcPr>
                  <w:tcW w:w="1003" w:type="dxa"/>
                  <w:vMerge w:val="restart"/>
                  <w:vAlign w:val="center"/>
                </w:tcPr>
                <w:p>
                  <w:pPr>
                    <w:pStyle w:val="63"/>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Merge w:val="continue"/>
                  <w:vAlign w:val="center"/>
                </w:tcPr>
                <w:p>
                  <w:pPr>
                    <w:pStyle w:val="63"/>
                    <w:jc w:val="center"/>
                    <w:rPr>
                      <w:rFonts w:hint="default" w:ascii="Times New Roman" w:hAnsi="Times New Roman" w:cs="Times New Roman"/>
                      <w:color w:val="auto"/>
                      <w:sz w:val="21"/>
                      <w:szCs w:val="21"/>
                    </w:rPr>
                  </w:pPr>
                </w:p>
              </w:tc>
              <w:tc>
                <w:tcPr>
                  <w:tcW w:w="996" w:type="dxa"/>
                  <w:vMerge w:val="continue"/>
                  <w:vAlign w:val="center"/>
                </w:tcPr>
                <w:p>
                  <w:pPr>
                    <w:pStyle w:val="63"/>
                    <w:jc w:val="center"/>
                    <w:rPr>
                      <w:rFonts w:hint="default" w:ascii="Times New Roman" w:hAnsi="Times New Roman" w:cs="Times New Roman"/>
                      <w:color w:val="auto"/>
                      <w:sz w:val="21"/>
                      <w:szCs w:val="21"/>
                    </w:rPr>
                  </w:pPr>
                </w:p>
              </w:tc>
              <w:tc>
                <w:tcPr>
                  <w:tcW w:w="997" w:type="dxa"/>
                  <w:vMerge w:val="continue"/>
                  <w:vAlign w:val="center"/>
                </w:tcPr>
                <w:p>
                  <w:pPr>
                    <w:pStyle w:val="63"/>
                    <w:jc w:val="center"/>
                    <w:rPr>
                      <w:rFonts w:hint="default" w:ascii="Times New Roman" w:hAnsi="Times New Roman" w:cs="Times New Roman"/>
                      <w:color w:val="auto"/>
                      <w:sz w:val="21"/>
                      <w:szCs w:val="21"/>
                    </w:rPr>
                  </w:pPr>
                </w:p>
              </w:tc>
              <w:tc>
                <w:tcPr>
                  <w:tcW w:w="997" w:type="dxa"/>
                  <w:vMerge w:val="continue"/>
                  <w:vAlign w:val="center"/>
                </w:tcPr>
                <w:p>
                  <w:pPr>
                    <w:pStyle w:val="63"/>
                    <w:jc w:val="center"/>
                    <w:rPr>
                      <w:rFonts w:hint="default" w:ascii="Times New Roman" w:hAnsi="Times New Roman" w:cs="Times New Roman"/>
                      <w:color w:val="auto"/>
                      <w:sz w:val="21"/>
                      <w:szCs w:val="21"/>
                    </w:rPr>
                  </w:pPr>
                </w:p>
              </w:tc>
              <w:tc>
                <w:tcPr>
                  <w:tcW w:w="1144" w:type="dxa"/>
                  <w:gridSpan w:val="2"/>
                  <w:vMerge w:val="continue"/>
                  <w:vAlign w:val="center"/>
                </w:tcPr>
                <w:p>
                  <w:pPr>
                    <w:pStyle w:val="63"/>
                    <w:jc w:val="center"/>
                    <w:rPr>
                      <w:rFonts w:hint="default" w:ascii="Times New Roman" w:hAnsi="Times New Roman" w:cs="Times New Roman"/>
                      <w:color w:val="auto"/>
                      <w:sz w:val="21"/>
                      <w:szCs w:val="21"/>
                    </w:rPr>
                  </w:pPr>
                </w:p>
              </w:tc>
              <w:tc>
                <w:tcPr>
                  <w:tcW w:w="1523" w:type="dxa"/>
                  <w:vAlign w:val="center"/>
                </w:tcPr>
                <w:p>
                  <w:pPr>
                    <w:pStyle w:val="63"/>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标准名称</w:t>
                  </w:r>
                </w:p>
              </w:tc>
              <w:tc>
                <w:tcPr>
                  <w:tcW w:w="1216" w:type="dxa"/>
                  <w:vAlign w:val="center"/>
                </w:tcPr>
                <w:p>
                  <w:pPr>
                    <w:pStyle w:val="63"/>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浓度限值/（</w:t>
                  </w:r>
                  <w:r>
                    <w:rPr>
                      <w:rFonts w:hint="default" w:ascii="Times New Roman" w:hAnsi="Times New Roman" w:cs="Times New Roman" w:eastAsiaTheme="minorEastAsia"/>
                      <w:b/>
                      <w:color w:val="auto"/>
                      <w:spacing w:val="-1"/>
                      <w:sz w:val="21"/>
                      <w:szCs w:val="21"/>
                    </w:rPr>
                    <w:t>mg/m</w:t>
                  </w:r>
                  <w:r>
                    <w:rPr>
                      <w:rFonts w:hint="default" w:ascii="Times New Roman" w:hAnsi="Times New Roman" w:cs="Times New Roman" w:eastAsiaTheme="minorEastAsia"/>
                      <w:b/>
                      <w:color w:val="auto"/>
                      <w:spacing w:val="-1"/>
                      <w:position w:val="10"/>
                      <w:sz w:val="21"/>
                      <w:szCs w:val="21"/>
                    </w:rPr>
                    <w:t>3</w:t>
                  </w:r>
                  <w:r>
                    <w:rPr>
                      <w:rFonts w:hint="default" w:ascii="Times New Roman" w:hAnsi="Times New Roman" w:cs="Times New Roman"/>
                      <w:b/>
                      <w:color w:val="auto"/>
                      <w:sz w:val="21"/>
                      <w:szCs w:val="21"/>
                    </w:rPr>
                    <w:t>）</w:t>
                  </w:r>
                </w:p>
              </w:tc>
              <w:tc>
                <w:tcPr>
                  <w:tcW w:w="1003" w:type="dxa"/>
                  <w:vMerge w:val="continue"/>
                  <w:vAlign w:val="center"/>
                </w:tcPr>
                <w:p>
                  <w:pPr>
                    <w:pStyle w:val="63"/>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Align w:val="center"/>
                </w:tcPr>
                <w:p>
                  <w:pPr>
                    <w:pStyle w:val="6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96" w:type="dxa"/>
                  <w:vAlign w:val="center"/>
                </w:tcPr>
                <w:p>
                  <w:pPr>
                    <w:pStyle w:val="6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无组织1#</w:t>
                  </w:r>
                </w:p>
              </w:tc>
              <w:tc>
                <w:tcPr>
                  <w:tcW w:w="997" w:type="dxa"/>
                  <w:vAlign w:val="center"/>
                </w:tcPr>
                <w:p>
                  <w:pPr>
                    <w:pStyle w:val="6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卸料转运</w:t>
                  </w:r>
                </w:p>
              </w:tc>
              <w:tc>
                <w:tcPr>
                  <w:tcW w:w="997" w:type="dxa"/>
                  <w:vAlign w:val="center"/>
                </w:tcPr>
                <w:p>
                  <w:pPr>
                    <w:pStyle w:val="6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颗粒物</w:t>
                  </w:r>
                </w:p>
              </w:tc>
              <w:tc>
                <w:tcPr>
                  <w:tcW w:w="1144" w:type="dxa"/>
                  <w:gridSpan w:val="2"/>
                  <w:vAlign w:val="center"/>
                </w:tcPr>
                <w:p>
                  <w:pPr>
                    <w:pStyle w:val="6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密闭堆存、洒水等</w:t>
                  </w:r>
                </w:p>
              </w:tc>
              <w:tc>
                <w:tcPr>
                  <w:tcW w:w="1523" w:type="dxa"/>
                  <w:vMerge w:val="restart"/>
                  <w:vAlign w:val="center"/>
                </w:tcPr>
                <w:p>
                  <w:pPr>
                    <w:pStyle w:val="6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GB16297-1996中表2颗粒物无组织排放限值</w:t>
                  </w:r>
                </w:p>
              </w:tc>
              <w:tc>
                <w:tcPr>
                  <w:tcW w:w="1216" w:type="dxa"/>
                  <w:vAlign w:val="center"/>
                </w:tcPr>
                <w:p>
                  <w:pPr>
                    <w:pStyle w:val="6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003" w:type="dxa"/>
                  <w:vAlign w:val="center"/>
                </w:tcPr>
                <w:p>
                  <w:pPr>
                    <w:pStyle w:val="63"/>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Align w:val="center"/>
                </w:tcPr>
                <w:p>
                  <w:pPr>
                    <w:pStyle w:val="6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96" w:type="dxa"/>
                  <w:vAlign w:val="center"/>
                </w:tcPr>
                <w:p>
                  <w:pPr>
                    <w:pStyle w:val="6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无组织2#</w:t>
                  </w:r>
                </w:p>
              </w:tc>
              <w:tc>
                <w:tcPr>
                  <w:tcW w:w="997" w:type="dxa"/>
                  <w:vAlign w:val="center"/>
                </w:tcPr>
                <w:p>
                  <w:pPr>
                    <w:pStyle w:val="6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车辆扬尘</w:t>
                  </w:r>
                </w:p>
              </w:tc>
              <w:tc>
                <w:tcPr>
                  <w:tcW w:w="997" w:type="dxa"/>
                  <w:vAlign w:val="center"/>
                </w:tcPr>
                <w:p>
                  <w:pPr>
                    <w:pStyle w:val="6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颗粒物</w:t>
                  </w:r>
                </w:p>
              </w:tc>
              <w:tc>
                <w:tcPr>
                  <w:tcW w:w="1144" w:type="dxa"/>
                  <w:gridSpan w:val="2"/>
                  <w:vAlign w:val="center"/>
                </w:tcPr>
                <w:p>
                  <w:pPr>
                    <w:pStyle w:val="6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车辆冲洗、洒水等</w:t>
                  </w:r>
                </w:p>
              </w:tc>
              <w:tc>
                <w:tcPr>
                  <w:tcW w:w="1523" w:type="dxa"/>
                  <w:vMerge w:val="continue"/>
                  <w:vAlign w:val="center"/>
                </w:tcPr>
                <w:p>
                  <w:pPr>
                    <w:pStyle w:val="63"/>
                    <w:jc w:val="center"/>
                    <w:rPr>
                      <w:rFonts w:hint="default" w:ascii="Times New Roman" w:hAnsi="Times New Roman" w:cs="Times New Roman"/>
                      <w:color w:val="auto"/>
                      <w:sz w:val="21"/>
                      <w:szCs w:val="21"/>
                    </w:rPr>
                  </w:pPr>
                </w:p>
              </w:tc>
              <w:tc>
                <w:tcPr>
                  <w:tcW w:w="1216" w:type="dxa"/>
                  <w:vAlign w:val="center"/>
                </w:tcPr>
                <w:p>
                  <w:pPr>
                    <w:pStyle w:val="6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003" w:type="dxa"/>
                  <w:vAlign w:val="center"/>
                </w:tcPr>
                <w:p>
                  <w:pPr>
                    <w:pStyle w:val="63"/>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0.01</w:t>
                  </w:r>
                  <w:r>
                    <w:rPr>
                      <w:rFonts w:hint="default" w:ascii="Times New Roman" w:hAnsi="Times New Roman" w:cs="Times New Roman"/>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03" w:type="dxa"/>
                  <w:gridSpan w:val="9"/>
                  <w:vAlign w:val="center"/>
                </w:tcPr>
                <w:p>
                  <w:pPr>
                    <w:pStyle w:val="6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无组织排放总计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3" w:type="dxa"/>
                  <w:gridSpan w:val="5"/>
                  <w:vAlign w:val="center"/>
                </w:tcPr>
                <w:p>
                  <w:pPr>
                    <w:pStyle w:val="6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无组织排放总计</w:t>
                  </w:r>
                </w:p>
              </w:tc>
              <w:tc>
                <w:tcPr>
                  <w:tcW w:w="3647" w:type="dxa"/>
                  <w:gridSpan w:val="3"/>
                  <w:vAlign w:val="center"/>
                </w:tcPr>
                <w:p>
                  <w:pPr>
                    <w:pStyle w:val="6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颗粒物</w:t>
                  </w:r>
                </w:p>
              </w:tc>
              <w:tc>
                <w:tcPr>
                  <w:tcW w:w="1003" w:type="dxa"/>
                  <w:vAlign w:val="center"/>
                </w:tcPr>
                <w:p>
                  <w:pPr>
                    <w:pStyle w:val="63"/>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0.197</w:t>
                  </w:r>
                </w:p>
              </w:tc>
            </w:tr>
          </w:tbl>
          <w:p>
            <w:pPr>
              <w:adjustRightInd w:val="0"/>
              <w:snapToGrid w:val="0"/>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2、地表水环境影响分析</w:t>
            </w:r>
          </w:p>
          <w:p>
            <w:pPr>
              <w:adjustRightInd w:val="0"/>
              <w:snapToGrid w:val="0"/>
              <w:spacing w:line="360" w:lineRule="auto"/>
              <w:ind w:firstLine="480" w:firstLineChars="200"/>
              <w:rPr>
                <w:rFonts w:hint="default" w:ascii="Times New Roman" w:hAnsi="Times New Roman" w:cs="Times New Roman" w:eastAsiaTheme="minorEastAsia"/>
                <w:sz w:val="24"/>
                <w:u w:val="none"/>
              </w:rPr>
            </w:pPr>
            <w:r>
              <w:rPr>
                <w:rFonts w:hint="default" w:ascii="Times New Roman" w:hAnsi="Times New Roman" w:cs="Times New Roman"/>
                <w:bCs/>
                <w:kern w:val="0"/>
                <w:sz w:val="24"/>
              </w:rPr>
              <w:t>项目</w:t>
            </w:r>
            <w:r>
              <w:rPr>
                <w:rFonts w:hint="default" w:ascii="Times New Roman" w:hAnsi="Times New Roman" w:cs="Times New Roman"/>
                <w:bCs/>
                <w:kern w:val="0"/>
                <w:sz w:val="24"/>
                <w:lang w:val="en-US" w:eastAsia="zh-CN"/>
              </w:rPr>
              <w:t>员工</w:t>
            </w:r>
            <w:r>
              <w:rPr>
                <w:rFonts w:hint="default" w:ascii="Times New Roman" w:hAnsi="Times New Roman" w:cs="Times New Roman"/>
                <w:bCs/>
                <w:kern w:val="0"/>
                <w:sz w:val="24"/>
              </w:rPr>
              <w:t>生活污水产生量为0.4</w:t>
            </w:r>
            <w:r>
              <w:rPr>
                <w:rFonts w:hint="default" w:ascii="Times New Roman" w:hAnsi="Times New Roman" w:cs="Times New Roman"/>
                <w:bCs/>
                <w:sz w:val="24"/>
              </w:rPr>
              <w:t>m</w:t>
            </w:r>
            <w:r>
              <w:rPr>
                <w:rFonts w:hint="default" w:ascii="Times New Roman" w:hAnsi="Times New Roman" w:cs="Times New Roman"/>
                <w:bCs/>
                <w:sz w:val="24"/>
                <w:vertAlign w:val="superscript"/>
              </w:rPr>
              <w:t>3</w:t>
            </w:r>
            <w:r>
              <w:rPr>
                <w:rFonts w:hint="default" w:ascii="Times New Roman" w:hAnsi="Times New Roman" w:cs="Times New Roman"/>
                <w:bCs/>
                <w:kern w:val="0"/>
                <w:sz w:val="24"/>
              </w:rPr>
              <w:t>/d、120</w:t>
            </w:r>
            <w:r>
              <w:rPr>
                <w:rFonts w:hint="default" w:ascii="Times New Roman" w:hAnsi="Times New Roman" w:cs="Times New Roman"/>
                <w:bCs/>
                <w:sz w:val="24"/>
              </w:rPr>
              <w:t>m</w:t>
            </w:r>
            <w:r>
              <w:rPr>
                <w:rFonts w:hint="default" w:ascii="Times New Roman" w:hAnsi="Times New Roman" w:cs="Times New Roman"/>
                <w:bCs/>
                <w:sz w:val="24"/>
                <w:vertAlign w:val="superscript"/>
              </w:rPr>
              <w:t>3</w:t>
            </w:r>
            <w:r>
              <w:rPr>
                <w:rFonts w:hint="default" w:ascii="Times New Roman" w:hAnsi="Times New Roman" w:cs="Times New Roman"/>
                <w:bCs/>
                <w:kern w:val="0"/>
                <w:sz w:val="24"/>
              </w:rPr>
              <w:t>/a。</w:t>
            </w:r>
            <w:r>
              <w:rPr>
                <w:rFonts w:hint="default" w:ascii="Times New Roman" w:hAnsi="Times New Roman" w:cs="Times New Roman"/>
                <w:bCs/>
                <w:sz w:val="24"/>
              </w:rPr>
              <w:t>生活污水主要污染物为COD、NH</w:t>
            </w:r>
            <w:r>
              <w:rPr>
                <w:rFonts w:hint="default" w:ascii="Times New Roman" w:hAnsi="Times New Roman" w:cs="Times New Roman"/>
                <w:bCs/>
                <w:sz w:val="24"/>
                <w:vertAlign w:val="subscript"/>
              </w:rPr>
              <w:t>3</w:t>
            </w:r>
            <w:r>
              <w:rPr>
                <w:rFonts w:hint="default" w:ascii="Times New Roman" w:hAnsi="Times New Roman" w:cs="Times New Roman"/>
                <w:bCs/>
                <w:sz w:val="24"/>
              </w:rPr>
              <w:t>-N、SS，产生浓度分别为2</w:t>
            </w:r>
            <w:r>
              <w:rPr>
                <w:rFonts w:hint="default" w:ascii="Times New Roman" w:hAnsi="Times New Roman" w:cs="Times New Roman"/>
                <w:bCs/>
                <w:kern w:val="0"/>
                <w:sz w:val="24"/>
                <w:szCs w:val="24"/>
              </w:rPr>
              <w:t>80mg/L、150mg/L、20mg/L，产生量分别为0.0336t/a、0.018t/a、0.0024t/a。</w:t>
            </w:r>
            <w:r>
              <w:rPr>
                <w:rFonts w:hint="default" w:ascii="Times New Roman" w:hAnsi="Times New Roman" w:cs="Times New Roman" w:eastAsiaTheme="minorEastAsia"/>
                <w:sz w:val="24"/>
                <w:szCs w:val="24"/>
                <w:u w:val="none"/>
              </w:rPr>
              <w:t>本项目周边存在大量农田，生活污水建议经化粪池处理后，由周边村民拉运肥田，不排入地表水系，对地表水环境无影响。</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车辆清洗用水：原料与产品运输车辆进出厂区时进行车轮清洗与车身冲洗，平均每车次清洗用水0.1m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，则车辆清洗用水总量为1</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00</w:t>
            </w:r>
            <w:r>
              <w:rPr>
                <w:rFonts w:hint="default" w:ascii="Times New Roman" w:hAnsi="Times New Roman" w:cs="Times New Roman"/>
                <w:sz w:val="24"/>
              </w:rPr>
              <w:t>m</w:t>
            </w:r>
            <w:r>
              <w:rPr>
                <w:rFonts w:hint="default" w:ascii="Times New Roman" w:hAnsi="Times New Roman" w:cs="Times New Roman"/>
                <w:sz w:val="24"/>
                <w:vertAlign w:val="superscript"/>
              </w:rPr>
              <w:t>3</w:t>
            </w:r>
            <w:r>
              <w:rPr>
                <w:rFonts w:hint="default" w:ascii="Times New Roman" w:hAnsi="Times New Roman" w:cs="Times New Roman"/>
                <w:sz w:val="24"/>
              </w:rPr>
              <w:t>/a</w:t>
            </w:r>
            <w:r>
              <w:rPr>
                <w:rFonts w:hint="default" w:ascii="Times New Roman" w:hAnsi="Times New Roman" w:cs="Times New Roman"/>
                <w:sz w:val="24"/>
                <w:szCs w:val="24"/>
              </w:rPr>
              <w:t>。清洗水循环利用、定期补充，无废水外排，对地表水环境无影响。</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抑尘用水：本项目物料</w:t>
            </w:r>
            <w:r>
              <w:rPr>
                <w:rFonts w:hint="default" w:ascii="Times New Roman" w:hAnsi="Times New Roman" w:cs="Times New Roman"/>
                <w:sz w:val="24"/>
              </w:rPr>
              <w:t>堆放、转运过程中会产生扬尘，为抑制粉尘产生，于出料皮带封闭廊道内设水喷淋装置、于物料库上方设雾化喷淋装置，每生产1吨产品用水量约为0.02m</w:t>
            </w:r>
            <w:r>
              <w:rPr>
                <w:rFonts w:hint="default" w:ascii="Times New Roman" w:hAnsi="Times New Roman" w:cs="Times New Roman"/>
                <w:sz w:val="24"/>
                <w:vertAlign w:val="superscript"/>
              </w:rPr>
              <w:t>3</w:t>
            </w:r>
            <w:r>
              <w:rPr>
                <w:rFonts w:hint="default" w:ascii="Times New Roman" w:hAnsi="Times New Roman" w:cs="Times New Roman"/>
                <w:sz w:val="24"/>
              </w:rPr>
              <w:t>/a，则项目抑尘用水量为</w:t>
            </w:r>
            <w:r>
              <w:rPr>
                <w:rFonts w:hint="eastAsia" w:ascii="Times New Roman" w:hAnsi="Times New Roman" w:cs="Times New Roman"/>
                <w:sz w:val="24"/>
                <w:lang w:val="en-US" w:eastAsia="zh-CN"/>
              </w:rPr>
              <w:t>20</w:t>
            </w:r>
            <w:r>
              <w:rPr>
                <w:rFonts w:hint="default" w:ascii="Times New Roman" w:hAnsi="Times New Roman" w:cs="Times New Roman"/>
                <w:sz w:val="24"/>
              </w:rPr>
              <w:t>m</w:t>
            </w:r>
            <w:r>
              <w:rPr>
                <w:rFonts w:hint="default" w:ascii="Times New Roman" w:hAnsi="Times New Roman" w:cs="Times New Roman"/>
                <w:sz w:val="24"/>
                <w:vertAlign w:val="superscript"/>
              </w:rPr>
              <w:t>3</w:t>
            </w:r>
            <w:r>
              <w:rPr>
                <w:rFonts w:hint="default" w:ascii="Times New Roman" w:hAnsi="Times New Roman" w:cs="Times New Roman"/>
                <w:sz w:val="24"/>
              </w:rPr>
              <w:t>/</w:t>
            </w:r>
            <w:r>
              <w:rPr>
                <w:rFonts w:hint="eastAsia" w:ascii="Times New Roman" w:hAnsi="Times New Roman" w:cs="Times New Roman"/>
                <w:sz w:val="24"/>
                <w:lang w:val="en-US" w:eastAsia="zh-CN"/>
              </w:rPr>
              <w:t>d</w:t>
            </w:r>
            <w:r>
              <w:rPr>
                <w:rFonts w:hint="eastAsia" w:ascii="Times New Roman" w:hAnsi="Times New Roman" w:cs="Times New Roman"/>
                <w:sz w:val="24"/>
                <w:lang w:eastAsia="zh-CN"/>
              </w:rPr>
              <w:t>，</w:t>
            </w:r>
            <w:r>
              <w:rPr>
                <w:rFonts w:hint="default" w:ascii="Times New Roman" w:hAnsi="Times New Roman" w:cs="Times New Roman"/>
                <w:sz w:val="24"/>
                <w:lang w:val="en-US" w:eastAsia="zh-CN"/>
              </w:rPr>
              <w:t>6</w:t>
            </w:r>
            <w:r>
              <w:rPr>
                <w:rFonts w:hint="default" w:ascii="Times New Roman" w:hAnsi="Times New Roman" w:cs="Times New Roman"/>
                <w:sz w:val="24"/>
              </w:rPr>
              <w:t>000m</w:t>
            </w:r>
            <w:r>
              <w:rPr>
                <w:rFonts w:hint="default" w:ascii="Times New Roman" w:hAnsi="Times New Roman" w:cs="Times New Roman"/>
                <w:sz w:val="24"/>
                <w:vertAlign w:val="superscript"/>
              </w:rPr>
              <w:t>3</w:t>
            </w:r>
            <w:r>
              <w:rPr>
                <w:rFonts w:hint="default" w:ascii="Times New Roman" w:hAnsi="Times New Roman" w:cs="Times New Roman"/>
                <w:sz w:val="24"/>
              </w:rPr>
              <w:t>/a，抑尘废水大部分蒸损耗或随产品带走，剩余</w:t>
            </w:r>
            <w:r>
              <w:rPr>
                <w:rFonts w:hint="eastAsia" w:ascii="Times New Roman" w:hAnsi="Times New Roman" w:cs="Times New Roman"/>
                <w:sz w:val="24"/>
                <w:lang w:val="en-US" w:eastAsia="zh-CN"/>
              </w:rPr>
              <w:t>4.1</w:t>
            </w:r>
            <w:r>
              <w:rPr>
                <w:rFonts w:hint="default" w:ascii="Times New Roman" w:hAnsi="Times New Roman" w:cs="Times New Roman"/>
                <w:sz w:val="24"/>
              </w:rPr>
              <w:t>m</w:t>
            </w:r>
            <w:r>
              <w:rPr>
                <w:rFonts w:hint="default" w:ascii="Times New Roman" w:hAnsi="Times New Roman" w:cs="Times New Roman"/>
                <w:sz w:val="24"/>
                <w:vertAlign w:val="superscript"/>
              </w:rPr>
              <w:t>3</w:t>
            </w:r>
            <w:r>
              <w:rPr>
                <w:rFonts w:hint="default" w:ascii="Times New Roman" w:hAnsi="Times New Roman" w:cs="Times New Roman"/>
                <w:sz w:val="24"/>
              </w:rPr>
              <w:t>/</w:t>
            </w:r>
            <w:r>
              <w:rPr>
                <w:rFonts w:hint="eastAsia" w:ascii="Times New Roman" w:hAnsi="Times New Roman" w:cs="Times New Roman"/>
                <w:sz w:val="24"/>
                <w:lang w:val="en-US" w:eastAsia="zh-CN"/>
              </w:rPr>
              <w:t>d，</w:t>
            </w:r>
            <w:r>
              <w:rPr>
                <w:rFonts w:hint="default" w:ascii="Times New Roman" w:hAnsi="Times New Roman" w:cs="Times New Roman"/>
                <w:sz w:val="24"/>
                <w:lang w:val="en-US" w:eastAsia="zh-CN"/>
              </w:rPr>
              <w:t>1230</w:t>
            </w:r>
            <w:r>
              <w:rPr>
                <w:rFonts w:hint="default" w:ascii="Times New Roman" w:hAnsi="Times New Roman" w:cs="Times New Roman"/>
                <w:sz w:val="24"/>
              </w:rPr>
              <w:t>m</w:t>
            </w:r>
            <w:r>
              <w:rPr>
                <w:rFonts w:hint="default" w:ascii="Times New Roman" w:hAnsi="Times New Roman" w:cs="Times New Roman"/>
                <w:sz w:val="24"/>
                <w:vertAlign w:val="superscript"/>
              </w:rPr>
              <w:t>3</w:t>
            </w:r>
            <w:r>
              <w:rPr>
                <w:rFonts w:hint="default" w:ascii="Times New Roman" w:hAnsi="Times New Roman" w:cs="Times New Roman"/>
                <w:sz w:val="24"/>
              </w:rPr>
              <w:t>/a废水通过在堆场周边设置导流沟槽和沉淀池进行收集，经沉淀后循环使用，定期补充新鲜水</w:t>
            </w:r>
            <w:r>
              <w:rPr>
                <w:rFonts w:hint="default" w:ascii="Times New Roman" w:hAnsi="Times New Roman" w:cs="Times New Roman"/>
                <w:sz w:val="24"/>
                <w:szCs w:val="24"/>
              </w:rPr>
              <w:t>，补水量为</w:t>
            </w:r>
            <w:r>
              <w:rPr>
                <w:rFonts w:hint="eastAsia" w:ascii="Times New Roman" w:hAnsi="Times New Roman" w:cs="Times New Roman"/>
                <w:sz w:val="24"/>
                <w:szCs w:val="24"/>
                <w:lang w:val="en-US" w:eastAsia="zh-CN"/>
              </w:rPr>
              <w:t>16</w:t>
            </w:r>
            <w:r>
              <w:rPr>
                <w:rFonts w:hint="default" w:ascii="Times New Roman" w:hAnsi="Times New Roman" w:cs="Times New Roman"/>
                <w:sz w:val="24"/>
              </w:rPr>
              <w:t>m</w:t>
            </w:r>
            <w:r>
              <w:rPr>
                <w:rFonts w:hint="default" w:ascii="Times New Roman" w:hAnsi="Times New Roman" w:cs="Times New Roman"/>
                <w:sz w:val="24"/>
                <w:vertAlign w:val="superscript"/>
              </w:rPr>
              <w:t>3</w:t>
            </w:r>
            <w:r>
              <w:rPr>
                <w:rFonts w:hint="default" w:ascii="Times New Roman" w:hAnsi="Times New Roman" w:cs="Times New Roman"/>
                <w:sz w:val="24"/>
              </w:rPr>
              <w:t>/</w:t>
            </w:r>
            <w:r>
              <w:rPr>
                <w:rFonts w:hint="eastAsia" w:ascii="Times New Roman" w:hAnsi="Times New Roman" w:cs="Times New Roman"/>
                <w:sz w:val="24"/>
                <w:lang w:val="en-US" w:eastAsia="zh-CN"/>
              </w:rPr>
              <w:t>d，</w:t>
            </w:r>
            <w:r>
              <w:rPr>
                <w:rFonts w:hint="default" w:ascii="Times New Roman" w:hAnsi="Times New Roman" w:cs="Times New Roman"/>
                <w:sz w:val="24"/>
                <w:szCs w:val="24"/>
                <w:lang w:val="en-US" w:eastAsia="zh-CN"/>
              </w:rPr>
              <w:t>48</w:t>
            </w:r>
            <w:r>
              <w:rPr>
                <w:rFonts w:hint="default" w:ascii="Times New Roman" w:hAnsi="Times New Roman" w:cs="Times New Roman"/>
                <w:sz w:val="24"/>
                <w:szCs w:val="24"/>
              </w:rPr>
              <w:t>00</w:t>
            </w:r>
            <w:r>
              <w:rPr>
                <w:rFonts w:hint="default" w:ascii="Times New Roman" w:hAnsi="Times New Roman" w:cs="Times New Roman"/>
                <w:sz w:val="24"/>
              </w:rPr>
              <w:t>m</w:t>
            </w:r>
            <w:r>
              <w:rPr>
                <w:rFonts w:hint="default" w:ascii="Times New Roman" w:hAnsi="Times New Roman" w:cs="Times New Roman"/>
                <w:sz w:val="24"/>
                <w:vertAlign w:val="superscript"/>
              </w:rPr>
              <w:t>3</w:t>
            </w:r>
            <w:r>
              <w:rPr>
                <w:rFonts w:hint="default" w:ascii="Times New Roman" w:hAnsi="Times New Roman" w:cs="Times New Roman"/>
                <w:sz w:val="24"/>
              </w:rPr>
              <w:t>/a</w:t>
            </w:r>
            <w:r>
              <w:rPr>
                <w:rFonts w:hint="default" w:ascii="Times New Roman" w:hAnsi="Times New Roman" w:cs="Times New Roman"/>
                <w:sz w:val="24"/>
                <w:szCs w:val="24"/>
              </w:rPr>
              <w:t>，无废水外排，对地表水环境无影响。</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初期雨水：本项目初期水量收集量为</w:t>
            </w:r>
            <w:r>
              <w:rPr>
                <w:rFonts w:hint="eastAsia" w:ascii="Times New Roman" w:hAnsi="Times New Roman" w:cs="Times New Roman"/>
                <w:sz w:val="24"/>
                <w:lang w:val="en-US" w:eastAsia="zh-CN"/>
              </w:rPr>
              <w:t>2</w:t>
            </w:r>
            <w:r>
              <w:rPr>
                <w:rFonts w:hint="default" w:ascii="Times New Roman" w:hAnsi="Times New Roman" w:cs="Times New Roman"/>
                <w:sz w:val="24"/>
              </w:rPr>
              <w:t>m</w:t>
            </w:r>
            <w:r>
              <w:rPr>
                <w:rFonts w:hint="default" w:ascii="Times New Roman" w:hAnsi="Times New Roman" w:cs="Times New Roman"/>
                <w:sz w:val="24"/>
                <w:vertAlign w:val="superscript"/>
              </w:rPr>
              <w:t>3</w:t>
            </w:r>
            <w:r>
              <w:rPr>
                <w:rFonts w:hint="default" w:ascii="Times New Roman" w:hAnsi="Times New Roman" w:cs="Times New Roman"/>
                <w:sz w:val="24"/>
              </w:rPr>
              <w:t>/</w:t>
            </w:r>
            <w:r>
              <w:rPr>
                <w:rFonts w:hint="eastAsia" w:ascii="Times New Roman" w:hAnsi="Times New Roman" w:cs="Times New Roman"/>
                <w:sz w:val="24"/>
                <w:lang w:val="en-US" w:eastAsia="zh-CN"/>
              </w:rPr>
              <w:t>d，</w:t>
            </w:r>
            <w:r>
              <w:rPr>
                <w:rFonts w:hint="default" w:ascii="Times New Roman" w:hAnsi="Times New Roman" w:cs="Times New Roman"/>
                <w:sz w:val="24"/>
              </w:rPr>
              <w:t>600m</w:t>
            </w:r>
            <w:r>
              <w:rPr>
                <w:rFonts w:hint="default" w:ascii="Times New Roman" w:hAnsi="Times New Roman" w:cs="Times New Roman"/>
                <w:sz w:val="24"/>
                <w:vertAlign w:val="superscript"/>
              </w:rPr>
              <w:t>3</w:t>
            </w:r>
            <w:r>
              <w:rPr>
                <w:rFonts w:hint="default" w:ascii="Times New Roman" w:hAnsi="Times New Roman" w:cs="Times New Roman"/>
                <w:sz w:val="24"/>
              </w:rPr>
              <w:t>/a，经沉淀池处理后用于车辆清洗用水或抑尘用水，不外排，对地表水环境无影响。</w:t>
            </w:r>
          </w:p>
          <w:p>
            <w:pPr>
              <w:pStyle w:val="63"/>
              <w:snapToGrid w:val="0"/>
              <w:spacing w:line="360" w:lineRule="auto"/>
              <w:ind w:firstLine="482" w:firstLineChars="200"/>
              <w:jc w:val="both"/>
              <w:rPr>
                <w:rFonts w:hint="default" w:ascii="Times New Roman" w:hAnsi="Times New Roman" w:cs="Times New Roman"/>
                <w:b/>
                <w:bCs/>
                <w:color w:val="auto"/>
                <w:u w:val="none"/>
              </w:rPr>
            </w:pPr>
            <w:r>
              <w:rPr>
                <w:rFonts w:hint="default" w:ascii="Times New Roman" w:hAnsi="Times New Roman" w:cs="Times New Roman"/>
                <w:b/>
                <w:bCs/>
                <w:color w:val="auto"/>
                <w:u w:val="none"/>
              </w:rPr>
              <w:t>3、地下水环境影响分析</w:t>
            </w:r>
          </w:p>
          <w:p>
            <w:pPr>
              <w:pStyle w:val="63"/>
              <w:snapToGrid w:val="0"/>
              <w:spacing w:line="360" w:lineRule="auto"/>
              <w:ind w:firstLine="480" w:firstLineChars="200"/>
              <w:jc w:val="both"/>
              <w:rPr>
                <w:rFonts w:hint="default" w:ascii="Times New Roman" w:hAnsi="Times New Roman" w:cs="Times New Roman"/>
                <w:color w:val="auto"/>
                <w:u w:val="none"/>
              </w:rPr>
            </w:pPr>
            <w:r>
              <w:rPr>
                <w:rFonts w:hint="default" w:ascii="Times New Roman" w:hAnsi="Times New Roman" w:eastAsia="宋体" w:cs="Times New Roman"/>
                <w:bCs/>
                <w:color w:val="auto"/>
                <w:kern w:val="2"/>
                <w:sz w:val="24"/>
                <w:szCs w:val="24"/>
                <w:u w:val="none"/>
                <w:lang w:val="en-US" w:eastAsia="zh-CN" w:bidi="ar-SA"/>
              </w:rPr>
              <w:t>本项目对地下水环境影响主要来自厂区洒水形成的地面漫流下渗以及危废暂存间储存的废矿物油泄漏下渗引起的地下水污染。按照“源头控制、分区防控、污染监控、应急响应”的地下水环境保护原则，评价建议将场区划分为重点防渗区、一般防渗区和简单防渗区，本项目污染地下水途径及防治措施一览表见</w:t>
            </w:r>
            <w:r>
              <w:rPr>
                <w:rFonts w:hint="eastAsia" w:ascii="Times New Roman" w:cs="Times New Roman"/>
                <w:bCs/>
                <w:color w:val="auto"/>
                <w:kern w:val="2"/>
                <w:sz w:val="24"/>
                <w:szCs w:val="24"/>
                <w:u w:val="none"/>
                <w:lang w:val="en-US" w:eastAsia="zh-CN" w:bidi="ar-SA"/>
              </w:rPr>
              <w:t>下表</w:t>
            </w:r>
            <w:r>
              <w:rPr>
                <w:rFonts w:hint="default" w:ascii="Times New Roman" w:hAnsi="Times New Roman" w:eastAsia="宋体" w:cs="Times New Roman"/>
                <w:bCs/>
                <w:color w:val="auto"/>
                <w:kern w:val="2"/>
                <w:sz w:val="24"/>
                <w:szCs w:val="24"/>
                <w:u w:val="none"/>
                <w:lang w:val="en-US" w:eastAsia="zh-CN" w:bidi="ar-SA"/>
              </w:rPr>
              <w:t>。</w:t>
            </w:r>
          </w:p>
          <w:p>
            <w:pPr>
              <w:adjustRightInd w:val="0"/>
              <w:snapToGrid w:val="0"/>
              <w:spacing w:line="360" w:lineRule="auto"/>
              <w:jc w:val="center"/>
              <w:rPr>
                <w:rFonts w:hint="default" w:ascii="Times New Roman" w:hAnsi="Times New Roman" w:cs="Times New Roman" w:eastAsiaTheme="minorEastAsia"/>
                <w:b/>
                <w:bCs/>
                <w:sz w:val="21"/>
                <w:szCs w:val="21"/>
                <w:u w:val="none"/>
              </w:rPr>
            </w:pPr>
            <w:r>
              <w:rPr>
                <w:rFonts w:hint="default" w:ascii="Times New Roman" w:hAnsi="Times New Roman" w:cs="Times New Roman" w:eastAsiaTheme="minorEastAsia"/>
                <w:b/>
                <w:bCs/>
                <w:sz w:val="21"/>
                <w:szCs w:val="21"/>
                <w:u w:val="none"/>
              </w:rPr>
              <w:t>表</w:t>
            </w:r>
            <w:r>
              <w:rPr>
                <w:rFonts w:hint="eastAsia" w:cs="Times New Roman" w:eastAsiaTheme="minorEastAsia"/>
                <w:b/>
                <w:bCs/>
                <w:sz w:val="21"/>
                <w:szCs w:val="21"/>
                <w:u w:val="none"/>
                <w:lang w:val="en-US" w:eastAsia="zh-CN"/>
              </w:rPr>
              <w:t>7.5-10</w:t>
            </w:r>
            <w:r>
              <w:rPr>
                <w:rFonts w:hint="default" w:ascii="Times New Roman" w:hAnsi="Times New Roman" w:cs="Times New Roman" w:eastAsiaTheme="minorEastAsia"/>
                <w:b/>
                <w:bCs/>
                <w:sz w:val="21"/>
                <w:szCs w:val="21"/>
                <w:u w:val="none"/>
              </w:rPr>
              <w:t xml:space="preserve">  本项目污染地下水途径及防治措施一览表</w:t>
            </w:r>
          </w:p>
          <w:tbl>
            <w:tblPr>
              <w:tblStyle w:val="43"/>
              <w:tblW w:w="83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186"/>
              <w:gridCol w:w="3268"/>
              <w:gridCol w:w="3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05" w:type="dxa"/>
                  <w:tcMar>
                    <w:top w:w="0" w:type="dxa"/>
                    <w:left w:w="0" w:type="dxa"/>
                    <w:bottom w:w="0" w:type="dxa"/>
                    <w:right w:w="0" w:type="dxa"/>
                  </w:tcMar>
                  <w:vAlign w:val="center"/>
                </w:tcPr>
                <w:p>
                  <w:pPr>
                    <w:adjustRightInd w:val="0"/>
                    <w:snapToGrid w:val="0"/>
                    <w:jc w:val="center"/>
                    <w:rPr>
                      <w:rFonts w:hint="default" w:ascii="Times New Roman" w:hAnsi="Times New Roman" w:cs="Times New Roman" w:eastAsiaTheme="minorEastAsia"/>
                      <w:b/>
                      <w:bCs/>
                      <w:sz w:val="21"/>
                      <w:szCs w:val="21"/>
                      <w:u w:val="none"/>
                    </w:rPr>
                  </w:pPr>
                  <w:r>
                    <w:rPr>
                      <w:rFonts w:hint="default" w:ascii="Times New Roman" w:hAnsi="Times New Roman" w:cs="Times New Roman" w:eastAsiaTheme="minorEastAsia"/>
                      <w:b/>
                      <w:bCs/>
                      <w:sz w:val="21"/>
                      <w:szCs w:val="21"/>
                      <w:u w:val="none"/>
                    </w:rPr>
                    <w:t>序号</w:t>
                  </w:r>
                </w:p>
              </w:tc>
              <w:tc>
                <w:tcPr>
                  <w:tcW w:w="1186" w:type="dxa"/>
                  <w:tcMar>
                    <w:top w:w="0" w:type="dxa"/>
                    <w:left w:w="0" w:type="dxa"/>
                    <w:bottom w:w="0" w:type="dxa"/>
                    <w:right w:w="0" w:type="dxa"/>
                  </w:tcMar>
                  <w:vAlign w:val="center"/>
                </w:tcPr>
                <w:p>
                  <w:pPr>
                    <w:adjustRightInd w:val="0"/>
                    <w:snapToGrid w:val="0"/>
                    <w:jc w:val="center"/>
                    <w:rPr>
                      <w:rFonts w:hint="default" w:ascii="Times New Roman" w:hAnsi="Times New Roman" w:cs="Times New Roman" w:eastAsiaTheme="minorEastAsia"/>
                      <w:b/>
                      <w:bCs/>
                      <w:sz w:val="21"/>
                      <w:szCs w:val="21"/>
                      <w:u w:val="none"/>
                    </w:rPr>
                  </w:pPr>
                  <w:r>
                    <w:rPr>
                      <w:rFonts w:hint="default" w:ascii="Times New Roman" w:hAnsi="Times New Roman" w:cs="Times New Roman" w:eastAsiaTheme="minorEastAsia"/>
                      <w:b/>
                      <w:bCs/>
                      <w:sz w:val="21"/>
                      <w:szCs w:val="21"/>
                      <w:u w:val="none"/>
                    </w:rPr>
                    <w:t>项目</w:t>
                  </w:r>
                </w:p>
              </w:tc>
              <w:tc>
                <w:tcPr>
                  <w:tcW w:w="3268" w:type="dxa"/>
                  <w:tcMar>
                    <w:top w:w="0" w:type="dxa"/>
                    <w:left w:w="0" w:type="dxa"/>
                    <w:bottom w:w="0" w:type="dxa"/>
                    <w:right w:w="0" w:type="dxa"/>
                  </w:tcMar>
                  <w:vAlign w:val="center"/>
                </w:tcPr>
                <w:p>
                  <w:pPr>
                    <w:adjustRightInd w:val="0"/>
                    <w:snapToGrid w:val="0"/>
                    <w:jc w:val="center"/>
                    <w:rPr>
                      <w:rFonts w:hint="default" w:ascii="Times New Roman" w:hAnsi="Times New Roman" w:cs="Times New Roman" w:eastAsiaTheme="minorEastAsia"/>
                      <w:b/>
                      <w:bCs/>
                      <w:sz w:val="21"/>
                      <w:szCs w:val="21"/>
                      <w:u w:val="none"/>
                    </w:rPr>
                  </w:pPr>
                  <w:r>
                    <w:rPr>
                      <w:rFonts w:hint="default" w:ascii="Times New Roman" w:hAnsi="Times New Roman" w:cs="Times New Roman" w:eastAsiaTheme="minorEastAsia"/>
                      <w:b/>
                      <w:bCs/>
                      <w:sz w:val="21"/>
                      <w:szCs w:val="21"/>
                      <w:u w:val="none"/>
                    </w:rPr>
                    <w:t>保护措施</w:t>
                  </w:r>
                </w:p>
              </w:tc>
              <w:tc>
                <w:tcPr>
                  <w:tcW w:w="3344" w:type="dxa"/>
                  <w:tcMar>
                    <w:top w:w="0" w:type="dxa"/>
                    <w:left w:w="0" w:type="dxa"/>
                    <w:bottom w:w="0" w:type="dxa"/>
                    <w:right w:w="0" w:type="dxa"/>
                  </w:tcMar>
                  <w:vAlign w:val="center"/>
                </w:tcPr>
                <w:p>
                  <w:pPr>
                    <w:adjustRightInd w:val="0"/>
                    <w:snapToGrid w:val="0"/>
                    <w:jc w:val="center"/>
                    <w:rPr>
                      <w:rFonts w:hint="default" w:ascii="Times New Roman" w:hAnsi="Times New Roman" w:cs="Times New Roman" w:eastAsiaTheme="minorEastAsia"/>
                      <w:b/>
                      <w:bCs/>
                      <w:sz w:val="21"/>
                      <w:szCs w:val="21"/>
                      <w:u w:val="none"/>
                    </w:rPr>
                  </w:pPr>
                  <w:r>
                    <w:rPr>
                      <w:rFonts w:hint="default" w:ascii="Times New Roman" w:hAnsi="Times New Roman" w:cs="Times New Roman" w:eastAsiaTheme="minorEastAsia"/>
                      <w:b/>
                      <w:bCs/>
                      <w:sz w:val="21"/>
                      <w:szCs w:val="21"/>
                      <w:u w:val="none"/>
                    </w:rPr>
                    <w:t>达到效果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05" w:type="dxa"/>
                  <w:tcMar>
                    <w:top w:w="0" w:type="dxa"/>
                    <w:left w:w="0" w:type="dxa"/>
                    <w:bottom w:w="0" w:type="dxa"/>
                    <w:right w:w="0" w:type="dxa"/>
                  </w:tcMar>
                  <w:vAlign w:val="center"/>
                </w:tcPr>
                <w:p>
                  <w:pPr>
                    <w:adjustRightInd w:val="0"/>
                    <w:snapToGrid w:val="0"/>
                    <w:jc w:val="center"/>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1</w:t>
                  </w:r>
                </w:p>
              </w:tc>
              <w:tc>
                <w:tcPr>
                  <w:tcW w:w="1186" w:type="dxa"/>
                  <w:tcMar>
                    <w:top w:w="0" w:type="dxa"/>
                    <w:left w:w="0" w:type="dxa"/>
                    <w:bottom w:w="0" w:type="dxa"/>
                    <w:right w:w="0" w:type="dxa"/>
                  </w:tcMar>
                  <w:vAlign w:val="center"/>
                </w:tcPr>
                <w:p>
                  <w:pPr>
                    <w:adjustRightInd w:val="0"/>
                    <w:snapToGrid w:val="0"/>
                    <w:jc w:val="center"/>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重点防渗区</w:t>
                  </w:r>
                </w:p>
              </w:tc>
              <w:tc>
                <w:tcPr>
                  <w:tcW w:w="3268" w:type="dxa"/>
                  <w:tcMar>
                    <w:top w:w="0" w:type="dxa"/>
                    <w:left w:w="0" w:type="dxa"/>
                    <w:bottom w:w="0" w:type="dxa"/>
                    <w:right w:w="0" w:type="dxa"/>
                  </w:tcMar>
                  <w:vAlign w:val="center"/>
                </w:tcPr>
                <w:p>
                  <w:pPr>
                    <w:adjustRightInd w:val="0"/>
                    <w:snapToGrid w:val="0"/>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主要为危险暂存间，在清场夯压的基础上铺设防渗材料+混凝土防渗。</w:t>
                  </w:r>
                </w:p>
              </w:tc>
              <w:tc>
                <w:tcPr>
                  <w:tcW w:w="3344" w:type="dxa"/>
                  <w:tcMar>
                    <w:top w:w="0" w:type="dxa"/>
                    <w:left w:w="0" w:type="dxa"/>
                    <w:bottom w:w="0" w:type="dxa"/>
                    <w:right w:w="0" w:type="dxa"/>
                  </w:tcMar>
                  <w:vAlign w:val="center"/>
                </w:tcPr>
                <w:p>
                  <w:pPr>
                    <w:adjustRightInd w:val="0"/>
                    <w:snapToGrid w:val="0"/>
                    <w:jc w:val="center"/>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等效黏土防渗层Mb≥6.0m，K≤1×10</w:t>
                  </w:r>
                  <w:r>
                    <w:rPr>
                      <w:rFonts w:hint="default" w:ascii="Times New Roman" w:hAnsi="Times New Roman" w:cs="Times New Roman" w:eastAsiaTheme="minorEastAsia"/>
                      <w:sz w:val="21"/>
                      <w:szCs w:val="21"/>
                      <w:u w:val="none"/>
                      <w:vertAlign w:val="superscript"/>
                    </w:rPr>
                    <w:t>-7</w:t>
                  </w:r>
                  <w:r>
                    <w:rPr>
                      <w:rFonts w:hint="default" w:ascii="Times New Roman" w:hAnsi="Times New Roman" w:cs="Times New Roman" w:eastAsiaTheme="minorEastAsia"/>
                      <w:sz w:val="21"/>
                      <w:szCs w:val="21"/>
                      <w:u w:val="none"/>
                    </w:rPr>
                    <w:t>cm/s；或参照GB18598执行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05" w:type="dxa"/>
                  <w:tcMar>
                    <w:top w:w="0" w:type="dxa"/>
                    <w:left w:w="0" w:type="dxa"/>
                    <w:bottom w:w="0" w:type="dxa"/>
                    <w:right w:w="0" w:type="dxa"/>
                  </w:tcMar>
                  <w:vAlign w:val="center"/>
                </w:tcPr>
                <w:p>
                  <w:pPr>
                    <w:adjustRightInd w:val="0"/>
                    <w:snapToGrid w:val="0"/>
                    <w:jc w:val="center"/>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2</w:t>
                  </w:r>
                </w:p>
              </w:tc>
              <w:tc>
                <w:tcPr>
                  <w:tcW w:w="1186" w:type="dxa"/>
                  <w:tcMar>
                    <w:top w:w="0" w:type="dxa"/>
                    <w:left w:w="0" w:type="dxa"/>
                    <w:bottom w:w="0" w:type="dxa"/>
                    <w:right w:w="0" w:type="dxa"/>
                  </w:tcMar>
                  <w:vAlign w:val="center"/>
                </w:tcPr>
                <w:p>
                  <w:pPr>
                    <w:adjustRightInd w:val="0"/>
                    <w:snapToGrid w:val="0"/>
                    <w:jc w:val="center"/>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一般防渗区</w:t>
                  </w:r>
                </w:p>
              </w:tc>
              <w:tc>
                <w:tcPr>
                  <w:tcW w:w="3268" w:type="dxa"/>
                  <w:tcMar>
                    <w:top w:w="0" w:type="dxa"/>
                    <w:left w:w="0" w:type="dxa"/>
                    <w:bottom w:w="0" w:type="dxa"/>
                    <w:right w:w="0" w:type="dxa"/>
                  </w:tcMar>
                  <w:vAlign w:val="center"/>
                </w:tcPr>
                <w:p>
                  <w:pPr>
                    <w:adjustRightInd w:val="0"/>
                    <w:snapToGrid w:val="0"/>
                    <w:jc w:val="center"/>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沉淀池、循环水池、储泥池、综合车间、车辆回转场等</w:t>
                  </w:r>
                </w:p>
              </w:tc>
              <w:tc>
                <w:tcPr>
                  <w:tcW w:w="3344" w:type="dxa"/>
                  <w:tcMar>
                    <w:top w:w="0" w:type="dxa"/>
                    <w:left w:w="0" w:type="dxa"/>
                    <w:bottom w:w="0" w:type="dxa"/>
                    <w:right w:w="0" w:type="dxa"/>
                  </w:tcMar>
                  <w:vAlign w:val="center"/>
                </w:tcPr>
                <w:p>
                  <w:pPr>
                    <w:adjustRightInd w:val="0"/>
                    <w:snapToGrid w:val="0"/>
                    <w:jc w:val="center"/>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等效黏土防渗层Mb≥1.5m，K≤1×10</w:t>
                  </w:r>
                  <w:r>
                    <w:rPr>
                      <w:rFonts w:hint="default" w:ascii="Times New Roman" w:hAnsi="Times New Roman" w:cs="Times New Roman" w:eastAsiaTheme="minorEastAsia"/>
                      <w:sz w:val="21"/>
                      <w:szCs w:val="21"/>
                      <w:u w:val="none"/>
                      <w:vertAlign w:val="superscript"/>
                    </w:rPr>
                    <w:t>-7</w:t>
                  </w:r>
                  <w:r>
                    <w:rPr>
                      <w:rFonts w:hint="default" w:ascii="Times New Roman" w:hAnsi="Times New Roman" w:cs="Times New Roman" w:eastAsiaTheme="minorEastAsia"/>
                      <w:sz w:val="21"/>
                      <w:szCs w:val="21"/>
                      <w:u w:val="none"/>
                    </w:rPr>
                    <w:t>cm/s；或参照GB16889执行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05" w:type="dxa"/>
                  <w:tcMar>
                    <w:top w:w="0" w:type="dxa"/>
                    <w:left w:w="0" w:type="dxa"/>
                    <w:bottom w:w="0" w:type="dxa"/>
                    <w:right w:w="0" w:type="dxa"/>
                  </w:tcMar>
                  <w:vAlign w:val="center"/>
                </w:tcPr>
                <w:p>
                  <w:pPr>
                    <w:adjustRightInd w:val="0"/>
                    <w:snapToGrid w:val="0"/>
                    <w:jc w:val="center"/>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3</w:t>
                  </w:r>
                </w:p>
              </w:tc>
              <w:tc>
                <w:tcPr>
                  <w:tcW w:w="1186" w:type="dxa"/>
                  <w:tcMar>
                    <w:top w:w="0" w:type="dxa"/>
                    <w:left w:w="0" w:type="dxa"/>
                    <w:bottom w:w="0" w:type="dxa"/>
                    <w:right w:w="0" w:type="dxa"/>
                  </w:tcMar>
                  <w:vAlign w:val="center"/>
                </w:tcPr>
                <w:p>
                  <w:pPr>
                    <w:adjustRightInd w:val="0"/>
                    <w:snapToGrid w:val="0"/>
                    <w:jc w:val="center"/>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简单防渗区</w:t>
                  </w:r>
                </w:p>
              </w:tc>
              <w:tc>
                <w:tcPr>
                  <w:tcW w:w="3268" w:type="dxa"/>
                  <w:tcMar>
                    <w:top w:w="0" w:type="dxa"/>
                    <w:left w:w="0" w:type="dxa"/>
                    <w:bottom w:w="0" w:type="dxa"/>
                    <w:right w:w="0" w:type="dxa"/>
                  </w:tcMar>
                  <w:vAlign w:val="center"/>
                </w:tcPr>
                <w:p>
                  <w:pPr>
                    <w:adjustRightInd w:val="0"/>
                    <w:snapToGrid w:val="0"/>
                    <w:jc w:val="center"/>
                    <w:rPr>
                      <w:rFonts w:hint="default" w:ascii="Times New Roman" w:hAnsi="Times New Roman" w:cs="Times New Roman" w:eastAsiaTheme="minorEastAsia"/>
                      <w:sz w:val="21"/>
                      <w:szCs w:val="21"/>
                      <w:u w:val="none"/>
                      <w:vertAlign w:val="subscript"/>
                    </w:rPr>
                  </w:pPr>
                  <w:r>
                    <w:rPr>
                      <w:rFonts w:hint="default" w:ascii="Times New Roman" w:hAnsi="Times New Roman" w:cs="Times New Roman" w:eastAsiaTheme="minorEastAsia"/>
                      <w:sz w:val="21"/>
                      <w:szCs w:val="21"/>
                      <w:u w:val="none"/>
                    </w:rPr>
                    <w:t>其他区域</w:t>
                  </w:r>
                </w:p>
              </w:tc>
              <w:tc>
                <w:tcPr>
                  <w:tcW w:w="3344" w:type="dxa"/>
                  <w:tcMar>
                    <w:top w:w="0" w:type="dxa"/>
                    <w:left w:w="0" w:type="dxa"/>
                    <w:bottom w:w="0" w:type="dxa"/>
                    <w:right w:w="0" w:type="dxa"/>
                  </w:tcMar>
                  <w:vAlign w:val="center"/>
                </w:tcPr>
                <w:p>
                  <w:pPr>
                    <w:adjustRightInd w:val="0"/>
                    <w:snapToGrid w:val="0"/>
                    <w:jc w:val="center"/>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一般地面硬化</w:t>
                  </w:r>
                </w:p>
              </w:tc>
            </w:tr>
          </w:tbl>
          <w:p>
            <w:pPr>
              <w:adjustRightInd w:val="0"/>
              <w:snapToGrid w:val="0"/>
              <w:spacing w:line="360" w:lineRule="auto"/>
              <w:ind w:firstLine="480" w:firstLineChars="200"/>
              <w:jc w:val="left"/>
              <w:rPr>
                <w:rFonts w:hint="default" w:ascii="Times New Roman" w:hAnsi="Times New Roman" w:eastAsia="宋体" w:cs="Times New Roman"/>
                <w:bCs/>
                <w:sz w:val="24"/>
                <w:szCs w:val="24"/>
                <w:u w:val="none"/>
                <w:lang w:val="en-US" w:eastAsia="zh-CN"/>
              </w:rPr>
            </w:pPr>
            <w:r>
              <w:rPr>
                <w:rFonts w:hint="default" w:ascii="Times New Roman" w:hAnsi="Times New Roman" w:cs="Times New Roman"/>
                <w:bCs/>
                <w:sz w:val="24"/>
                <w:szCs w:val="24"/>
                <w:u w:val="none"/>
              </w:rPr>
              <w:t>在确保各项防渗措施得以落实，并加强维护和站区环境管理的前提下，可有效控制站区内污染物下渗，避免污染地下水，因此项目营运期对区域地下水环境影响较小。</w:t>
            </w:r>
            <w:r>
              <w:rPr>
                <w:rFonts w:hint="eastAsia" w:ascii="Times New Roman" w:hAnsi="Times New Roman" w:cs="Times New Roman"/>
                <w:bCs/>
                <w:sz w:val="24"/>
                <w:szCs w:val="24"/>
                <w:u w:val="none"/>
                <w:lang w:val="en-US" w:eastAsia="zh-CN"/>
              </w:rPr>
              <w:t xml:space="preserve">  </w:t>
            </w:r>
          </w:p>
          <w:p>
            <w:pPr>
              <w:adjustRightInd w:val="0"/>
              <w:snapToGrid w:val="0"/>
              <w:spacing w:line="360" w:lineRule="auto"/>
              <w:ind w:firstLine="482" w:firstLineChars="200"/>
              <w:jc w:val="left"/>
              <w:rPr>
                <w:rFonts w:hint="default" w:ascii="Times New Roman" w:hAnsi="Times New Roman" w:cs="Times New Roman"/>
                <w:b/>
                <w:bCs/>
                <w:sz w:val="24"/>
                <w:szCs w:val="24"/>
              </w:rPr>
            </w:pPr>
            <w:r>
              <w:rPr>
                <w:rFonts w:hint="default" w:ascii="Times New Roman" w:hAnsi="Times New Roman" w:cs="Times New Roman"/>
                <w:b/>
                <w:bCs/>
                <w:sz w:val="24"/>
                <w:szCs w:val="24"/>
              </w:rPr>
              <w:t>4、噪声对环境的影响分析</w:t>
            </w:r>
          </w:p>
          <w:p>
            <w:pPr>
              <w:pStyle w:val="31"/>
              <w:spacing w:line="360" w:lineRule="auto"/>
              <w:ind w:firstLine="480" w:firstLineChars="200"/>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本项目只在白天生产，夜间不生产，噪声源为</w:t>
            </w:r>
            <w:r>
              <w:rPr>
                <w:rFonts w:hint="default" w:ascii="Times New Roman" w:hAnsi="Times New Roman" w:eastAsia="宋体" w:cs="Times New Roman"/>
                <w:bCs/>
                <w:sz w:val="24"/>
              </w:rPr>
              <w:t>破碎、筛分、风机</w:t>
            </w:r>
            <w:r>
              <w:rPr>
                <w:rFonts w:hint="default" w:ascii="Times New Roman" w:hAnsi="Times New Roman" w:eastAsia="宋体" w:cs="Times New Roman"/>
                <w:bCs/>
                <w:kern w:val="0"/>
                <w:sz w:val="24"/>
                <w:szCs w:val="24"/>
              </w:rPr>
              <w:t>等设备运行时产生的噪声，噪声源强度在80~90dB(A)之间。项目高噪声设备的噪声见</w:t>
            </w:r>
            <w:r>
              <w:rPr>
                <w:rFonts w:hint="eastAsia" w:cs="Times New Roman"/>
                <w:bCs/>
                <w:kern w:val="0"/>
                <w:sz w:val="24"/>
                <w:szCs w:val="24"/>
                <w:lang w:eastAsia="zh-CN"/>
              </w:rPr>
              <w:t>下表</w:t>
            </w:r>
            <w:r>
              <w:rPr>
                <w:rFonts w:hint="default" w:ascii="Times New Roman" w:hAnsi="Times New Roman" w:eastAsia="宋体" w:cs="Times New Roman"/>
                <w:bCs/>
                <w:kern w:val="0"/>
                <w:sz w:val="24"/>
                <w:szCs w:val="24"/>
              </w:rPr>
              <w:t>。</w:t>
            </w:r>
          </w:p>
          <w:p>
            <w:pPr>
              <w:autoSpaceDE w:val="0"/>
              <w:autoSpaceDN w:val="0"/>
              <w:adjustRightInd w:val="0"/>
              <w:snapToGrid w:val="0"/>
              <w:spacing w:line="36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表</w:t>
            </w:r>
            <w:r>
              <w:rPr>
                <w:rFonts w:hint="eastAsia" w:cs="Times New Roman"/>
                <w:b/>
                <w:bCs/>
                <w:sz w:val="21"/>
                <w:szCs w:val="21"/>
                <w:lang w:val="en-US" w:eastAsia="zh-CN"/>
              </w:rPr>
              <w:t>7.5-11</w:t>
            </w:r>
            <w:r>
              <w:rPr>
                <w:rFonts w:hint="default" w:ascii="Times New Roman" w:hAnsi="Times New Roman" w:cs="Times New Roman"/>
                <w:b/>
                <w:bCs/>
                <w:sz w:val="21"/>
                <w:szCs w:val="21"/>
              </w:rPr>
              <w:t xml:space="preserve">  主要高噪声设备噪声源    单位：dB(A)</w:t>
            </w:r>
          </w:p>
          <w:tbl>
            <w:tblPr>
              <w:tblStyle w:val="43"/>
              <w:tblW w:w="82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793"/>
              <w:gridCol w:w="821"/>
              <w:gridCol w:w="1069"/>
              <w:gridCol w:w="1494"/>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12" w:type="dxa"/>
                  <w:vAlign w:val="center"/>
                </w:tcPr>
                <w:p>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序号</w:t>
                  </w:r>
                </w:p>
              </w:tc>
              <w:tc>
                <w:tcPr>
                  <w:tcW w:w="1793" w:type="dxa"/>
                  <w:vAlign w:val="center"/>
                </w:tcPr>
                <w:p>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设备名称</w:t>
                  </w:r>
                </w:p>
              </w:tc>
              <w:tc>
                <w:tcPr>
                  <w:tcW w:w="821" w:type="dxa"/>
                  <w:vAlign w:val="center"/>
                </w:tcPr>
                <w:p>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数量</w:t>
                  </w:r>
                </w:p>
              </w:tc>
              <w:tc>
                <w:tcPr>
                  <w:tcW w:w="1069" w:type="dxa"/>
                  <w:vAlign w:val="center"/>
                </w:tcPr>
                <w:p>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噪声源强</w:t>
                  </w:r>
                </w:p>
              </w:tc>
              <w:tc>
                <w:tcPr>
                  <w:tcW w:w="1494" w:type="dxa"/>
                  <w:vAlign w:val="center"/>
                </w:tcPr>
                <w:p>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噪声治理措施</w:t>
                  </w:r>
                </w:p>
              </w:tc>
              <w:tc>
                <w:tcPr>
                  <w:tcW w:w="2294" w:type="dxa"/>
                  <w:vAlign w:val="center"/>
                </w:tcPr>
                <w:p>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车间外1m处噪声源强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12" w:type="dxa"/>
                  <w:vAlign w:val="center"/>
                </w:tcPr>
                <w:p>
                  <w:pPr>
                    <w:adjustRightInd w:val="0"/>
                    <w:jc w:val="center"/>
                    <w:rPr>
                      <w:rFonts w:hint="default" w:ascii="Times New Roman" w:hAnsi="Times New Roman" w:cs="Times New Roman"/>
                      <w:bCs/>
                      <w:sz w:val="21"/>
                      <w:szCs w:val="21"/>
                    </w:rPr>
                  </w:pPr>
                  <w:r>
                    <w:rPr>
                      <w:rFonts w:hint="default" w:ascii="Times New Roman" w:hAnsi="Times New Roman" w:cs="Times New Roman"/>
                      <w:bCs/>
                      <w:sz w:val="21"/>
                      <w:szCs w:val="21"/>
                    </w:rPr>
                    <w:t>1</w:t>
                  </w:r>
                </w:p>
              </w:tc>
              <w:tc>
                <w:tcPr>
                  <w:tcW w:w="1793"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振动给料机</w:t>
                  </w:r>
                </w:p>
              </w:tc>
              <w:tc>
                <w:tcPr>
                  <w:tcW w:w="821"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1台</w:t>
                  </w:r>
                </w:p>
              </w:tc>
              <w:tc>
                <w:tcPr>
                  <w:tcW w:w="1069"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85</w:t>
                  </w:r>
                </w:p>
              </w:tc>
              <w:tc>
                <w:tcPr>
                  <w:tcW w:w="1494" w:type="dxa"/>
                  <w:vMerge w:val="restart"/>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基础减振、厂房隔声、风机设软连接等</w:t>
                  </w:r>
                </w:p>
              </w:tc>
              <w:tc>
                <w:tcPr>
                  <w:tcW w:w="2294"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12" w:type="dxa"/>
                  <w:vAlign w:val="center"/>
                </w:tcPr>
                <w:p>
                  <w:pPr>
                    <w:adjustRightInd w:val="0"/>
                    <w:jc w:val="center"/>
                    <w:rPr>
                      <w:rFonts w:hint="default" w:ascii="Times New Roman" w:hAnsi="Times New Roman" w:cs="Times New Roman"/>
                      <w:bCs/>
                      <w:sz w:val="21"/>
                      <w:szCs w:val="21"/>
                    </w:rPr>
                  </w:pPr>
                  <w:r>
                    <w:rPr>
                      <w:rFonts w:hint="default" w:ascii="Times New Roman" w:hAnsi="Times New Roman" w:cs="Times New Roman"/>
                      <w:bCs/>
                      <w:sz w:val="21"/>
                      <w:szCs w:val="21"/>
                    </w:rPr>
                    <w:t>2</w:t>
                  </w:r>
                </w:p>
              </w:tc>
              <w:tc>
                <w:tcPr>
                  <w:tcW w:w="1793"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颚式破碎机</w:t>
                  </w:r>
                </w:p>
              </w:tc>
              <w:tc>
                <w:tcPr>
                  <w:tcW w:w="821"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1台</w:t>
                  </w:r>
                </w:p>
              </w:tc>
              <w:tc>
                <w:tcPr>
                  <w:tcW w:w="1069"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90</w:t>
                  </w:r>
                </w:p>
              </w:tc>
              <w:tc>
                <w:tcPr>
                  <w:tcW w:w="1494" w:type="dxa"/>
                  <w:vMerge w:val="continue"/>
                  <w:vAlign w:val="center"/>
                </w:tcPr>
                <w:p>
                  <w:pPr>
                    <w:adjustRightInd w:val="0"/>
                    <w:snapToGrid w:val="0"/>
                    <w:jc w:val="center"/>
                    <w:rPr>
                      <w:rFonts w:hint="default" w:ascii="Times New Roman" w:hAnsi="Times New Roman" w:cs="Times New Roman"/>
                      <w:bCs/>
                      <w:sz w:val="21"/>
                      <w:szCs w:val="21"/>
                    </w:rPr>
                  </w:pPr>
                </w:p>
              </w:tc>
              <w:tc>
                <w:tcPr>
                  <w:tcW w:w="2294"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12" w:type="dxa"/>
                  <w:vAlign w:val="center"/>
                </w:tcPr>
                <w:p>
                  <w:pPr>
                    <w:adjustRightInd w:val="0"/>
                    <w:jc w:val="center"/>
                    <w:rPr>
                      <w:rFonts w:hint="default" w:ascii="Times New Roman" w:hAnsi="Times New Roman" w:cs="Times New Roman"/>
                      <w:bCs/>
                      <w:sz w:val="21"/>
                      <w:szCs w:val="21"/>
                    </w:rPr>
                  </w:pPr>
                  <w:r>
                    <w:rPr>
                      <w:rFonts w:hint="default" w:ascii="Times New Roman" w:hAnsi="Times New Roman" w:cs="Times New Roman"/>
                      <w:bCs/>
                      <w:sz w:val="21"/>
                      <w:szCs w:val="21"/>
                    </w:rPr>
                    <w:t>3</w:t>
                  </w:r>
                </w:p>
              </w:tc>
              <w:tc>
                <w:tcPr>
                  <w:tcW w:w="1793"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反击式破碎机</w:t>
                  </w:r>
                </w:p>
              </w:tc>
              <w:tc>
                <w:tcPr>
                  <w:tcW w:w="821"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1台</w:t>
                  </w:r>
                </w:p>
              </w:tc>
              <w:tc>
                <w:tcPr>
                  <w:tcW w:w="1069"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90</w:t>
                  </w:r>
                </w:p>
              </w:tc>
              <w:tc>
                <w:tcPr>
                  <w:tcW w:w="1494" w:type="dxa"/>
                  <w:vMerge w:val="continue"/>
                  <w:vAlign w:val="center"/>
                </w:tcPr>
                <w:p>
                  <w:pPr>
                    <w:adjustRightInd w:val="0"/>
                    <w:snapToGrid w:val="0"/>
                    <w:jc w:val="center"/>
                    <w:rPr>
                      <w:rFonts w:hint="default" w:ascii="Times New Roman" w:hAnsi="Times New Roman" w:cs="Times New Roman"/>
                      <w:bCs/>
                      <w:sz w:val="21"/>
                      <w:szCs w:val="21"/>
                    </w:rPr>
                  </w:pPr>
                </w:p>
              </w:tc>
              <w:tc>
                <w:tcPr>
                  <w:tcW w:w="2294"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12" w:type="dxa"/>
                  <w:vAlign w:val="center"/>
                </w:tcPr>
                <w:p>
                  <w:pPr>
                    <w:adjustRightInd w:val="0"/>
                    <w:jc w:val="center"/>
                    <w:rPr>
                      <w:rFonts w:hint="default" w:ascii="Times New Roman" w:hAnsi="Times New Roman" w:cs="Times New Roman"/>
                      <w:bCs/>
                      <w:sz w:val="21"/>
                      <w:szCs w:val="21"/>
                    </w:rPr>
                  </w:pPr>
                  <w:r>
                    <w:rPr>
                      <w:rFonts w:hint="default" w:ascii="Times New Roman" w:hAnsi="Times New Roman" w:cs="Times New Roman"/>
                      <w:bCs/>
                      <w:sz w:val="21"/>
                      <w:szCs w:val="21"/>
                    </w:rPr>
                    <w:t>4</w:t>
                  </w:r>
                </w:p>
              </w:tc>
              <w:tc>
                <w:tcPr>
                  <w:tcW w:w="1793"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振动筛</w:t>
                  </w:r>
                </w:p>
              </w:tc>
              <w:tc>
                <w:tcPr>
                  <w:tcW w:w="821"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1台</w:t>
                  </w:r>
                </w:p>
              </w:tc>
              <w:tc>
                <w:tcPr>
                  <w:tcW w:w="1069"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85</w:t>
                  </w:r>
                </w:p>
              </w:tc>
              <w:tc>
                <w:tcPr>
                  <w:tcW w:w="1494" w:type="dxa"/>
                  <w:vMerge w:val="continue"/>
                  <w:vAlign w:val="center"/>
                </w:tcPr>
                <w:p>
                  <w:pPr>
                    <w:adjustRightInd w:val="0"/>
                    <w:snapToGrid w:val="0"/>
                    <w:jc w:val="center"/>
                    <w:rPr>
                      <w:rFonts w:hint="default" w:ascii="Times New Roman" w:hAnsi="Times New Roman" w:cs="Times New Roman"/>
                      <w:bCs/>
                      <w:sz w:val="21"/>
                      <w:szCs w:val="21"/>
                    </w:rPr>
                  </w:pPr>
                </w:p>
              </w:tc>
              <w:tc>
                <w:tcPr>
                  <w:tcW w:w="2294"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12" w:type="dxa"/>
                  <w:vAlign w:val="center"/>
                </w:tcPr>
                <w:p>
                  <w:pPr>
                    <w:adjustRightInd w:val="0"/>
                    <w:jc w:val="center"/>
                    <w:rPr>
                      <w:rFonts w:hint="default" w:ascii="Times New Roman" w:hAnsi="Times New Roman" w:cs="Times New Roman"/>
                      <w:bCs/>
                      <w:sz w:val="21"/>
                      <w:szCs w:val="21"/>
                    </w:rPr>
                  </w:pPr>
                  <w:r>
                    <w:rPr>
                      <w:rFonts w:hint="default" w:ascii="Times New Roman" w:hAnsi="Times New Roman" w:cs="Times New Roman"/>
                      <w:bCs/>
                      <w:sz w:val="21"/>
                      <w:szCs w:val="21"/>
                    </w:rPr>
                    <w:t>5</w:t>
                  </w:r>
                </w:p>
              </w:tc>
              <w:tc>
                <w:tcPr>
                  <w:tcW w:w="1793"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风机</w:t>
                  </w:r>
                </w:p>
              </w:tc>
              <w:tc>
                <w:tcPr>
                  <w:tcW w:w="821"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2台</w:t>
                  </w:r>
                </w:p>
              </w:tc>
              <w:tc>
                <w:tcPr>
                  <w:tcW w:w="1069"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85</w:t>
                  </w:r>
                </w:p>
              </w:tc>
              <w:tc>
                <w:tcPr>
                  <w:tcW w:w="1494" w:type="dxa"/>
                  <w:vMerge w:val="continue"/>
                  <w:vAlign w:val="center"/>
                </w:tcPr>
                <w:p>
                  <w:pPr>
                    <w:adjustRightInd w:val="0"/>
                    <w:snapToGrid w:val="0"/>
                    <w:jc w:val="center"/>
                    <w:rPr>
                      <w:rFonts w:hint="default" w:ascii="Times New Roman" w:hAnsi="Times New Roman" w:cs="Times New Roman"/>
                      <w:bCs/>
                      <w:sz w:val="21"/>
                      <w:szCs w:val="21"/>
                    </w:rPr>
                  </w:pPr>
                </w:p>
              </w:tc>
              <w:tc>
                <w:tcPr>
                  <w:tcW w:w="2294"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12" w:type="dxa"/>
                  <w:vAlign w:val="center"/>
                </w:tcPr>
                <w:p>
                  <w:pPr>
                    <w:adjustRightInd w:val="0"/>
                    <w:jc w:val="center"/>
                    <w:rPr>
                      <w:rFonts w:hint="default" w:ascii="Times New Roman" w:hAnsi="Times New Roman" w:cs="Times New Roman"/>
                      <w:bCs/>
                      <w:sz w:val="21"/>
                      <w:szCs w:val="21"/>
                    </w:rPr>
                  </w:pPr>
                  <w:r>
                    <w:rPr>
                      <w:rFonts w:hint="default" w:ascii="Times New Roman" w:hAnsi="Times New Roman" w:cs="Times New Roman"/>
                      <w:bCs/>
                      <w:sz w:val="21"/>
                      <w:szCs w:val="21"/>
                    </w:rPr>
                    <w:t>6</w:t>
                  </w:r>
                </w:p>
              </w:tc>
              <w:tc>
                <w:tcPr>
                  <w:tcW w:w="1793"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滚筒筛</w:t>
                  </w:r>
                </w:p>
              </w:tc>
              <w:tc>
                <w:tcPr>
                  <w:tcW w:w="821"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sz w:val="21"/>
                      <w:szCs w:val="21"/>
                    </w:rPr>
                    <w:t>1台</w:t>
                  </w:r>
                </w:p>
              </w:tc>
              <w:tc>
                <w:tcPr>
                  <w:tcW w:w="1069"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75</w:t>
                  </w:r>
                </w:p>
              </w:tc>
              <w:tc>
                <w:tcPr>
                  <w:tcW w:w="1494" w:type="dxa"/>
                  <w:vMerge w:val="continue"/>
                  <w:vAlign w:val="center"/>
                </w:tcPr>
                <w:p>
                  <w:pPr>
                    <w:adjustRightInd w:val="0"/>
                    <w:snapToGrid w:val="0"/>
                    <w:jc w:val="center"/>
                    <w:rPr>
                      <w:rFonts w:hint="default" w:ascii="Times New Roman" w:hAnsi="Times New Roman" w:cs="Times New Roman"/>
                      <w:bCs/>
                      <w:sz w:val="21"/>
                      <w:szCs w:val="21"/>
                    </w:rPr>
                  </w:pPr>
                </w:p>
              </w:tc>
              <w:tc>
                <w:tcPr>
                  <w:tcW w:w="2294"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12" w:type="dxa"/>
                  <w:vAlign w:val="center"/>
                </w:tcPr>
                <w:p>
                  <w:pPr>
                    <w:adjustRightInd w:val="0"/>
                    <w:jc w:val="center"/>
                    <w:rPr>
                      <w:rFonts w:hint="default" w:ascii="Times New Roman" w:hAnsi="Times New Roman" w:eastAsia="宋体" w:cs="Times New Roman"/>
                      <w:bCs/>
                      <w:sz w:val="21"/>
                      <w:szCs w:val="21"/>
                      <w:lang w:eastAsia="zh-CN"/>
                    </w:rPr>
                  </w:pPr>
                  <w:r>
                    <w:rPr>
                      <w:rFonts w:hint="default" w:ascii="Times New Roman" w:hAnsi="Times New Roman" w:cs="Times New Roman"/>
                      <w:bCs/>
                      <w:sz w:val="21"/>
                      <w:szCs w:val="21"/>
                      <w:lang w:val="en-US" w:eastAsia="zh-CN"/>
                    </w:rPr>
                    <w:t>7</w:t>
                  </w:r>
                </w:p>
              </w:tc>
              <w:tc>
                <w:tcPr>
                  <w:tcW w:w="1793"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水泵</w:t>
                  </w:r>
                </w:p>
              </w:tc>
              <w:tc>
                <w:tcPr>
                  <w:tcW w:w="821" w:type="dxa"/>
                  <w:vAlign w:val="center"/>
                </w:tcPr>
                <w:p>
                  <w:pPr>
                    <w:spacing w:line="30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台</w:t>
                  </w:r>
                </w:p>
              </w:tc>
              <w:tc>
                <w:tcPr>
                  <w:tcW w:w="1069"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75</w:t>
                  </w:r>
                </w:p>
              </w:tc>
              <w:tc>
                <w:tcPr>
                  <w:tcW w:w="1494" w:type="dxa"/>
                  <w:vMerge w:val="continue"/>
                  <w:vAlign w:val="center"/>
                </w:tcPr>
                <w:p>
                  <w:pPr>
                    <w:adjustRightInd w:val="0"/>
                    <w:snapToGrid w:val="0"/>
                    <w:jc w:val="center"/>
                    <w:rPr>
                      <w:rFonts w:hint="default" w:ascii="Times New Roman" w:hAnsi="Times New Roman" w:cs="Times New Roman"/>
                      <w:bCs/>
                      <w:sz w:val="21"/>
                      <w:szCs w:val="21"/>
                    </w:rPr>
                  </w:pPr>
                </w:p>
              </w:tc>
              <w:tc>
                <w:tcPr>
                  <w:tcW w:w="2294" w:type="dxa"/>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60</w:t>
                  </w:r>
                </w:p>
              </w:tc>
            </w:tr>
          </w:tbl>
          <w:p>
            <w:pPr>
              <w:pStyle w:val="31"/>
              <w:spacing w:line="360" w:lineRule="auto"/>
              <w:ind w:firstLine="480" w:firstLineChars="200"/>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为说明项目运营过程中噪声对周围环境的影响程度，根据《环境影响评价技术导则  声环境》（HJ/T2.4-2009）的技术要求，本次评价采取导则上的推荐模式进行预测。</w:t>
            </w:r>
          </w:p>
          <w:p>
            <w:pPr>
              <w:pStyle w:val="31"/>
              <w:spacing w:line="360" w:lineRule="auto"/>
              <w:ind w:firstLine="480" w:firstLineChars="200"/>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（1）声级计算</w:t>
            </w:r>
          </w:p>
          <w:p>
            <w:pPr>
              <w:pStyle w:val="31"/>
              <w:spacing w:line="360" w:lineRule="auto"/>
              <w:ind w:firstLine="480" w:firstLineChars="200"/>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a、建设项目声源在预测点产生的等效声级贡献值(Leq g)计算公式：</w:t>
            </w:r>
          </w:p>
          <w:p>
            <w:pPr>
              <w:pStyle w:val="31"/>
              <w:spacing w:line="240" w:lineRule="auto"/>
              <w:ind w:firstLine="0"/>
              <w:jc w:val="center"/>
              <w:rPr>
                <w:rFonts w:hint="default" w:ascii="Times New Roman" w:hAnsi="Times New Roman" w:eastAsia="宋体" w:cs="Times New Roman"/>
                <w:bCs/>
                <w:i/>
                <w:kern w:val="0"/>
                <w:sz w:val="24"/>
                <w:szCs w:val="24"/>
              </w:rPr>
            </w:pPr>
            <w:r>
              <w:rPr>
                <w:rFonts w:hint="default" w:ascii="Times New Roman" w:hAnsi="Times New Roman" w:eastAsia="宋体" w:cs="Times New Roman"/>
                <w:bCs/>
                <w:i/>
                <w:position w:val="-30"/>
              </w:rPr>
              <w:object>
                <v:shape id="_x0000_i1035" o:spt="75" type="#_x0000_t75" style="height:36pt;width:131.2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p>
          <w:p>
            <w:pPr>
              <w:pStyle w:val="31"/>
              <w:spacing w:line="360" w:lineRule="auto"/>
              <w:ind w:firstLine="480" w:firstLineChars="200"/>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式中：</w:t>
            </w:r>
          </w:p>
          <w:p>
            <w:pPr>
              <w:pStyle w:val="31"/>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i/>
                <w:sz w:val="24"/>
                <w:szCs w:val="24"/>
              </w:rPr>
              <w:t>L</w:t>
            </w:r>
            <w:r>
              <w:rPr>
                <w:rFonts w:hint="default" w:ascii="Times New Roman" w:hAnsi="Times New Roman" w:eastAsia="宋体" w:cs="Times New Roman"/>
                <w:bCs/>
                <w:i/>
                <w:sz w:val="24"/>
                <w:szCs w:val="24"/>
                <w:vertAlign w:val="subscript"/>
              </w:rPr>
              <w:t>eqg</w:t>
            </w:r>
            <w:r>
              <w:rPr>
                <w:rFonts w:hint="default" w:ascii="Times New Roman" w:hAnsi="Times New Roman" w:eastAsia="宋体" w:cs="Times New Roman"/>
                <w:bCs/>
                <w:sz w:val="24"/>
                <w:szCs w:val="24"/>
              </w:rPr>
              <w:t>—建设项目声源在预测点的等效声级贡献值，dB(A)；</w:t>
            </w:r>
          </w:p>
          <w:p>
            <w:pPr>
              <w:pStyle w:val="31"/>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i/>
                <w:sz w:val="24"/>
                <w:szCs w:val="24"/>
              </w:rPr>
              <w:t>L</w:t>
            </w:r>
            <w:r>
              <w:rPr>
                <w:rFonts w:hint="default" w:ascii="Times New Roman" w:hAnsi="Times New Roman" w:eastAsia="宋体" w:cs="Times New Roman"/>
                <w:bCs/>
                <w:i/>
                <w:sz w:val="24"/>
                <w:szCs w:val="24"/>
                <w:vertAlign w:val="subscript"/>
              </w:rPr>
              <w:t>Ai</w:t>
            </w:r>
            <w:r>
              <w:rPr>
                <w:rFonts w:hint="default" w:ascii="Times New Roman" w:hAnsi="Times New Roman" w:eastAsia="宋体" w:cs="Times New Roman"/>
                <w:bCs/>
                <w:sz w:val="24"/>
                <w:szCs w:val="24"/>
                <w:vertAlign w:val="subscript"/>
              </w:rPr>
              <w:t xml:space="preserve"> </w:t>
            </w:r>
            <w:r>
              <w:rPr>
                <w:rFonts w:hint="default" w:ascii="Times New Roman" w:hAnsi="Times New Roman" w:eastAsia="宋体" w:cs="Times New Roman"/>
                <w:bCs/>
                <w:sz w:val="24"/>
                <w:szCs w:val="24"/>
              </w:rPr>
              <w:t>—</w:t>
            </w:r>
            <w:r>
              <w:rPr>
                <w:rFonts w:hint="default" w:ascii="Times New Roman" w:hAnsi="Times New Roman" w:eastAsia="宋体" w:cs="Times New Roman"/>
                <w:bCs/>
                <w:i/>
                <w:sz w:val="24"/>
                <w:szCs w:val="24"/>
              </w:rPr>
              <w:t xml:space="preserve"> i</w:t>
            </w:r>
            <w:r>
              <w:rPr>
                <w:rFonts w:hint="default" w:ascii="Times New Roman" w:hAnsi="Times New Roman" w:eastAsia="宋体" w:cs="Times New Roman"/>
                <w:bCs/>
                <w:sz w:val="24"/>
                <w:szCs w:val="24"/>
              </w:rPr>
              <w:t>声源在预测点产生的A声级，dB(A)；</w:t>
            </w:r>
          </w:p>
          <w:p>
            <w:pPr>
              <w:pStyle w:val="31"/>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i/>
                <w:sz w:val="24"/>
                <w:szCs w:val="24"/>
              </w:rPr>
              <w:t>T</w:t>
            </w:r>
            <w:r>
              <w:rPr>
                <w:rFonts w:hint="default" w:ascii="Times New Roman" w:hAnsi="Times New Roman" w:eastAsia="宋体" w:cs="Times New Roman"/>
                <w:bCs/>
                <w:sz w:val="24"/>
                <w:szCs w:val="24"/>
              </w:rPr>
              <w:t xml:space="preserve">  —预测计算的时间段，s；</w:t>
            </w:r>
          </w:p>
          <w:p>
            <w:pPr>
              <w:pStyle w:val="31"/>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i/>
                <w:sz w:val="24"/>
                <w:szCs w:val="24"/>
              </w:rPr>
              <w:t>t</w:t>
            </w:r>
            <w:r>
              <w:rPr>
                <w:rFonts w:hint="default" w:ascii="Times New Roman" w:hAnsi="Times New Roman" w:eastAsia="宋体" w:cs="Times New Roman"/>
                <w:bCs/>
                <w:i/>
                <w:sz w:val="24"/>
                <w:szCs w:val="24"/>
                <w:vertAlign w:val="subscript"/>
              </w:rPr>
              <w:t>i</w:t>
            </w:r>
            <w:r>
              <w:rPr>
                <w:rFonts w:hint="default" w:ascii="Times New Roman" w:hAnsi="Times New Roman" w:eastAsia="宋体" w:cs="Times New Roman"/>
                <w:bCs/>
                <w:i/>
                <w:sz w:val="24"/>
                <w:szCs w:val="24"/>
              </w:rPr>
              <w:t xml:space="preserve"> </w:t>
            </w:r>
            <w:r>
              <w:rPr>
                <w:rFonts w:hint="default" w:ascii="Times New Roman" w:hAnsi="Times New Roman" w:eastAsia="宋体" w:cs="Times New Roman"/>
                <w:bCs/>
                <w:sz w:val="24"/>
                <w:szCs w:val="24"/>
              </w:rPr>
              <w:t xml:space="preserve"> — </w:t>
            </w:r>
            <w:r>
              <w:rPr>
                <w:rFonts w:hint="default" w:ascii="Times New Roman" w:hAnsi="Times New Roman" w:eastAsia="宋体" w:cs="Times New Roman"/>
                <w:bCs/>
                <w:i/>
                <w:sz w:val="24"/>
                <w:szCs w:val="24"/>
              </w:rPr>
              <w:t>i</w:t>
            </w:r>
            <w:r>
              <w:rPr>
                <w:rFonts w:hint="default" w:ascii="Times New Roman" w:hAnsi="Times New Roman" w:eastAsia="宋体" w:cs="Times New Roman"/>
                <w:bCs/>
                <w:sz w:val="24"/>
                <w:szCs w:val="24"/>
              </w:rPr>
              <w:t>声源在T时段内的运行时间，s。</w:t>
            </w:r>
          </w:p>
          <w:p>
            <w:pPr>
              <w:spacing w:line="360" w:lineRule="auto"/>
              <w:ind w:firstLine="480" w:firstLineChars="200"/>
              <w:rPr>
                <w:rFonts w:hint="default" w:ascii="Times New Roman" w:hAnsi="Times New Roman" w:cs="Times New Roman"/>
                <w:bCs/>
                <w:kern w:val="0"/>
                <w:sz w:val="24"/>
                <w:lang w:val="zh-CN"/>
              </w:rPr>
            </w:pPr>
            <w:r>
              <w:rPr>
                <w:rFonts w:hint="default" w:ascii="Times New Roman" w:hAnsi="Times New Roman" w:cs="Times New Roman"/>
                <w:bCs/>
                <w:kern w:val="0"/>
                <w:sz w:val="24"/>
              </w:rPr>
              <w:t>b</w:t>
            </w:r>
            <w:r>
              <w:rPr>
                <w:rFonts w:hint="default" w:ascii="Times New Roman" w:hAnsi="Times New Roman" w:cs="Times New Roman"/>
                <w:bCs/>
                <w:kern w:val="0"/>
                <w:sz w:val="24"/>
                <w:lang w:val="zh-CN"/>
              </w:rPr>
              <w:t>、预测点的预测等效声级（</w:t>
            </w:r>
            <w:r>
              <w:rPr>
                <w:rFonts w:hint="default" w:ascii="Times New Roman" w:hAnsi="Times New Roman" w:cs="Times New Roman"/>
                <w:bCs/>
                <w:i/>
                <w:kern w:val="0"/>
                <w:sz w:val="24"/>
                <w:lang w:val="zh-CN"/>
              </w:rPr>
              <w:t>Leq</w:t>
            </w:r>
            <w:r>
              <w:rPr>
                <w:rFonts w:hint="default" w:ascii="Times New Roman" w:hAnsi="Times New Roman" w:cs="Times New Roman"/>
                <w:bCs/>
                <w:kern w:val="0"/>
                <w:sz w:val="24"/>
                <w:lang w:val="zh-CN"/>
              </w:rPr>
              <w:t>）计算公式：</w:t>
            </w:r>
          </w:p>
          <w:p>
            <w:pPr>
              <w:pStyle w:val="15"/>
              <w:adjustRightInd w:val="0"/>
              <w:snapToGrid w:val="0"/>
              <w:spacing w:line="500" w:lineRule="exact"/>
              <w:ind w:firstLine="482"/>
              <w:jc w:val="center"/>
              <w:rPr>
                <w:rFonts w:hint="default" w:ascii="Times New Roman" w:hAnsi="Times New Roman" w:cs="Times New Roman"/>
                <w:bCs/>
                <w:i/>
              </w:rPr>
            </w:pPr>
            <w:r>
              <w:rPr>
                <w:rFonts w:hint="default" w:ascii="Times New Roman" w:hAnsi="Times New Roman" w:cs="Times New Roman"/>
                <w:bCs/>
                <w:i/>
                <w:position w:val="-14"/>
              </w:rPr>
              <w:object>
                <v:shape id="_x0000_i1036" o:spt="75" type="#_x0000_t75" style="height:21pt;width:135.75pt;" o:ole="t" filled="f" o:preferrelative="t" stroked="f" coordsize="21600,21600">
                  <v:path/>
                  <v:fill on="f" focussize="0,0"/>
                  <v:stroke on="f" joinstyle="miter"/>
                  <v:imagedata r:id="rId37" o:title=""/>
                  <o:lock v:ext="edit" aspectratio="t"/>
                  <w10:wrap type="none"/>
                  <w10:anchorlock/>
                </v:shape>
                <o:OLEObject Type="Embed" ProgID="Equation.3" ShapeID="_x0000_i1036" DrawAspect="Content" ObjectID="_1468075736" r:id="rId36">
                  <o:LockedField>false</o:LockedField>
                </o:OLEObject>
              </w:object>
            </w:r>
          </w:p>
          <w:p>
            <w:pPr>
              <w:pStyle w:val="15"/>
              <w:adjustRightInd w:val="0"/>
              <w:snapToGrid w:val="0"/>
              <w:spacing w:line="360" w:lineRule="auto"/>
              <w:ind w:firstLine="482"/>
              <w:rPr>
                <w:rFonts w:hint="default" w:ascii="Times New Roman" w:hAnsi="Times New Roman" w:cs="Times New Roman"/>
                <w:bCs/>
                <w:sz w:val="24"/>
                <w:szCs w:val="24"/>
              </w:rPr>
            </w:pPr>
            <w:r>
              <w:rPr>
                <w:rFonts w:hint="default" w:ascii="Times New Roman" w:hAnsi="Times New Roman" w:cs="Times New Roman"/>
                <w:bCs/>
                <w:sz w:val="24"/>
                <w:szCs w:val="24"/>
                <w:lang w:val="zh-CN"/>
              </w:rPr>
              <w:t>式中</w:t>
            </w:r>
            <w:r>
              <w:rPr>
                <w:rFonts w:hint="default" w:ascii="Times New Roman" w:hAnsi="Times New Roman" w:cs="Times New Roman"/>
                <w:bCs/>
                <w:sz w:val="24"/>
                <w:szCs w:val="24"/>
              </w:rPr>
              <w:t>：</w:t>
            </w:r>
          </w:p>
          <w:p>
            <w:pPr>
              <w:pStyle w:val="15"/>
              <w:adjustRightInd w:val="0"/>
              <w:snapToGrid w:val="0"/>
              <w:spacing w:line="360" w:lineRule="auto"/>
              <w:ind w:firstLine="482"/>
              <w:rPr>
                <w:rFonts w:hint="default" w:ascii="Times New Roman" w:hAnsi="Times New Roman" w:cs="Times New Roman"/>
                <w:bCs/>
                <w:sz w:val="24"/>
                <w:szCs w:val="24"/>
              </w:rPr>
            </w:pPr>
            <w:r>
              <w:rPr>
                <w:rFonts w:hint="default" w:ascii="Times New Roman" w:hAnsi="Times New Roman" w:cs="Times New Roman"/>
                <w:bCs/>
                <w:i/>
                <w:sz w:val="24"/>
                <w:szCs w:val="24"/>
              </w:rPr>
              <w:t>L</w:t>
            </w:r>
            <w:r>
              <w:rPr>
                <w:rFonts w:hint="default" w:ascii="Times New Roman" w:hAnsi="Times New Roman" w:cs="Times New Roman"/>
                <w:bCs/>
                <w:i/>
                <w:sz w:val="24"/>
                <w:szCs w:val="24"/>
                <w:vertAlign w:val="subscript"/>
              </w:rPr>
              <w:t>eqg</w:t>
            </w:r>
            <w:r>
              <w:rPr>
                <w:rFonts w:hint="default" w:ascii="Times New Roman" w:hAnsi="Times New Roman" w:cs="Times New Roman"/>
                <w:bCs/>
                <w:sz w:val="24"/>
                <w:szCs w:val="24"/>
              </w:rPr>
              <w:t>—</w:t>
            </w:r>
            <w:r>
              <w:rPr>
                <w:rFonts w:hint="default" w:ascii="Times New Roman" w:hAnsi="Times New Roman" w:cs="Times New Roman"/>
                <w:bCs/>
                <w:sz w:val="24"/>
                <w:szCs w:val="24"/>
                <w:lang w:val="zh-CN"/>
              </w:rPr>
              <w:t>建设项目声源在预测点的等效声级贡献值，</w:t>
            </w:r>
            <w:r>
              <w:rPr>
                <w:rFonts w:hint="default" w:ascii="Times New Roman" w:hAnsi="Times New Roman" w:cs="Times New Roman"/>
                <w:bCs/>
                <w:sz w:val="24"/>
                <w:szCs w:val="24"/>
              </w:rPr>
              <w:t>[dB(A)]；</w:t>
            </w:r>
          </w:p>
          <w:p>
            <w:pPr>
              <w:pStyle w:val="15"/>
              <w:adjustRightInd w:val="0"/>
              <w:snapToGrid w:val="0"/>
              <w:spacing w:line="360" w:lineRule="auto"/>
              <w:ind w:firstLine="482"/>
              <w:rPr>
                <w:rFonts w:hint="default" w:ascii="Times New Roman" w:hAnsi="Times New Roman" w:cs="Times New Roman"/>
                <w:bCs/>
                <w:sz w:val="24"/>
                <w:szCs w:val="24"/>
              </w:rPr>
            </w:pPr>
            <w:r>
              <w:rPr>
                <w:rFonts w:hint="default" w:ascii="Times New Roman" w:hAnsi="Times New Roman" w:cs="Times New Roman"/>
                <w:bCs/>
                <w:i/>
                <w:sz w:val="24"/>
                <w:szCs w:val="24"/>
              </w:rPr>
              <w:t>L</w:t>
            </w:r>
            <w:r>
              <w:rPr>
                <w:rFonts w:hint="default" w:ascii="Times New Roman" w:hAnsi="Times New Roman" w:cs="Times New Roman"/>
                <w:bCs/>
                <w:i/>
                <w:sz w:val="24"/>
                <w:szCs w:val="24"/>
                <w:vertAlign w:val="subscript"/>
              </w:rPr>
              <w:t>eqb</w:t>
            </w:r>
            <w:r>
              <w:rPr>
                <w:rFonts w:hint="default" w:ascii="Times New Roman" w:hAnsi="Times New Roman" w:cs="Times New Roman"/>
                <w:bCs/>
                <w:sz w:val="24"/>
                <w:szCs w:val="24"/>
              </w:rPr>
              <w:t>—</w:t>
            </w:r>
            <w:r>
              <w:rPr>
                <w:rFonts w:hint="default" w:ascii="Times New Roman" w:hAnsi="Times New Roman" w:cs="Times New Roman"/>
                <w:bCs/>
                <w:sz w:val="24"/>
                <w:szCs w:val="24"/>
                <w:lang w:val="zh-CN"/>
              </w:rPr>
              <w:t>预测点的背景值，</w:t>
            </w:r>
            <w:r>
              <w:rPr>
                <w:rFonts w:hint="default" w:ascii="Times New Roman" w:hAnsi="Times New Roman" w:cs="Times New Roman"/>
                <w:bCs/>
                <w:sz w:val="24"/>
                <w:szCs w:val="24"/>
              </w:rPr>
              <w:t>[dB(A)]</w:t>
            </w:r>
            <w:r>
              <w:rPr>
                <w:rFonts w:hint="default" w:ascii="Times New Roman" w:hAnsi="Times New Roman" w:cs="Times New Roman"/>
                <w:bCs/>
                <w:sz w:val="24"/>
                <w:szCs w:val="24"/>
                <w:lang w:val="zh-CN"/>
              </w:rPr>
              <w:t>。</w:t>
            </w:r>
          </w:p>
          <w:p>
            <w:pPr>
              <w:pStyle w:val="31"/>
              <w:spacing w:line="360" w:lineRule="auto"/>
              <w:ind w:firstLine="482"/>
              <w:rPr>
                <w:rFonts w:hint="default" w:ascii="Times New Roman" w:hAnsi="Times New Roman" w:eastAsia="宋体" w:cs="Times New Roman"/>
                <w:bCs/>
                <w:kern w:val="0"/>
                <w:sz w:val="24"/>
                <w:szCs w:val="24"/>
                <w:lang w:val="zh-CN"/>
              </w:rPr>
            </w:pPr>
            <w:r>
              <w:rPr>
                <w:rFonts w:hint="default" w:ascii="Times New Roman" w:hAnsi="Times New Roman" w:eastAsia="宋体" w:cs="Times New Roman"/>
                <w:bCs/>
                <w:kern w:val="0"/>
                <w:sz w:val="24"/>
                <w:szCs w:val="24"/>
                <w:lang w:val="zh-CN"/>
              </w:rPr>
              <w:t>（2）衰减计算</w:t>
            </w:r>
          </w:p>
          <w:p>
            <w:pPr>
              <w:pStyle w:val="15"/>
              <w:adjustRightInd w:val="0"/>
              <w:snapToGrid w:val="0"/>
              <w:spacing w:line="360" w:lineRule="auto"/>
              <w:ind w:firstLine="482"/>
              <w:rPr>
                <w:rFonts w:hint="default" w:ascii="Times New Roman" w:hAnsi="Times New Roman" w:cs="Times New Roman"/>
                <w:bCs/>
                <w:sz w:val="24"/>
                <w:szCs w:val="24"/>
                <w:lang w:val="zh-CN"/>
              </w:rPr>
            </w:pPr>
            <w:r>
              <w:rPr>
                <w:rFonts w:hint="default" w:ascii="Times New Roman" w:hAnsi="Times New Roman" w:cs="Times New Roman"/>
                <w:bCs/>
                <w:sz w:val="24"/>
                <w:szCs w:val="24"/>
                <w:lang w:val="zh-CN"/>
              </w:rPr>
              <w:t>无指向性点声源几何发散衰减基本公式：</w:t>
            </w:r>
          </w:p>
          <w:p>
            <w:pPr>
              <w:pStyle w:val="15"/>
              <w:adjustRightInd w:val="0"/>
              <w:snapToGrid w:val="0"/>
              <w:spacing w:line="500" w:lineRule="exact"/>
              <w:ind w:firstLine="482"/>
              <w:jc w:val="center"/>
              <w:rPr>
                <w:rFonts w:hint="default" w:ascii="Times New Roman" w:hAnsi="Times New Roman" w:cs="Times New Roman"/>
                <w:bCs/>
                <w:sz w:val="24"/>
                <w:szCs w:val="24"/>
              </w:rPr>
            </w:pPr>
            <w:r>
              <w:rPr>
                <w:rFonts w:hint="default" w:ascii="Times New Roman" w:hAnsi="Times New Roman" w:cs="Times New Roman"/>
                <w:bCs/>
                <w:i/>
                <w:position w:val="-14"/>
                <w:sz w:val="24"/>
                <w:szCs w:val="24"/>
              </w:rPr>
              <w:object>
                <v:shape id="_x0000_i1037" o:spt="75" type="#_x0000_t75" style="height:18pt;width:122.25pt;" o:ole="t" filled="f" o:preferrelative="t" stroked="f" coordsize="21600,21600">
                  <v:path/>
                  <v:fill on="f" focussize="0,0"/>
                  <v:stroke on="f" joinstyle="miter"/>
                  <v:imagedata r:id="rId39" o:title=""/>
                  <o:lock v:ext="edit" aspectratio="t"/>
                  <w10:wrap type="none"/>
                  <w10:anchorlock/>
                </v:shape>
                <o:OLEObject Type="Embed" ProgID="Equation.3" ShapeID="_x0000_i1037" DrawAspect="Content" ObjectID="_1468075737" r:id="rId38">
                  <o:LockedField>false</o:LockedField>
                </o:OLEObject>
              </w:object>
            </w:r>
          </w:p>
          <w:p>
            <w:pPr>
              <w:pStyle w:val="15"/>
              <w:spacing w:line="360" w:lineRule="auto"/>
              <w:ind w:firstLine="482"/>
              <w:rPr>
                <w:rFonts w:hint="default" w:ascii="Times New Roman" w:hAnsi="Times New Roman" w:cs="Times New Roman"/>
                <w:bCs/>
                <w:sz w:val="24"/>
                <w:szCs w:val="24"/>
              </w:rPr>
            </w:pPr>
            <w:r>
              <w:rPr>
                <w:rFonts w:hint="default" w:ascii="Times New Roman" w:hAnsi="Times New Roman" w:cs="Times New Roman"/>
                <w:bCs/>
                <w:sz w:val="24"/>
                <w:szCs w:val="24"/>
                <w:lang w:val="zh-CN"/>
              </w:rPr>
              <w:t>式中</w:t>
            </w:r>
            <w:r>
              <w:rPr>
                <w:rFonts w:hint="default" w:ascii="Times New Roman" w:hAnsi="Times New Roman" w:cs="Times New Roman"/>
                <w:bCs/>
                <w:sz w:val="24"/>
                <w:szCs w:val="24"/>
              </w:rPr>
              <w:t>：</w:t>
            </w:r>
          </w:p>
          <w:p>
            <w:pPr>
              <w:pStyle w:val="15"/>
              <w:spacing w:line="360" w:lineRule="auto"/>
              <w:ind w:firstLine="482"/>
              <w:rPr>
                <w:rFonts w:hint="default" w:ascii="Times New Roman" w:hAnsi="Times New Roman" w:cs="Times New Roman"/>
                <w:bCs/>
                <w:sz w:val="24"/>
                <w:szCs w:val="24"/>
              </w:rPr>
            </w:pPr>
            <w:r>
              <w:rPr>
                <w:rFonts w:hint="default" w:ascii="Times New Roman" w:hAnsi="Times New Roman" w:cs="Times New Roman"/>
                <w:bCs/>
                <w:i/>
                <w:sz w:val="24"/>
                <w:szCs w:val="24"/>
              </w:rPr>
              <w:t>L</w:t>
            </w:r>
            <w:r>
              <w:rPr>
                <w:rFonts w:hint="default" w:ascii="Times New Roman" w:hAnsi="Times New Roman" w:cs="Times New Roman"/>
                <w:bCs/>
                <w:i/>
                <w:sz w:val="24"/>
                <w:szCs w:val="24"/>
                <w:vertAlign w:val="subscript"/>
              </w:rPr>
              <w:t xml:space="preserve">A(r)  </w:t>
            </w:r>
            <w:r>
              <w:rPr>
                <w:rFonts w:hint="default" w:ascii="Times New Roman" w:hAnsi="Times New Roman" w:cs="Times New Roman"/>
                <w:bCs/>
                <w:sz w:val="24"/>
                <w:szCs w:val="24"/>
              </w:rPr>
              <w:t>—</w:t>
            </w:r>
            <w:r>
              <w:rPr>
                <w:rFonts w:hint="default" w:ascii="Times New Roman" w:hAnsi="Times New Roman" w:cs="Times New Roman"/>
                <w:bCs/>
                <w:sz w:val="24"/>
                <w:szCs w:val="24"/>
                <w:lang w:val="zh-CN"/>
              </w:rPr>
              <w:t>距离声源</w:t>
            </w:r>
            <w:r>
              <w:rPr>
                <w:rFonts w:hint="default" w:ascii="Times New Roman" w:hAnsi="Times New Roman" w:cs="Times New Roman"/>
                <w:bCs/>
                <w:i/>
                <w:sz w:val="24"/>
                <w:szCs w:val="24"/>
              </w:rPr>
              <w:t>r</w:t>
            </w:r>
            <w:r>
              <w:rPr>
                <w:rFonts w:hint="default" w:ascii="Times New Roman" w:hAnsi="Times New Roman" w:cs="Times New Roman"/>
                <w:bCs/>
                <w:sz w:val="24"/>
                <w:szCs w:val="24"/>
                <w:lang w:val="zh-CN"/>
              </w:rPr>
              <w:t>米处噪声预测值</w:t>
            </w:r>
            <w:r>
              <w:rPr>
                <w:rFonts w:hint="default" w:ascii="Times New Roman" w:hAnsi="Times New Roman" w:cs="Times New Roman"/>
                <w:bCs/>
                <w:sz w:val="24"/>
                <w:szCs w:val="24"/>
              </w:rPr>
              <w:t>，[dB(A)]；</w:t>
            </w:r>
          </w:p>
          <w:p>
            <w:pPr>
              <w:pStyle w:val="15"/>
              <w:spacing w:line="360" w:lineRule="auto"/>
              <w:ind w:firstLine="482"/>
              <w:rPr>
                <w:rFonts w:hint="default" w:ascii="Times New Roman" w:hAnsi="Times New Roman" w:cs="Times New Roman"/>
                <w:bCs/>
                <w:sz w:val="24"/>
                <w:szCs w:val="24"/>
              </w:rPr>
            </w:pPr>
            <w:r>
              <w:rPr>
                <w:rFonts w:hint="default" w:ascii="Times New Roman" w:hAnsi="Times New Roman" w:cs="Times New Roman"/>
                <w:bCs/>
                <w:i/>
                <w:sz w:val="24"/>
                <w:szCs w:val="24"/>
              </w:rPr>
              <w:t>L</w:t>
            </w:r>
            <w:r>
              <w:rPr>
                <w:rFonts w:hint="default" w:ascii="Times New Roman" w:hAnsi="Times New Roman" w:cs="Times New Roman"/>
                <w:bCs/>
                <w:i/>
                <w:sz w:val="24"/>
                <w:szCs w:val="24"/>
                <w:vertAlign w:val="subscript"/>
              </w:rPr>
              <w:t xml:space="preserve">A(r0) </w:t>
            </w:r>
            <w:r>
              <w:rPr>
                <w:rFonts w:hint="default" w:ascii="Times New Roman" w:hAnsi="Times New Roman" w:cs="Times New Roman"/>
                <w:bCs/>
                <w:sz w:val="24"/>
                <w:szCs w:val="24"/>
              </w:rPr>
              <w:t>—</w:t>
            </w:r>
            <w:r>
              <w:rPr>
                <w:rFonts w:hint="default" w:ascii="Times New Roman" w:hAnsi="Times New Roman" w:cs="Times New Roman"/>
                <w:bCs/>
                <w:sz w:val="24"/>
                <w:szCs w:val="24"/>
                <w:lang w:val="zh-CN"/>
              </w:rPr>
              <w:t>距离声源</w:t>
            </w:r>
            <w:r>
              <w:rPr>
                <w:rFonts w:hint="default" w:ascii="Times New Roman" w:hAnsi="Times New Roman" w:cs="Times New Roman"/>
                <w:bCs/>
                <w:i/>
                <w:sz w:val="24"/>
                <w:szCs w:val="24"/>
              </w:rPr>
              <w:t>r</w:t>
            </w:r>
            <w:r>
              <w:rPr>
                <w:rFonts w:hint="default" w:ascii="Times New Roman" w:hAnsi="Times New Roman" w:cs="Times New Roman"/>
                <w:bCs/>
                <w:i/>
                <w:sz w:val="24"/>
                <w:szCs w:val="24"/>
                <w:vertAlign w:val="subscript"/>
              </w:rPr>
              <w:t>0</w:t>
            </w:r>
            <w:r>
              <w:rPr>
                <w:rFonts w:hint="default" w:ascii="Times New Roman" w:hAnsi="Times New Roman" w:cs="Times New Roman"/>
                <w:bCs/>
                <w:sz w:val="24"/>
                <w:szCs w:val="24"/>
                <w:lang w:val="zh-CN"/>
              </w:rPr>
              <w:t>米处噪声预测值</w:t>
            </w:r>
            <w:r>
              <w:rPr>
                <w:rFonts w:hint="default" w:ascii="Times New Roman" w:hAnsi="Times New Roman" w:cs="Times New Roman"/>
                <w:bCs/>
                <w:sz w:val="24"/>
                <w:szCs w:val="24"/>
              </w:rPr>
              <w:t>，[dB(A)]；</w:t>
            </w:r>
          </w:p>
          <w:p>
            <w:pPr>
              <w:pStyle w:val="15"/>
              <w:spacing w:line="360" w:lineRule="auto"/>
              <w:ind w:firstLine="482"/>
              <w:rPr>
                <w:rFonts w:hint="default" w:ascii="Times New Roman" w:hAnsi="Times New Roman" w:cs="Times New Roman"/>
                <w:bCs/>
                <w:sz w:val="24"/>
                <w:szCs w:val="24"/>
              </w:rPr>
            </w:pPr>
            <w:r>
              <w:rPr>
                <w:rFonts w:hint="default" w:ascii="Times New Roman" w:hAnsi="Times New Roman" w:cs="Times New Roman"/>
                <w:bCs/>
                <w:i/>
                <w:sz w:val="24"/>
                <w:szCs w:val="24"/>
              </w:rPr>
              <w:t>r</w:t>
            </w:r>
            <w:r>
              <w:rPr>
                <w:rFonts w:hint="default" w:ascii="Times New Roman" w:hAnsi="Times New Roman" w:cs="Times New Roman"/>
                <w:bCs/>
                <w:i/>
                <w:sz w:val="24"/>
                <w:szCs w:val="24"/>
                <w:vertAlign w:val="subscript"/>
              </w:rPr>
              <w:t xml:space="preserve">0     </w:t>
            </w:r>
            <w:r>
              <w:rPr>
                <w:rFonts w:hint="default" w:ascii="Times New Roman" w:hAnsi="Times New Roman" w:cs="Times New Roman"/>
                <w:bCs/>
                <w:sz w:val="24"/>
                <w:szCs w:val="24"/>
              </w:rPr>
              <w:t>—</w:t>
            </w:r>
            <w:r>
              <w:rPr>
                <w:rFonts w:hint="default" w:ascii="Times New Roman" w:hAnsi="Times New Roman" w:cs="Times New Roman"/>
                <w:bCs/>
                <w:sz w:val="24"/>
                <w:szCs w:val="24"/>
                <w:lang w:val="zh-CN"/>
              </w:rPr>
              <w:t>参照点到声源的距离，（</w:t>
            </w:r>
            <w:r>
              <w:rPr>
                <w:rFonts w:hint="default" w:ascii="Times New Roman" w:hAnsi="Times New Roman" w:cs="Times New Roman"/>
                <w:bCs/>
                <w:sz w:val="24"/>
                <w:szCs w:val="24"/>
              </w:rPr>
              <w:t>m）；</w:t>
            </w:r>
          </w:p>
          <w:p>
            <w:pPr>
              <w:pStyle w:val="15"/>
              <w:spacing w:line="360" w:lineRule="auto"/>
              <w:ind w:firstLine="482"/>
              <w:rPr>
                <w:rFonts w:hint="default" w:ascii="Times New Roman" w:hAnsi="Times New Roman" w:cs="Times New Roman"/>
                <w:bCs/>
                <w:sz w:val="24"/>
                <w:szCs w:val="24"/>
                <w:lang w:val="zh-CN"/>
              </w:rPr>
            </w:pPr>
            <w:r>
              <w:rPr>
                <w:rFonts w:hint="default" w:ascii="Times New Roman" w:hAnsi="Times New Roman" w:cs="Times New Roman"/>
                <w:bCs/>
                <w:i/>
                <w:sz w:val="24"/>
                <w:szCs w:val="24"/>
              </w:rPr>
              <w:t>r</w:t>
            </w:r>
            <w:r>
              <w:rPr>
                <w:rFonts w:hint="default" w:ascii="Times New Roman" w:hAnsi="Times New Roman" w:cs="Times New Roman"/>
                <w:bCs/>
                <w:i/>
                <w:sz w:val="24"/>
                <w:szCs w:val="24"/>
                <w:vertAlign w:val="subscript"/>
              </w:rPr>
              <w:t xml:space="preserve">      </w:t>
            </w:r>
            <w:r>
              <w:rPr>
                <w:rFonts w:hint="default" w:ascii="Times New Roman" w:hAnsi="Times New Roman" w:cs="Times New Roman"/>
                <w:bCs/>
                <w:sz w:val="24"/>
                <w:szCs w:val="24"/>
                <w:lang w:val="zh-CN"/>
              </w:rPr>
              <w:t>—预测点到声源的距离，（m）。</w:t>
            </w:r>
          </w:p>
          <w:p>
            <w:pPr>
              <w:adjustRightInd w:val="0"/>
              <w:snapToGrid w:val="0"/>
              <w:spacing w:before="156" w:beforeLines="50"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根据项目建设布局情况、生产情况及项目拟采用的隔声降噪措施，本次评价选择主要噪声源对项目厂界进行昼间、夜间预测，项目噪声预测结果统计分析见表</w:t>
            </w:r>
            <w:r>
              <w:rPr>
                <w:rFonts w:hint="eastAsia" w:ascii="Times New Roman" w:hAnsi="Times New Roman" w:cs="Times New Roman"/>
                <w:sz w:val="24"/>
                <w:szCs w:val="24"/>
                <w:lang w:val="en-US" w:eastAsia="zh-CN"/>
              </w:rPr>
              <w:t>27</w:t>
            </w:r>
            <w:r>
              <w:rPr>
                <w:rFonts w:hint="default" w:ascii="Times New Roman" w:hAnsi="Times New Roman" w:cs="Times New Roman"/>
                <w:sz w:val="24"/>
                <w:szCs w:val="24"/>
              </w:rPr>
              <w:t>。</w:t>
            </w:r>
          </w:p>
          <w:p>
            <w:pPr>
              <w:adjustRightInd w:val="0"/>
              <w:snapToGrid w:val="0"/>
              <w:jc w:val="center"/>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表</w:t>
            </w:r>
            <w:r>
              <w:rPr>
                <w:rFonts w:hint="eastAsia" w:asciiTheme="minorEastAsia" w:hAnsiTheme="minorEastAsia" w:eastAsiaTheme="minorEastAsia" w:cstheme="minorEastAsia"/>
                <w:b/>
                <w:bCs w:val="0"/>
                <w:kern w:val="0"/>
                <w:sz w:val="21"/>
                <w:szCs w:val="21"/>
                <w:lang w:val="en-US" w:eastAsia="zh-CN"/>
              </w:rPr>
              <w:t>7.5-12</w:t>
            </w:r>
            <w:r>
              <w:rPr>
                <w:rFonts w:hint="eastAsia" w:asciiTheme="minorEastAsia" w:hAnsiTheme="minorEastAsia" w:eastAsiaTheme="minorEastAsia" w:cstheme="minorEastAsia"/>
                <w:b/>
                <w:bCs w:val="0"/>
                <w:kern w:val="0"/>
                <w:sz w:val="21"/>
                <w:szCs w:val="21"/>
              </w:rPr>
              <w:t xml:space="preserve">   各厂界噪声预测结果一览表   单位：（dB（A））</w:t>
            </w:r>
          </w:p>
          <w:tbl>
            <w:tblPr>
              <w:tblStyle w:val="43"/>
              <w:tblW w:w="8306" w:type="dxa"/>
              <w:jc w:val="center"/>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7" w:type="dxa"/>
                <w:left w:w="108" w:type="dxa"/>
                <w:bottom w:w="17" w:type="dxa"/>
                <w:right w:w="108" w:type="dxa"/>
              </w:tblCellMar>
            </w:tblPr>
            <w:tblGrid>
              <w:gridCol w:w="952"/>
              <w:gridCol w:w="1465"/>
              <w:gridCol w:w="1098"/>
              <w:gridCol w:w="1291"/>
              <w:gridCol w:w="1173"/>
              <w:gridCol w:w="1166"/>
              <w:gridCol w:w="1161"/>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7" w:type="dxa"/>
                  <w:left w:w="108" w:type="dxa"/>
                  <w:bottom w:w="17" w:type="dxa"/>
                  <w:right w:w="108" w:type="dxa"/>
                </w:tblCellMar>
              </w:tblPrEx>
              <w:trPr>
                <w:trHeight w:val="795" w:hRule="atLeast"/>
                <w:jc w:val="center"/>
              </w:trPr>
              <w:tc>
                <w:tcPr>
                  <w:tcW w:w="2417" w:type="dxa"/>
                  <w:gridSpan w:val="2"/>
                  <w:tcBorders>
                    <w:bottom w:val="single" w:color="auto" w:sz="4" w:space="0"/>
                    <w:right w:val="single" w:color="auto" w:sz="4" w:space="0"/>
                  </w:tcBorders>
                  <w:noWrap w:val="0"/>
                  <w:vAlign w:val="center"/>
                </w:tcPr>
                <w:p>
                  <w:pPr>
                    <w:pStyle w:val="155"/>
                    <w:jc w:val="right"/>
                    <w:rPr>
                      <w:rFonts w:hint="default" w:ascii="Times New Roman" w:hAnsi="Times New Roman" w:cs="Times New Roman"/>
                      <w:b/>
                      <w:bCs/>
                    </w:rPr>
                  </w:pPr>
                  <w:r>
                    <w:rPr>
                      <w:rFonts w:hint="default" w:ascii="Times New Roman" w:hAnsi="Times New Roman" w:cs="Times New Roman"/>
                      <w:b/>
                      <w:bCs/>
                    </w:rPr>
                    <mc:AlternateContent>
                      <mc:Choice Requires="wps">
                        <w:drawing>
                          <wp:anchor distT="0" distB="0" distL="114300" distR="114300" simplePos="0" relativeHeight="251819008" behindDoc="0" locked="0" layoutInCell="1" allowOverlap="1">
                            <wp:simplePos x="0" y="0"/>
                            <wp:positionH relativeFrom="column">
                              <wp:posOffset>-66675</wp:posOffset>
                            </wp:positionH>
                            <wp:positionV relativeFrom="paragraph">
                              <wp:posOffset>36195</wp:posOffset>
                            </wp:positionV>
                            <wp:extent cx="1523365" cy="452755"/>
                            <wp:effectExtent l="2540" t="7620" r="13335" b="12065"/>
                            <wp:wrapNone/>
                            <wp:docPr id="392" name="直接箭头连接符 392"/>
                            <wp:cNvGraphicFramePr/>
                            <a:graphic xmlns:a="http://schemas.openxmlformats.org/drawingml/2006/main">
                              <a:graphicData uri="http://schemas.microsoft.com/office/word/2010/wordprocessingShape">
                                <wps:wsp>
                                  <wps:cNvCnPr/>
                                  <wps:spPr>
                                    <a:xfrm>
                                      <a:off x="0" y="0"/>
                                      <a:ext cx="1523365" cy="452755"/>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25pt;margin-top:2.85pt;height:35.65pt;width:119.95pt;z-index:251819008;mso-width-relative:page;mso-height-relative:page;" filled="f" stroked="t" coordsize="21600,21600" o:gfxdata="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mjhxR&#10;2AAAAAgBAAAPAAAAAAAAAAEAIAAAACIAAABkcnMvZG93bnJldi54bWxQSwECFAAUAAAACACHTuJA&#10;sYIqZugBAACoAwAADgAAAAAAAAABACAAAAAnAQAAZHJzL2Uyb0RvYy54bWxQSwUGAAAAAAYABgBZ&#10;AQAAgQUAAAAA&#10;">
                            <v:fill on="f" focussize="0,0"/>
                            <v:stroke weight="1.25pt" color="#000000" joinstyle="round"/>
                            <v:imagedata o:title=""/>
                            <o:lock v:ext="edit" aspectratio="f"/>
                          </v:shape>
                        </w:pict>
                      </mc:Fallback>
                    </mc:AlternateContent>
                  </w:r>
                  <w:r>
                    <w:rPr>
                      <w:rFonts w:hint="default" w:ascii="Times New Roman" w:hAnsi="Times New Roman" w:cs="Times New Roman"/>
                      <w:b/>
                      <w:bCs/>
                    </w:rPr>
                    <w:t xml:space="preserve">预测点位置 </w:t>
                  </w:r>
                </w:p>
                <w:p>
                  <w:pPr>
                    <w:pStyle w:val="155"/>
                    <w:jc w:val="left"/>
                    <w:rPr>
                      <w:rFonts w:hint="default" w:ascii="Times New Roman" w:hAnsi="Times New Roman" w:cs="Times New Roman"/>
                      <w:b/>
                      <w:bCs/>
                    </w:rPr>
                  </w:pPr>
                  <w:r>
                    <w:rPr>
                      <w:rFonts w:hint="default" w:ascii="Times New Roman" w:hAnsi="Times New Roman" w:cs="Times New Roman"/>
                      <w:b/>
                      <w:bCs/>
                    </w:rPr>
                    <w:t>名称</w:t>
                  </w:r>
                </w:p>
              </w:tc>
              <w:tc>
                <w:tcPr>
                  <w:tcW w:w="1098" w:type="dxa"/>
                  <w:tcBorders>
                    <w:left w:val="single" w:color="auto" w:sz="4" w:space="0"/>
                    <w:bottom w:val="single" w:color="auto" w:sz="4" w:space="0"/>
                    <w:right w:val="single" w:color="auto" w:sz="4" w:space="0"/>
                  </w:tcBorders>
                  <w:noWrap w:val="0"/>
                  <w:vAlign w:val="center"/>
                </w:tcPr>
                <w:p>
                  <w:pPr>
                    <w:pStyle w:val="155"/>
                    <w:rPr>
                      <w:rFonts w:hint="default" w:ascii="Times New Roman" w:hAnsi="Times New Roman" w:cs="Times New Roman"/>
                      <w:b/>
                      <w:bCs/>
                    </w:rPr>
                  </w:pPr>
                  <w:r>
                    <w:rPr>
                      <w:rFonts w:hint="default" w:ascii="Times New Roman" w:hAnsi="Times New Roman" w:cs="Times New Roman"/>
                      <w:b/>
                      <w:bCs/>
                    </w:rPr>
                    <w:t>东厂界外1m</w:t>
                  </w:r>
                </w:p>
              </w:tc>
              <w:tc>
                <w:tcPr>
                  <w:tcW w:w="1291" w:type="dxa"/>
                  <w:tcBorders>
                    <w:left w:val="single" w:color="auto" w:sz="4" w:space="0"/>
                    <w:bottom w:val="single" w:color="auto" w:sz="4" w:space="0"/>
                    <w:right w:val="single" w:color="auto" w:sz="4" w:space="0"/>
                  </w:tcBorders>
                  <w:noWrap w:val="0"/>
                  <w:vAlign w:val="center"/>
                </w:tcPr>
                <w:p>
                  <w:pPr>
                    <w:pStyle w:val="155"/>
                    <w:rPr>
                      <w:rFonts w:hint="default" w:ascii="Times New Roman" w:hAnsi="Times New Roman" w:cs="Times New Roman"/>
                      <w:b/>
                      <w:bCs/>
                    </w:rPr>
                  </w:pPr>
                  <w:r>
                    <w:rPr>
                      <w:rFonts w:hint="default" w:ascii="Times New Roman" w:hAnsi="Times New Roman" w:cs="Times New Roman"/>
                      <w:b/>
                      <w:bCs/>
                    </w:rPr>
                    <w:t>南厂界外</w:t>
                  </w:r>
                </w:p>
                <w:p>
                  <w:pPr>
                    <w:pStyle w:val="155"/>
                    <w:rPr>
                      <w:rFonts w:hint="default" w:ascii="Times New Roman" w:hAnsi="Times New Roman" w:cs="Times New Roman"/>
                      <w:b/>
                      <w:bCs/>
                    </w:rPr>
                  </w:pPr>
                  <w:r>
                    <w:rPr>
                      <w:rFonts w:hint="default" w:ascii="Times New Roman" w:hAnsi="Times New Roman" w:cs="Times New Roman"/>
                      <w:b/>
                      <w:bCs/>
                    </w:rPr>
                    <w:t>1m</w:t>
                  </w:r>
                </w:p>
              </w:tc>
              <w:tc>
                <w:tcPr>
                  <w:tcW w:w="1173" w:type="dxa"/>
                  <w:tcBorders>
                    <w:left w:val="single" w:color="auto" w:sz="4" w:space="0"/>
                    <w:bottom w:val="single" w:color="auto" w:sz="4" w:space="0"/>
                    <w:right w:val="single" w:color="auto" w:sz="4" w:space="0"/>
                  </w:tcBorders>
                  <w:noWrap w:val="0"/>
                  <w:vAlign w:val="center"/>
                </w:tcPr>
                <w:p>
                  <w:pPr>
                    <w:pStyle w:val="155"/>
                    <w:rPr>
                      <w:rFonts w:hint="default" w:ascii="Times New Roman" w:hAnsi="Times New Roman" w:cs="Times New Roman"/>
                      <w:b/>
                      <w:bCs/>
                    </w:rPr>
                  </w:pPr>
                  <w:r>
                    <w:rPr>
                      <w:rFonts w:hint="default" w:ascii="Times New Roman" w:hAnsi="Times New Roman" w:cs="Times New Roman"/>
                      <w:b/>
                      <w:bCs/>
                    </w:rPr>
                    <w:t>西厂界外1m</w:t>
                  </w:r>
                </w:p>
              </w:tc>
              <w:tc>
                <w:tcPr>
                  <w:tcW w:w="1166" w:type="dxa"/>
                  <w:tcBorders>
                    <w:left w:val="single" w:color="auto" w:sz="4" w:space="0"/>
                    <w:bottom w:val="single" w:color="auto" w:sz="4" w:space="0"/>
                    <w:right w:val="single" w:color="auto" w:sz="4" w:space="0"/>
                  </w:tcBorders>
                  <w:noWrap w:val="0"/>
                  <w:vAlign w:val="center"/>
                </w:tcPr>
                <w:p>
                  <w:pPr>
                    <w:pStyle w:val="155"/>
                    <w:rPr>
                      <w:rFonts w:hint="default" w:ascii="Times New Roman" w:hAnsi="Times New Roman" w:cs="Times New Roman"/>
                      <w:b/>
                      <w:bCs/>
                    </w:rPr>
                  </w:pPr>
                  <w:r>
                    <w:rPr>
                      <w:rFonts w:hint="default" w:ascii="Times New Roman" w:hAnsi="Times New Roman" w:cs="Times New Roman"/>
                      <w:b/>
                      <w:bCs/>
                    </w:rPr>
                    <w:t>北厂界外1m</w:t>
                  </w:r>
                </w:p>
              </w:tc>
              <w:tc>
                <w:tcPr>
                  <w:tcW w:w="1161" w:type="dxa"/>
                  <w:tcBorders>
                    <w:left w:val="single" w:color="auto" w:sz="4" w:space="0"/>
                    <w:bottom w:val="single" w:color="auto" w:sz="4" w:space="0"/>
                  </w:tcBorders>
                  <w:noWrap w:val="0"/>
                  <w:vAlign w:val="center"/>
                </w:tcPr>
                <w:p>
                  <w:pPr>
                    <w:pStyle w:val="155"/>
                    <w:rPr>
                      <w:rFonts w:hint="default" w:ascii="Times New Roman" w:hAnsi="Times New Roman" w:cs="Times New Roman"/>
                      <w:b/>
                      <w:bCs/>
                    </w:rPr>
                  </w:pPr>
                  <w:r>
                    <w:rPr>
                      <w:rFonts w:hint="eastAsia" w:ascii="Times New Roman" w:hAnsi="Times New Roman" w:cs="Times New Roman"/>
                      <w:b/>
                      <w:bCs/>
                      <w:lang w:val="en-US" w:eastAsia="zh-CN"/>
                    </w:rPr>
                    <w:t>土楼</w:t>
                  </w:r>
                  <w:r>
                    <w:rPr>
                      <w:rFonts w:hint="default" w:ascii="Times New Roman" w:hAnsi="Times New Roman" w:cs="Times New Roman"/>
                      <w:b/>
                      <w:bCs/>
                    </w:rPr>
                    <w:t>村</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7" w:type="dxa"/>
                  <w:left w:w="108" w:type="dxa"/>
                  <w:bottom w:w="17" w:type="dxa"/>
                  <w:right w:w="108" w:type="dxa"/>
                </w:tblCellMar>
              </w:tblPrEx>
              <w:trPr>
                <w:trHeight w:val="319" w:hRule="atLeast"/>
                <w:jc w:val="center"/>
              </w:trPr>
              <w:tc>
                <w:tcPr>
                  <w:tcW w:w="952" w:type="dxa"/>
                  <w:vMerge w:val="restart"/>
                  <w:tcBorders>
                    <w:top w:val="nil"/>
                    <w:bottom w:val="single" w:color="auto" w:sz="4" w:space="0"/>
                    <w:right w:val="single" w:color="auto" w:sz="4" w:space="0"/>
                  </w:tcBorders>
                  <w:noWrap w:val="0"/>
                  <w:vAlign w:val="center"/>
                </w:tcPr>
                <w:p>
                  <w:pPr>
                    <w:pStyle w:val="155"/>
                    <w:rPr>
                      <w:rFonts w:hint="default" w:ascii="Times New Roman" w:hAnsi="Times New Roman" w:cs="Times New Roman"/>
                    </w:rPr>
                  </w:pPr>
                  <w:r>
                    <w:rPr>
                      <w:rFonts w:hint="default" w:ascii="Times New Roman" w:hAnsi="Times New Roman" w:cs="Times New Roman"/>
                    </w:rPr>
                    <w:t>昼间</w:t>
                  </w:r>
                </w:p>
              </w:tc>
              <w:tc>
                <w:tcPr>
                  <w:tcW w:w="1465" w:type="dxa"/>
                  <w:tcBorders>
                    <w:top w:val="single" w:color="auto" w:sz="4" w:space="0"/>
                    <w:left w:val="single" w:color="auto" w:sz="4" w:space="0"/>
                    <w:bottom w:val="single" w:color="auto" w:sz="4" w:space="0"/>
                    <w:right w:val="single" w:color="auto" w:sz="4" w:space="0"/>
                  </w:tcBorders>
                  <w:noWrap w:val="0"/>
                  <w:vAlign w:val="center"/>
                </w:tcPr>
                <w:p>
                  <w:pPr>
                    <w:pStyle w:val="155"/>
                    <w:rPr>
                      <w:rFonts w:hint="default" w:ascii="Times New Roman" w:hAnsi="Times New Roman" w:cs="Times New Roman"/>
                    </w:rPr>
                  </w:pPr>
                  <w:r>
                    <w:rPr>
                      <w:rFonts w:hint="default" w:ascii="Times New Roman" w:hAnsi="Times New Roman" w:cs="Times New Roman"/>
                    </w:rPr>
                    <w:t>距离m</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pStyle w:val="155"/>
                    <w:rPr>
                      <w:rFonts w:hint="default" w:ascii="Times New Roman" w:hAnsi="Times New Roman" w:eastAsia="宋体" w:cs="Times New Roman"/>
                      <w:lang w:val="en-US" w:eastAsia="zh-CN"/>
                    </w:rPr>
                  </w:pPr>
                  <w:r>
                    <w:rPr>
                      <w:rFonts w:hint="eastAsia" w:ascii="Times New Roman" w:hAnsi="Times New Roman" w:cs="Times New Roman"/>
                      <w:lang w:val="en-US" w:eastAsia="zh-CN"/>
                    </w:rPr>
                    <w:t>17</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pStyle w:val="155"/>
                    <w:rPr>
                      <w:rFonts w:hint="default" w:ascii="Times New Roman" w:hAnsi="Times New Roman" w:eastAsia="宋体" w:cs="Times New Roman"/>
                      <w:lang w:val="en-US" w:eastAsia="zh-CN"/>
                    </w:rPr>
                  </w:pPr>
                  <w:r>
                    <w:rPr>
                      <w:rFonts w:hint="eastAsia" w:ascii="Times New Roman" w:hAnsi="Times New Roman" w:cs="Times New Roman"/>
                      <w:lang w:val="en-US" w:eastAsia="zh-CN"/>
                    </w:rPr>
                    <w:t>35</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pStyle w:val="155"/>
                    <w:rPr>
                      <w:rFonts w:hint="default" w:ascii="Times New Roman" w:hAnsi="Times New Roman" w:eastAsia="宋体" w:cs="Times New Roman"/>
                      <w:lang w:val="en-US" w:eastAsia="zh-CN"/>
                    </w:rPr>
                  </w:pPr>
                  <w:r>
                    <w:rPr>
                      <w:rFonts w:hint="eastAsia" w:ascii="Times New Roman" w:hAnsi="Times New Roman" w:cs="Times New Roman"/>
                      <w:lang w:val="en-US" w:eastAsia="zh-CN"/>
                    </w:rPr>
                    <w:t>30</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pStyle w:val="155"/>
                    <w:rPr>
                      <w:rFonts w:hint="default" w:ascii="Times New Roman" w:hAnsi="Times New Roman" w:eastAsia="宋体" w:cs="Times New Roman"/>
                      <w:lang w:val="en-US" w:eastAsia="zh-CN"/>
                    </w:rPr>
                  </w:pPr>
                  <w:r>
                    <w:rPr>
                      <w:rFonts w:hint="eastAsia" w:ascii="Times New Roman" w:hAnsi="Times New Roman" w:cs="Times New Roman"/>
                      <w:lang w:val="en-US" w:eastAsia="zh-CN"/>
                    </w:rPr>
                    <w:t>15</w:t>
                  </w:r>
                </w:p>
              </w:tc>
              <w:tc>
                <w:tcPr>
                  <w:tcW w:w="1161" w:type="dxa"/>
                  <w:tcBorders>
                    <w:top w:val="single" w:color="auto" w:sz="4" w:space="0"/>
                    <w:left w:val="single" w:color="auto" w:sz="4" w:space="0"/>
                    <w:bottom w:val="single" w:color="auto" w:sz="4" w:space="0"/>
                  </w:tcBorders>
                  <w:noWrap w:val="0"/>
                  <w:vAlign w:val="center"/>
                </w:tcPr>
                <w:p>
                  <w:pPr>
                    <w:pStyle w:val="155"/>
                    <w:rPr>
                      <w:rFonts w:hint="default" w:ascii="Times New Roman" w:hAnsi="Times New Roman" w:eastAsia="宋体" w:cs="Times New Roman"/>
                      <w:lang w:val="en-US" w:eastAsia="zh-CN"/>
                    </w:rPr>
                  </w:pPr>
                  <w:r>
                    <w:rPr>
                      <w:rFonts w:hint="eastAsia" w:ascii="Times New Roman" w:hAnsi="Times New Roman" w:cs="Times New Roman"/>
                      <w:lang w:val="en-US" w:eastAsia="zh-CN"/>
                    </w:rPr>
                    <w:t>80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7" w:type="dxa"/>
                  <w:left w:w="108" w:type="dxa"/>
                  <w:bottom w:w="17" w:type="dxa"/>
                  <w:right w:w="108" w:type="dxa"/>
                </w:tblCellMar>
              </w:tblPrEx>
              <w:trPr>
                <w:trHeight w:val="334" w:hRule="atLeast"/>
                <w:jc w:val="center"/>
              </w:trPr>
              <w:tc>
                <w:tcPr>
                  <w:tcW w:w="952" w:type="dxa"/>
                  <w:vMerge w:val="continue"/>
                  <w:tcBorders>
                    <w:top w:val="nil"/>
                    <w:bottom w:val="single" w:color="auto" w:sz="4" w:space="0"/>
                    <w:right w:val="single" w:color="auto" w:sz="4" w:space="0"/>
                  </w:tcBorders>
                  <w:noWrap w:val="0"/>
                  <w:vAlign w:val="center"/>
                </w:tcPr>
                <w:p>
                  <w:pPr>
                    <w:widowControl/>
                    <w:jc w:val="left"/>
                    <w:rPr>
                      <w:rFonts w:hint="default" w:ascii="Times New Roman" w:hAnsi="Times New Roman" w:cs="Times New Roman"/>
                      <w:szCs w:val="21"/>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pPr>
                    <w:pStyle w:val="155"/>
                    <w:rPr>
                      <w:rFonts w:hint="default" w:ascii="Times New Roman" w:hAnsi="Times New Roman" w:cs="Times New Roman"/>
                    </w:rPr>
                  </w:pPr>
                  <w:r>
                    <w:rPr>
                      <w:rFonts w:hint="default" w:ascii="Times New Roman" w:hAnsi="Times New Roman" w:cs="Times New Roman"/>
                    </w:rPr>
                    <w:t>等效声源贡献值</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pStyle w:val="155"/>
                    <w:rPr>
                      <w:rFonts w:hint="default" w:ascii="Times New Roman" w:hAnsi="Times New Roman" w:eastAsia="宋体" w:cs="Times New Roman"/>
                      <w:lang w:val="en-US" w:eastAsia="zh-CN"/>
                    </w:rPr>
                  </w:pPr>
                  <w:r>
                    <w:rPr>
                      <w:rFonts w:hint="eastAsia" w:ascii="Times New Roman" w:hAnsi="Times New Roman" w:cs="Times New Roman"/>
                      <w:lang w:val="en-US" w:eastAsia="zh-CN"/>
                    </w:rPr>
                    <w:t>55.4</w:t>
                  </w:r>
                  <w:r>
                    <w:rPr>
                      <w:rFonts w:hint="default" w:ascii="Times New Roman" w:hAnsi="Times New Roman" w:cs="Times New Roman"/>
                    </w:rPr>
                    <w:t>/</w:t>
                  </w:r>
                  <w:r>
                    <w:rPr>
                      <w:rFonts w:hint="eastAsia" w:ascii="Times New Roman" w:hAnsi="Times New Roman" w:cs="Times New Roman"/>
                      <w:lang w:val="en-US" w:eastAsia="zh-CN"/>
                    </w:rPr>
                    <w:t>55.4</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pStyle w:val="155"/>
                    <w:rPr>
                      <w:rFonts w:hint="default" w:ascii="Times New Roman" w:hAnsi="Times New Roman" w:eastAsia="宋体" w:cs="Times New Roman"/>
                      <w:lang w:val="en-US" w:eastAsia="zh-CN"/>
                    </w:rPr>
                  </w:pPr>
                  <w:r>
                    <w:rPr>
                      <w:rFonts w:hint="eastAsia" w:ascii="Times New Roman" w:hAnsi="Times New Roman" w:cs="Times New Roman"/>
                      <w:lang w:val="en-US" w:eastAsia="zh-CN"/>
                    </w:rPr>
                    <w:t>49.1</w:t>
                  </w:r>
                  <w:r>
                    <w:rPr>
                      <w:rFonts w:hint="default" w:ascii="Times New Roman" w:hAnsi="Times New Roman" w:cs="Times New Roman"/>
                    </w:rPr>
                    <w:t>/</w:t>
                  </w:r>
                  <w:r>
                    <w:rPr>
                      <w:rFonts w:hint="eastAsia" w:ascii="Times New Roman" w:hAnsi="Times New Roman" w:cs="Times New Roman"/>
                      <w:lang w:val="en-US" w:eastAsia="zh-CN"/>
                    </w:rPr>
                    <w:t>49.1</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pStyle w:val="155"/>
                    <w:rPr>
                      <w:rFonts w:hint="default" w:ascii="Times New Roman" w:hAnsi="Times New Roman" w:eastAsia="宋体" w:cs="Times New Roman"/>
                      <w:lang w:val="en-US" w:eastAsia="zh-CN"/>
                    </w:rPr>
                  </w:pPr>
                  <w:r>
                    <w:rPr>
                      <w:rFonts w:hint="eastAsia" w:ascii="Times New Roman" w:hAnsi="Times New Roman" w:cs="Times New Roman"/>
                      <w:lang w:val="en-US" w:eastAsia="zh-CN"/>
                    </w:rPr>
                    <w:t>50.4</w:t>
                  </w:r>
                  <w:r>
                    <w:rPr>
                      <w:rFonts w:hint="default" w:ascii="Times New Roman" w:hAnsi="Times New Roman" w:cs="Times New Roman"/>
                    </w:rPr>
                    <w:t>/</w:t>
                  </w:r>
                  <w:r>
                    <w:rPr>
                      <w:rFonts w:hint="eastAsia" w:ascii="Times New Roman" w:hAnsi="Times New Roman" w:cs="Times New Roman"/>
                      <w:lang w:val="en-US" w:eastAsia="zh-CN"/>
                    </w:rPr>
                    <w:t>50.4</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pStyle w:val="155"/>
                    <w:rPr>
                      <w:rFonts w:hint="default" w:ascii="Times New Roman" w:hAnsi="Times New Roman" w:cs="Times New Roman"/>
                      <w:lang w:val="en-US"/>
                    </w:rPr>
                  </w:pPr>
                  <w:r>
                    <w:rPr>
                      <w:rFonts w:hint="eastAsia" w:ascii="Times New Roman" w:hAnsi="Times New Roman" w:cs="Times New Roman"/>
                      <w:lang w:val="en-US" w:eastAsia="zh-CN"/>
                    </w:rPr>
                    <w:t>56.4</w:t>
                  </w:r>
                  <w:r>
                    <w:rPr>
                      <w:rFonts w:hint="default" w:ascii="Times New Roman" w:hAnsi="Times New Roman" w:cs="Times New Roman"/>
                    </w:rPr>
                    <w:t>/</w:t>
                  </w:r>
                  <w:r>
                    <w:rPr>
                      <w:rFonts w:hint="eastAsia" w:ascii="Times New Roman" w:hAnsi="Times New Roman" w:cs="Times New Roman"/>
                      <w:lang w:val="en-US" w:eastAsia="zh-CN"/>
                    </w:rPr>
                    <w:t>56.4</w:t>
                  </w:r>
                </w:p>
              </w:tc>
              <w:tc>
                <w:tcPr>
                  <w:tcW w:w="1161" w:type="dxa"/>
                  <w:tcBorders>
                    <w:top w:val="single" w:color="auto" w:sz="4" w:space="0"/>
                    <w:left w:val="single" w:color="auto" w:sz="4" w:space="0"/>
                    <w:bottom w:val="single" w:color="auto" w:sz="4" w:space="0"/>
                  </w:tcBorders>
                  <w:noWrap w:val="0"/>
                  <w:vAlign w:val="center"/>
                </w:tcPr>
                <w:p>
                  <w:pPr>
                    <w:pStyle w:val="155"/>
                    <w:rPr>
                      <w:rFonts w:hint="default" w:ascii="Times New Roman" w:hAnsi="Times New Roman" w:eastAsia="宋体" w:cs="Times New Roman"/>
                      <w:lang w:val="en-US" w:eastAsia="zh-CN"/>
                    </w:rPr>
                  </w:pPr>
                  <w:r>
                    <w:rPr>
                      <w:rFonts w:hint="eastAsia" w:ascii="Times New Roman" w:hAnsi="Times New Roman" w:cs="Times New Roman"/>
                      <w:lang w:val="en-US" w:eastAsia="zh-CN"/>
                    </w:rPr>
                    <w:t>41.9</w:t>
                  </w:r>
                  <w:r>
                    <w:rPr>
                      <w:rFonts w:hint="default" w:ascii="Times New Roman" w:hAnsi="Times New Roman" w:cs="Times New Roman"/>
                    </w:rPr>
                    <w:t>/</w:t>
                  </w:r>
                  <w:r>
                    <w:rPr>
                      <w:rFonts w:hint="eastAsia" w:ascii="Times New Roman" w:hAnsi="Times New Roman" w:cs="Times New Roman"/>
                      <w:lang w:val="en-US" w:eastAsia="zh-CN"/>
                    </w:rPr>
                    <w:t>41.9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7" w:type="dxa"/>
                  <w:left w:w="108" w:type="dxa"/>
                  <w:bottom w:w="17" w:type="dxa"/>
                  <w:right w:w="108" w:type="dxa"/>
                </w:tblCellMar>
              </w:tblPrEx>
              <w:trPr>
                <w:trHeight w:val="360" w:hRule="atLeast"/>
                <w:jc w:val="center"/>
              </w:trPr>
              <w:tc>
                <w:tcPr>
                  <w:tcW w:w="952" w:type="dxa"/>
                  <w:tcBorders>
                    <w:top w:val="single" w:color="auto" w:sz="4" w:space="0"/>
                    <w:bottom w:val="single" w:color="auto" w:sz="4" w:space="0"/>
                    <w:right w:val="single" w:color="auto" w:sz="4" w:space="0"/>
                  </w:tcBorders>
                  <w:noWrap w:val="0"/>
                  <w:vAlign w:val="center"/>
                </w:tcPr>
                <w:p>
                  <w:pPr>
                    <w:pStyle w:val="155"/>
                    <w:rPr>
                      <w:rFonts w:hint="default" w:ascii="Times New Roman" w:hAnsi="Times New Roman" w:cs="Times New Roman"/>
                    </w:rPr>
                  </w:pPr>
                  <w:r>
                    <w:rPr>
                      <w:rFonts w:hint="default" w:ascii="Times New Roman" w:hAnsi="Times New Roman" w:cs="Times New Roman"/>
                    </w:rPr>
                    <w:t>昼间</w:t>
                  </w:r>
                </w:p>
              </w:tc>
              <w:tc>
                <w:tcPr>
                  <w:tcW w:w="1465" w:type="dxa"/>
                  <w:tcBorders>
                    <w:top w:val="single" w:color="auto" w:sz="4" w:space="0"/>
                    <w:left w:val="single" w:color="auto" w:sz="4" w:space="0"/>
                    <w:bottom w:val="single" w:color="auto" w:sz="4" w:space="0"/>
                    <w:right w:val="single" w:color="auto" w:sz="4" w:space="0"/>
                  </w:tcBorders>
                  <w:noWrap w:val="0"/>
                  <w:vAlign w:val="center"/>
                </w:tcPr>
                <w:p>
                  <w:pPr>
                    <w:pStyle w:val="155"/>
                    <w:rPr>
                      <w:rFonts w:hint="default" w:ascii="Times New Roman" w:hAnsi="Times New Roman" w:cs="Times New Roman"/>
                    </w:rPr>
                  </w:pPr>
                  <w:r>
                    <w:rPr>
                      <w:rFonts w:hint="default" w:ascii="Times New Roman" w:hAnsi="Times New Roman" w:cs="Times New Roman"/>
                    </w:rPr>
                    <w:t>预测值</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pStyle w:val="155"/>
                    <w:rPr>
                      <w:rFonts w:hint="default" w:ascii="Times New Roman" w:hAnsi="Times New Roman" w:cs="Times New Roman"/>
                    </w:rPr>
                  </w:pPr>
                  <w:r>
                    <w:rPr>
                      <w:rFonts w:hint="eastAsia" w:ascii="Times New Roman" w:hAnsi="Times New Roman" w:cs="Times New Roman"/>
                      <w:lang w:val="en-US" w:eastAsia="zh-CN"/>
                    </w:rPr>
                    <w:t>55.4</w:t>
                  </w:r>
                  <w:r>
                    <w:rPr>
                      <w:rFonts w:hint="default" w:ascii="Times New Roman" w:hAnsi="Times New Roman" w:cs="Times New Roman"/>
                    </w:rPr>
                    <w:t>/</w:t>
                  </w:r>
                  <w:r>
                    <w:rPr>
                      <w:rFonts w:hint="eastAsia" w:ascii="Times New Roman" w:hAnsi="Times New Roman" w:cs="Times New Roman"/>
                      <w:lang w:val="en-US" w:eastAsia="zh-CN"/>
                    </w:rPr>
                    <w:t>55.4</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pStyle w:val="155"/>
                    <w:rPr>
                      <w:rFonts w:hint="default" w:ascii="Times New Roman" w:hAnsi="Times New Roman" w:cs="Times New Roman"/>
                    </w:rPr>
                  </w:pPr>
                  <w:r>
                    <w:rPr>
                      <w:rFonts w:hint="eastAsia" w:ascii="Times New Roman" w:hAnsi="Times New Roman" w:cs="Times New Roman"/>
                      <w:lang w:val="en-US" w:eastAsia="zh-CN"/>
                    </w:rPr>
                    <w:t>49.1</w:t>
                  </w:r>
                  <w:r>
                    <w:rPr>
                      <w:rFonts w:hint="default" w:ascii="Times New Roman" w:hAnsi="Times New Roman" w:cs="Times New Roman"/>
                    </w:rPr>
                    <w:t>/</w:t>
                  </w:r>
                  <w:r>
                    <w:rPr>
                      <w:rFonts w:hint="eastAsia" w:ascii="Times New Roman" w:hAnsi="Times New Roman" w:cs="Times New Roman"/>
                      <w:lang w:val="en-US" w:eastAsia="zh-CN"/>
                    </w:rPr>
                    <w:t>49.1</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pStyle w:val="155"/>
                    <w:rPr>
                      <w:rFonts w:hint="default" w:ascii="Times New Roman" w:hAnsi="Times New Roman" w:cs="Times New Roman"/>
                    </w:rPr>
                  </w:pPr>
                  <w:r>
                    <w:rPr>
                      <w:rFonts w:hint="eastAsia" w:ascii="Times New Roman" w:hAnsi="Times New Roman" w:cs="Times New Roman"/>
                      <w:lang w:val="en-US" w:eastAsia="zh-CN"/>
                    </w:rPr>
                    <w:t>50.4</w:t>
                  </w:r>
                  <w:r>
                    <w:rPr>
                      <w:rFonts w:hint="default" w:ascii="Times New Roman" w:hAnsi="Times New Roman" w:cs="Times New Roman"/>
                    </w:rPr>
                    <w:t>/</w:t>
                  </w:r>
                  <w:r>
                    <w:rPr>
                      <w:rFonts w:hint="eastAsia" w:ascii="Times New Roman" w:hAnsi="Times New Roman" w:cs="Times New Roman"/>
                      <w:lang w:val="en-US" w:eastAsia="zh-CN"/>
                    </w:rPr>
                    <w:t>50.4</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pStyle w:val="155"/>
                    <w:rPr>
                      <w:rFonts w:hint="default" w:ascii="Times New Roman" w:hAnsi="Times New Roman" w:cs="Times New Roman"/>
                    </w:rPr>
                  </w:pPr>
                  <w:r>
                    <w:rPr>
                      <w:rFonts w:hint="eastAsia" w:ascii="Times New Roman" w:hAnsi="Times New Roman" w:cs="Times New Roman"/>
                      <w:lang w:val="en-US" w:eastAsia="zh-CN"/>
                    </w:rPr>
                    <w:t>56.4</w:t>
                  </w:r>
                  <w:r>
                    <w:rPr>
                      <w:rFonts w:hint="default" w:ascii="Times New Roman" w:hAnsi="Times New Roman" w:cs="Times New Roman"/>
                    </w:rPr>
                    <w:t>/</w:t>
                  </w:r>
                  <w:r>
                    <w:rPr>
                      <w:rFonts w:hint="eastAsia" w:ascii="Times New Roman" w:hAnsi="Times New Roman" w:cs="Times New Roman"/>
                      <w:lang w:val="en-US" w:eastAsia="zh-CN"/>
                    </w:rPr>
                    <w:t>56.4</w:t>
                  </w:r>
                </w:p>
              </w:tc>
              <w:tc>
                <w:tcPr>
                  <w:tcW w:w="1161" w:type="dxa"/>
                  <w:tcBorders>
                    <w:top w:val="single" w:color="auto" w:sz="4" w:space="0"/>
                    <w:left w:val="single" w:color="auto" w:sz="4" w:space="0"/>
                    <w:bottom w:val="single" w:color="auto" w:sz="4" w:space="0"/>
                  </w:tcBorders>
                  <w:noWrap w:val="0"/>
                  <w:vAlign w:val="center"/>
                </w:tcPr>
                <w:p>
                  <w:pPr>
                    <w:pStyle w:val="155"/>
                    <w:rPr>
                      <w:rFonts w:hint="default" w:ascii="Times New Roman" w:hAnsi="Times New Roman" w:cs="Times New Roman"/>
                    </w:rPr>
                  </w:pPr>
                  <w:r>
                    <w:rPr>
                      <w:rFonts w:hint="eastAsia" w:ascii="Times New Roman" w:hAnsi="Times New Roman" w:cs="Times New Roman"/>
                      <w:lang w:val="en-US" w:eastAsia="zh-CN"/>
                    </w:rPr>
                    <w:t>41.9</w:t>
                  </w:r>
                  <w:r>
                    <w:rPr>
                      <w:rFonts w:hint="default" w:ascii="Times New Roman" w:hAnsi="Times New Roman" w:cs="Times New Roman"/>
                    </w:rPr>
                    <w:t>/</w:t>
                  </w:r>
                  <w:r>
                    <w:rPr>
                      <w:rFonts w:hint="eastAsia" w:ascii="Times New Roman" w:hAnsi="Times New Roman" w:cs="Times New Roman"/>
                      <w:lang w:val="en-US" w:eastAsia="zh-CN"/>
                    </w:rPr>
                    <w:t>41.9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7" w:type="dxa"/>
                  <w:left w:w="108" w:type="dxa"/>
                  <w:bottom w:w="17" w:type="dxa"/>
                  <w:right w:w="108" w:type="dxa"/>
                </w:tblCellMar>
              </w:tblPrEx>
              <w:trPr>
                <w:trHeight w:val="393" w:hRule="atLeast"/>
                <w:jc w:val="center"/>
              </w:trPr>
              <w:tc>
                <w:tcPr>
                  <w:tcW w:w="2417" w:type="dxa"/>
                  <w:gridSpan w:val="2"/>
                  <w:tcBorders>
                    <w:top w:val="single" w:color="auto" w:sz="4" w:space="0"/>
                    <w:bottom w:val="single" w:color="auto" w:sz="4" w:space="0"/>
                    <w:right w:val="single" w:color="auto" w:sz="4" w:space="0"/>
                  </w:tcBorders>
                  <w:noWrap w:val="0"/>
                  <w:vAlign w:val="center"/>
                </w:tcPr>
                <w:p>
                  <w:pPr>
                    <w:pStyle w:val="155"/>
                    <w:rPr>
                      <w:rFonts w:hint="default" w:ascii="Times New Roman" w:hAnsi="Times New Roman" w:cs="Times New Roman"/>
                    </w:rPr>
                  </w:pPr>
                  <w:r>
                    <w:rPr>
                      <w:rFonts w:hint="default" w:ascii="Times New Roman" w:hAnsi="Times New Roman" w:cs="Times New Roman"/>
                    </w:rPr>
                    <w:t>标准限值</w:t>
                  </w:r>
                </w:p>
              </w:tc>
              <w:tc>
                <w:tcPr>
                  <w:tcW w:w="5889" w:type="dxa"/>
                  <w:gridSpan w:val="5"/>
                  <w:tcBorders>
                    <w:top w:val="single" w:color="auto" w:sz="4" w:space="0"/>
                    <w:left w:val="single" w:color="auto" w:sz="4" w:space="0"/>
                    <w:bottom w:val="single" w:color="auto" w:sz="4" w:space="0"/>
                  </w:tcBorders>
                  <w:noWrap w:val="0"/>
                  <w:vAlign w:val="center"/>
                </w:tcPr>
                <w:p>
                  <w:pPr>
                    <w:pStyle w:val="155"/>
                    <w:rPr>
                      <w:rFonts w:hint="default" w:ascii="Times New Roman" w:hAnsi="Times New Roman" w:cs="Times New Roman"/>
                    </w:rPr>
                  </w:pPr>
                  <w:r>
                    <w:rPr>
                      <w:rFonts w:hint="default" w:ascii="Times New Roman" w:hAnsi="Times New Roman" w:cs="Times New Roman"/>
                    </w:rPr>
                    <w:t>昼间≤60dB（A）夜间≤50dB（A）</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7" w:type="dxa"/>
                  <w:left w:w="108" w:type="dxa"/>
                  <w:bottom w:w="17" w:type="dxa"/>
                  <w:right w:w="108" w:type="dxa"/>
                </w:tblCellMar>
              </w:tblPrEx>
              <w:trPr>
                <w:trHeight w:val="412" w:hRule="atLeast"/>
                <w:jc w:val="center"/>
              </w:trPr>
              <w:tc>
                <w:tcPr>
                  <w:tcW w:w="2417" w:type="dxa"/>
                  <w:gridSpan w:val="2"/>
                  <w:tcBorders>
                    <w:top w:val="single" w:color="auto" w:sz="4" w:space="0"/>
                    <w:right w:val="single" w:color="auto" w:sz="4" w:space="0"/>
                  </w:tcBorders>
                  <w:noWrap w:val="0"/>
                  <w:vAlign w:val="center"/>
                </w:tcPr>
                <w:p>
                  <w:pPr>
                    <w:pStyle w:val="155"/>
                    <w:rPr>
                      <w:rFonts w:hint="default" w:ascii="Times New Roman" w:hAnsi="Times New Roman" w:cs="Times New Roman"/>
                    </w:rPr>
                  </w:pPr>
                  <w:r>
                    <w:rPr>
                      <w:rFonts w:hint="default" w:ascii="Times New Roman" w:hAnsi="Times New Roman" w:cs="Times New Roman"/>
                    </w:rPr>
                    <w:t>达标情况</w:t>
                  </w:r>
                </w:p>
              </w:tc>
              <w:tc>
                <w:tcPr>
                  <w:tcW w:w="5889" w:type="dxa"/>
                  <w:gridSpan w:val="5"/>
                  <w:tcBorders>
                    <w:top w:val="single" w:color="auto" w:sz="4" w:space="0"/>
                    <w:left w:val="single" w:color="auto" w:sz="4" w:space="0"/>
                  </w:tcBorders>
                  <w:noWrap w:val="0"/>
                  <w:vAlign w:val="center"/>
                </w:tcPr>
                <w:p>
                  <w:pPr>
                    <w:pStyle w:val="155"/>
                    <w:rPr>
                      <w:rFonts w:hint="default" w:ascii="Times New Roman" w:hAnsi="Times New Roman" w:cs="Times New Roman"/>
                    </w:rPr>
                  </w:pPr>
                  <w:r>
                    <w:rPr>
                      <w:rFonts w:hint="default" w:ascii="Times New Roman" w:hAnsi="Times New Roman" w:cs="Times New Roman"/>
                    </w:rPr>
                    <w:t>达标</w:t>
                  </w:r>
                </w:p>
              </w:tc>
            </w:tr>
          </w:tbl>
          <w:p>
            <w:pPr>
              <w:adjustRightInd w:val="0"/>
              <w:snapToGrid w:val="0"/>
              <w:spacing w:before="156" w:beforeLines="50"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由上表可知，经采取措施后，本项目建成后厂界昼间噪声值均能满足《工业企业厂界环境噪声排放标准》（GB12348-2008）2类标准要求，附近敏感点</w:t>
            </w:r>
            <w:r>
              <w:rPr>
                <w:rFonts w:hint="eastAsia" w:ascii="Times New Roman" w:hAnsi="Times New Roman" w:cs="Times New Roman"/>
                <w:sz w:val="24"/>
                <w:szCs w:val="24"/>
                <w:lang w:val="en-US" w:eastAsia="zh-CN"/>
              </w:rPr>
              <w:t>土楼村果铺组</w:t>
            </w:r>
            <w:r>
              <w:rPr>
                <w:rFonts w:hint="default" w:ascii="Times New Roman" w:hAnsi="Times New Roman" w:cs="Times New Roman"/>
                <w:sz w:val="24"/>
                <w:szCs w:val="24"/>
              </w:rPr>
              <w:t>噪声贡献值可以满足《声环境质量标准》（GB3096-2008）2类标准要求，</w:t>
            </w:r>
            <w:r>
              <w:rPr>
                <w:rFonts w:hint="default" w:ascii="Times New Roman" w:hAnsi="Times New Roman" w:cs="Times New Roman"/>
                <w:bCs/>
                <w:sz w:val="24"/>
                <w:highlight w:val="none"/>
                <w:u w:val="none"/>
              </w:rPr>
              <w:t>项目噪声贡献值等声值线图见附图</w:t>
            </w:r>
            <w:r>
              <w:rPr>
                <w:rFonts w:hint="default" w:ascii="Times New Roman" w:hAnsi="Times New Roman" w:cs="Times New Roman"/>
                <w:bCs/>
                <w:sz w:val="24"/>
                <w:highlight w:val="none"/>
                <w:u w:val="none"/>
                <w:lang w:val="en-US" w:eastAsia="zh-CN"/>
              </w:rPr>
              <w:t>6</w:t>
            </w:r>
            <w:r>
              <w:rPr>
                <w:rFonts w:hint="eastAsia" w:ascii="Times New Roman" w:hAnsi="Times New Roman" w:cs="Times New Roman"/>
                <w:bCs/>
                <w:sz w:val="24"/>
                <w:highlight w:val="none"/>
                <w:u w:val="none"/>
                <w:lang w:val="en-US" w:eastAsia="zh-CN"/>
              </w:rPr>
              <w:t>，</w:t>
            </w:r>
            <w:r>
              <w:rPr>
                <w:rFonts w:hint="default" w:ascii="Times New Roman" w:hAnsi="Times New Roman" w:cs="Times New Roman"/>
                <w:sz w:val="24"/>
                <w:szCs w:val="24"/>
              </w:rPr>
              <w:t>项目运营期噪声对周围环境影响较小。</w:t>
            </w:r>
          </w:p>
          <w:p>
            <w:pPr>
              <w:adjustRightInd w:val="0"/>
              <w:snapToGrid w:val="0"/>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rPr>
              <w:t>5、固废对环境的影响分析</w:t>
            </w:r>
          </w:p>
          <w:p>
            <w:pPr>
              <w:adjustRightInd w:val="0"/>
              <w:snapToGrid w:val="0"/>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szCs w:val="24"/>
              </w:rPr>
              <w:t>本项目固废包括除尘器收集的粉尘、循环沉淀水池沉淀泥沙、职工生活垃圾、生产设备废矿物油。</w:t>
            </w:r>
          </w:p>
          <w:p>
            <w:pPr>
              <w:adjustRightInd w:val="0"/>
              <w:snapToGrid w:val="0"/>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rPr>
              <w:t>循环沉淀水池沉淀泥沙</w:t>
            </w:r>
            <w:r>
              <w:rPr>
                <w:rFonts w:hint="default" w:ascii="Times New Roman" w:hAnsi="Times New Roman" w:cs="Times New Roman"/>
                <w:bCs/>
                <w:sz w:val="24"/>
                <w:szCs w:val="24"/>
              </w:rPr>
              <w:t>：根据企业提供的数据，</w:t>
            </w:r>
            <w:r>
              <w:rPr>
                <w:rFonts w:hint="default" w:ascii="Times New Roman" w:hAnsi="Times New Roman" w:cs="Times New Roman"/>
                <w:bCs/>
                <w:sz w:val="24"/>
              </w:rPr>
              <w:t>循环沉淀水池沉淀泥沙</w:t>
            </w:r>
            <w:r>
              <w:rPr>
                <w:rFonts w:hint="default" w:ascii="Times New Roman" w:hAnsi="Times New Roman" w:cs="Times New Roman"/>
                <w:bCs/>
                <w:sz w:val="24"/>
                <w:szCs w:val="24"/>
              </w:rPr>
              <w:t>产生量约为</w:t>
            </w:r>
            <w:r>
              <w:rPr>
                <w:rFonts w:hint="default" w:ascii="Times New Roman" w:hAnsi="Times New Roman" w:cs="Times New Roman"/>
                <w:bCs/>
                <w:sz w:val="24"/>
                <w:szCs w:val="24"/>
                <w:lang w:val="en-US" w:eastAsia="zh-CN"/>
              </w:rPr>
              <w:t>400</w:t>
            </w:r>
            <w:r>
              <w:rPr>
                <w:rFonts w:hint="default" w:ascii="Times New Roman" w:hAnsi="Times New Roman" w:cs="Times New Roman"/>
                <w:bCs/>
                <w:sz w:val="24"/>
                <w:szCs w:val="24"/>
              </w:rPr>
              <w:t>t/a，其主要成分是</w:t>
            </w:r>
            <w:r>
              <w:rPr>
                <w:rFonts w:hint="default" w:ascii="Times New Roman" w:hAnsi="Times New Roman" w:cs="Times New Roman"/>
                <w:bCs/>
                <w:sz w:val="24"/>
                <w:szCs w:val="24"/>
                <w:lang w:eastAsia="zh-CN"/>
              </w:rPr>
              <w:t>石沫</w:t>
            </w:r>
            <w:r>
              <w:rPr>
                <w:rFonts w:hint="default" w:ascii="Times New Roman" w:hAnsi="Times New Roman" w:cs="Times New Roman"/>
                <w:bCs/>
                <w:sz w:val="24"/>
                <w:szCs w:val="24"/>
              </w:rPr>
              <w:t>和泥土。经清理干化后外售作为路基或建筑填方使用。</w:t>
            </w:r>
          </w:p>
          <w:p>
            <w:pPr>
              <w:adjustRightInd w:val="0"/>
              <w:snapToGrid w:val="0"/>
              <w:spacing w:line="360" w:lineRule="auto"/>
              <w:ind w:firstLine="480" w:firstLineChars="200"/>
              <w:rPr>
                <w:rFonts w:hint="default" w:ascii="Times New Roman" w:hAnsi="Times New Roman" w:cs="Times New Roman"/>
                <w:bCs/>
                <w:sz w:val="24"/>
                <w:szCs w:val="24"/>
                <w:highlight w:val="yellow"/>
              </w:rPr>
            </w:pPr>
            <w:r>
              <w:rPr>
                <w:rFonts w:hint="default" w:ascii="Times New Roman" w:hAnsi="Times New Roman" w:cs="Times New Roman"/>
                <w:bCs/>
                <w:sz w:val="24"/>
                <w:szCs w:val="24"/>
              </w:rPr>
              <w:t>除尘器收集的粉尘：除尘器收集的粉尘产生量为</w:t>
            </w:r>
            <w:r>
              <w:rPr>
                <w:rFonts w:hint="default" w:ascii="Times New Roman" w:hAnsi="Times New Roman" w:cs="Times New Roman" w:eastAsiaTheme="minorEastAsia"/>
                <w:sz w:val="24"/>
                <w:szCs w:val="24"/>
                <w:lang w:val="en-US" w:eastAsia="zh-CN"/>
              </w:rPr>
              <w:t>336.825</w:t>
            </w:r>
            <w:r>
              <w:rPr>
                <w:rFonts w:hint="default" w:ascii="Times New Roman" w:hAnsi="Times New Roman" w:cs="Times New Roman"/>
                <w:bCs/>
                <w:sz w:val="24"/>
                <w:szCs w:val="24"/>
              </w:rPr>
              <w:t>t/a，收集后直接作为</w:t>
            </w:r>
            <w:r>
              <w:rPr>
                <w:rFonts w:hint="default" w:ascii="Times New Roman" w:hAnsi="Times New Roman" w:cs="Times New Roman"/>
                <w:sz w:val="24"/>
              </w:rPr>
              <w:t>建筑用粉料外售。</w:t>
            </w:r>
            <w:r>
              <w:rPr>
                <w:rFonts w:hint="default" w:ascii="Times New Roman" w:hAnsi="Times New Roman" w:cs="Times New Roman"/>
                <w:bCs/>
                <w:sz w:val="24"/>
                <w:szCs w:val="24"/>
              </w:rPr>
              <w:t>上述粉尘可不需要修复和加工，即可直接外售，不作为固体废物管理。</w:t>
            </w:r>
          </w:p>
          <w:p>
            <w:pPr>
              <w:adjustRightInd w:val="0"/>
              <w:snapToGrid w:val="0"/>
              <w:spacing w:line="360" w:lineRule="auto"/>
              <w:ind w:firstLine="480" w:firstLineChars="200"/>
              <w:rPr>
                <w:rFonts w:hint="default" w:ascii="Times New Roman" w:hAnsi="Times New Roman" w:cs="Times New Roman"/>
                <w:bCs/>
                <w:kern w:val="0"/>
                <w:sz w:val="24"/>
              </w:rPr>
            </w:pPr>
            <w:r>
              <w:rPr>
                <w:rFonts w:hint="default" w:ascii="Times New Roman" w:hAnsi="Times New Roman" w:cs="Times New Roman"/>
                <w:bCs/>
                <w:sz w:val="24"/>
                <w:szCs w:val="24"/>
              </w:rPr>
              <w:t>职工生活垃圾：</w:t>
            </w:r>
            <w:r>
              <w:rPr>
                <w:rFonts w:hint="default" w:ascii="Times New Roman" w:hAnsi="Times New Roman" w:cs="Times New Roman"/>
                <w:bCs/>
                <w:sz w:val="24"/>
              </w:rPr>
              <w:t>项目拟用职工10人，</w:t>
            </w:r>
            <w:r>
              <w:rPr>
                <w:rFonts w:hint="default" w:ascii="Times New Roman" w:hAnsi="Times New Roman" w:cs="Times New Roman"/>
                <w:bCs/>
                <w:kern w:val="0"/>
                <w:sz w:val="24"/>
              </w:rPr>
              <w:t>垃圾产生量按每人每天平均0.</w:t>
            </w:r>
            <w:r>
              <w:rPr>
                <w:rFonts w:hint="default" w:ascii="Times New Roman" w:hAnsi="Times New Roman" w:cs="Times New Roman"/>
                <w:bCs/>
                <w:kern w:val="0"/>
                <w:sz w:val="24"/>
                <w:lang w:val="en-US" w:eastAsia="zh-CN"/>
              </w:rPr>
              <w:t>5</w:t>
            </w:r>
            <w:r>
              <w:rPr>
                <w:rFonts w:hint="default" w:ascii="Times New Roman" w:hAnsi="Times New Roman" w:cs="Times New Roman"/>
                <w:bCs/>
                <w:kern w:val="0"/>
                <w:sz w:val="24"/>
              </w:rPr>
              <w:t>kg计</w:t>
            </w:r>
            <w:r>
              <w:rPr>
                <w:rFonts w:hint="default" w:ascii="Times New Roman" w:hAnsi="Times New Roman" w:cs="Times New Roman"/>
                <w:bCs/>
                <w:sz w:val="24"/>
              </w:rPr>
              <w:t>，年工作300天，则生活垃圾产生量为</w:t>
            </w:r>
            <w:r>
              <w:rPr>
                <w:rFonts w:hint="default" w:ascii="Times New Roman" w:hAnsi="Times New Roman" w:cs="Times New Roman"/>
                <w:bCs/>
                <w:sz w:val="24"/>
                <w:lang w:val="en-US" w:eastAsia="zh-CN"/>
              </w:rPr>
              <w:t>1.5</w:t>
            </w:r>
            <w:r>
              <w:rPr>
                <w:rFonts w:hint="default" w:ascii="Times New Roman" w:hAnsi="Times New Roman" w:cs="Times New Roman"/>
                <w:bCs/>
                <w:sz w:val="24"/>
              </w:rPr>
              <w:t>t/a，</w:t>
            </w:r>
            <w:r>
              <w:rPr>
                <w:rFonts w:hint="default" w:ascii="Times New Roman" w:hAnsi="Times New Roman" w:cs="Times New Roman"/>
                <w:bCs/>
                <w:kern w:val="0"/>
                <w:sz w:val="24"/>
              </w:rPr>
              <w:t>收集后送至当地环卫部门集中处理。</w:t>
            </w:r>
          </w:p>
          <w:p>
            <w:pPr>
              <w:adjustRightInd w:val="0"/>
              <w:snapToGrid w:val="0"/>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szCs w:val="22"/>
              </w:rPr>
              <w:t>生产设备废矿物油：</w:t>
            </w:r>
            <w:r>
              <w:rPr>
                <w:rFonts w:hint="default" w:ascii="Times New Roman" w:hAnsi="Times New Roman" w:cs="Times New Roman"/>
                <w:bCs/>
                <w:sz w:val="24"/>
              </w:rPr>
              <w:t>设备液压部件定期（每2年）更换液压油产生废矿物油，产生量为0.05t/a。此外，生产设备需使用润滑油进行设备保养润滑，随着润滑油的损耗需定期添加新鲜润滑油。为防止机械设备润滑油的跑冒滴漏，于机械设备下方设置漏斗状托盘，以承接设备滴漏的润滑油（即废润滑油产生量为0.005t/a），托盘承接的废润滑油定期清理收集。废液压油与废润滑油均属废矿物油，为危险废物（HW08 废矿物油与含矿物油废物），收集后应暂存于危废暂存间，定期交由有资质单位处理。</w:t>
            </w:r>
          </w:p>
          <w:p>
            <w:pPr>
              <w:adjustRightInd w:val="0"/>
              <w:snapToGrid w:val="0"/>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为防止项目生产过程中使用的矿物油泄露污染土壤与地下水，除采取相应措施避免污染物的跑、冒、滴、漏外，建设单位还应对生产车间生产设备区域地面采取防渗措施：采用添加防渗材料的水泥砂浆涂抹，表层涂刷防渗涂层，防渗系数K≤1.0×10</w:t>
            </w:r>
            <w:r>
              <w:rPr>
                <w:rFonts w:hint="default" w:ascii="Times New Roman" w:hAnsi="Times New Roman" w:cs="Times New Roman"/>
                <w:bCs/>
                <w:sz w:val="24"/>
                <w:vertAlign w:val="superscript"/>
              </w:rPr>
              <w:t>-7</w:t>
            </w:r>
            <w:r>
              <w:rPr>
                <w:rFonts w:hint="default" w:ascii="Times New Roman" w:hAnsi="Times New Roman" w:cs="Times New Roman"/>
                <w:bCs/>
                <w:sz w:val="24"/>
              </w:rPr>
              <w:t>cm/s。</w:t>
            </w:r>
          </w:p>
          <w:p>
            <w:pPr>
              <w:adjustRightInd w:val="0"/>
              <w:snapToGrid w:val="0"/>
              <w:spacing w:line="360" w:lineRule="auto"/>
              <w:ind w:firstLine="482"/>
              <w:rPr>
                <w:rFonts w:hint="default" w:ascii="Times New Roman" w:hAnsi="Times New Roman" w:cs="Times New Roman"/>
                <w:sz w:val="24"/>
              </w:rPr>
            </w:pPr>
            <w:r>
              <w:rPr>
                <w:rFonts w:hint="default" w:ascii="Times New Roman" w:hAnsi="Times New Roman" w:cs="Times New Roman"/>
                <w:bCs/>
                <w:sz w:val="24"/>
              </w:rPr>
              <w:t>根据《国家危险废物名录》（2016年版），废矿物油属于危险废物，其中废矿物油危废类别为HW08，危废代码为900-218-08。上述危废均拟集中暂存于危废暂存间，作为危险废物委托有资质单位处置。废物类别及废物代码、危险废物贮存场所基本情况分别见表</w:t>
            </w:r>
            <w:r>
              <w:rPr>
                <w:rFonts w:hint="eastAsia" w:cs="Times New Roman"/>
                <w:bCs/>
                <w:sz w:val="24"/>
                <w:lang w:val="en-US" w:eastAsia="zh-CN"/>
              </w:rPr>
              <w:t>7.5-13</w:t>
            </w:r>
            <w:r>
              <w:rPr>
                <w:rFonts w:hint="default" w:ascii="Times New Roman" w:hAnsi="Times New Roman" w:cs="Times New Roman"/>
                <w:bCs/>
                <w:sz w:val="24"/>
              </w:rPr>
              <w:t>和表</w:t>
            </w:r>
            <w:r>
              <w:rPr>
                <w:rFonts w:hint="eastAsia" w:cs="Times New Roman"/>
                <w:bCs/>
                <w:sz w:val="24"/>
                <w:lang w:val="en-US" w:eastAsia="zh-CN"/>
              </w:rPr>
              <w:t>7.5-14</w:t>
            </w:r>
            <w:r>
              <w:rPr>
                <w:rFonts w:hint="default" w:ascii="Times New Roman" w:hAnsi="Times New Roman" w:cs="Times New Roman"/>
                <w:bCs/>
                <w:sz w:val="24"/>
              </w:rPr>
              <w:t>。</w:t>
            </w:r>
          </w:p>
          <w:p>
            <w:pPr>
              <w:adjustRightInd w:val="0"/>
              <w:snapToGrid w:val="0"/>
              <w:spacing w:line="360"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表</w:t>
            </w:r>
            <w:r>
              <w:rPr>
                <w:rFonts w:hint="eastAsia" w:cs="Times New Roman"/>
                <w:b/>
                <w:sz w:val="21"/>
                <w:szCs w:val="21"/>
                <w:lang w:val="en-US" w:eastAsia="zh-CN"/>
              </w:rPr>
              <w:t>7.5-13</w:t>
            </w:r>
            <w:r>
              <w:rPr>
                <w:rFonts w:hint="eastAsia" w:ascii="Times New Roman" w:hAnsi="Times New Roman" w:cs="Times New Roman"/>
                <w:b/>
                <w:sz w:val="21"/>
                <w:szCs w:val="21"/>
                <w:lang w:val="en-US" w:eastAsia="zh-CN"/>
              </w:rPr>
              <w:t xml:space="preserve">   </w:t>
            </w:r>
            <w:r>
              <w:rPr>
                <w:rFonts w:hint="default" w:ascii="Times New Roman" w:hAnsi="Times New Roman" w:cs="Times New Roman"/>
                <w:b/>
                <w:sz w:val="21"/>
                <w:szCs w:val="21"/>
              </w:rPr>
              <w:t xml:space="preserve"> 项目危险废物汇总表</w:t>
            </w:r>
          </w:p>
          <w:tbl>
            <w:tblPr>
              <w:tblStyle w:val="43"/>
              <w:tblW w:w="8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86"/>
              <w:gridCol w:w="1036"/>
              <w:gridCol w:w="646"/>
              <w:gridCol w:w="1015"/>
              <w:gridCol w:w="656"/>
              <w:gridCol w:w="625"/>
              <w:gridCol w:w="878"/>
              <w:gridCol w:w="1127"/>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 w:hRule="atLeast"/>
              </w:trPr>
              <w:tc>
                <w:tcPr>
                  <w:tcW w:w="1286" w:type="dxa"/>
                  <w:vAlign w:val="center"/>
                </w:tcPr>
                <w:p>
                  <w:pPr>
                    <w:pStyle w:val="232"/>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危险废物</w:t>
                  </w:r>
                </w:p>
                <w:p>
                  <w:pPr>
                    <w:pStyle w:val="232"/>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名称</w:t>
                  </w:r>
                </w:p>
              </w:tc>
              <w:tc>
                <w:tcPr>
                  <w:tcW w:w="1036" w:type="dxa"/>
                  <w:vAlign w:val="center"/>
                </w:tcPr>
                <w:p>
                  <w:pPr>
                    <w:pStyle w:val="232"/>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危险废物代码</w:t>
                  </w:r>
                </w:p>
              </w:tc>
              <w:tc>
                <w:tcPr>
                  <w:tcW w:w="646" w:type="dxa"/>
                  <w:vAlign w:val="center"/>
                </w:tcPr>
                <w:p>
                  <w:pPr>
                    <w:pStyle w:val="232"/>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产生量</w:t>
                  </w:r>
                </w:p>
              </w:tc>
              <w:tc>
                <w:tcPr>
                  <w:tcW w:w="1015" w:type="dxa"/>
                  <w:vAlign w:val="center"/>
                </w:tcPr>
                <w:p>
                  <w:pPr>
                    <w:pStyle w:val="232"/>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产生工序及装置</w:t>
                  </w:r>
                </w:p>
              </w:tc>
              <w:tc>
                <w:tcPr>
                  <w:tcW w:w="656" w:type="dxa"/>
                  <w:vAlign w:val="center"/>
                </w:tcPr>
                <w:p>
                  <w:pPr>
                    <w:pStyle w:val="232"/>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形态</w:t>
                  </w:r>
                </w:p>
              </w:tc>
              <w:tc>
                <w:tcPr>
                  <w:tcW w:w="625" w:type="dxa"/>
                  <w:vAlign w:val="center"/>
                </w:tcPr>
                <w:p>
                  <w:pPr>
                    <w:pStyle w:val="232"/>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主要</w:t>
                  </w:r>
                </w:p>
                <w:p>
                  <w:pPr>
                    <w:pStyle w:val="232"/>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成分</w:t>
                  </w:r>
                </w:p>
              </w:tc>
              <w:tc>
                <w:tcPr>
                  <w:tcW w:w="878" w:type="dxa"/>
                  <w:vAlign w:val="center"/>
                </w:tcPr>
                <w:p>
                  <w:pPr>
                    <w:pStyle w:val="232"/>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有害成分</w:t>
                  </w:r>
                </w:p>
              </w:tc>
              <w:tc>
                <w:tcPr>
                  <w:tcW w:w="1127" w:type="dxa"/>
                  <w:vAlign w:val="center"/>
                </w:tcPr>
                <w:p>
                  <w:pPr>
                    <w:pStyle w:val="232"/>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危险特性</w:t>
                  </w:r>
                </w:p>
              </w:tc>
              <w:tc>
                <w:tcPr>
                  <w:tcW w:w="1034" w:type="dxa"/>
                  <w:vAlign w:val="center"/>
                </w:tcPr>
                <w:p>
                  <w:pPr>
                    <w:pStyle w:val="232"/>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污染防治措施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 w:hRule="atLeast"/>
              </w:trPr>
              <w:tc>
                <w:tcPr>
                  <w:tcW w:w="1286" w:type="dxa"/>
                  <w:vAlign w:val="center"/>
                </w:tcPr>
                <w:p>
                  <w:pPr>
                    <w:pStyle w:val="233"/>
                    <w:rPr>
                      <w:rFonts w:hint="default" w:ascii="Times New Roman" w:hAnsi="Times New Roman" w:cs="Times New Roman"/>
                      <w:sz w:val="21"/>
                      <w:szCs w:val="21"/>
                    </w:rPr>
                  </w:pPr>
                  <w:r>
                    <w:rPr>
                      <w:rFonts w:hint="default" w:ascii="Times New Roman" w:hAnsi="Times New Roman" w:cs="Times New Roman"/>
                      <w:sz w:val="21"/>
                      <w:szCs w:val="21"/>
                    </w:rPr>
                    <w:t>HW08 废矿物油与含矿物油废物</w:t>
                  </w:r>
                </w:p>
              </w:tc>
              <w:tc>
                <w:tcPr>
                  <w:tcW w:w="1036" w:type="dxa"/>
                  <w:vAlign w:val="center"/>
                </w:tcPr>
                <w:p>
                  <w:pPr>
                    <w:pStyle w:val="232"/>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900-218-08</w:t>
                  </w:r>
                </w:p>
              </w:tc>
              <w:tc>
                <w:tcPr>
                  <w:tcW w:w="646" w:type="dxa"/>
                  <w:vAlign w:val="center"/>
                </w:tcPr>
                <w:p>
                  <w:pPr>
                    <w:pStyle w:val="232"/>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0.055</w:t>
                  </w:r>
                </w:p>
                <w:p>
                  <w:pPr>
                    <w:pStyle w:val="232"/>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t/a</w:t>
                  </w:r>
                </w:p>
              </w:tc>
              <w:tc>
                <w:tcPr>
                  <w:tcW w:w="1015" w:type="dxa"/>
                  <w:vAlign w:val="center"/>
                </w:tcPr>
                <w:p>
                  <w:pPr>
                    <w:pStyle w:val="232"/>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设备液压部件</w:t>
                  </w:r>
                </w:p>
              </w:tc>
              <w:tc>
                <w:tcPr>
                  <w:tcW w:w="656" w:type="dxa"/>
                  <w:vAlign w:val="center"/>
                </w:tcPr>
                <w:p>
                  <w:pPr>
                    <w:pStyle w:val="232"/>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液态</w:t>
                  </w:r>
                </w:p>
              </w:tc>
              <w:tc>
                <w:tcPr>
                  <w:tcW w:w="625" w:type="dxa"/>
                  <w:vAlign w:val="center"/>
                </w:tcPr>
                <w:p>
                  <w:pPr>
                    <w:pStyle w:val="232"/>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矿物油</w:t>
                  </w:r>
                </w:p>
              </w:tc>
              <w:tc>
                <w:tcPr>
                  <w:tcW w:w="878" w:type="dxa"/>
                  <w:vAlign w:val="center"/>
                </w:tcPr>
                <w:p>
                  <w:pPr>
                    <w:pStyle w:val="232"/>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矿物油</w:t>
                  </w:r>
                </w:p>
              </w:tc>
              <w:tc>
                <w:tcPr>
                  <w:tcW w:w="1127" w:type="dxa"/>
                  <w:vAlign w:val="center"/>
                </w:tcPr>
                <w:p>
                  <w:pPr>
                    <w:pStyle w:val="232"/>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T，I</w:t>
                  </w:r>
                </w:p>
              </w:tc>
              <w:tc>
                <w:tcPr>
                  <w:tcW w:w="1034" w:type="dxa"/>
                  <w:vAlign w:val="center"/>
                </w:tcPr>
                <w:p>
                  <w:pPr>
                    <w:pStyle w:val="232"/>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危废间暂存，委托有资质的单位处置</w:t>
                  </w:r>
                </w:p>
              </w:tc>
            </w:tr>
          </w:tbl>
          <w:p>
            <w:pPr>
              <w:adjustRightInd w:val="0"/>
              <w:snapToGrid w:val="0"/>
              <w:spacing w:line="520" w:lineRule="exact"/>
              <w:jc w:val="center"/>
              <w:rPr>
                <w:rFonts w:hint="default" w:ascii="Times New Roman" w:hAnsi="Times New Roman" w:cs="Times New Roman"/>
                <w:b/>
                <w:sz w:val="21"/>
                <w:szCs w:val="21"/>
              </w:rPr>
            </w:pPr>
            <w:r>
              <w:rPr>
                <w:rFonts w:hint="default" w:ascii="Times New Roman" w:hAnsi="Times New Roman" w:cs="Times New Roman"/>
                <w:b/>
                <w:sz w:val="21"/>
                <w:szCs w:val="21"/>
              </w:rPr>
              <w:t>表</w:t>
            </w:r>
            <w:r>
              <w:rPr>
                <w:rFonts w:hint="eastAsia" w:cs="Times New Roman"/>
                <w:b/>
                <w:sz w:val="21"/>
                <w:szCs w:val="21"/>
                <w:lang w:val="en-US" w:eastAsia="zh-CN"/>
              </w:rPr>
              <w:t>7.5-14</w:t>
            </w:r>
            <w:r>
              <w:rPr>
                <w:rFonts w:hint="default" w:ascii="Times New Roman" w:hAnsi="Times New Roman" w:cs="Times New Roman"/>
                <w:b/>
                <w:sz w:val="21"/>
                <w:szCs w:val="21"/>
              </w:rPr>
              <w:t xml:space="preserve">  项目危险废物贮存场所基本情况表</w:t>
            </w:r>
          </w:p>
          <w:tbl>
            <w:tblPr>
              <w:tblStyle w:val="43"/>
              <w:tblW w:w="8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
              <w:gridCol w:w="1039"/>
              <w:gridCol w:w="2471"/>
              <w:gridCol w:w="1477"/>
              <w:gridCol w:w="880"/>
              <w:gridCol w:w="1142"/>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 w:hRule="atLeast"/>
              </w:trPr>
              <w:tc>
                <w:tcPr>
                  <w:tcW w:w="496" w:type="dxa"/>
                  <w:vAlign w:val="center"/>
                </w:tcPr>
                <w:p>
                  <w:pPr>
                    <w:pStyle w:val="232"/>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贮存场所</w:t>
                  </w:r>
                </w:p>
              </w:tc>
              <w:tc>
                <w:tcPr>
                  <w:tcW w:w="1039" w:type="dxa"/>
                  <w:vAlign w:val="center"/>
                </w:tcPr>
                <w:p>
                  <w:pPr>
                    <w:pStyle w:val="232"/>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危险废物</w:t>
                  </w:r>
                </w:p>
                <w:p>
                  <w:pPr>
                    <w:pStyle w:val="232"/>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名称</w:t>
                  </w:r>
                </w:p>
              </w:tc>
              <w:tc>
                <w:tcPr>
                  <w:tcW w:w="2471" w:type="dxa"/>
                  <w:vAlign w:val="center"/>
                </w:tcPr>
                <w:p>
                  <w:pPr>
                    <w:pStyle w:val="232"/>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危险废物类别</w:t>
                  </w:r>
                </w:p>
              </w:tc>
              <w:tc>
                <w:tcPr>
                  <w:tcW w:w="1477" w:type="dxa"/>
                  <w:vAlign w:val="center"/>
                </w:tcPr>
                <w:p>
                  <w:pPr>
                    <w:pStyle w:val="232"/>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危险废物代码</w:t>
                  </w:r>
                </w:p>
              </w:tc>
              <w:tc>
                <w:tcPr>
                  <w:tcW w:w="880" w:type="dxa"/>
                  <w:vAlign w:val="center"/>
                </w:tcPr>
                <w:p>
                  <w:pPr>
                    <w:pStyle w:val="232"/>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位置</w:t>
                  </w:r>
                </w:p>
              </w:tc>
              <w:tc>
                <w:tcPr>
                  <w:tcW w:w="1142" w:type="dxa"/>
                  <w:vAlign w:val="center"/>
                </w:tcPr>
                <w:p>
                  <w:pPr>
                    <w:pStyle w:val="232"/>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占地面积</w:t>
                  </w:r>
                </w:p>
              </w:tc>
              <w:tc>
                <w:tcPr>
                  <w:tcW w:w="798" w:type="dxa"/>
                  <w:vAlign w:val="center"/>
                </w:tcPr>
                <w:p>
                  <w:pPr>
                    <w:pStyle w:val="232"/>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贮存方式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 w:hRule="atLeast"/>
              </w:trPr>
              <w:tc>
                <w:tcPr>
                  <w:tcW w:w="496" w:type="dxa"/>
                  <w:vMerge w:val="restart"/>
                  <w:vAlign w:val="center"/>
                </w:tcPr>
                <w:p>
                  <w:pPr>
                    <w:pStyle w:val="232"/>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危废暂存间</w:t>
                  </w:r>
                </w:p>
              </w:tc>
              <w:tc>
                <w:tcPr>
                  <w:tcW w:w="1039" w:type="dxa"/>
                  <w:vMerge w:val="restart"/>
                  <w:vAlign w:val="center"/>
                </w:tcPr>
                <w:p>
                  <w:pPr>
                    <w:pStyle w:val="233"/>
                    <w:rPr>
                      <w:rFonts w:hint="default" w:ascii="Times New Roman" w:hAnsi="Times New Roman" w:cs="Times New Roman"/>
                      <w:sz w:val="21"/>
                      <w:szCs w:val="21"/>
                    </w:rPr>
                  </w:pPr>
                  <w:r>
                    <w:rPr>
                      <w:rFonts w:hint="default" w:ascii="Times New Roman" w:hAnsi="Times New Roman" w:cs="Times New Roman"/>
                      <w:sz w:val="21"/>
                      <w:szCs w:val="21"/>
                    </w:rPr>
                    <w:t>废矿物油</w:t>
                  </w:r>
                </w:p>
              </w:tc>
              <w:tc>
                <w:tcPr>
                  <w:tcW w:w="2471" w:type="dxa"/>
                  <w:vMerge w:val="restart"/>
                  <w:vAlign w:val="center"/>
                </w:tcPr>
                <w:p>
                  <w:pPr>
                    <w:pStyle w:val="233"/>
                    <w:rPr>
                      <w:rFonts w:hint="default" w:ascii="Times New Roman" w:hAnsi="Times New Roman" w:cs="Times New Roman"/>
                      <w:sz w:val="21"/>
                      <w:szCs w:val="21"/>
                    </w:rPr>
                  </w:pPr>
                  <w:r>
                    <w:rPr>
                      <w:rFonts w:hint="default" w:ascii="Times New Roman" w:hAnsi="Times New Roman" w:cs="Times New Roman"/>
                      <w:sz w:val="21"/>
                      <w:szCs w:val="21"/>
                    </w:rPr>
                    <w:t>HW08 废矿物油</w:t>
                  </w:r>
                </w:p>
                <w:p>
                  <w:pPr>
                    <w:pStyle w:val="232"/>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与含矿物油废物</w:t>
                  </w:r>
                </w:p>
              </w:tc>
              <w:tc>
                <w:tcPr>
                  <w:tcW w:w="1477" w:type="dxa"/>
                  <w:vMerge w:val="restart"/>
                  <w:vAlign w:val="center"/>
                </w:tcPr>
                <w:p>
                  <w:pPr>
                    <w:pStyle w:val="232"/>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900-218-08</w:t>
                  </w:r>
                </w:p>
              </w:tc>
              <w:tc>
                <w:tcPr>
                  <w:tcW w:w="880" w:type="dxa"/>
                  <w:vMerge w:val="restart"/>
                  <w:vAlign w:val="center"/>
                </w:tcPr>
                <w:p>
                  <w:pPr>
                    <w:pStyle w:val="232"/>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车间东北</w:t>
                  </w:r>
                </w:p>
              </w:tc>
              <w:tc>
                <w:tcPr>
                  <w:tcW w:w="1142" w:type="dxa"/>
                  <w:vMerge w:val="restart"/>
                  <w:vAlign w:val="center"/>
                </w:tcPr>
                <w:p>
                  <w:pPr>
                    <w:pStyle w:val="232"/>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5m</w:t>
                  </w:r>
                  <w:r>
                    <w:rPr>
                      <w:rFonts w:hint="default" w:ascii="Times New Roman" w:hAnsi="Times New Roman" w:cs="Times New Roman"/>
                      <w:color w:val="auto"/>
                      <w:sz w:val="21"/>
                      <w:szCs w:val="21"/>
                      <w:vertAlign w:val="superscript"/>
                    </w:rPr>
                    <w:t>2</w:t>
                  </w:r>
                </w:p>
              </w:tc>
              <w:tc>
                <w:tcPr>
                  <w:tcW w:w="798" w:type="dxa"/>
                  <w:vAlign w:val="center"/>
                </w:tcPr>
                <w:p>
                  <w:pPr>
                    <w:pStyle w:val="232"/>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密闭容器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 w:hRule="atLeast"/>
              </w:trPr>
              <w:tc>
                <w:tcPr>
                  <w:tcW w:w="496" w:type="dxa"/>
                  <w:vMerge w:val="continue"/>
                  <w:vAlign w:val="center"/>
                </w:tcPr>
                <w:p>
                  <w:pPr>
                    <w:pStyle w:val="232"/>
                    <w:rPr>
                      <w:rFonts w:hint="default" w:ascii="Times New Roman" w:hAnsi="Times New Roman" w:cs="Times New Roman"/>
                      <w:color w:val="auto"/>
                      <w:sz w:val="21"/>
                      <w:szCs w:val="21"/>
                    </w:rPr>
                  </w:pPr>
                </w:p>
              </w:tc>
              <w:tc>
                <w:tcPr>
                  <w:tcW w:w="1039" w:type="dxa"/>
                  <w:vMerge w:val="continue"/>
                  <w:vAlign w:val="center"/>
                </w:tcPr>
                <w:p>
                  <w:pPr>
                    <w:pStyle w:val="233"/>
                    <w:rPr>
                      <w:rFonts w:hint="default" w:ascii="Times New Roman" w:hAnsi="Times New Roman" w:cs="Times New Roman"/>
                      <w:sz w:val="21"/>
                      <w:szCs w:val="21"/>
                    </w:rPr>
                  </w:pPr>
                </w:p>
              </w:tc>
              <w:tc>
                <w:tcPr>
                  <w:tcW w:w="2471" w:type="dxa"/>
                  <w:vMerge w:val="continue"/>
                  <w:vAlign w:val="center"/>
                </w:tcPr>
                <w:p>
                  <w:pPr>
                    <w:pStyle w:val="233"/>
                    <w:rPr>
                      <w:rFonts w:hint="default" w:ascii="Times New Roman" w:hAnsi="Times New Roman" w:cs="Times New Roman"/>
                      <w:sz w:val="21"/>
                      <w:szCs w:val="21"/>
                    </w:rPr>
                  </w:pPr>
                </w:p>
              </w:tc>
              <w:tc>
                <w:tcPr>
                  <w:tcW w:w="1477" w:type="dxa"/>
                  <w:vMerge w:val="continue"/>
                  <w:vAlign w:val="center"/>
                </w:tcPr>
                <w:p>
                  <w:pPr>
                    <w:pStyle w:val="233"/>
                    <w:rPr>
                      <w:rFonts w:hint="default" w:ascii="Times New Roman" w:hAnsi="Times New Roman" w:cs="Times New Roman"/>
                      <w:sz w:val="21"/>
                      <w:szCs w:val="21"/>
                    </w:rPr>
                  </w:pPr>
                </w:p>
              </w:tc>
              <w:tc>
                <w:tcPr>
                  <w:tcW w:w="880" w:type="dxa"/>
                  <w:vMerge w:val="continue"/>
                  <w:vAlign w:val="center"/>
                </w:tcPr>
                <w:p>
                  <w:pPr>
                    <w:pStyle w:val="232"/>
                    <w:rPr>
                      <w:rFonts w:hint="default" w:ascii="Times New Roman" w:hAnsi="Times New Roman" w:cs="Times New Roman"/>
                      <w:color w:val="auto"/>
                      <w:sz w:val="21"/>
                      <w:szCs w:val="21"/>
                    </w:rPr>
                  </w:pPr>
                </w:p>
              </w:tc>
              <w:tc>
                <w:tcPr>
                  <w:tcW w:w="1142" w:type="dxa"/>
                  <w:vMerge w:val="continue"/>
                  <w:vAlign w:val="center"/>
                </w:tcPr>
                <w:p>
                  <w:pPr>
                    <w:pStyle w:val="232"/>
                    <w:rPr>
                      <w:rFonts w:hint="default" w:ascii="Times New Roman" w:hAnsi="Times New Roman" w:cs="Times New Roman"/>
                      <w:color w:val="auto"/>
                      <w:sz w:val="21"/>
                      <w:szCs w:val="21"/>
                    </w:rPr>
                  </w:pPr>
                </w:p>
              </w:tc>
              <w:tc>
                <w:tcPr>
                  <w:tcW w:w="798" w:type="dxa"/>
                  <w:vAlign w:val="center"/>
                </w:tcPr>
                <w:p>
                  <w:pPr>
                    <w:pStyle w:val="232"/>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密闭容器</w:t>
                  </w:r>
                </w:p>
              </w:tc>
            </w:tr>
          </w:tbl>
          <w:p>
            <w:pPr>
              <w:adjustRightInd w:val="0"/>
              <w:snapToGrid w:val="0"/>
              <w:spacing w:line="360" w:lineRule="auto"/>
              <w:ind w:firstLine="482"/>
              <w:rPr>
                <w:rFonts w:hint="default" w:ascii="Times New Roman" w:hAnsi="Times New Roman" w:cs="Times New Roman"/>
                <w:bCs/>
                <w:sz w:val="24"/>
              </w:rPr>
            </w:pPr>
            <w:r>
              <w:rPr>
                <w:rFonts w:hint="default" w:ascii="Times New Roman" w:hAnsi="Times New Roman" w:cs="Times New Roman"/>
                <w:bCs/>
                <w:sz w:val="24"/>
              </w:rPr>
              <w:t>产生的废矿物油由密闭容器运送至危废暂存间内暂存，危废暂存间能够满足危废贮存要求，且贮存能力大于危废产生量，危废密封贮存不会对周围环境产生影响。危险废物运输过程中避开敏感点按照相关规定进行规划运输路线，项目危废在收集、贮存、运输、利用、处置等环节均按照《危险废物转移联单管理办法》相关规定要求操作。</w:t>
            </w:r>
          </w:p>
          <w:p>
            <w:pPr>
              <w:adjustRightInd w:val="0"/>
              <w:snapToGrid w:val="0"/>
              <w:spacing w:line="360" w:lineRule="auto"/>
              <w:ind w:firstLine="482"/>
              <w:rPr>
                <w:rFonts w:hint="default" w:ascii="Times New Roman" w:hAnsi="Times New Roman" w:cs="Times New Roman"/>
                <w:bCs/>
                <w:sz w:val="24"/>
              </w:rPr>
            </w:pPr>
            <w:r>
              <w:rPr>
                <w:rFonts w:hint="default" w:ascii="Times New Roman" w:hAnsi="Times New Roman" w:cs="Times New Roman"/>
                <w:bCs/>
                <w:sz w:val="24"/>
              </w:rPr>
              <w:t>项目拟设危废暂存间位于</w:t>
            </w:r>
            <w:r>
              <w:rPr>
                <w:rFonts w:hint="default" w:ascii="Times New Roman" w:hAnsi="Times New Roman" w:cs="Times New Roman"/>
                <w:bCs/>
                <w:sz w:val="24"/>
                <w:highlight w:val="none"/>
              </w:rPr>
              <w:t>车间东北，</w:t>
            </w:r>
            <w:r>
              <w:rPr>
                <w:rFonts w:hint="default" w:ascii="Times New Roman" w:hAnsi="Times New Roman" w:cs="Times New Roman"/>
                <w:bCs/>
                <w:sz w:val="24"/>
              </w:rPr>
              <w:t>面积约为5m</w:t>
            </w:r>
            <w:r>
              <w:rPr>
                <w:rFonts w:hint="default" w:ascii="Times New Roman" w:hAnsi="Times New Roman" w:cs="Times New Roman"/>
                <w:bCs/>
                <w:sz w:val="24"/>
                <w:vertAlign w:val="superscript"/>
              </w:rPr>
              <w:t>2</w:t>
            </w:r>
            <w:r>
              <w:rPr>
                <w:rFonts w:hint="default" w:ascii="Times New Roman" w:hAnsi="Times New Roman" w:cs="Times New Roman"/>
                <w:bCs/>
                <w:sz w:val="24"/>
              </w:rPr>
              <w:t>。</w:t>
            </w:r>
          </w:p>
          <w:p>
            <w:pPr>
              <w:pStyle w:val="63"/>
              <w:snapToGrid w:val="0"/>
              <w:spacing w:line="360" w:lineRule="auto"/>
              <w:ind w:firstLine="480" w:firstLineChars="200"/>
              <w:jc w:val="both"/>
              <w:rPr>
                <w:rFonts w:hint="default" w:ascii="Times New Roman" w:hAnsi="Times New Roman" w:cs="Times New Roman"/>
                <w:bCs/>
                <w:color w:val="auto"/>
              </w:rPr>
            </w:pPr>
            <w:r>
              <w:rPr>
                <w:rFonts w:hint="default" w:ascii="Times New Roman" w:hAnsi="Times New Roman" w:cs="Times New Roman"/>
                <w:bCs/>
                <w:color w:val="auto"/>
              </w:rPr>
              <w:t>本项目危废暂存间需严格按照《危险废物贮存污染控制标准》（GB18597-2001）要求进行设计、建设和运行，做到防风、防雨、防晒、防渗，具体措施如下：</w:t>
            </w:r>
          </w:p>
          <w:p>
            <w:pPr>
              <w:pStyle w:val="63"/>
              <w:snapToGrid w:val="0"/>
              <w:spacing w:line="360" w:lineRule="auto"/>
              <w:ind w:firstLine="480" w:firstLineChars="200"/>
              <w:jc w:val="both"/>
              <w:rPr>
                <w:rFonts w:hint="default" w:ascii="Times New Roman" w:hAnsi="Times New Roman" w:cs="Times New Roman"/>
                <w:bCs/>
                <w:color w:val="auto"/>
              </w:rPr>
            </w:pPr>
            <w:r>
              <w:rPr>
                <w:rFonts w:hint="default" w:ascii="Times New Roman" w:hAnsi="Times New Roman" w:cs="Times New Roman"/>
                <w:bCs/>
                <w:color w:val="auto"/>
              </w:rPr>
              <w:t>①危废暂存间地面、裙角要用坚固、防渗的材料建造，建筑材料必须与危险废物相容，衬里能够覆盖危险废物可能涉及到的范围，衬里材料与危险废物相容，下层为耐腐蚀混凝土，上层采用添加防渗材料的水泥砂浆涂抹，表层涂刷高密度聚乙烯防渗涂层或其他人工材料，防渗系数K≤1.0×10</w:t>
            </w:r>
            <w:r>
              <w:rPr>
                <w:rFonts w:hint="default" w:ascii="Times New Roman" w:hAnsi="Times New Roman" w:cs="Times New Roman"/>
                <w:bCs/>
                <w:color w:val="auto"/>
                <w:vertAlign w:val="superscript"/>
              </w:rPr>
              <w:t>-10</w:t>
            </w:r>
            <w:r>
              <w:rPr>
                <w:rFonts w:hint="default" w:ascii="Times New Roman" w:hAnsi="Times New Roman" w:cs="Times New Roman"/>
                <w:bCs/>
                <w:color w:val="auto"/>
              </w:rPr>
              <w:t xml:space="preserve">cm/s； </w:t>
            </w:r>
          </w:p>
          <w:p>
            <w:pPr>
              <w:adjustRightInd w:val="0"/>
              <w:snapToGrid w:val="0"/>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②危险废物贮存场所必须设置危险废物警告标志，盛装危险废物的容器上必须粘贴符合标准的标签。标志标签必须保持清晰、完整，如有损坏、退色等不符合标准的情况，应当及时修复或更换；</w:t>
            </w:r>
          </w:p>
          <w:p>
            <w:pPr>
              <w:adjustRightInd w:val="0"/>
              <w:snapToGrid w:val="0"/>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③按《环境保护图形标识-固体废物贮存（处置）场》（GB15562.2）要求设置环境保护图形标志。</w:t>
            </w:r>
          </w:p>
          <w:p>
            <w:pPr>
              <w:adjustRightInd w:val="0"/>
              <w:snapToGrid w:val="0"/>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rPr>
              <w:t>④危险废物贮存场地不得放置其它物品，保持场地清洁干净，并配备相应的</w:t>
            </w:r>
            <w:r>
              <w:rPr>
                <w:rFonts w:hint="default" w:ascii="Times New Roman" w:hAnsi="Times New Roman" w:cs="Times New Roman"/>
                <w:bCs/>
                <w:sz w:val="24"/>
                <w:szCs w:val="22"/>
              </w:rPr>
              <w:t>消防器材和个人防护用品等。</w:t>
            </w:r>
          </w:p>
          <w:p>
            <w:pPr>
              <w:adjustRightInd w:val="0"/>
              <w:snapToGrid w:val="0"/>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⑤做好危险废物情况记录，记录上须注明危险废物的名称、来源、数量、特性、入库日期、废物出库日期及接收单位名称。危险废物的记录和货单在危险废物外送后应继续保留三年。</w:t>
            </w:r>
          </w:p>
          <w:p>
            <w:pPr>
              <w:adjustRightInd w:val="0"/>
              <w:snapToGrid w:val="0"/>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⑥配备专人管理，定期对危险废物贮存设施进行检查，发现破损，应及时采取措施处理。</w:t>
            </w:r>
          </w:p>
          <w:p>
            <w:pPr>
              <w:pStyle w:val="95"/>
              <w:spacing w:line="240" w:lineRule="auto"/>
              <w:ind w:firstLine="482"/>
              <w:rPr>
                <w:rFonts w:hint="eastAsia" w:hAnsi="Times New Roman" w:cs="Times New Roman"/>
                <w:b/>
                <w:lang w:eastAsia="zh-CN"/>
              </w:rPr>
            </w:pPr>
            <w:r>
              <w:rPr>
                <w:rFonts w:hint="default" w:ascii="Times New Roman" w:hAnsi="Times New Roman" w:cs="Times New Roman"/>
                <w:bCs/>
                <w:sz w:val="24"/>
                <w:szCs w:val="22"/>
              </w:rPr>
              <w:t>经采取以上措施后，本项目运营期产生的固体废物均能得到妥善的处理和处置，对周围环境影响不大。</w:t>
            </w:r>
          </w:p>
          <w:p>
            <w:pPr>
              <w:pStyle w:val="207"/>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表7</w:t>
            </w:r>
            <w:r>
              <w:rPr>
                <w:rFonts w:hint="eastAsia" w:cs="Times New Roman"/>
                <w:b w:val="0"/>
                <w:bCs w:val="0"/>
                <w:sz w:val="21"/>
                <w:szCs w:val="21"/>
                <w:lang w:val="en-US" w:eastAsia="zh-CN"/>
              </w:rPr>
              <w:t>.5</w:t>
            </w:r>
            <w:r>
              <w:rPr>
                <w:rFonts w:hint="default" w:ascii="Times New Roman" w:hAnsi="Times New Roman" w:eastAsia="宋体" w:cs="Times New Roman"/>
                <w:b w:val="0"/>
                <w:bCs w:val="0"/>
                <w:sz w:val="21"/>
                <w:szCs w:val="21"/>
              </w:rPr>
              <w:t>-</w:t>
            </w:r>
            <w:r>
              <w:rPr>
                <w:rFonts w:hint="eastAsia" w:cs="Times New Roman"/>
                <w:b w:val="0"/>
                <w:bCs w:val="0"/>
                <w:sz w:val="21"/>
                <w:szCs w:val="21"/>
                <w:lang w:val="en-US" w:eastAsia="zh-CN"/>
              </w:rPr>
              <w:t>15</w:t>
            </w:r>
            <w:r>
              <w:rPr>
                <w:rFonts w:hint="default" w:ascii="Times New Roman" w:hAnsi="Times New Roman" w:eastAsia="宋体" w:cs="Times New Roman"/>
                <w:b w:val="0"/>
                <w:bCs w:val="0"/>
                <w:sz w:val="21"/>
                <w:szCs w:val="21"/>
              </w:rPr>
              <w:t xml:space="preserve"> 建设项目有组织废气源强一览表</w:t>
            </w:r>
          </w:p>
          <w:tbl>
            <w:tblPr>
              <w:tblStyle w:val="43"/>
              <w:tblW w:w="9073" w:type="dxa"/>
              <w:jc w:val="center"/>
              <w:tblInd w:w="0" w:type="dxa"/>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529"/>
              <w:gridCol w:w="959"/>
              <w:gridCol w:w="1589"/>
              <w:gridCol w:w="1366"/>
              <w:gridCol w:w="801"/>
              <w:gridCol w:w="1201"/>
              <w:gridCol w:w="996"/>
              <w:gridCol w:w="1478"/>
              <w:gridCol w:w="154"/>
            </w:tblGrid>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gridAfter w:val="1"/>
                <w:wAfter w:w="154" w:type="dxa"/>
                <w:trHeight w:val="482" w:hRule="atLeast"/>
                <w:jc w:val="center"/>
              </w:trPr>
              <w:tc>
                <w:tcPr>
                  <w:tcW w:w="529" w:type="dxa"/>
                  <w:vMerge w:val="restart"/>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eastAsia="zh-CN"/>
                    </w:rPr>
                    <w:t>编号</w:t>
                  </w:r>
                </w:p>
              </w:tc>
              <w:tc>
                <w:tcPr>
                  <w:tcW w:w="959" w:type="dxa"/>
                  <w:vMerge w:val="restart"/>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eastAsia="zh-CN"/>
                    </w:rPr>
                    <w:t>名称</w:t>
                  </w:r>
                </w:p>
              </w:tc>
              <w:tc>
                <w:tcPr>
                  <w:tcW w:w="2955" w:type="dxa"/>
                  <w:gridSpan w:val="2"/>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eastAsia="zh-CN"/>
                    </w:rPr>
                    <w:t>排气筒底部中心坐标</w:t>
                  </w:r>
                </w:p>
              </w:tc>
              <w:tc>
                <w:tcPr>
                  <w:tcW w:w="801" w:type="dxa"/>
                  <w:vMerge w:val="restart"/>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eastAsia="zh-CN"/>
                    </w:rPr>
                    <w:t>排气筒高度/m</w:t>
                  </w:r>
                </w:p>
              </w:tc>
              <w:tc>
                <w:tcPr>
                  <w:tcW w:w="1201" w:type="dxa"/>
                  <w:vMerge w:val="restart"/>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eastAsia="zh-CN"/>
                    </w:rPr>
                    <w:t>烟气流速/（m/s）</w:t>
                  </w:r>
                </w:p>
              </w:tc>
              <w:tc>
                <w:tcPr>
                  <w:tcW w:w="996" w:type="dxa"/>
                  <w:vMerge w:val="restart"/>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eastAsia="zh-CN"/>
                    </w:rPr>
                    <w:t>烟气温度/℃</w:t>
                  </w:r>
                </w:p>
              </w:tc>
              <w:tc>
                <w:tcPr>
                  <w:tcW w:w="1478" w:type="dxa"/>
                  <w:vMerge w:val="restart"/>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eastAsia="zh-CN"/>
                    </w:rPr>
                    <w:t>污染物排放速率/(kg/h）</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gridAfter w:val="1"/>
                <w:wAfter w:w="154" w:type="dxa"/>
                <w:trHeight w:val="352" w:hRule="atLeast"/>
                <w:jc w:val="center"/>
              </w:trPr>
              <w:tc>
                <w:tcPr>
                  <w:tcW w:w="529" w:type="dxa"/>
                  <w:vMerge w:val="continue"/>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eastAsia="zh-CN"/>
                    </w:rPr>
                  </w:pPr>
                </w:p>
              </w:tc>
              <w:tc>
                <w:tcPr>
                  <w:tcW w:w="959" w:type="dxa"/>
                  <w:vMerge w:val="continue"/>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eastAsia="zh-CN"/>
                    </w:rPr>
                  </w:pPr>
                </w:p>
              </w:tc>
              <w:tc>
                <w:tcPr>
                  <w:tcW w:w="1589" w:type="dxa"/>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eastAsia="zh-CN"/>
                    </w:rPr>
                    <w:t>东经</w:t>
                  </w:r>
                </w:p>
              </w:tc>
              <w:tc>
                <w:tcPr>
                  <w:tcW w:w="1366" w:type="dxa"/>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eastAsia="zh-CN"/>
                    </w:rPr>
                    <w:t>北纬</w:t>
                  </w:r>
                </w:p>
              </w:tc>
              <w:tc>
                <w:tcPr>
                  <w:tcW w:w="801" w:type="dxa"/>
                  <w:vMerge w:val="continue"/>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eastAsia="zh-CN"/>
                    </w:rPr>
                  </w:pPr>
                </w:p>
              </w:tc>
              <w:tc>
                <w:tcPr>
                  <w:tcW w:w="1201" w:type="dxa"/>
                  <w:vMerge w:val="continue"/>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eastAsia="zh-CN"/>
                    </w:rPr>
                  </w:pPr>
                </w:p>
              </w:tc>
              <w:tc>
                <w:tcPr>
                  <w:tcW w:w="996" w:type="dxa"/>
                  <w:vMerge w:val="continue"/>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eastAsia="zh-CN"/>
                    </w:rPr>
                  </w:pPr>
                </w:p>
              </w:tc>
              <w:tc>
                <w:tcPr>
                  <w:tcW w:w="1478" w:type="dxa"/>
                  <w:vMerge w:val="continue"/>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eastAsia="zh-CN"/>
                    </w:rPr>
                  </w:pP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gridAfter w:val="1"/>
                <w:wAfter w:w="154" w:type="dxa"/>
                <w:trHeight w:val="241" w:hRule="atLeast"/>
                <w:jc w:val="center"/>
              </w:trPr>
              <w:tc>
                <w:tcPr>
                  <w:tcW w:w="529" w:type="dxa"/>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val="en-US" w:eastAsia="zh-CN"/>
                    </w:rPr>
                    <w:t>1</w:t>
                  </w:r>
                </w:p>
              </w:tc>
              <w:tc>
                <w:tcPr>
                  <w:tcW w:w="959" w:type="dxa"/>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eastAsia="zh-CN"/>
                    </w:rPr>
                  </w:pPr>
                  <w:r>
                    <w:rPr>
                      <w:rFonts w:hint="eastAsia" w:ascii="Times New Roman" w:hAnsi="Times New Roman" w:eastAsia="宋体" w:cs="Times New Roman"/>
                      <w:b w:val="0"/>
                      <w:bCs w:val="0"/>
                      <w:color w:val="000000"/>
                      <w:sz w:val="21"/>
                      <w:szCs w:val="21"/>
                      <w:lang w:eastAsia="zh-CN"/>
                    </w:rPr>
                    <w:t>苯并芘</w:t>
                  </w:r>
                </w:p>
              </w:tc>
              <w:tc>
                <w:tcPr>
                  <w:tcW w:w="1589" w:type="dxa"/>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eastAsia="zh-CN"/>
                    </w:rPr>
                    <w:t>113.088623</w:t>
                  </w:r>
                </w:p>
              </w:tc>
              <w:tc>
                <w:tcPr>
                  <w:tcW w:w="1366" w:type="dxa"/>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eastAsia="zh-CN"/>
                    </w:rPr>
                    <w:t>27.867442</w:t>
                  </w:r>
                </w:p>
              </w:tc>
              <w:tc>
                <w:tcPr>
                  <w:tcW w:w="801" w:type="dxa"/>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eastAsia="zh-CN"/>
                    </w:rPr>
                    <w:t>15.0</w:t>
                  </w:r>
                </w:p>
              </w:tc>
              <w:tc>
                <w:tcPr>
                  <w:tcW w:w="1201" w:type="dxa"/>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eastAsia="zh-CN"/>
                    </w:rPr>
                    <w:t>12.16　</w:t>
                  </w:r>
                </w:p>
              </w:tc>
              <w:tc>
                <w:tcPr>
                  <w:tcW w:w="996" w:type="dxa"/>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eastAsia="zh-CN"/>
                    </w:rPr>
                  </w:pPr>
                  <w:r>
                    <w:rPr>
                      <w:rFonts w:hint="eastAsia" w:ascii="Times New Roman" w:hAnsi="Times New Roman" w:eastAsia="宋体" w:cs="Times New Roman"/>
                      <w:b w:val="0"/>
                      <w:bCs w:val="0"/>
                      <w:color w:val="000000"/>
                      <w:sz w:val="21"/>
                      <w:szCs w:val="21"/>
                      <w:lang w:val="en-US" w:eastAsia="zh-CN"/>
                    </w:rPr>
                    <w:t>80</w:t>
                  </w:r>
                  <w:r>
                    <w:rPr>
                      <w:rFonts w:hint="default" w:ascii="Times New Roman" w:hAnsi="Times New Roman" w:eastAsia="宋体" w:cs="Times New Roman"/>
                      <w:b w:val="0"/>
                      <w:bCs w:val="0"/>
                      <w:color w:val="000000"/>
                      <w:sz w:val="21"/>
                      <w:szCs w:val="21"/>
                      <w:lang w:eastAsia="zh-CN"/>
                    </w:rPr>
                    <w:t>　</w:t>
                  </w:r>
                </w:p>
              </w:tc>
              <w:tc>
                <w:tcPr>
                  <w:tcW w:w="1478" w:type="dxa"/>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0.00000665</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gridAfter w:val="1"/>
                <w:wAfter w:w="154" w:type="dxa"/>
                <w:trHeight w:val="241" w:hRule="atLeast"/>
                <w:jc w:val="center"/>
              </w:trPr>
              <w:tc>
                <w:tcPr>
                  <w:tcW w:w="529" w:type="dxa"/>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2</w:t>
                  </w:r>
                </w:p>
              </w:tc>
              <w:tc>
                <w:tcPr>
                  <w:tcW w:w="959" w:type="dxa"/>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颗粒物</w:t>
                  </w:r>
                </w:p>
              </w:tc>
              <w:tc>
                <w:tcPr>
                  <w:tcW w:w="1589" w:type="dxa"/>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eastAsia="zh-CN"/>
                    </w:rPr>
                    <w:t>113.088623</w:t>
                  </w:r>
                </w:p>
              </w:tc>
              <w:tc>
                <w:tcPr>
                  <w:tcW w:w="1366" w:type="dxa"/>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eastAsia="zh-CN"/>
                    </w:rPr>
                    <w:t>27.867442</w:t>
                  </w:r>
                </w:p>
              </w:tc>
              <w:tc>
                <w:tcPr>
                  <w:tcW w:w="801" w:type="dxa"/>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eastAsia="zh-CN"/>
                    </w:rPr>
                    <w:t>15.0</w:t>
                  </w:r>
                </w:p>
              </w:tc>
              <w:tc>
                <w:tcPr>
                  <w:tcW w:w="1201" w:type="dxa"/>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eastAsia="zh-CN"/>
                    </w:rPr>
                    <w:t>12.16　</w:t>
                  </w:r>
                </w:p>
              </w:tc>
              <w:tc>
                <w:tcPr>
                  <w:tcW w:w="996" w:type="dxa"/>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eastAsia="zh-CN"/>
                    </w:rPr>
                  </w:pPr>
                  <w:r>
                    <w:rPr>
                      <w:rFonts w:hint="eastAsia" w:ascii="Times New Roman" w:hAnsi="Times New Roman" w:eastAsia="宋体" w:cs="Times New Roman"/>
                      <w:b w:val="0"/>
                      <w:bCs w:val="0"/>
                      <w:color w:val="000000"/>
                      <w:sz w:val="21"/>
                      <w:szCs w:val="21"/>
                      <w:lang w:val="en-US" w:eastAsia="zh-CN"/>
                    </w:rPr>
                    <w:t>80</w:t>
                  </w:r>
                  <w:r>
                    <w:rPr>
                      <w:rFonts w:hint="default" w:ascii="Times New Roman" w:hAnsi="Times New Roman" w:eastAsia="宋体" w:cs="Times New Roman"/>
                      <w:b w:val="0"/>
                      <w:bCs w:val="0"/>
                      <w:color w:val="000000"/>
                      <w:sz w:val="21"/>
                      <w:szCs w:val="21"/>
                      <w:lang w:eastAsia="zh-CN"/>
                    </w:rPr>
                    <w:t>　</w:t>
                  </w:r>
                </w:p>
              </w:tc>
              <w:tc>
                <w:tcPr>
                  <w:tcW w:w="1478" w:type="dxa"/>
                  <w:tcBorders>
                    <w:tl2br w:val="nil"/>
                    <w:tr2bl w:val="nil"/>
                  </w:tcBorders>
                  <w:shd w:val="clear" w:color="auto" w:fill="auto"/>
                  <w:vAlign w:val="center"/>
                </w:tcPr>
                <w:p>
                  <w:pPr>
                    <w:pStyle w:val="24"/>
                    <w:autoSpaceDE w:val="0"/>
                    <w:autoSpaceDN w:val="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0.0325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0" w:hRule="atLeast"/>
                <w:jc w:val="center"/>
              </w:trPr>
              <w:tc>
                <w:tcPr>
                  <w:tcW w:w="9073" w:type="dxa"/>
                  <w:gridSpan w:val="9"/>
                  <w:tcBorders>
                    <w:tl2br w:val="nil"/>
                    <w:tr2bl w:val="nil"/>
                  </w:tcBorders>
                  <w:noWrap w:val="0"/>
                  <w:vAlign w:val="top"/>
                </w:tcPr>
                <w:p>
                  <w:pPr>
                    <w:spacing w:line="360" w:lineRule="auto"/>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（2）卫生防护距离</w:t>
                  </w:r>
                </w:p>
                <w:p>
                  <w:pPr>
                    <w:spacing w:line="360" w:lineRule="auto"/>
                    <w:ind w:firstLine="48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根据《制定地方大气污染物排放标准的技术方法》（GB/T 13201-91）的相关内容，工程无组织排放废气所需卫生防护距离按下式计算：</w:t>
                  </w:r>
                </w:p>
                <w:p>
                  <w:pPr>
                    <w:spacing w:line="360" w:lineRule="auto"/>
                    <w:ind w:firstLine="48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Qc/Cm=（BL</w:t>
                  </w:r>
                  <w:r>
                    <w:rPr>
                      <w:rFonts w:hint="default" w:ascii="Times New Roman" w:hAnsi="Times New Roman" w:eastAsia="宋体" w:cs="Times New Roman"/>
                      <w:sz w:val="24"/>
                      <w:szCs w:val="24"/>
                      <w:vertAlign w:val="superscript"/>
                    </w:rPr>
                    <w:t>c</w:t>
                  </w:r>
                  <w:r>
                    <w:rPr>
                      <w:rFonts w:hint="default" w:ascii="Times New Roman" w:hAnsi="Times New Roman" w:eastAsia="宋体" w:cs="Times New Roman"/>
                      <w:sz w:val="24"/>
                      <w:szCs w:val="24"/>
                    </w:rPr>
                    <w:t>+0.25r</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vertAlign w:val="superscript"/>
                    </w:rPr>
                    <w:t>0.5</w:t>
                  </w:r>
                  <w:r>
                    <w:rPr>
                      <w:rFonts w:hint="default" w:ascii="Times New Roman" w:hAnsi="Times New Roman" w:eastAsia="宋体" w:cs="Times New Roman"/>
                      <w:sz w:val="24"/>
                      <w:szCs w:val="24"/>
                    </w:rPr>
                    <w:t>·L</w:t>
                  </w:r>
                  <w:r>
                    <w:rPr>
                      <w:rFonts w:hint="default" w:ascii="Times New Roman" w:hAnsi="Times New Roman" w:eastAsia="宋体" w:cs="Times New Roman"/>
                      <w:sz w:val="24"/>
                      <w:szCs w:val="24"/>
                      <w:vertAlign w:val="superscript"/>
                    </w:rPr>
                    <w:t>D</w:t>
                  </w:r>
                  <w:r>
                    <w:rPr>
                      <w:rFonts w:hint="default" w:ascii="Times New Roman" w:hAnsi="Times New Roman" w:eastAsia="宋体" w:cs="Times New Roman"/>
                      <w:sz w:val="24"/>
                      <w:szCs w:val="24"/>
                    </w:rPr>
                    <w:t xml:space="preserve">/A </w:t>
                  </w:r>
                </w:p>
                <w:p>
                  <w:pPr>
                    <w:spacing w:line="360" w:lineRule="auto"/>
                    <w:ind w:left="1450" w:leftChars="228" w:hanging="720" w:hangingChars="3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其中：Qc——工业企业有害气体无组织排放量可达到的控制水平（kg/h）； Cm——标准浓度限值(mg/Nm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w:t>
                  </w:r>
                </w:p>
                <w:p>
                  <w:pPr>
                    <w:spacing w:line="360" w:lineRule="auto"/>
                    <w:ind w:firstLine="1080" w:firstLineChars="45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L——工业企业所需卫生防护距离（m）；</w:t>
                  </w:r>
                </w:p>
                <w:p>
                  <w:pPr>
                    <w:spacing w:line="360" w:lineRule="auto"/>
                    <w:ind w:firstLine="1200" w:firstLineChars="5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r——生产单元等效半径(m)；</w:t>
                  </w:r>
                </w:p>
                <w:p>
                  <w:pPr>
                    <w:spacing w:line="360" w:lineRule="auto"/>
                    <w:ind w:firstLine="1200" w:firstLineChars="5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A、B、C、D——卫生防护距离计算系数。</w:t>
                  </w:r>
                </w:p>
                <w:p>
                  <w:pPr>
                    <w:spacing w:line="26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w:t>
                  </w:r>
                  <w:r>
                    <w:rPr>
                      <w:rFonts w:hint="eastAsia" w:cs="Times New Roman"/>
                      <w:b/>
                      <w:bCs/>
                      <w:sz w:val="24"/>
                      <w:szCs w:val="24"/>
                      <w:lang w:val="en-US" w:eastAsia="zh-CN"/>
                    </w:rPr>
                    <w:t>7.5</w:t>
                  </w:r>
                  <w:r>
                    <w:rPr>
                      <w:rFonts w:hint="default" w:ascii="Times New Roman" w:hAnsi="Times New Roman" w:eastAsia="宋体" w:cs="Times New Roman"/>
                      <w:b/>
                      <w:bCs/>
                      <w:sz w:val="24"/>
                      <w:szCs w:val="24"/>
                    </w:rPr>
                    <w:t>-</w:t>
                  </w:r>
                  <w:r>
                    <w:rPr>
                      <w:rFonts w:hint="eastAsia" w:cs="Times New Roman"/>
                      <w:b/>
                      <w:bCs/>
                      <w:sz w:val="24"/>
                      <w:szCs w:val="24"/>
                      <w:lang w:val="en-US" w:eastAsia="zh-CN"/>
                    </w:rPr>
                    <w:t>16</w:t>
                  </w:r>
                  <w:r>
                    <w:rPr>
                      <w:rFonts w:hint="default" w:ascii="Times New Roman" w:hAnsi="Times New Roman" w:eastAsia="宋体" w:cs="Times New Roman"/>
                      <w:b/>
                      <w:bCs/>
                      <w:sz w:val="24"/>
                      <w:szCs w:val="24"/>
                    </w:rPr>
                    <w:t xml:space="preserve"> 卫生防护距离计算结果</w:t>
                  </w:r>
                </w:p>
                <w:tbl>
                  <w:tblPr>
                    <w:tblStyle w:val="43"/>
                    <w:tblW w:w="8744" w:type="dxa"/>
                    <w:jc w:val="center"/>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026"/>
                    <w:gridCol w:w="777"/>
                    <w:gridCol w:w="932"/>
                    <w:gridCol w:w="1243"/>
                    <w:gridCol w:w="1088"/>
                    <w:gridCol w:w="1153"/>
                    <w:gridCol w:w="1227"/>
                    <w:gridCol w:w="1298"/>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1026" w:type="dxa"/>
                        <w:noWrap w:val="0"/>
                        <w:vAlign w:val="center"/>
                      </w:tcPr>
                      <w:p>
                        <w:pPr>
                          <w:pStyle w:val="205"/>
                          <w:spacing w:line="240" w:lineRule="auto"/>
                          <w:ind w:left="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排污位置</w:t>
                        </w:r>
                      </w:p>
                    </w:tc>
                    <w:tc>
                      <w:tcPr>
                        <w:tcW w:w="777" w:type="dxa"/>
                        <w:noWrap w:val="0"/>
                        <w:vAlign w:val="center"/>
                      </w:tcPr>
                      <w:p>
                        <w:pPr>
                          <w:pStyle w:val="205"/>
                          <w:spacing w:line="240" w:lineRule="auto"/>
                          <w:ind w:left="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污染物</w:t>
                        </w:r>
                      </w:p>
                    </w:tc>
                    <w:tc>
                      <w:tcPr>
                        <w:tcW w:w="932" w:type="dxa"/>
                        <w:noWrap w:val="0"/>
                        <w:vAlign w:val="center"/>
                      </w:tcPr>
                      <w:p>
                        <w:pPr>
                          <w:pStyle w:val="205"/>
                          <w:spacing w:line="240" w:lineRule="auto"/>
                          <w:ind w:left="0"/>
                          <w:rPr>
                            <w:rFonts w:hint="default" w:ascii="Times New Roman" w:hAnsi="Times New Roman" w:eastAsia="宋体" w:cs="Times New Roman"/>
                            <w:sz w:val="24"/>
                            <w:szCs w:val="24"/>
                            <w:vertAlign w:val="subscript"/>
                          </w:rPr>
                        </w:pPr>
                        <w:r>
                          <w:rPr>
                            <w:rFonts w:hint="default" w:ascii="Times New Roman" w:hAnsi="Times New Roman" w:eastAsia="宋体" w:cs="Times New Roman"/>
                            <w:sz w:val="24"/>
                            <w:szCs w:val="24"/>
                          </w:rPr>
                          <w:t>Q</w:t>
                        </w:r>
                        <w:r>
                          <w:rPr>
                            <w:rFonts w:hint="default" w:ascii="Times New Roman" w:hAnsi="Times New Roman" w:eastAsia="宋体" w:cs="Times New Roman"/>
                            <w:sz w:val="24"/>
                            <w:szCs w:val="24"/>
                            <w:vertAlign w:val="subscript"/>
                          </w:rPr>
                          <w:t>e</w:t>
                        </w:r>
                      </w:p>
                      <w:p>
                        <w:pPr>
                          <w:pStyle w:val="205"/>
                          <w:spacing w:line="240" w:lineRule="auto"/>
                          <w:ind w:left="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（kg/h）</w:t>
                        </w:r>
                      </w:p>
                    </w:tc>
                    <w:tc>
                      <w:tcPr>
                        <w:tcW w:w="1243" w:type="dxa"/>
                        <w:noWrap w:val="0"/>
                        <w:vAlign w:val="center"/>
                      </w:tcPr>
                      <w:p>
                        <w:pPr>
                          <w:pStyle w:val="205"/>
                          <w:spacing w:line="240" w:lineRule="auto"/>
                          <w:ind w:left="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面源排放高度（m）</w:t>
                        </w:r>
                      </w:p>
                    </w:tc>
                    <w:tc>
                      <w:tcPr>
                        <w:tcW w:w="1088" w:type="dxa"/>
                        <w:noWrap w:val="0"/>
                        <w:vAlign w:val="center"/>
                      </w:tcPr>
                      <w:p>
                        <w:pPr>
                          <w:pStyle w:val="205"/>
                          <w:spacing w:line="240" w:lineRule="auto"/>
                          <w:ind w:left="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面源有效长度（m）</w:t>
                        </w:r>
                      </w:p>
                    </w:tc>
                    <w:tc>
                      <w:tcPr>
                        <w:tcW w:w="1153" w:type="dxa"/>
                        <w:noWrap w:val="0"/>
                        <w:vAlign w:val="center"/>
                      </w:tcPr>
                      <w:p>
                        <w:pPr>
                          <w:pStyle w:val="205"/>
                          <w:spacing w:line="240" w:lineRule="auto"/>
                          <w:ind w:left="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面源有效宽度（m）</w:t>
                        </w:r>
                      </w:p>
                    </w:tc>
                    <w:tc>
                      <w:tcPr>
                        <w:tcW w:w="1227" w:type="dxa"/>
                        <w:noWrap w:val="0"/>
                        <w:vAlign w:val="center"/>
                      </w:tcPr>
                      <w:p>
                        <w:pPr>
                          <w:spacing w:line="3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卫生防护距离计算结果（m）</w:t>
                        </w:r>
                      </w:p>
                    </w:tc>
                    <w:tc>
                      <w:tcPr>
                        <w:tcW w:w="1298" w:type="dxa"/>
                        <w:noWrap w:val="0"/>
                        <w:vAlign w:val="center"/>
                      </w:tcPr>
                      <w:p>
                        <w:pPr>
                          <w:spacing w:line="3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卫生防护距离（m）</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026" w:type="dxa"/>
                        <w:noWrap w:val="0"/>
                        <w:vAlign w:val="center"/>
                      </w:tcPr>
                      <w:p>
                        <w:pPr>
                          <w:pStyle w:val="205"/>
                          <w:ind w:left="0"/>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生产</w:t>
                        </w:r>
                        <w:r>
                          <w:rPr>
                            <w:rFonts w:hint="eastAsia" w:cs="Times New Roman"/>
                            <w:sz w:val="24"/>
                            <w:szCs w:val="24"/>
                            <w:lang w:eastAsia="zh-CN"/>
                          </w:rPr>
                          <w:t>场地</w:t>
                        </w:r>
                      </w:p>
                    </w:tc>
                    <w:tc>
                      <w:tcPr>
                        <w:tcW w:w="777" w:type="dxa"/>
                        <w:noWrap w:val="0"/>
                        <w:vAlign w:val="center"/>
                      </w:tcPr>
                      <w:p>
                        <w:pPr>
                          <w:pStyle w:val="205"/>
                          <w:ind w:left="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颗粒物</w:t>
                        </w:r>
                      </w:p>
                    </w:tc>
                    <w:tc>
                      <w:tcPr>
                        <w:tcW w:w="932" w:type="dxa"/>
                        <w:noWrap w:val="0"/>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0.</w:t>
                        </w:r>
                        <w:r>
                          <w:rPr>
                            <w:rFonts w:hint="default" w:ascii="Times New Roman" w:hAnsi="Times New Roman" w:eastAsia="宋体" w:cs="Times New Roman"/>
                            <w:sz w:val="24"/>
                            <w:szCs w:val="24"/>
                            <w:lang w:val="en-US" w:eastAsia="zh-CN"/>
                          </w:rPr>
                          <w:t>235</w:t>
                        </w:r>
                      </w:p>
                    </w:tc>
                    <w:tc>
                      <w:tcPr>
                        <w:tcW w:w="1243" w:type="dxa"/>
                        <w:noWrap w:val="0"/>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1088" w:type="dxa"/>
                        <w:noWrap w:val="0"/>
                        <w:vAlign w:val="center"/>
                      </w:tcPr>
                      <w:p>
                        <w:pPr>
                          <w:widowControl/>
                          <w:jc w:val="center"/>
                          <w:rPr>
                            <w:rFonts w:hint="default" w:ascii="Times New Roman" w:hAnsi="Times New Roman" w:eastAsia="宋体" w:cs="Times New Roman"/>
                            <w:sz w:val="24"/>
                            <w:szCs w:val="24"/>
                            <w:lang w:val="en-US" w:eastAsia="zh-CN"/>
                          </w:rPr>
                        </w:pPr>
                        <w:r>
                          <w:rPr>
                            <w:rFonts w:hint="eastAsia" w:cs="Times New Roman"/>
                            <w:kern w:val="0"/>
                            <w:sz w:val="24"/>
                            <w:szCs w:val="24"/>
                            <w:lang w:val="en-US" w:eastAsia="zh-CN"/>
                          </w:rPr>
                          <w:t>400</w:t>
                        </w:r>
                      </w:p>
                    </w:tc>
                    <w:tc>
                      <w:tcPr>
                        <w:tcW w:w="1153" w:type="dxa"/>
                        <w:noWrap w:val="0"/>
                        <w:vAlign w:val="center"/>
                      </w:tcPr>
                      <w:p>
                        <w:pPr>
                          <w:widowControl/>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100</w:t>
                        </w:r>
                      </w:p>
                    </w:tc>
                    <w:tc>
                      <w:tcPr>
                        <w:tcW w:w="1227" w:type="dxa"/>
                        <w:noWrap w:val="0"/>
                        <w:vAlign w:val="center"/>
                      </w:tcPr>
                      <w:p>
                        <w:pPr>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3.81</w:t>
                        </w:r>
                      </w:p>
                    </w:tc>
                    <w:tc>
                      <w:tcPr>
                        <w:tcW w:w="1298" w:type="dxa"/>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026" w:type="dxa"/>
                        <w:noWrap w:val="0"/>
                        <w:vAlign w:val="center"/>
                      </w:tcPr>
                      <w:p>
                        <w:pPr>
                          <w:pStyle w:val="205"/>
                          <w:ind w:left="0"/>
                          <w:rPr>
                            <w:rFonts w:hint="eastAsia" w:ascii="Times New Roman" w:hAnsi="Times New Roman" w:eastAsia="宋体" w:cs="Times New Roman"/>
                            <w:sz w:val="24"/>
                            <w:szCs w:val="24"/>
                            <w:lang w:eastAsia="zh-CN"/>
                          </w:rPr>
                        </w:pPr>
                        <w:r>
                          <w:rPr>
                            <w:rFonts w:hint="eastAsia" w:cs="Times New Roman"/>
                            <w:sz w:val="24"/>
                            <w:szCs w:val="24"/>
                            <w:lang w:eastAsia="zh-CN"/>
                          </w:rPr>
                          <w:t>沥青搅拌站</w:t>
                        </w:r>
                      </w:p>
                    </w:tc>
                    <w:tc>
                      <w:tcPr>
                        <w:tcW w:w="777" w:type="dxa"/>
                        <w:noWrap w:val="0"/>
                        <w:vAlign w:val="center"/>
                      </w:tcPr>
                      <w:p>
                        <w:pPr>
                          <w:pStyle w:val="205"/>
                          <w:ind w:left="0"/>
                          <w:rPr>
                            <w:rFonts w:hint="eastAsia" w:ascii="Times New Roman" w:hAnsi="Times New Roman" w:eastAsia="宋体" w:cs="Times New Roman"/>
                            <w:sz w:val="24"/>
                            <w:szCs w:val="24"/>
                            <w:lang w:eastAsia="zh-CN"/>
                          </w:rPr>
                        </w:pPr>
                        <w:r>
                          <w:rPr>
                            <w:rFonts w:hint="eastAsia" w:cs="Times New Roman"/>
                            <w:sz w:val="24"/>
                            <w:szCs w:val="24"/>
                            <w:lang w:eastAsia="zh-CN"/>
                          </w:rPr>
                          <w:t>苯并芘</w:t>
                        </w:r>
                      </w:p>
                    </w:tc>
                    <w:tc>
                      <w:tcPr>
                        <w:tcW w:w="932" w:type="dxa"/>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b w:val="0"/>
                            <w:bCs w:val="0"/>
                            <w:color w:val="000000"/>
                            <w:sz w:val="21"/>
                            <w:szCs w:val="21"/>
                            <w:lang w:eastAsia="zh-CN"/>
                          </w:rPr>
                          <w:t>0.</w:t>
                        </w:r>
                        <w:r>
                          <w:rPr>
                            <w:rFonts w:hint="default" w:ascii="Times New Roman" w:hAnsi="Times New Roman" w:eastAsia="宋体" w:cs="Times New Roman"/>
                            <w:b w:val="0"/>
                            <w:bCs w:val="0"/>
                            <w:color w:val="000000"/>
                            <w:sz w:val="21"/>
                            <w:szCs w:val="21"/>
                            <w:lang w:val="en-US" w:eastAsia="zh-CN"/>
                          </w:rPr>
                          <w:t>0</w:t>
                        </w:r>
                        <w:r>
                          <w:rPr>
                            <w:rFonts w:hint="eastAsia" w:ascii="Times New Roman" w:hAnsi="Times New Roman" w:eastAsia="宋体" w:cs="Times New Roman"/>
                            <w:b w:val="0"/>
                            <w:bCs w:val="0"/>
                            <w:color w:val="000000"/>
                            <w:sz w:val="21"/>
                            <w:szCs w:val="21"/>
                            <w:lang w:val="en-US" w:eastAsia="zh-CN"/>
                          </w:rPr>
                          <w:t>0</w:t>
                        </w:r>
                        <w:r>
                          <w:rPr>
                            <w:rFonts w:hint="default" w:ascii="Times New Roman" w:hAnsi="Times New Roman" w:eastAsia="宋体" w:cs="Times New Roman"/>
                            <w:b w:val="0"/>
                            <w:bCs w:val="0"/>
                            <w:color w:val="000000"/>
                            <w:sz w:val="21"/>
                            <w:szCs w:val="21"/>
                            <w:lang w:val="en-US" w:eastAsia="zh-CN"/>
                          </w:rPr>
                          <w:t>58</w:t>
                        </w:r>
                      </w:p>
                    </w:tc>
                    <w:tc>
                      <w:tcPr>
                        <w:tcW w:w="1243" w:type="dxa"/>
                        <w:noWrap w:val="0"/>
                        <w:vAlign w:val="center"/>
                      </w:tcPr>
                      <w:p>
                        <w:pPr>
                          <w:widowControl/>
                          <w:jc w:val="center"/>
                          <w:rPr>
                            <w:rFonts w:hint="eastAsia" w:ascii="Times New Roman" w:hAnsi="Times New Roman" w:eastAsia="宋体" w:cs="Times New Roman"/>
                            <w:sz w:val="24"/>
                            <w:szCs w:val="24"/>
                            <w:lang w:val="en-US" w:eastAsia="zh-CN"/>
                          </w:rPr>
                        </w:pPr>
                        <w:r>
                          <w:rPr>
                            <w:rFonts w:hint="eastAsia" w:cs="Times New Roman"/>
                            <w:sz w:val="24"/>
                            <w:szCs w:val="24"/>
                            <w:lang w:val="en-US" w:eastAsia="zh-CN"/>
                          </w:rPr>
                          <w:t>5</w:t>
                        </w:r>
                      </w:p>
                    </w:tc>
                    <w:tc>
                      <w:tcPr>
                        <w:tcW w:w="1088" w:type="dxa"/>
                        <w:noWrap w:val="0"/>
                        <w:vAlign w:val="center"/>
                      </w:tcPr>
                      <w:p>
                        <w:pPr>
                          <w:widowControl/>
                          <w:jc w:val="center"/>
                          <w:rPr>
                            <w:rFonts w:hint="default" w:ascii="Times New Roman" w:hAnsi="Times New Roman" w:eastAsia="宋体" w:cs="Times New Roman"/>
                            <w:kern w:val="0"/>
                            <w:sz w:val="24"/>
                            <w:szCs w:val="24"/>
                            <w:lang w:val="en-US" w:eastAsia="zh-CN"/>
                          </w:rPr>
                        </w:pPr>
                        <w:r>
                          <w:rPr>
                            <w:rFonts w:hint="eastAsia" w:cs="Times New Roman"/>
                            <w:kern w:val="0"/>
                            <w:sz w:val="24"/>
                            <w:szCs w:val="24"/>
                            <w:lang w:val="en-US" w:eastAsia="zh-CN"/>
                          </w:rPr>
                          <w:t>70</w:t>
                        </w:r>
                      </w:p>
                    </w:tc>
                    <w:tc>
                      <w:tcPr>
                        <w:tcW w:w="1153" w:type="dxa"/>
                        <w:noWrap w:val="0"/>
                        <w:vAlign w:val="center"/>
                      </w:tcPr>
                      <w:p>
                        <w:pPr>
                          <w:widowControl/>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60</w:t>
                        </w:r>
                      </w:p>
                    </w:tc>
                    <w:tc>
                      <w:tcPr>
                        <w:tcW w:w="1227" w:type="dxa"/>
                        <w:noWrap w:val="0"/>
                        <w:vAlign w:val="center"/>
                      </w:tcPr>
                      <w:p>
                        <w:pPr>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0.624</w:t>
                        </w:r>
                      </w:p>
                    </w:tc>
                    <w:tc>
                      <w:tcPr>
                        <w:tcW w:w="1298" w:type="dxa"/>
                        <w:noWrap w:val="0"/>
                        <w:vAlign w:val="center"/>
                      </w:tcPr>
                      <w:p>
                        <w:pPr>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50</w:t>
                        </w:r>
                      </w:p>
                    </w:tc>
                  </w:tr>
                </w:tbl>
                <w:p>
                  <w:pPr>
                    <w:pStyle w:val="26"/>
                    <w:bidi w:val="0"/>
                    <w:rPr>
                      <w:rFonts w:hint="default" w:ascii="Times New Roman" w:hAnsi="Times New Roman" w:eastAsia="宋体" w:cs="Times New Roman"/>
                      <w:color w:val="000000"/>
                      <w:szCs w:val="24"/>
                      <w:lang w:eastAsia="zh-CN"/>
                    </w:rPr>
                  </w:pPr>
                </w:p>
              </w:tc>
            </w:tr>
          </w:tbl>
          <w:p>
            <w:pPr>
              <w:pStyle w:val="95"/>
              <w:spacing w:line="240" w:lineRule="auto"/>
              <w:ind w:firstLine="482"/>
              <w:rPr>
                <w:rFonts w:hint="default" w:hAnsi="Times New Roman" w:eastAsia="宋体" w:cs="Times New Roman"/>
                <w:b/>
                <w:lang w:val="en-US" w:eastAsia="zh-CN"/>
              </w:rPr>
            </w:pPr>
            <w:r>
              <w:rPr>
                <w:rFonts w:hint="eastAsia" w:hAnsi="Times New Roman" w:cs="Times New Roman"/>
                <w:b/>
                <w:lang w:eastAsia="zh-CN"/>
              </w:rPr>
              <w:t>（</w:t>
            </w:r>
            <w:r>
              <w:rPr>
                <w:rFonts w:hint="eastAsia" w:hAnsi="Times New Roman" w:cs="Times New Roman"/>
                <w:b/>
                <w:lang w:val="en-US" w:eastAsia="zh-CN"/>
              </w:rPr>
              <w:t>六</w:t>
            </w:r>
            <w:r>
              <w:rPr>
                <w:rFonts w:hint="eastAsia" w:hAnsi="Times New Roman" w:cs="Times New Roman"/>
                <w:b/>
                <w:lang w:eastAsia="zh-CN"/>
              </w:rPr>
              <w:t>）</w:t>
            </w:r>
            <w:r>
              <w:rPr>
                <w:rFonts w:hint="eastAsia" w:hAnsi="Times New Roman" w:cs="Times New Roman"/>
                <w:b/>
                <w:lang w:val="en-US" w:eastAsia="zh-CN"/>
              </w:rPr>
              <w:t>沥青搅拌站</w:t>
            </w:r>
          </w:p>
          <w:p>
            <w:pPr>
              <w:ind w:firstLine="472" w:firstLineChars="196"/>
              <w:rPr>
                <w:rFonts w:ascii="Times New Roman" w:hAnsi="Times New Roman" w:eastAsia="宋体"/>
                <w:b/>
                <w:color w:val="auto"/>
                <w:sz w:val="24"/>
                <w:szCs w:val="24"/>
              </w:rPr>
            </w:pPr>
            <w:r>
              <w:rPr>
                <w:rFonts w:hint="eastAsia" w:ascii="Times New Roman" w:hAnsi="Times New Roman"/>
                <w:b/>
                <w:color w:val="auto"/>
                <w:sz w:val="24"/>
                <w:szCs w:val="24"/>
                <w:lang w:val="en-US" w:eastAsia="zh-CN"/>
              </w:rPr>
              <w:t>1.</w:t>
            </w:r>
            <w:r>
              <w:rPr>
                <w:rFonts w:ascii="Times New Roman" w:hAnsi="Times New Roman" w:eastAsia="宋体"/>
                <w:b/>
                <w:color w:val="auto"/>
                <w:sz w:val="24"/>
                <w:szCs w:val="24"/>
              </w:rPr>
              <w:t>大气环境影响分析</w:t>
            </w:r>
          </w:p>
          <w:p>
            <w:pPr>
              <w:adjustRightInd w:val="0"/>
              <w:snapToGrid w:val="0"/>
              <w:ind w:firstLine="480"/>
              <w:rPr>
                <w:rFonts w:ascii="Times New Roman" w:hAnsi="Times New Roman" w:eastAsia="宋体"/>
                <w:color w:val="auto"/>
                <w:sz w:val="24"/>
                <w:szCs w:val="24"/>
              </w:rPr>
            </w:pPr>
            <w:r>
              <w:rPr>
                <w:rFonts w:hint="eastAsia" w:ascii="Times New Roman" w:hAnsi="Times New Roman" w:eastAsia="宋体"/>
                <w:color w:val="auto"/>
                <w:sz w:val="24"/>
                <w:szCs w:val="24"/>
              </w:rPr>
              <w:t>（1）有组织废气</w:t>
            </w:r>
          </w:p>
          <w:p>
            <w:pPr>
              <w:pStyle w:val="21"/>
              <w:bidi w:val="0"/>
              <w:rPr>
                <w:rFonts w:hint="eastAsia"/>
                <w:sz w:val="24"/>
                <w:szCs w:val="22"/>
              </w:rPr>
            </w:pPr>
            <w:r>
              <w:rPr>
                <w:rFonts w:hint="eastAsia"/>
                <w:sz w:val="24"/>
                <w:szCs w:val="22"/>
              </w:rPr>
              <w:t>本项目运营期产生的有组织废气为燃油、锅炉产生的烟尘、SO</w:t>
            </w:r>
            <w:r>
              <w:rPr>
                <w:rFonts w:hint="eastAsia"/>
                <w:sz w:val="24"/>
                <w:szCs w:val="22"/>
                <w:vertAlign w:val="subscript"/>
              </w:rPr>
              <w:t>2</w:t>
            </w:r>
            <w:r>
              <w:rPr>
                <w:rFonts w:hint="eastAsia"/>
                <w:sz w:val="24"/>
                <w:szCs w:val="22"/>
              </w:rPr>
              <w:t>、NOx，烘干、筛分产生的颗粒物，沥青产生的沥青烟和苯并（a）芘。筛分</w:t>
            </w:r>
            <w:r>
              <w:rPr>
                <w:rFonts w:hint="eastAsia"/>
                <w:sz w:val="24"/>
                <w:szCs w:val="22"/>
                <w:lang w:eastAsia="zh-CN"/>
              </w:rPr>
              <w:t>、搅拌</w:t>
            </w:r>
            <w:r>
              <w:rPr>
                <w:rFonts w:hint="eastAsia"/>
                <w:sz w:val="24"/>
                <w:szCs w:val="22"/>
              </w:rPr>
              <w:t>产生的颗粒物</w:t>
            </w:r>
            <w:r>
              <w:rPr>
                <w:rFonts w:hint="eastAsia"/>
                <w:sz w:val="24"/>
                <w:szCs w:val="22"/>
                <w:lang w:eastAsia="zh-CN"/>
              </w:rPr>
              <w:t>与烘干废气一起</w:t>
            </w:r>
            <w:r>
              <w:rPr>
                <w:rFonts w:hint="eastAsia"/>
                <w:sz w:val="24"/>
                <w:szCs w:val="22"/>
              </w:rPr>
              <w:t>由布袋除尘器处理后，通过</w:t>
            </w:r>
            <w:r>
              <w:rPr>
                <w:rFonts w:hint="eastAsia"/>
                <w:sz w:val="24"/>
                <w:szCs w:val="22"/>
                <w:lang w:val="en-US" w:eastAsia="zh-CN"/>
              </w:rPr>
              <w:t>5</w:t>
            </w:r>
            <w:r>
              <w:rPr>
                <w:rFonts w:hint="eastAsia"/>
                <w:sz w:val="24"/>
                <w:szCs w:val="22"/>
              </w:rPr>
              <w:t>#15m排气筒排放。锅炉废气通过</w:t>
            </w:r>
            <w:r>
              <w:rPr>
                <w:rFonts w:hint="eastAsia"/>
                <w:sz w:val="24"/>
                <w:szCs w:val="22"/>
                <w:lang w:val="en-US" w:eastAsia="zh-CN"/>
              </w:rPr>
              <w:t>6</w:t>
            </w:r>
            <w:r>
              <w:rPr>
                <w:rFonts w:hint="eastAsia"/>
                <w:sz w:val="24"/>
                <w:szCs w:val="22"/>
              </w:rPr>
              <w:t>#1</w:t>
            </w:r>
            <w:r>
              <w:rPr>
                <w:rFonts w:hint="eastAsia"/>
                <w:sz w:val="24"/>
                <w:szCs w:val="22"/>
                <w:lang w:val="en-US" w:eastAsia="zh-CN"/>
              </w:rPr>
              <w:t>5</w:t>
            </w:r>
            <w:r>
              <w:rPr>
                <w:rFonts w:hint="eastAsia"/>
                <w:sz w:val="24"/>
                <w:szCs w:val="22"/>
              </w:rPr>
              <w:t>m排气筒排放。沥青产生的沥青烟和苯</w:t>
            </w:r>
            <w:r>
              <w:rPr>
                <w:rFonts w:hint="eastAsia"/>
                <w:sz w:val="24"/>
                <w:szCs w:val="24"/>
              </w:rPr>
              <w:t>并（a）芘经</w:t>
            </w:r>
            <w:r>
              <w:rPr>
                <w:rFonts w:hint="eastAsia" w:ascii="Times New Roman" w:hAnsi="Times New Roman" w:eastAsia="宋体" w:cs="Times New Roman"/>
                <w:kern w:val="2"/>
                <w:sz w:val="24"/>
                <w:szCs w:val="24"/>
                <w:lang w:val="en-US" w:eastAsia="zh-CN" w:bidi="ar-SA"/>
              </w:rPr>
              <w:t>集气罩+</w:t>
            </w:r>
            <w:r>
              <w:rPr>
                <w:rFonts w:hint="eastAsia" w:eastAsia="宋体" w:cs="Times New Roman"/>
                <w:kern w:val="2"/>
                <w:sz w:val="24"/>
                <w:szCs w:val="24"/>
                <w:lang w:val="en-US" w:eastAsia="zh-CN" w:bidi="ar-SA"/>
              </w:rPr>
              <w:t>布袋</w:t>
            </w:r>
            <w:r>
              <w:rPr>
                <w:rFonts w:hint="eastAsia" w:ascii="Times New Roman" w:hAnsi="Times New Roman" w:eastAsia="宋体" w:cs="Times New Roman"/>
                <w:kern w:val="2"/>
                <w:sz w:val="24"/>
                <w:szCs w:val="24"/>
                <w:lang w:val="en-US" w:eastAsia="zh-CN" w:bidi="ar-SA"/>
              </w:rPr>
              <w:t>除尘器</w:t>
            </w:r>
            <w:r>
              <w:rPr>
                <w:rFonts w:hint="eastAsia"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过滤棉+活性炭吸附箱+15m高排气筒</w:t>
            </w:r>
            <w:r>
              <w:rPr>
                <w:rFonts w:hint="eastAsia" w:eastAsia="宋体" w:cs="Times New Roman"/>
                <w:kern w:val="2"/>
                <w:sz w:val="24"/>
                <w:szCs w:val="24"/>
                <w:lang w:val="en-US" w:eastAsia="zh-CN" w:bidi="ar-SA"/>
              </w:rPr>
              <w:t>排放</w:t>
            </w:r>
            <w:r>
              <w:rPr>
                <w:rFonts w:hint="eastAsia"/>
                <w:sz w:val="24"/>
                <w:szCs w:val="22"/>
              </w:rPr>
              <w:t>。</w:t>
            </w:r>
          </w:p>
          <w:p>
            <w:pPr>
              <w:pStyle w:val="21"/>
              <w:bidi w:val="0"/>
              <w:rPr>
                <w:rFonts w:hint="eastAsia"/>
                <w:sz w:val="24"/>
                <w:szCs w:val="22"/>
              </w:rPr>
            </w:pPr>
            <w:r>
              <w:rPr>
                <w:rFonts w:hint="eastAsia"/>
                <w:sz w:val="24"/>
                <w:szCs w:val="22"/>
              </w:rPr>
              <w:t>颗粒物排放浓度满足《大气污染物综合排放标准》（GB16297-1996）表2二级标准中相关标准；燃油产生的</w:t>
            </w:r>
            <w:r>
              <w:rPr>
                <w:rFonts w:hint="eastAsia"/>
                <w:sz w:val="24"/>
                <w:szCs w:val="22"/>
                <w:lang w:eastAsia="zh-CN"/>
              </w:rPr>
              <w:t>颗粒物</w:t>
            </w:r>
            <w:r>
              <w:rPr>
                <w:rFonts w:hint="eastAsia"/>
                <w:sz w:val="24"/>
                <w:szCs w:val="22"/>
              </w:rPr>
              <w:t>、SO</w:t>
            </w:r>
            <w:r>
              <w:rPr>
                <w:rFonts w:hint="eastAsia"/>
                <w:sz w:val="24"/>
                <w:szCs w:val="22"/>
                <w:vertAlign w:val="subscript"/>
              </w:rPr>
              <w:t>2</w:t>
            </w:r>
            <w:r>
              <w:rPr>
                <w:rFonts w:hint="eastAsia"/>
                <w:sz w:val="24"/>
                <w:szCs w:val="22"/>
              </w:rPr>
              <w:t>、NOx满足《长三角地区2018-2019秋冬季大气污染综合治理攻坚行动方案》相关标准限值</w:t>
            </w:r>
            <w:r>
              <w:rPr>
                <w:rFonts w:hint="eastAsia"/>
                <w:sz w:val="24"/>
                <w:szCs w:val="22"/>
                <w:lang w:eastAsia="zh-CN"/>
              </w:rPr>
              <w:t>要求</w:t>
            </w:r>
            <w:r>
              <w:rPr>
                <w:rFonts w:hint="eastAsia"/>
                <w:sz w:val="24"/>
                <w:szCs w:val="22"/>
              </w:rPr>
              <w:t>；锅炉产生的烟尘、SO</w:t>
            </w:r>
            <w:r>
              <w:rPr>
                <w:rFonts w:hint="eastAsia"/>
                <w:sz w:val="24"/>
                <w:szCs w:val="22"/>
                <w:vertAlign w:val="subscript"/>
              </w:rPr>
              <w:t>2</w:t>
            </w:r>
            <w:r>
              <w:rPr>
                <w:rFonts w:hint="eastAsia"/>
                <w:sz w:val="24"/>
                <w:szCs w:val="22"/>
              </w:rPr>
              <w:t>、NOx满足锅炉大气污染物排放标准《锅炉大气污染物排放标准》（GB13271-2014）表</w:t>
            </w:r>
            <w:r>
              <w:rPr>
                <w:rFonts w:hint="eastAsia"/>
                <w:sz w:val="24"/>
                <w:szCs w:val="22"/>
                <w:lang w:val="en-US" w:eastAsia="zh-CN"/>
              </w:rPr>
              <w:t>3</w:t>
            </w:r>
            <w:r>
              <w:rPr>
                <w:rFonts w:hint="eastAsia"/>
                <w:sz w:val="24"/>
                <w:szCs w:val="22"/>
              </w:rPr>
              <w:t>中“燃油锅炉”标准；沥青产生的沥青烟和苯并（a）芘满足《大气污染物综合排放标准》（GB16297-1996）表2中二级标准。</w:t>
            </w:r>
          </w:p>
          <w:p>
            <w:pPr>
              <w:pStyle w:val="21"/>
              <w:bidi w:val="0"/>
              <w:rPr>
                <w:rFonts w:hint="eastAsia"/>
                <w:sz w:val="24"/>
                <w:szCs w:val="22"/>
              </w:rPr>
            </w:pPr>
            <w:r>
              <w:rPr>
                <w:rFonts w:hint="eastAsia"/>
                <w:sz w:val="24"/>
                <w:szCs w:val="22"/>
              </w:rPr>
              <w:t>（2）无组织废气</w:t>
            </w:r>
          </w:p>
          <w:p>
            <w:pPr>
              <w:pStyle w:val="21"/>
              <w:bidi w:val="0"/>
              <w:rPr>
                <w:rFonts w:hint="eastAsia"/>
                <w:sz w:val="24"/>
                <w:szCs w:val="22"/>
              </w:rPr>
            </w:pPr>
            <w:r>
              <w:rPr>
                <w:rFonts w:hint="eastAsia"/>
                <w:sz w:val="24"/>
                <w:szCs w:val="22"/>
              </w:rPr>
              <w:t>本项目无组织废气主要为烘干、筛分工序中未被收集的颗粒物，物料转移接口、管道法兰处泄漏</w:t>
            </w:r>
            <w:r>
              <w:rPr>
                <w:rFonts w:hint="eastAsia"/>
                <w:sz w:val="24"/>
                <w:szCs w:val="22"/>
                <w:lang w:val="en-US" w:eastAsia="zh-CN"/>
              </w:rPr>
              <w:t>的</w:t>
            </w:r>
            <w:r>
              <w:rPr>
                <w:rFonts w:hint="eastAsia"/>
                <w:sz w:val="24"/>
                <w:szCs w:val="22"/>
              </w:rPr>
              <w:t>沥青烟和苯并（a）芘</w:t>
            </w:r>
            <w:r>
              <w:rPr>
                <w:rFonts w:hint="eastAsia"/>
                <w:sz w:val="24"/>
                <w:szCs w:val="22"/>
                <w:lang w:eastAsia="zh-CN"/>
              </w:rPr>
              <w:t>、臭气浓度，</w:t>
            </w:r>
            <w:r>
              <w:rPr>
                <w:rFonts w:hint="eastAsia"/>
                <w:sz w:val="24"/>
                <w:szCs w:val="22"/>
              </w:rPr>
              <w:t>加强车间通风后无组织排放。</w:t>
            </w:r>
          </w:p>
          <w:p>
            <w:pPr>
              <w:pStyle w:val="21"/>
              <w:bidi w:val="0"/>
              <w:rPr>
                <w:rFonts w:hint="eastAsia"/>
                <w:sz w:val="24"/>
                <w:szCs w:val="22"/>
              </w:rPr>
            </w:pPr>
            <w:r>
              <w:rPr>
                <w:rFonts w:hint="eastAsia"/>
                <w:sz w:val="24"/>
                <w:szCs w:val="22"/>
              </w:rPr>
              <w:t>（3）废气处理设施可行性分析</w:t>
            </w:r>
          </w:p>
          <w:p>
            <w:pPr>
              <w:pStyle w:val="21"/>
              <w:bidi w:val="0"/>
              <w:rPr>
                <w:rFonts w:hint="eastAsia"/>
                <w:sz w:val="24"/>
                <w:szCs w:val="22"/>
              </w:rPr>
            </w:pPr>
            <w:r>
              <w:rPr>
                <w:rFonts w:hint="eastAsia"/>
                <w:sz w:val="24"/>
                <w:szCs w:val="22"/>
              </w:rPr>
              <w:t>布袋除尘器工作原理：含尘气流切向进入除尘器后，先由旋风体将大颗粒粉尘分离落入灰斗，起初级除尘作用，微小尘粒悬浮于气体中通过气流分布装置，均匀进入过滤室中，弥散与滤袋间隙而被滤袋阻留，净化气流由主风机排出。</w:t>
            </w:r>
          </w:p>
          <w:p>
            <w:pPr>
              <w:pStyle w:val="21"/>
              <w:bidi w:val="0"/>
              <w:rPr>
                <w:rFonts w:hint="eastAsia"/>
                <w:sz w:val="24"/>
                <w:szCs w:val="22"/>
              </w:rPr>
            </w:pPr>
            <w:r>
              <w:rPr>
                <w:rFonts w:hint="eastAsia"/>
                <w:sz w:val="24"/>
                <w:szCs w:val="22"/>
              </w:rPr>
              <w:t>喷淋洗涤塔原理：塔内填料层作为气液两相间接触构件的传质设备。填料塔底部装有填料支承板，填料以乱堆方式放置在支承板上。填料的上方安装填料压板，以防被上升气流吹动。喷淋液从塔顶经液体分布器喷淋到填料上，并沿填料表面流下。气体从塔底送入，经气体分布装置分布后，与液体呈逆流连续通过填料层的空隙，在填料表面上，气液两相密切接触进行传质。当液体沿填料层向下流动时，有时会出现壁流现象，壁流效应造成气液两相在填料层中分布不均，从而使传质效率下降。因此，喷淋塔内的填料层分为两段，中间设置再分布装置，经重新分布后喷淋到下层填料上。为了避免气体携走喷淋液，在塔顶部气水分离器，有效截留喷淋液。喷淋液循环使用，在使用过程中会有部分损失，位于塔底的循环水箱适时补充喷淋液。</w:t>
            </w:r>
          </w:p>
          <w:p>
            <w:pPr>
              <w:pStyle w:val="21"/>
              <w:bidi w:val="0"/>
              <w:rPr>
                <w:rFonts w:hint="eastAsia"/>
                <w:sz w:val="24"/>
                <w:szCs w:val="22"/>
              </w:rPr>
            </w:pPr>
            <w:r>
              <w:rPr>
                <w:rFonts w:hint="eastAsia"/>
                <w:sz w:val="24"/>
                <w:szCs w:val="22"/>
              </w:rPr>
              <w:t>活性炭原理：活性炭是木材、煤、果壳等含碳物质在高温缺氧条件下活化制成，它具有巨大的比表面积（500~1700m2/g）。活性炭吸附塔是一种高效经济实用型有机废气的净化与治理装置，具有吸附效率高、适用面广、维护方便，能同时处理多种混合废气等优点。当有机废气由风机提供动力，正压或负压进入塔体，由于活性炭固体表面上存在着未平衡和未饱和的分子引力或化学健力，因此当此固体表面与气体接触时，就能吸引气体分子，使其浓聚并保持在固体表面，污染物质及气味从而被吸附，废气经活性炭吸附塔后，净化气体高空达标排放。查询资料，根据废气组分的不同，一级活性炭处理效率一般在60%~70%，活性炭吸附装置的吸附效率可到60%。</w:t>
            </w:r>
          </w:p>
          <w:p>
            <w:pPr>
              <w:pStyle w:val="21"/>
              <w:bidi w:val="0"/>
              <w:rPr>
                <w:rFonts w:ascii="Times New Roman" w:hAnsi="Times New Roman" w:eastAsia="宋体"/>
                <w:color w:val="auto"/>
                <w:szCs w:val="24"/>
              </w:rPr>
            </w:pPr>
            <w:r>
              <w:rPr>
                <w:rFonts w:hint="eastAsia"/>
                <w:sz w:val="24"/>
                <w:szCs w:val="22"/>
              </w:rPr>
              <w:t>活性炭使用一段时间后，吸附了大量的吸附质，逐步趋向饱和，丧失了工作能力，严重时将穿透滤层，因此应进行活性炭的及时更换。工作人员应根据计划定期检查、维护和更换必要的部件和材料，维护人员应做好相关记录，废气治理设备的维护应纳入全厂的设备维护计划中。更换下来的活性炭厂内不再生，按照危废暂存要求做好防雨、防渗漏等措施，于厂内暂存后，委托有关资质单位外运处置。具体参数见表7</w:t>
            </w:r>
            <w:r>
              <w:rPr>
                <w:rFonts w:hint="eastAsia"/>
                <w:sz w:val="24"/>
                <w:szCs w:val="22"/>
                <w:lang w:val="en-US" w:eastAsia="zh-CN"/>
              </w:rPr>
              <w:t>.5</w:t>
            </w:r>
            <w:r>
              <w:rPr>
                <w:rFonts w:hint="eastAsia"/>
                <w:sz w:val="24"/>
                <w:szCs w:val="22"/>
              </w:rPr>
              <w:t>-1</w:t>
            </w:r>
            <w:r>
              <w:rPr>
                <w:rFonts w:ascii="Times New Roman" w:hAnsi="Times New Roman" w:eastAsia="宋体"/>
                <w:color w:val="auto"/>
                <w:szCs w:val="24"/>
              </w:rPr>
              <w:t>。</w:t>
            </w:r>
          </w:p>
          <w:p>
            <w:pPr>
              <w:spacing w:line="240" w:lineRule="auto"/>
              <w:ind w:firstLine="0" w:firstLineChars="0"/>
              <w:jc w:val="center"/>
              <w:rPr>
                <w:rFonts w:ascii="Times New Roman" w:hAnsi="Times New Roman" w:eastAsia="宋体"/>
                <w:b/>
                <w:bCs/>
                <w:color w:val="auto"/>
                <w:sz w:val="21"/>
                <w:szCs w:val="21"/>
              </w:rPr>
            </w:pPr>
            <w:r>
              <w:rPr>
                <w:rFonts w:ascii="Times New Roman" w:hAnsi="Times New Roman" w:eastAsia="宋体"/>
                <w:b/>
                <w:bCs/>
                <w:color w:val="auto"/>
                <w:sz w:val="21"/>
                <w:szCs w:val="21"/>
              </w:rPr>
              <w:t>表7</w:t>
            </w:r>
            <w:r>
              <w:rPr>
                <w:rFonts w:hint="eastAsia"/>
                <w:b/>
                <w:bCs/>
                <w:color w:val="auto"/>
                <w:sz w:val="21"/>
                <w:szCs w:val="21"/>
                <w:lang w:val="en-US" w:eastAsia="zh-CN"/>
              </w:rPr>
              <w:t>.6</w:t>
            </w:r>
            <w:r>
              <w:rPr>
                <w:rFonts w:ascii="Times New Roman" w:hAnsi="Times New Roman" w:eastAsia="宋体"/>
                <w:b/>
                <w:bCs/>
                <w:color w:val="auto"/>
                <w:sz w:val="21"/>
                <w:szCs w:val="21"/>
              </w:rPr>
              <w:t>-</w:t>
            </w:r>
            <w:r>
              <w:rPr>
                <w:rFonts w:hint="eastAsia" w:ascii="Times New Roman" w:hAnsi="Times New Roman" w:eastAsia="宋体"/>
                <w:b/>
                <w:bCs/>
                <w:color w:val="auto"/>
                <w:sz w:val="21"/>
                <w:szCs w:val="21"/>
              </w:rPr>
              <w:t>1</w:t>
            </w:r>
            <w:r>
              <w:rPr>
                <w:rFonts w:ascii="Times New Roman" w:hAnsi="Times New Roman" w:eastAsia="宋体"/>
                <w:b/>
                <w:bCs/>
                <w:color w:val="auto"/>
                <w:sz w:val="21"/>
                <w:szCs w:val="21"/>
              </w:rPr>
              <w:t>活性炭吸附装置技术参数一览表</w:t>
            </w:r>
          </w:p>
          <w:tbl>
            <w:tblPr>
              <w:tblStyle w:val="43"/>
              <w:tblW w:w="9185"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
            <w:tblGrid>
              <w:gridCol w:w="2819"/>
              <w:gridCol w:w="2910"/>
              <w:gridCol w:w="345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317" w:hRule="atLeast"/>
                <w:jc w:val="center"/>
              </w:trPr>
              <w:tc>
                <w:tcPr>
                  <w:tcW w:w="2819" w:type="dxa"/>
                  <w:tcBorders>
                    <w:top w:val="single" w:color="auto" w:sz="12" w:space="0"/>
                    <w:left w:val="nil"/>
                    <w:bottom w:val="single" w:color="auto" w:sz="6" w:space="0"/>
                    <w:right w:val="single" w:color="auto" w:sz="6" w:space="0"/>
                  </w:tcBorders>
                  <w:vAlign w:val="center"/>
                </w:tcPr>
                <w:p>
                  <w:pPr>
                    <w:pStyle w:val="24"/>
                    <w:spacing w:line="320" w:lineRule="exact"/>
                    <w:ind w:firstLine="0" w:firstLineChars="0"/>
                    <w:jc w:val="center"/>
                    <w:rPr>
                      <w:rFonts w:ascii="Times New Roman" w:hAnsi="Times New Roman" w:eastAsia="宋体"/>
                      <w:b/>
                      <w:color w:val="auto"/>
                      <w:szCs w:val="21"/>
                    </w:rPr>
                  </w:pPr>
                  <w:r>
                    <w:rPr>
                      <w:rFonts w:ascii="Times New Roman" w:hAnsi="Times New Roman" w:eastAsia="宋体"/>
                      <w:b/>
                      <w:color w:val="auto"/>
                      <w:szCs w:val="21"/>
                    </w:rPr>
                    <w:t>序号</w:t>
                  </w:r>
                </w:p>
              </w:tc>
              <w:tc>
                <w:tcPr>
                  <w:tcW w:w="2910" w:type="dxa"/>
                  <w:tcBorders>
                    <w:top w:val="single" w:color="auto" w:sz="12" w:space="0"/>
                    <w:left w:val="single" w:color="auto" w:sz="6" w:space="0"/>
                    <w:bottom w:val="single" w:color="auto" w:sz="6" w:space="0"/>
                    <w:right w:val="single" w:color="auto" w:sz="6" w:space="0"/>
                  </w:tcBorders>
                  <w:vAlign w:val="center"/>
                </w:tcPr>
                <w:p>
                  <w:pPr>
                    <w:pStyle w:val="24"/>
                    <w:spacing w:line="320" w:lineRule="exact"/>
                    <w:ind w:firstLine="0" w:firstLineChars="0"/>
                    <w:jc w:val="center"/>
                    <w:rPr>
                      <w:rFonts w:ascii="Times New Roman" w:hAnsi="Times New Roman" w:eastAsia="宋体"/>
                      <w:b/>
                      <w:color w:val="auto"/>
                      <w:szCs w:val="21"/>
                    </w:rPr>
                  </w:pPr>
                  <w:r>
                    <w:rPr>
                      <w:rFonts w:ascii="Times New Roman" w:hAnsi="Times New Roman" w:eastAsia="宋体"/>
                      <w:b/>
                      <w:color w:val="auto"/>
                      <w:szCs w:val="21"/>
                    </w:rPr>
                    <w:t>项目</w:t>
                  </w:r>
                </w:p>
              </w:tc>
              <w:tc>
                <w:tcPr>
                  <w:tcW w:w="3456" w:type="dxa"/>
                  <w:tcBorders>
                    <w:top w:val="single" w:color="auto" w:sz="12" w:space="0"/>
                    <w:left w:val="single" w:color="auto" w:sz="6" w:space="0"/>
                    <w:bottom w:val="single" w:color="auto" w:sz="6" w:space="0"/>
                    <w:right w:val="nil"/>
                  </w:tcBorders>
                  <w:vAlign w:val="center"/>
                </w:tcPr>
                <w:p>
                  <w:pPr>
                    <w:pStyle w:val="24"/>
                    <w:spacing w:line="320" w:lineRule="exact"/>
                    <w:ind w:firstLine="0" w:firstLineChars="0"/>
                    <w:jc w:val="center"/>
                    <w:rPr>
                      <w:rFonts w:ascii="Times New Roman" w:hAnsi="Times New Roman" w:eastAsia="宋体"/>
                      <w:b/>
                      <w:color w:val="auto"/>
                      <w:szCs w:val="21"/>
                    </w:rPr>
                  </w:pPr>
                  <w:r>
                    <w:rPr>
                      <w:rFonts w:ascii="Times New Roman" w:hAnsi="Times New Roman" w:eastAsia="宋体"/>
                      <w:b/>
                      <w:color w:val="auto"/>
                      <w:szCs w:val="21"/>
                    </w:rPr>
                    <w:t>技术指标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317" w:hRule="atLeast"/>
                <w:jc w:val="center"/>
              </w:trPr>
              <w:tc>
                <w:tcPr>
                  <w:tcW w:w="2819" w:type="dxa"/>
                  <w:tcBorders>
                    <w:top w:val="single" w:color="auto" w:sz="6" w:space="0"/>
                    <w:left w:val="nil"/>
                    <w:bottom w:val="single" w:color="auto" w:sz="6" w:space="0"/>
                    <w:right w:val="single" w:color="auto" w:sz="6" w:space="0"/>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1</w:t>
                  </w:r>
                </w:p>
              </w:tc>
              <w:tc>
                <w:tcPr>
                  <w:tcW w:w="2910" w:type="dxa"/>
                  <w:tcBorders>
                    <w:top w:val="single" w:color="auto" w:sz="6" w:space="0"/>
                    <w:left w:val="single" w:color="auto" w:sz="6" w:space="0"/>
                    <w:bottom w:val="single" w:color="auto" w:sz="6" w:space="0"/>
                    <w:right w:val="single" w:color="auto" w:sz="6" w:space="0"/>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配套风机风量（m</w:t>
                  </w:r>
                  <w:r>
                    <w:rPr>
                      <w:rFonts w:ascii="Times New Roman" w:hAnsi="Times New Roman" w:eastAsia="宋体"/>
                      <w:color w:val="auto"/>
                      <w:szCs w:val="21"/>
                      <w:vertAlign w:val="superscript"/>
                    </w:rPr>
                    <w:t>3</w:t>
                  </w:r>
                  <w:r>
                    <w:rPr>
                      <w:rFonts w:ascii="Times New Roman" w:hAnsi="Times New Roman" w:eastAsia="宋体"/>
                      <w:color w:val="auto"/>
                      <w:szCs w:val="21"/>
                    </w:rPr>
                    <w:t>/h）</w:t>
                  </w:r>
                </w:p>
              </w:tc>
              <w:tc>
                <w:tcPr>
                  <w:tcW w:w="3456" w:type="dxa"/>
                  <w:tcBorders>
                    <w:top w:val="single" w:color="auto" w:sz="6" w:space="0"/>
                    <w:left w:val="single" w:color="auto" w:sz="6" w:space="0"/>
                    <w:bottom w:val="single" w:color="auto" w:sz="6" w:space="0"/>
                    <w:right w:val="nil"/>
                  </w:tcBorders>
                  <w:vAlign w:val="center"/>
                </w:tcPr>
                <w:p>
                  <w:pPr>
                    <w:pStyle w:val="24"/>
                    <w:spacing w:line="320" w:lineRule="exact"/>
                    <w:ind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1</w:t>
                  </w:r>
                  <w:r>
                    <w:rPr>
                      <w:rFonts w:ascii="Times New Roman" w:hAnsi="Times New Roman" w:eastAsia="宋体"/>
                      <w:color w:val="auto"/>
                      <w:szCs w:val="21"/>
                    </w:rPr>
                    <w:t>000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317" w:hRule="atLeast"/>
                <w:jc w:val="center"/>
              </w:trPr>
              <w:tc>
                <w:tcPr>
                  <w:tcW w:w="2819" w:type="dxa"/>
                  <w:tcBorders>
                    <w:top w:val="single" w:color="auto" w:sz="6" w:space="0"/>
                    <w:left w:val="nil"/>
                    <w:bottom w:val="single" w:color="auto" w:sz="6" w:space="0"/>
                    <w:right w:val="single" w:color="auto" w:sz="6" w:space="0"/>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2</w:t>
                  </w:r>
                </w:p>
              </w:tc>
              <w:tc>
                <w:tcPr>
                  <w:tcW w:w="2910" w:type="dxa"/>
                  <w:tcBorders>
                    <w:top w:val="single" w:color="auto" w:sz="6" w:space="0"/>
                    <w:left w:val="single" w:color="auto" w:sz="6" w:space="0"/>
                    <w:bottom w:val="single" w:color="auto" w:sz="6" w:space="0"/>
                    <w:right w:val="single" w:color="auto" w:sz="6" w:space="0"/>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粒度（目）</w:t>
                  </w:r>
                </w:p>
              </w:tc>
              <w:tc>
                <w:tcPr>
                  <w:tcW w:w="3456" w:type="dxa"/>
                  <w:tcBorders>
                    <w:top w:val="single" w:color="auto" w:sz="6" w:space="0"/>
                    <w:left w:val="single" w:color="auto" w:sz="6" w:space="0"/>
                    <w:bottom w:val="single" w:color="auto" w:sz="6" w:space="0"/>
                    <w:right w:val="nil"/>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12~40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317" w:hRule="atLeast"/>
                <w:jc w:val="center"/>
              </w:trPr>
              <w:tc>
                <w:tcPr>
                  <w:tcW w:w="2819" w:type="dxa"/>
                  <w:tcBorders>
                    <w:top w:val="single" w:color="auto" w:sz="6" w:space="0"/>
                    <w:left w:val="nil"/>
                    <w:bottom w:val="single" w:color="auto" w:sz="6" w:space="0"/>
                    <w:right w:val="single" w:color="auto" w:sz="6" w:space="0"/>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3</w:t>
                  </w:r>
                </w:p>
              </w:tc>
              <w:tc>
                <w:tcPr>
                  <w:tcW w:w="2910" w:type="dxa"/>
                  <w:tcBorders>
                    <w:top w:val="single" w:color="auto" w:sz="6" w:space="0"/>
                    <w:left w:val="single" w:color="auto" w:sz="6" w:space="0"/>
                    <w:bottom w:val="single" w:color="auto" w:sz="6" w:space="0"/>
                    <w:right w:val="single" w:color="auto" w:sz="6" w:space="0"/>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比表面积（m</w:t>
                  </w:r>
                  <w:r>
                    <w:rPr>
                      <w:rFonts w:ascii="Times New Roman" w:hAnsi="Times New Roman" w:eastAsia="宋体"/>
                      <w:color w:val="auto"/>
                      <w:szCs w:val="21"/>
                      <w:vertAlign w:val="superscript"/>
                    </w:rPr>
                    <w:t>2</w:t>
                  </w:r>
                  <w:r>
                    <w:rPr>
                      <w:rFonts w:ascii="Times New Roman" w:hAnsi="Times New Roman" w:eastAsia="宋体"/>
                      <w:color w:val="auto"/>
                      <w:szCs w:val="21"/>
                    </w:rPr>
                    <w:t>/g）</w:t>
                  </w:r>
                </w:p>
              </w:tc>
              <w:tc>
                <w:tcPr>
                  <w:tcW w:w="3456" w:type="dxa"/>
                  <w:tcBorders>
                    <w:top w:val="single" w:color="auto" w:sz="6" w:space="0"/>
                    <w:left w:val="single" w:color="auto" w:sz="6" w:space="0"/>
                    <w:bottom w:val="single" w:color="auto" w:sz="6" w:space="0"/>
                    <w:right w:val="nil"/>
                  </w:tcBorders>
                  <w:vAlign w:val="center"/>
                </w:tcPr>
                <w:p>
                  <w:pPr>
                    <w:pStyle w:val="24"/>
                    <w:spacing w:line="320" w:lineRule="exact"/>
                    <w:ind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5</w:t>
                  </w:r>
                  <w:r>
                    <w:rPr>
                      <w:rFonts w:ascii="Times New Roman" w:hAnsi="Times New Roman" w:eastAsia="宋体"/>
                      <w:color w:val="auto"/>
                      <w:szCs w:val="21"/>
                    </w:rPr>
                    <w:t>00~1</w:t>
                  </w:r>
                  <w:r>
                    <w:rPr>
                      <w:rFonts w:hint="eastAsia" w:ascii="Times New Roman" w:hAnsi="Times New Roman" w:eastAsia="宋体"/>
                      <w:color w:val="auto"/>
                      <w:szCs w:val="21"/>
                    </w:rPr>
                    <w:t>7</w:t>
                  </w:r>
                  <w:r>
                    <w:rPr>
                      <w:rFonts w:ascii="Times New Roman" w:hAnsi="Times New Roman" w:eastAsia="宋体"/>
                      <w:color w:val="auto"/>
                      <w:szCs w:val="21"/>
                    </w:rPr>
                    <w:t>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317" w:hRule="atLeast"/>
                <w:jc w:val="center"/>
              </w:trPr>
              <w:tc>
                <w:tcPr>
                  <w:tcW w:w="2819" w:type="dxa"/>
                  <w:tcBorders>
                    <w:top w:val="single" w:color="auto" w:sz="6" w:space="0"/>
                    <w:left w:val="nil"/>
                    <w:bottom w:val="single" w:color="auto" w:sz="6" w:space="0"/>
                    <w:right w:val="single" w:color="auto" w:sz="6" w:space="0"/>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4</w:t>
                  </w:r>
                </w:p>
              </w:tc>
              <w:tc>
                <w:tcPr>
                  <w:tcW w:w="2910" w:type="dxa"/>
                  <w:tcBorders>
                    <w:top w:val="single" w:color="auto" w:sz="6" w:space="0"/>
                    <w:left w:val="single" w:color="auto" w:sz="6" w:space="0"/>
                    <w:bottom w:val="single" w:color="auto" w:sz="6" w:space="0"/>
                    <w:right w:val="single" w:color="auto" w:sz="6" w:space="0"/>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总孔容积（cm</w:t>
                  </w:r>
                  <w:r>
                    <w:rPr>
                      <w:rFonts w:ascii="Times New Roman" w:hAnsi="Times New Roman" w:eastAsia="宋体"/>
                      <w:color w:val="auto"/>
                      <w:szCs w:val="21"/>
                      <w:vertAlign w:val="superscript"/>
                    </w:rPr>
                    <w:t>3</w:t>
                  </w:r>
                  <w:r>
                    <w:rPr>
                      <w:rFonts w:ascii="Times New Roman" w:hAnsi="Times New Roman" w:eastAsia="宋体"/>
                      <w:color w:val="auto"/>
                      <w:szCs w:val="21"/>
                    </w:rPr>
                    <w:t>/g）</w:t>
                  </w:r>
                </w:p>
              </w:tc>
              <w:tc>
                <w:tcPr>
                  <w:tcW w:w="3456" w:type="dxa"/>
                  <w:tcBorders>
                    <w:top w:val="single" w:color="auto" w:sz="6" w:space="0"/>
                    <w:left w:val="single" w:color="auto" w:sz="6" w:space="0"/>
                    <w:bottom w:val="single" w:color="auto" w:sz="6" w:space="0"/>
                    <w:right w:val="nil"/>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0.81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317" w:hRule="atLeast"/>
                <w:jc w:val="center"/>
              </w:trPr>
              <w:tc>
                <w:tcPr>
                  <w:tcW w:w="2819" w:type="dxa"/>
                  <w:tcBorders>
                    <w:top w:val="single" w:color="auto" w:sz="6" w:space="0"/>
                    <w:left w:val="nil"/>
                    <w:bottom w:val="single" w:color="auto" w:sz="6" w:space="0"/>
                    <w:right w:val="single" w:color="auto" w:sz="6" w:space="0"/>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5</w:t>
                  </w:r>
                </w:p>
              </w:tc>
              <w:tc>
                <w:tcPr>
                  <w:tcW w:w="2910" w:type="dxa"/>
                  <w:tcBorders>
                    <w:top w:val="single" w:color="auto" w:sz="6" w:space="0"/>
                    <w:left w:val="single" w:color="auto" w:sz="6" w:space="0"/>
                    <w:bottom w:val="single" w:color="auto" w:sz="6" w:space="0"/>
                    <w:right w:val="single" w:color="auto" w:sz="6" w:space="0"/>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水分</w:t>
                  </w:r>
                </w:p>
              </w:tc>
              <w:tc>
                <w:tcPr>
                  <w:tcW w:w="3456" w:type="dxa"/>
                  <w:tcBorders>
                    <w:top w:val="single" w:color="auto" w:sz="6" w:space="0"/>
                    <w:left w:val="single" w:color="auto" w:sz="6" w:space="0"/>
                    <w:bottom w:val="single" w:color="auto" w:sz="6" w:space="0"/>
                    <w:right w:val="nil"/>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317" w:hRule="atLeast"/>
                <w:jc w:val="center"/>
              </w:trPr>
              <w:tc>
                <w:tcPr>
                  <w:tcW w:w="2819" w:type="dxa"/>
                  <w:tcBorders>
                    <w:top w:val="single" w:color="auto" w:sz="6" w:space="0"/>
                    <w:left w:val="nil"/>
                    <w:bottom w:val="single" w:color="auto" w:sz="6" w:space="0"/>
                    <w:right w:val="single" w:color="auto" w:sz="6" w:space="0"/>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6</w:t>
                  </w:r>
                </w:p>
              </w:tc>
              <w:tc>
                <w:tcPr>
                  <w:tcW w:w="2910" w:type="dxa"/>
                  <w:tcBorders>
                    <w:top w:val="single" w:color="auto" w:sz="6" w:space="0"/>
                    <w:left w:val="single" w:color="auto" w:sz="6" w:space="0"/>
                    <w:bottom w:val="single" w:color="auto" w:sz="6" w:space="0"/>
                    <w:right w:val="single" w:color="auto" w:sz="6" w:space="0"/>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单位面积重（g/m</w:t>
                  </w:r>
                  <w:r>
                    <w:rPr>
                      <w:rFonts w:ascii="Times New Roman" w:hAnsi="Times New Roman" w:eastAsia="宋体"/>
                      <w:color w:val="auto"/>
                      <w:szCs w:val="21"/>
                      <w:vertAlign w:val="superscript"/>
                    </w:rPr>
                    <w:t>2</w:t>
                  </w:r>
                  <w:r>
                    <w:rPr>
                      <w:rFonts w:ascii="Times New Roman" w:hAnsi="Times New Roman" w:eastAsia="宋体"/>
                      <w:color w:val="auto"/>
                      <w:szCs w:val="21"/>
                    </w:rPr>
                    <w:t>）</w:t>
                  </w:r>
                </w:p>
              </w:tc>
              <w:tc>
                <w:tcPr>
                  <w:tcW w:w="3456" w:type="dxa"/>
                  <w:tcBorders>
                    <w:top w:val="single" w:color="auto" w:sz="6" w:space="0"/>
                    <w:left w:val="single" w:color="auto" w:sz="6" w:space="0"/>
                    <w:bottom w:val="single" w:color="auto" w:sz="6" w:space="0"/>
                    <w:right w:val="nil"/>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200~250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317" w:hRule="atLeast"/>
                <w:jc w:val="center"/>
              </w:trPr>
              <w:tc>
                <w:tcPr>
                  <w:tcW w:w="2819" w:type="dxa"/>
                  <w:tcBorders>
                    <w:top w:val="single" w:color="auto" w:sz="6" w:space="0"/>
                    <w:left w:val="nil"/>
                    <w:bottom w:val="single" w:color="auto" w:sz="6" w:space="0"/>
                    <w:right w:val="single" w:color="auto" w:sz="6" w:space="0"/>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7</w:t>
                  </w:r>
                </w:p>
              </w:tc>
              <w:tc>
                <w:tcPr>
                  <w:tcW w:w="2910" w:type="dxa"/>
                  <w:tcBorders>
                    <w:top w:val="single" w:color="auto" w:sz="6" w:space="0"/>
                    <w:left w:val="single" w:color="auto" w:sz="6" w:space="0"/>
                    <w:bottom w:val="single" w:color="auto" w:sz="6" w:space="0"/>
                    <w:right w:val="single" w:color="auto" w:sz="6" w:space="0"/>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吸附阻力</w:t>
                  </w:r>
                </w:p>
              </w:tc>
              <w:tc>
                <w:tcPr>
                  <w:tcW w:w="3456" w:type="dxa"/>
                  <w:tcBorders>
                    <w:top w:val="single" w:color="auto" w:sz="6" w:space="0"/>
                    <w:left w:val="single" w:color="auto" w:sz="6" w:space="0"/>
                    <w:bottom w:val="single" w:color="auto" w:sz="6" w:space="0"/>
                    <w:right w:val="nil"/>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400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317" w:hRule="atLeast"/>
                <w:jc w:val="center"/>
              </w:trPr>
              <w:tc>
                <w:tcPr>
                  <w:tcW w:w="2819" w:type="dxa"/>
                  <w:tcBorders>
                    <w:top w:val="single" w:color="auto" w:sz="6" w:space="0"/>
                    <w:left w:val="nil"/>
                    <w:bottom w:val="single" w:color="auto" w:sz="6" w:space="0"/>
                    <w:right w:val="single" w:color="auto" w:sz="6" w:space="0"/>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8</w:t>
                  </w:r>
                </w:p>
              </w:tc>
              <w:tc>
                <w:tcPr>
                  <w:tcW w:w="2910" w:type="dxa"/>
                  <w:tcBorders>
                    <w:top w:val="single" w:color="auto" w:sz="6" w:space="0"/>
                    <w:left w:val="single" w:color="auto" w:sz="6" w:space="0"/>
                    <w:bottom w:val="single" w:color="auto" w:sz="6" w:space="0"/>
                    <w:right w:val="single" w:color="auto" w:sz="6" w:space="0"/>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结构形式</w:t>
                  </w:r>
                </w:p>
              </w:tc>
              <w:tc>
                <w:tcPr>
                  <w:tcW w:w="3456" w:type="dxa"/>
                  <w:tcBorders>
                    <w:top w:val="single" w:color="auto" w:sz="6" w:space="0"/>
                    <w:left w:val="single" w:color="auto" w:sz="6" w:space="0"/>
                    <w:bottom w:val="single" w:color="auto" w:sz="6" w:space="0"/>
                    <w:right w:val="nil"/>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抽屉式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317" w:hRule="atLeast"/>
                <w:jc w:val="center"/>
              </w:trPr>
              <w:tc>
                <w:tcPr>
                  <w:tcW w:w="2819" w:type="dxa"/>
                  <w:tcBorders>
                    <w:top w:val="single" w:color="auto" w:sz="6" w:space="0"/>
                    <w:left w:val="nil"/>
                    <w:bottom w:val="single" w:color="auto" w:sz="6" w:space="0"/>
                    <w:right w:val="single" w:color="auto" w:sz="6" w:space="0"/>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9</w:t>
                  </w:r>
                </w:p>
              </w:tc>
              <w:tc>
                <w:tcPr>
                  <w:tcW w:w="2910" w:type="dxa"/>
                  <w:tcBorders>
                    <w:top w:val="single" w:color="auto" w:sz="6" w:space="0"/>
                    <w:left w:val="single" w:color="auto" w:sz="6" w:space="0"/>
                    <w:bottom w:val="single" w:color="auto" w:sz="6" w:space="0"/>
                    <w:right w:val="single" w:color="auto" w:sz="6" w:space="0"/>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填充量（t/次）</w:t>
                  </w:r>
                </w:p>
              </w:tc>
              <w:tc>
                <w:tcPr>
                  <w:tcW w:w="3456" w:type="dxa"/>
                  <w:tcBorders>
                    <w:top w:val="single" w:color="auto" w:sz="6" w:space="0"/>
                    <w:left w:val="single" w:color="auto" w:sz="6" w:space="0"/>
                    <w:bottom w:val="single" w:color="auto" w:sz="6" w:space="0"/>
                    <w:right w:val="nil"/>
                  </w:tcBorders>
                  <w:vAlign w:val="center"/>
                </w:tcPr>
                <w:p>
                  <w:pPr>
                    <w:pStyle w:val="24"/>
                    <w:spacing w:line="320" w:lineRule="exact"/>
                    <w:ind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0.5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317" w:hRule="atLeast"/>
                <w:jc w:val="center"/>
              </w:trPr>
              <w:tc>
                <w:tcPr>
                  <w:tcW w:w="2819" w:type="dxa"/>
                  <w:tcBorders>
                    <w:top w:val="single" w:color="auto" w:sz="6" w:space="0"/>
                    <w:left w:val="nil"/>
                    <w:bottom w:val="single" w:color="auto" w:sz="6" w:space="0"/>
                    <w:right w:val="single" w:color="auto" w:sz="6" w:space="0"/>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10</w:t>
                  </w:r>
                </w:p>
              </w:tc>
              <w:tc>
                <w:tcPr>
                  <w:tcW w:w="2910" w:type="dxa"/>
                  <w:tcBorders>
                    <w:top w:val="single" w:color="auto" w:sz="6" w:space="0"/>
                    <w:left w:val="single" w:color="auto" w:sz="6" w:space="0"/>
                    <w:bottom w:val="single" w:color="auto" w:sz="6" w:space="0"/>
                    <w:right w:val="single" w:color="auto" w:sz="6" w:space="0"/>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吸附效率（%）</w:t>
                  </w:r>
                </w:p>
              </w:tc>
              <w:tc>
                <w:tcPr>
                  <w:tcW w:w="3456" w:type="dxa"/>
                  <w:tcBorders>
                    <w:top w:val="single" w:color="auto" w:sz="6" w:space="0"/>
                    <w:left w:val="single" w:color="auto" w:sz="6" w:space="0"/>
                    <w:bottom w:val="single" w:color="auto" w:sz="6" w:space="0"/>
                    <w:right w:val="nil"/>
                  </w:tcBorders>
                  <w:vAlign w:val="center"/>
                </w:tcPr>
                <w:p>
                  <w:pPr>
                    <w:pStyle w:val="24"/>
                    <w:spacing w:line="320" w:lineRule="exact"/>
                    <w:ind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60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317" w:hRule="atLeast"/>
                <w:jc w:val="center"/>
              </w:trPr>
              <w:tc>
                <w:tcPr>
                  <w:tcW w:w="2819" w:type="dxa"/>
                  <w:tcBorders>
                    <w:top w:val="single" w:color="auto" w:sz="6" w:space="0"/>
                    <w:left w:val="nil"/>
                    <w:bottom w:val="single" w:color="auto" w:sz="6" w:space="0"/>
                    <w:right w:val="single" w:color="auto" w:sz="6" w:space="0"/>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11</w:t>
                  </w:r>
                </w:p>
              </w:tc>
              <w:tc>
                <w:tcPr>
                  <w:tcW w:w="2910" w:type="dxa"/>
                  <w:tcBorders>
                    <w:top w:val="single" w:color="auto" w:sz="6" w:space="0"/>
                    <w:left w:val="single" w:color="auto" w:sz="6" w:space="0"/>
                    <w:bottom w:val="single" w:color="auto" w:sz="6" w:space="0"/>
                    <w:right w:val="single" w:color="auto" w:sz="6" w:space="0"/>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吸附容量</w:t>
                  </w:r>
                </w:p>
              </w:tc>
              <w:tc>
                <w:tcPr>
                  <w:tcW w:w="3456" w:type="dxa"/>
                  <w:tcBorders>
                    <w:top w:val="single" w:color="auto" w:sz="6" w:space="0"/>
                    <w:left w:val="single" w:color="auto" w:sz="6" w:space="0"/>
                    <w:bottom w:val="single" w:color="auto" w:sz="6" w:space="0"/>
                    <w:right w:val="nil"/>
                  </w:tcBorders>
                  <w:vAlign w:val="center"/>
                </w:tcPr>
                <w:p>
                  <w:pPr>
                    <w:pStyle w:val="24"/>
                    <w:spacing w:line="320" w:lineRule="exact"/>
                    <w:ind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0.24</w:t>
                  </w:r>
                  <w:r>
                    <w:rPr>
                      <w:rFonts w:ascii="Times New Roman" w:hAnsi="Times New Roman" w:eastAsia="宋体"/>
                      <w:color w:val="auto"/>
                      <w:szCs w:val="21"/>
                    </w:rPr>
                    <w:t>kg/kg</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85" w:type="dxa"/>
                  <w:bottom w:w="0" w:type="dxa"/>
                  <w:right w:w="85" w:type="dxa"/>
                </w:tblCellMar>
              </w:tblPrEx>
              <w:trPr>
                <w:trHeight w:val="317" w:hRule="atLeast"/>
                <w:jc w:val="center"/>
              </w:trPr>
              <w:tc>
                <w:tcPr>
                  <w:tcW w:w="2819" w:type="dxa"/>
                  <w:tcBorders>
                    <w:top w:val="single" w:color="auto" w:sz="6" w:space="0"/>
                    <w:left w:val="nil"/>
                    <w:bottom w:val="single" w:color="auto" w:sz="12" w:space="0"/>
                    <w:right w:val="single" w:color="auto" w:sz="6" w:space="0"/>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12</w:t>
                  </w:r>
                </w:p>
              </w:tc>
              <w:tc>
                <w:tcPr>
                  <w:tcW w:w="2910" w:type="dxa"/>
                  <w:tcBorders>
                    <w:top w:val="single" w:color="auto" w:sz="6" w:space="0"/>
                    <w:left w:val="single" w:color="auto" w:sz="6" w:space="0"/>
                    <w:bottom w:val="single" w:color="auto" w:sz="12" w:space="0"/>
                    <w:right w:val="single" w:color="auto" w:sz="6" w:space="0"/>
                  </w:tcBorders>
                  <w:vAlign w:val="center"/>
                </w:tcPr>
                <w:p>
                  <w:pPr>
                    <w:pStyle w:val="24"/>
                    <w:spacing w:line="320" w:lineRule="exact"/>
                    <w:ind w:firstLine="0" w:firstLineChars="0"/>
                    <w:jc w:val="center"/>
                    <w:rPr>
                      <w:rFonts w:ascii="Times New Roman" w:hAnsi="Times New Roman" w:eastAsia="宋体"/>
                      <w:color w:val="auto"/>
                      <w:szCs w:val="21"/>
                    </w:rPr>
                  </w:pPr>
                  <w:r>
                    <w:rPr>
                      <w:rFonts w:ascii="Times New Roman" w:hAnsi="Times New Roman" w:eastAsia="宋体"/>
                      <w:color w:val="auto"/>
                      <w:szCs w:val="21"/>
                    </w:rPr>
                    <w:t>更换周期</w:t>
                  </w:r>
                </w:p>
              </w:tc>
              <w:tc>
                <w:tcPr>
                  <w:tcW w:w="3456" w:type="dxa"/>
                  <w:tcBorders>
                    <w:top w:val="single" w:color="auto" w:sz="6" w:space="0"/>
                    <w:left w:val="single" w:color="auto" w:sz="6" w:space="0"/>
                    <w:bottom w:val="single" w:color="auto" w:sz="12" w:space="0"/>
                    <w:right w:val="nil"/>
                  </w:tcBorders>
                  <w:vAlign w:val="center"/>
                </w:tcPr>
                <w:p>
                  <w:pPr>
                    <w:pStyle w:val="24"/>
                    <w:spacing w:line="320" w:lineRule="exact"/>
                    <w:ind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6</w:t>
                  </w:r>
                  <w:r>
                    <w:rPr>
                      <w:rFonts w:ascii="Times New Roman" w:hAnsi="Times New Roman" w:eastAsia="宋体"/>
                      <w:color w:val="auto"/>
                      <w:szCs w:val="21"/>
                    </w:rPr>
                    <w:t>个月</w:t>
                  </w:r>
                </w:p>
              </w:tc>
            </w:tr>
          </w:tbl>
          <w:p>
            <w:pPr>
              <w:pStyle w:val="21"/>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（4）大气环境影响预测</w:t>
            </w:r>
          </w:p>
          <w:p>
            <w:pPr>
              <w:ind w:firstLine="480"/>
              <w:rPr>
                <w:rFonts w:ascii="Times New Roman" w:hAnsi="Times New Roman" w:eastAsia="宋体"/>
                <w:color w:val="auto"/>
                <w:sz w:val="24"/>
                <w:szCs w:val="24"/>
              </w:rPr>
            </w:pPr>
            <w:r>
              <w:rPr>
                <w:rFonts w:hint="eastAsia" w:ascii="Times New Roman" w:hAnsi="Times New Roman" w:eastAsia="宋体"/>
                <w:color w:val="auto"/>
                <w:sz w:val="24"/>
                <w:szCs w:val="24"/>
              </w:rPr>
              <w:t>①环境影响识别与评价因子筛选</w:t>
            </w:r>
          </w:p>
          <w:p>
            <w:pPr>
              <w:ind w:firstLine="480"/>
              <w:rPr>
                <w:rFonts w:ascii="Times New Roman" w:hAnsi="Times New Roman" w:eastAsia="宋体"/>
                <w:color w:val="auto"/>
                <w:sz w:val="24"/>
                <w:szCs w:val="24"/>
              </w:rPr>
            </w:pPr>
            <w:r>
              <w:rPr>
                <w:rFonts w:hint="eastAsia" w:ascii="Times New Roman" w:hAnsi="Times New Roman" w:eastAsia="宋体"/>
                <w:color w:val="auto"/>
                <w:sz w:val="24"/>
                <w:szCs w:val="24"/>
              </w:rPr>
              <w:t>根据</w:t>
            </w:r>
            <w:r>
              <w:rPr>
                <w:rFonts w:ascii="Times New Roman" w:hAnsi="Times New Roman" w:eastAsia="宋体"/>
                <w:color w:val="auto"/>
                <w:sz w:val="24"/>
                <w:szCs w:val="24"/>
              </w:rPr>
              <w:t>HJ/T2.1</w:t>
            </w:r>
            <w:r>
              <w:rPr>
                <w:rFonts w:hint="eastAsia" w:ascii="Times New Roman" w:hAnsi="Times New Roman" w:eastAsia="宋体"/>
                <w:color w:val="auto"/>
                <w:sz w:val="24"/>
                <w:szCs w:val="24"/>
              </w:rPr>
              <w:t>《环境影响评价技术导则总纲》的要求，选择</w:t>
            </w:r>
            <w:r>
              <w:rPr>
                <w:rFonts w:ascii="Times New Roman" w:hAnsi="Times New Roman" w:eastAsia="宋体"/>
                <w:color w:val="auto"/>
                <w:sz w:val="24"/>
                <w:szCs w:val="24"/>
              </w:rPr>
              <w:t>PM</w:t>
            </w:r>
            <w:r>
              <w:rPr>
                <w:rFonts w:ascii="Times New Roman" w:hAnsi="Times New Roman" w:eastAsia="宋体"/>
                <w:color w:val="auto"/>
                <w:sz w:val="24"/>
                <w:szCs w:val="24"/>
                <w:vertAlign w:val="subscript"/>
              </w:rPr>
              <w:t>10</w:t>
            </w:r>
            <w:r>
              <w:rPr>
                <w:rFonts w:ascii="Times New Roman" w:hAnsi="Times New Roman" w:eastAsia="宋体"/>
                <w:color w:val="auto"/>
                <w:sz w:val="24"/>
                <w:szCs w:val="24"/>
              </w:rPr>
              <w:t>、</w:t>
            </w:r>
            <w:r>
              <w:rPr>
                <w:rFonts w:hint="eastAsia" w:ascii="Times New Roman" w:hAnsi="Times New Roman" w:eastAsia="宋体"/>
                <w:color w:val="auto"/>
                <w:sz w:val="24"/>
                <w:szCs w:val="24"/>
              </w:rPr>
              <w:t>沥青烟、苯并[a]芘、SO</w:t>
            </w:r>
            <w:r>
              <w:rPr>
                <w:rFonts w:hint="eastAsia" w:ascii="Times New Roman" w:hAnsi="Times New Roman" w:eastAsia="宋体"/>
                <w:color w:val="auto"/>
                <w:sz w:val="24"/>
                <w:szCs w:val="24"/>
                <w:vertAlign w:val="subscript"/>
              </w:rPr>
              <w:t>2</w:t>
            </w:r>
            <w:r>
              <w:rPr>
                <w:rFonts w:hint="eastAsia" w:ascii="Times New Roman" w:hAnsi="Times New Roman" w:eastAsia="宋体"/>
                <w:color w:val="auto"/>
                <w:sz w:val="24"/>
                <w:szCs w:val="24"/>
              </w:rPr>
              <w:t>、NO</w:t>
            </w:r>
            <w:r>
              <w:rPr>
                <w:rFonts w:hint="eastAsia" w:ascii="Times New Roman" w:hAnsi="Times New Roman" w:eastAsia="宋体"/>
                <w:color w:val="auto"/>
                <w:sz w:val="24"/>
                <w:szCs w:val="24"/>
                <w:vertAlign w:val="subscript"/>
              </w:rPr>
              <w:t>X</w:t>
            </w:r>
            <w:r>
              <w:rPr>
                <w:rFonts w:hint="eastAsia" w:ascii="Times New Roman" w:hAnsi="Times New Roman" w:eastAsia="宋体"/>
                <w:color w:val="auto"/>
                <w:sz w:val="24"/>
                <w:szCs w:val="24"/>
              </w:rPr>
              <w:t>为大气环境影响评价因子。</w:t>
            </w:r>
          </w:p>
          <w:p>
            <w:pPr>
              <w:ind w:firstLine="480"/>
              <w:rPr>
                <w:rFonts w:ascii="Times New Roman" w:hAnsi="Times New Roman" w:eastAsia="宋体"/>
                <w:color w:val="auto"/>
                <w:sz w:val="24"/>
                <w:szCs w:val="24"/>
              </w:rPr>
            </w:pPr>
            <w:r>
              <w:rPr>
                <w:rFonts w:hint="eastAsia" w:ascii="Times New Roman" w:hAnsi="Times New Roman" w:eastAsia="宋体"/>
                <w:color w:val="auto"/>
                <w:sz w:val="24"/>
                <w:szCs w:val="24"/>
              </w:rPr>
              <w:t>②评价标准的确定</w:t>
            </w:r>
          </w:p>
          <w:p>
            <w:pPr>
              <w:ind w:firstLine="480"/>
              <w:rPr>
                <w:rFonts w:ascii="Times New Roman" w:hAnsi="Times New Roman" w:eastAsia="宋体"/>
                <w:color w:val="auto"/>
                <w:sz w:val="24"/>
                <w:szCs w:val="24"/>
              </w:rPr>
            </w:pPr>
            <w:r>
              <w:rPr>
                <w:rFonts w:hint="eastAsia" w:ascii="Times New Roman" w:hAnsi="Times New Roman" w:eastAsia="宋体"/>
                <w:color w:val="auto"/>
                <w:sz w:val="24"/>
                <w:szCs w:val="24"/>
              </w:rPr>
              <w:t>本项目大气环境影响评价因子</w:t>
            </w:r>
            <w:r>
              <w:rPr>
                <w:rFonts w:ascii="Times New Roman" w:hAnsi="Times New Roman" w:eastAsia="宋体"/>
                <w:color w:val="auto"/>
                <w:sz w:val="24"/>
                <w:szCs w:val="24"/>
              </w:rPr>
              <w:t>PM</w:t>
            </w:r>
            <w:r>
              <w:rPr>
                <w:rFonts w:ascii="Times New Roman" w:hAnsi="Times New Roman" w:eastAsia="宋体"/>
                <w:color w:val="auto"/>
                <w:sz w:val="24"/>
                <w:szCs w:val="24"/>
                <w:vertAlign w:val="subscript"/>
              </w:rPr>
              <w:t>10</w:t>
            </w:r>
            <w:r>
              <w:rPr>
                <w:rFonts w:ascii="Times New Roman" w:hAnsi="Times New Roman" w:eastAsia="宋体"/>
                <w:color w:val="auto"/>
                <w:sz w:val="24"/>
                <w:szCs w:val="24"/>
              </w:rPr>
              <w:t>、</w:t>
            </w:r>
            <w:r>
              <w:rPr>
                <w:rFonts w:hint="eastAsia" w:ascii="Times New Roman" w:hAnsi="Times New Roman" w:eastAsia="宋体"/>
                <w:color w:val="auto"/>
                <w:sz w:val="24"/>
                <w:szCs w:val="24"/>
              </w:rPr>
              <w:t>沥青烟、苯并[a]芘、SO</w:t>
            </w:r>
            <w:r>
              <w:rPr>
                <w:rFonts w:hint="eastAsia" w:ascii="Times New Roman" w:hAnsi="Times New Roman" w:eastAsia="宋体"/>
                <w:color w:val="auto"/>
                <w:sz w:val="24"/>
                <w:szCs w:val="24"/>
                <w:vertAlign w:val="subscript"/>
              </w:rPr>
              <w:t>2</w:t>
            </w:r>
            <w:r>
              <w:rPr>
                <w:rFonts w:hint="eastAsia" w:ascii="Times New Roman" w:hAnsi="Times New Roman" w:eastAsia="宋体"/>
                <w:color w:val="auto"/>
                <w:sz w:val="24"/>
                <w:szCs w:val="24"/>
              </w:rPr>
              <w:t>、NO</w:t>
            </w:r>
            <w:r>
              <w:rPr>
                <w:rFonts w:hint="eastAsia" w:ascii="Times New Roman" w:hAnsi="Times New Roman" w:eastAsia="宋体"/>
                <w:color w:val="auto"/>
                <w:sz w:val="24"/>
                <w:szCs w:val="24"/>
                <w:vertAlign w:val="subscript"/>
              </w:rPr>
              <w:t>X</w:t>
            </w:r>
            <w:r>
              <w:rPr>
                <w:rFonts w:hint="eastAsia" w:ascii="Times New Roman" w:hAnsi="Times New Roman" w:eastAsia="宋体"/>
                <w:color w:val="auto"/>
                <w:sz w:val="24"/>
                <w:szCs w:val="24"/>
              </w:rPr>
              <w:t>的评价标准见表</w:t>
            </w:r>
            <w:r>
              <w:rPr>
                <w:rFonts w:ascii="Times New Roman" w:hAnsi="Times New Roman" w:eastAsia="宋体"/>
                <w:color w:val="auto"/>
                <w:sz w:val="24"/>
                <w:szCs w:val="24"/>
              </w:rPr>
              <w:t>4-1</w:t>
            </w:r>
            <w:r>
              <w:rPr>
                <w:rFonts w:hint="eastAsia" w:ascii="Times New Roman" w:hAnsi="Times New Roman" w:eastAsia="宋体"/>
                <w:color w:val="auto"/>
                <w:sz w:val="24"/>
                <w:szCs w:val="24"/>
              </w:rPr>
              <w:t>。</w:t>
            </w:r>
          </w:p>
          <w:p>
            <w:pPr>
              <w:ind w:firstLine="480"/>
              <w:rPr>
                <w:rFonts w:ascii="Times New Roman" w:hAnsi="Times New Roman" w:eastAsia="宋体"/>
                <w:color w:val="auto"/>
                <w:sz w:val="24"/>
                <w:szCs w:val="24"/>
              </w:rPr>
            </w:pPr>
            <w:r>
              <w:rPr>
                <w:rFonts w:hint="eastAsia" w:ascii="Times New Roman" w:hAnsi="Times New Roman" w:eastAsia="宋体"/>
                <w:color w:val="auto"/>
                <w:sz w:val="24"/>
                <w:szCs w:val="24"/>
              </w:rPr>
              <w:t>③污染源参数</w:t>
            </w:r>
          </w:p>
          <w:p>
            <w:pPr>
              <w:ind w:firstLine="480"/>
              <w:rPr>
                <w:rFonts w:ascii="Times New Roman" w:hAnsi="Times New Roman" w:eastAsia="宋体"/>
                <w:color w:val="auto"/>
                <w:sz w:val="24"/>
                <w:szCs w:val="24"/>
              </w:rPr>
            </w:pPr>
            <w:r>
              <w:rPr>
                <w:rFonts w:hint="eastAsia" w:ascii="Times New Roman" w:hAnsi="Times New Roman" w:eastAsia="宋体"/>
                <w:color w:val="auto"/>
                <w:sz w:val="24"/>
                <w:szCs w:val="24"/>
              </w:rPr>
              <w:t>根据工程分析，本项目有组织废气、无组织污染源强见表</w:t>
            </w:r>
            <w:r>
              <w:rPr>
                <w:rFonts w:ascii="Times New Roman" w:hAnsi="Times New Roman" w:eastAsia="宋体"/>
                <w:color w:val="auto"/>
                <w:sz w:val="24"/>
                <w:szCs w:val="24"/>
              </w:rPr>
              <w:t>7</w:t>
            </w:r>
            <w:r>
              <w:rPr>
                <w:rFonts w:hint="eastAsia"/>
                <w:color w:val="auto"/>
                <w:sz w:val="24"/>
                <w:szCs w:val="24"/>
                <w:lang w:val="en-US" w:eastAsia="zh-CN"/>
              </w:rPr>
              <w:t>.6</w:t>
            </w:r>
            <w:r>
              <w:rPr>
                <w:rFonts w:ascii="Times New Roman" w:hAnsi="Times New Roman" w:eastAsia="宋体"/>
                <w:color w:val="auto"/>
                <w:sz w:val="24"/>
                <w:szCs w:val="24"/>
              </w:rPr>
              <w:t>-</w:t>
            </w:r>
            <w:r>
              <w:rPr>
                <w:rFonts w:hint="eastAsia" w:ascii="Times New Roman" w:hAnsi="Times New Roman" w:eastAsia="宋体"/>
                <w:color w:val="auto"/>
                <w:sz w:val="24"/>
                <w:szCs w:val="24"/>
              </w:rPr>
              <w:t>2、</w:t>
            </w:r>
            <w:r>
              <w:rPr>
                <w:rFonts w:ascii="Times New Roman" w:hAnsi="Times New Roman" w:eastAsia="宋体"/>
                <w:color w:val="auto"/>
                <w:sz w:val="24"/>
                <w:szCs w:val="24"/>
              </w:rPr>
              <w:t>7</w:t>
            </w:r>
            <w:r>
              <w:rPr>
                <w:rFonts w:hint="eastAsia"/>
                <w:color w:val="auto"/>
                <w:sz w:val="24"/>
                <w:szCs w:val="24"/>
                <w:lang w:val="en-US" w:eastAsia="zh-CN"/>
              </w:rPr>
              <w:t>.6</w:t>
            </w:r>
            <w:r>
              <w:rPr>
                <w:rFonts w:ascii="Times New Roman" w:hAnsi="Times New Roman" w:eastAsia="宋体"/>
                <w:color w:val="auto"/>
                <w:sz w:val="24"/>
                <w:szCs w:val="24"/>
              </w:rPr>
              <w:t>-</w:t>
            </w:r>
            <w:r>
              <w:rPr>
                <w:rFonts w:hint="eastAsia" w:ascii="Times New Roman" w:hAnsi="Times New Roman" w:eastAsia="宋体"/>
                <w:color w:val="auto"/>
                <w:sz w:val="24"/>
                <w:szCs w:val="24"/>
              </w:rPr>
              <w:t>3。</w:t>
            </w:r>
          </w:p>
          <w:p>
            <w:pPr>
              <w:adjustRightInd w:val="0"/>
              <w:snapToGrid w:val="0"/>
              <w:spacing w:line="240" w:lineRule="auto"/>
              <w:ind w:firstLine="422"/>
              <w:jc w:val="center"/>
              <w:rPr>
                <w:rFonts w:ascii="Times New Roman" w:hAnsi="Times New Roman" w:eastAsia="宋体"/>
                <w:b/>
                <w:bCs/>
                <w:color w:val="auto"/>
                <w:sz w:val="21"/>
                <w:szCs w:val="21"/>
              </w:rPr>
            </w:pPr>
            <w:r>
              <w:rPr>
                <w:rFonts w:hint="eastAsia" w:ascii="Times New Roman" w:hAnsi="Times New Roman" w:eastAsia="宋体"/>
                <w:b/>
                <w:bCs/>
                <w:color w:val="auto"/>
                <w:sz w:val="21"/>
                <w:szCs w:val="21"/>
              </w:rPr>
              <w:t>表</w:t>
            </w:r>
            <w:r>
              <w:rPr>
                <w:rFonts w:ascii="Times New Roman" w:hAnsi="Times New Roman" w:eastAsia="宋体"/>
                <w:b/>
                <w:bCs/>
                <w:color w:val="auto"/>
                <w:sz w:val="21"/>
                <w:szCs w:val="21"/>
              </w:rPr>
              <w:t>7</w:t>
            </w:r>
            <w:r>
              <w:rPr>
                <w:rFonts w:hint="eastAsia"/>
                <w:b/>
                <w:bCs/>
                <w:color w:val="auto"/>
                <w:sz w:val="21"/>
                <w:szCs w:val="21"/>
                <w:lang w:val="en-US" w:eastAsia="zh-CN"/>
              </w:rPr>
              <w:t>.6</w:t>
            </w:r>
            <w:r>
              <w:rPr>
                <w:rFonts w:ascii="Times New Roman" w:hAnsi="Times New Roman" w:eastAsia="宋体"/>
                <w:b/>
                <w:bCs/>
                <w:color w:val="auto"/>
                <w:sz w:val="21"/>
                <w:szCs w:val="21"/>
              </w:rPr>
              <w:t>-</w:t>
            </w:r>
            <w:r>
              <w:rPr>
                <w:rFonts w:hint="eastAsia" w:ascii="Times New Roman" w:hAnsi="Times New Roman" w:eastAsia="宋体"/>
                <w:b/>
                <w:bCs/>
                <w:color w:val="auto"/>
                <w:sz w:val="21"/>
                <w:szCs w:val="21"/>
              </w:rPr>
              <w:t>2本项目正常工况下有组织污染源强</w:t>
            </w:r>
          </w:p>
          <w:tbl>
            <w:tblPr>
              <w:tblStyle w:val="43"/>
              <w:tblW w:w="9219"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430"/>
              <w:gridCol w:w="1431"/>
              <w:gridCol w:w="1326"/>
              <w:gridCol w:w="756"/>
              <w:gridCol w:w="683"/>
              <w:gridCol w:w="655"/>
              <w:gridCol w:w="668"/>
              <w:gridCol w:w="709"/>
              <w:gridCol w:w="450"/>
              <w:gridCol w:w="863"/>
              <w:gridCol w:w="124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618" w:hRule="atLeast"/>
              </w:trPr>
              <w:tc>
                <w:tcPr>
                  <w:tcW w:w="430"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r>
                    <w:rPr>
                      <w:rFonts w:hint="eastAsia" w:ascii="Times New Roman" w:hAnsi="Times New Roman" w:eastAsia="宋体"/>
                      <w:b/>
                      <w:bCs w:val="0"/>
                      <w:color w:val="auto"/>
                      <w:szCs w:val="21"/>
                    </w:rPr>
                    <w:t>排气筒编号</w:t>
                  </w:r>
                </w:p>
              </w:tc>
              <w:tc>
                <w:tcPr>
                  <w:tcW w:w="2757" w:type="dxa"/>
                  <w:gridSpan w:val="2"/>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r>
                    <w:rPr>
                      <w:rFonts w:hint="eastAsia" w:ascii="Times New Roman" w:hAnsi="Times New Roman" w:eastAsia="宋体"/>
                      <w:b/>
                      <w:bCs w:val="0"/>
                      <w:color w:val="auto"/>
                      <w:szCs w:val="21"/>
                    </w:rPr>
                    <w:t>排气筒底部中心坐标</w:t>
                  </w:r>
                </w:p>
              </w:tc>
              <w:tc>
                <w:tcPr>
                  <w:tcW w:w="756"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r>
                    <w:rPr>
                      <w:rFonts w:hint="eastAsia" w:ascii="Times New Roman" w:hAnsi="Times New Roman" w:eastAsia="宋体"/>
                      <w:b/>
                      <w:bCs w:val="0"/>
                      <w:color w:val="auto"/>
                      <w:szCs w:val="21"/>
                    </w:rPr>
                    <w:t>排气筒底部海拔高度</w:t>
                  </w:r>
                </w:p>
              </w:tc>
              <w:tc>
                <w:tcPr>
                  <w:tcW w:w="2715" w:type="dxa"/>
                  <w:gridSpan w:val="4"/>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r>
                    <w:rPr>
                      <w:rFonts w:hint="eastAsia" w:ascii="Times New Roman" w:hAnsi="Times New Roman" w:eastAsia="宋体"/>
                      <w:b/>
                      <w:bCs w:val="0"/>
                      <w:color w:val="auto"/>
                      <w:szCs w:val="21"/>
                    </w:rPr>
                    <w:t>排气筒参数</w:t>
                  </w:r>
                </w:p>
              </w:tc>
              <w:tc>
                <w:tcPr>
                  <w:tcW w:w="450"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r>
                    <w:rPr>
                      <w:rFonts w:hint="eastAsia" w:ascii="Times New Roman" w:hAnsi="Times New Roman" w:eastAsia="宋体"/>
                      <w:b/>
                      <w:bCs w:val="0"/>
                      <w:color w:val="auto"/>
                      <w:szCs w:val="21"/>
                    </w:rPr>
                    <w:t>排放工况</w:t>
                  </w:r>
                </w:p>
              </w:tc>
              <w:tc>
                <w:tcPr>
                  <w:tcW w:w="863"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r>
                    <w:rPr>
                      <w:rFonts w:hint="eastAsia" w:ascii="Times New Roman" w:hAnsi="Times New Roman" w:eastAsia="宋体"/>
                      <w:b/>
                      <w:bCs w:val="0"/>
                      <w:color w:val="auto"/>
                      <w:szCs w:val="21"/>
                    </w:rPr>
                    <w:t>污染物名称</w:t>
                  </w:r>
                </w:p>
              </w:tc>
              <w:tc>
                <w:tcPr>
                  <w:tcW w:w="1248"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r>
                    <w:rPr>
                      <w:rFonts w:hint="eastAsia" w:ascii="Times New Roman" w:hAnsi="Times New Roman" w:eastAsia="宋体"/>
                      <w:b/>
                      <w:bCs w:val="0"/>
                      <w:color w:val="auto"/>
                      <w:szCs w:val="21"/>
                    </w:rPr>
                    <w:t>排放速率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618" w:hRule="atLeast"/>
              </w:trPr>
              <w:tc>
                <w:tcPr>
                  <w:tcW w:w="430"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2757" w:type="dxa"/>
                  <w:gridSpan w:val="2"/>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p>
              </w:tc>
              <w:tc>
                <w:tcPr>
                  <w:tcW w:w="756"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p>
              </w:tc>
              <w:tc>
                <w:tcPr>
                  <w:tcW w:w="683"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r>
                    <w:rPr>
                      <w:rFonts w:hint="eastAsia" w:ascii="Times New Roman" w:hAnsi="Times New Roman" w:eastAsia="宋体"/>
                      <w:b/>
                      <w:bCs w:val="0"/>
                      <w:color w:val="auto"/>
                      <w:szCs w:val="21"/>
                    </w:rPr>
                    <w:t>高度</w:t>
                  </w:r>
                </w:p>
              </w:tc>
              <w:tc>
                <w:tcPr>
                  <w:tcW w:w="655"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r>
                    <w:rPr>
                      <w:rFonts w:hint="eastAsia" w:ascii="Times New Roman" w:hAnsi="Times New Roman" w:eastAsia="宋体"/>
                      <w:b/>
                      <w:bCs w:val="0"/>
                      <w:color w:val="auto"/>
                      <w:szCs w:val="21"/>
                    </w:rPr>
                    <w:t>内径</w:t>
                  </w:r>
                </w:p>
              </w:tc>
              <w:tc>
                <w:tcPr>
                  <w:tcW w:w="668"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r>
                    <w:rPr>
                      <w:rFonts w:hint="eastAsia" w:ascii="Times New Roman" w:hAnsi="Times New Roman" w:eastAsia="宋体"/>
                      <w:b/>
                      <w:bCs w:val="0"/>
                      <w:color w:val="auto"/>
                      <w:szCs w:val="21"/>
                    </w:rPr>
                    <w:t>温度</w:t>
                  </w:r>
                </w:p>
              </w:tc>
              <w:tc>
                <w:tcPr>
                  <w:tcW w:w="709"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r>
                    <w:rPr>
                      <w:rFonts w:hint="eastAsia" w:ascii="Times New Roman" w:hAnsi="Times New Roman" w:eastAsia="宋体"/>
                      <w:b/>
                      <w:bCs w:val="0"/>
                      <w:color w:val="auto"/>
                      <w:szCs w:val="21"/>
                    </w:rPr>
                    <w:t>流速</w:t>
                  </w:r>
                </w:p>
              </w:tc>
              <w:tc>
                <w:tcPr>
                  <w:tcW w:w="450"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863"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1248"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30"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1431" w:type="dxa"/>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r>
                    <w:rPr>
                      <w:rFonts w:hint="eastAsia" w:ascii="Times New Roman" w:hAnsi="Times New Roman" w:eastAsia="宋体"/>
                      <w:b/>
                      <w:bCs w:val="0"/>
                      <w:color w:val="auto"/>
                      <w:szCs w:val="21"/>
                    </w:rPr>
                    <w:t>经度</w:t>
                  </w:r>
                </w:p>
              </w:tc>
              <w:tc>
                <w:tcPr>
                  <w:tcW w:w="1326" w:type="dxa"/>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r>
                    <w:rPr>
                      <w:rFonts w:hint="eastAsia" w:ascii="Times New Roman" w:hAnsi="Times New Roman" w:eastAsia="宋体"/>
                      <w:b/>
                      <w:bCs w:val="0"/>
                      <w:color w:val="auto"/>
                      <w:szCs w:val="21"/>
                    </w:rPr>
                    <w:t>纬度</w:t>
                  </w:r>
                </w:p>
              </w:tc>
              <w:tc>
                <w:tcPr>
                  <w:tcW w:w="756"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p>
              </w:tc>
              <w:tc>
                <w:tcPr>
                  <w:tcW w:w="683"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p>
              </w:tc>
              <w:tc>
                <w:tcPr>
                  <w:tcW w:w="655"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p>
              </w:tc>
              <w:tc>
                <w:tcPr>
                  <w:tcW w:w="668"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p>
              </w:tc>
              <w:tc>
                <w:tcPr>
                  <w:tcW w:w="709"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p>
              </w:tc>
              <w:tc>
                <w:tcPr>
                  <w:tcW w:w="450"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863"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1248"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30"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单位</w:t>
                  </w:r>
                </w:p>
              </w:tc>
              <w:tc>
                <w:tcPr>
                  <w:tcW w:w="1431"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w:t>
                  </w:r>
                </w:p>
              </w:tc>
              <w:tc>
                <w:tcPr>
                  <w:tcW w:w="1326"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w:t>
                  </w:r>
                </w:p>
              </w:tc>
              <w:tc>
                <w:tcPr>
                  <w:tcW w:w="756"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m</w:t>
                  </w:r>
                </w:p>
              </w:tc>
              <w:tc>
                <w:tcPr>
                  <w:tcW w:w="683"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m</w:t>
                  </w:r>
                </w:p>
              </w:tc>
              <w:tc>
                <w:tcPr>
                  <w:tcW w:w="655"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m</w:t>
                  </w:r>
                </w:p>
              </w:tc>
              <w:tc>
                <w:tcPr>
                  <w:tcW w:w="668"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w:t>
                  </w:r>
                </w:p>
              </w:tc>
              <w:tc>
                <w:tcPr>
                  <w:tcW w:w="709"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m/s</w:t>
                  </w:r>
                </w:p>
              </w:tc>
              <w:tc>
                <w:tcPr>
                  <w:tcW w:w="450"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w:t>
                  </w:r>
                </w:p>
              </w:tc>
              <w:tc>
                <w:tcPr>
                  <w:tcW w:w="863"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w:t>
                  </w:r>
                </w:p>
              </w:tc>
              <w:tc>
                <w:tcPr>
                  <w:tcW w:w="1248"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kg/h</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30"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1#</w:t>
                  </w:r>
                </w:p>
              </w:tc>
              <w:tc>
                <w:tcPr>
                  <w:tcW w:w="1431"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120</w:t>
                  </w:r>
                  <w:r>
                    <w:rPr>
                      <w:rFonts w:ascii="Times New Roman" w:hAnsi="Times New Roman" w:eastAsia="宋体"/>
                      <w:b w:val="0"/>
                      <w:bCs/>
                      <w:color w:val="auto"/>
                      <w:szCs w:val="21"/>
                    </w:rPr>
                    <w:t>°</w:t>
                  </w:r>
                  <w:r>
                    <w:rPr>
                      <w:rFonts w:hint="eastAsia" w:ascii="Times New Roman" w:hAnsi="Times New Roman" w:eastAsia="宋体"/>
                      <w:b w:val="0"/>
                      <w:bCs/>
                      <w:color w:val="auto"/>
                      <w:szCs w:val="21"/>
                    </w:rPr>
                    <w:t>30'19.73"</w:t>
                  </w:r>
                </w:p>
              </w:tc>
              <w:tc>
                <w:tcPr>
                  <w:tcW w:w="1326"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32</w:t>
                  </w:r>
                  <w:r>
                    <w:rPr>
                      <w:rFonts w:ascii="Times New Roman" w:hAnsi="Times New Roman" w:eastAsia="宋体"/>
                      <w:b w:val="0"/>
                      <w:bCs/>
                      <w:color w:val="auto"/>
                      <w:szCs w:val="21"/>
                    </w:rPr>
                    <w:t>°</w:t>
                  </w:r>
                  <w:r>
                    <w:rPr>
                      <w:rFonts w:hint="eastAsia" w:ascii="Times New Roman" w:hAnsi="Times New Roman" w:eastAsia="宋体"/>
                      <w:b w:val="0"/>
                      <w:bCs/>
                      <w:color w:val="auto"/>
                      <w:szCs w:val="21"/>
                    </w:rPr>
                    <w:t>23'02.03"</w:t>
                  </w:r>
                </w:p>
              </w:tc>
              <w:tc>
                <w:tcPr>
                  <w:tcW w:w="756"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5</w:t>
                  </w:r>
                </w:p>
              </w:tc>
              <w:tc>
                <w:tcPr>
                  <w:tcW w:w="683"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15</w:t>
                  </w:r>
                </w:p>
              </w:tc>
              <w:tc>
                <w:tcPr>
                  <w:tcW w:w="655"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0.45</w:t>
                  </w:r>
                </w:p>
              </w:tc>
              <w:tc>
                <w:tcPr>
                  <w:tcW w:w="668" w:type="dxa"/>
                  <w:vMerge w:val="restart"/>
                  <w:tcBorders>
                    <w:tl2br w:val="nil"/>
                    <w:tr2bl w:val="nil"/>
                  </w:tcBorders>
                  <w:vAlign w:val="center"/>
                </w:tcPr>
                <w:p>
                  <w:pPr>
                    <w:pStyle w:val="24"/>
                    <w:spacing w:line="320" w:lineRule="exact"/>
                    <w:ind w:firstLine="0" w:firstLineChars="0"/>
                    <w:jc w:val="center"/>
                    <w:rPr>
                      <w:rFonts w:hint="default" w:ascii="Times New Roman" w:hAnsi="Times New Roman" w:eastAsia="宋体"/>
                      <w:b w:val="0"/>
                      <w:bCs/>
                      <w:color w:val="auto"/>
                      <w:szCs w:val="21"/>
                      <w:lang w:val="en-US" w:eastAsia="zh-CN"/>
                    </w:rPr>
                  </w:pPr>
                  <w:r>
                    <w:rPr>
                      <w:rFonts w:hint="eastAsia" w:ascii="Times New Roman" w:hAnsi="Times New Roman" w:eastAsia="宋体"/>
                      <w:b w:val="0"/>
                      <w:bCs/>
                      <w:color w:val="auto"/>
                      <w:szCs w:val="21"/>
                      <w:lang w:val="en-US" w:eastAsia="zh-CN"/>
                    </w:rPr>
                    <w:t>60</w:t>
                  </w:r>
                </w:p>
              </w:tc>
              <w:tc>
                <w:tcPr>
                  <w:tcW w:w="709"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11.93</w:t>
                  </w:r>
                </w:p>
              </w:tc>
              <w:tc>
                <w:tcPr>
                  <w:tcW w:w="450"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正常</w:t>
                  </w:r>
                </w:p>
              </w:tc>
              <w:tc>
                <w:tcPr>
                  <w:tcW w:w="863"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颗粒物</w:t>
                  </w:r>
                </w:p>
              </w:tc>
              <w:tc>
                <w:tcPr>
                  <w:tcW w:w="1248"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lang w:val="en-US" w:eastAsia="zh-CN"/>
                    </w:rPr>
                    <w:t>0.0491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30"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1431"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1326"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756"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683"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655"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668"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709"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450"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863"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SO2</w:t>
                  </w:r>
                </w:p>
              </w:tc>
              <w:tc>
                <w:tcPr>
                  <w:tcW w:w="1248"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lang w:val="en-US" w:eastAsia="zh-CN"/>
                    </w:rPr>
                    <w:t>0.0713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30"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1431"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1326"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756"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683"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655"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668"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709"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450"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863"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NOX</w:t>
                  </w:r>
                </w:p>
              </w:tc>
              <w:tc>
                <w:tcPr>
                  <w:tcW w:w="1248"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lang w:val="en-US" w:eastAsia="zh-CN"/>
                    </w:rPr>
                    <w:t>0.135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30"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2</w:t>
                  </w:r>
                  <w:r>
                    <w:rPr>
                      <w:rFonts w:ascii="Times New Roman" w:hAnsi="Times New Roman" w:eastAsia="宋体"/>
                      <w:b w:val="0"/>
                      <w:bCs/>
                      <w:color w:val="auto"/>
                      <w:szCs w:val="21"/>
                    </w:rPr>
                    <w:t>#</w:t>
                  </w:r>
                </w:p>
              </w:tc>
              <w:tc>
                <w:tcPr>
                  <w:tcW w:w="1431"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120</w:t>
                  </w:r>
                  <w:r>
                    <w:rPr>
                      <w:rFonts w:ascii="Times New Roman" w:hAnsi="Times New Roman" w:eastAsia="宋体"/>
                      <w:b w:val="0"/>
                      <w:bCs/>
                      <w:color w:val="auto"/>
                      <w:szCs w:val="21"/>
                    </w:rPr>
                    <w:t>°</w:t>
                  </w:r>
                  <w:r>
                    <w:rPr>
                      <w:rFonts w:hint="eastAsia" w:ascii="Times New Roman" w:hAnsi="Times New Roman" w:eastAsia="宋体"/>
                      <w:b w:val="0"/>
                      <w:bCs/>
                      <w:color w:val="auto"/>
                      <w:szCs w:val="21"/>
                    </w:rPr>
                    <w:t>30'20.58"</w:t>
                  </w:r>
                </w:p>
              </w:tc>
              <w:tc>
                <w:tcPr>
                  <w:tcW w:w="1326"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32</w:t>
                  </w:r>
                  <w:r>
                    <w:rPr>
                      <w:rFonts w:ascii="Times New Roman" w:hAnsi="Times New Roman" w:eastAsia="宋体"/>
                      <w:b w:val="0"/>
                      <w:bCs/>
                      <w:color w:val="auto"/>
                      <w:szCs w:val="21"/>
                    </w:rPr>
                    <w:t>°</w:t>
                  </w:r>
                  <w:r>
                    <w:rPr>
                      <w:rFonts w:hint="eastAsia" w:ascii="Times New Roman" w:hAnsi="Times New Roman" w:eastAsia="宋体"/>
                      <w:b w:val="0"/>
                      <w:bCs/>
                      <w:color w:val="auto"/>
                      <w:szCs w:val="21"/>
                    </w:rPr>
                    <w:t>23'01.20"</w:t>
                  </w:r>
                </w:p>
              </w:tc>
              <w:tc>
                <w:tcPr>
                  <w:tcW w:w="756"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5</w:t>
                  </w:r>
                </w:p>
              </w:tc>
              <w:tc>
                <w:tcPr>
                  <w:tcW w:w="683" w:type="dxa"/>
                  <w:vMerge w:val="restart"/>
                  <w:tcBorders>
                    <w:tl2br w:val="nil"/>
                    <w:tr2bl w:val="nil"/>
                  </w:tcBorders>
                  <w:vAlign w:val="center"/>
                </w:tcPr>
                <w:p>
                  <w:pPr>
                    <w:pStyle w:val="24"/>
                    <w:spacing w:line="320" w:lineRule="exact"/>
                    <w:ind w:firstLine="0" w:firstLineChars="0"/>
                    <w:jc w:val="center"/>
                    <w:rPr>
                      <w:rFonts w:hint="default" w:ascii="Times New Roman" w:hAnsi="Times New Roman" w:eastAsia="宋体"/>
                      <w:b w:val="0"/>
                      <w:bCs/>
                      <w:color w:val="auto"/>
                      <w:szCs w:val="21"/>
                      <w:lang w:val="en-US" w:eastAsia="zh-CN"/>
                    </w:rPr>
                  </w:pPr>
                  <w:r>
                    <w:rPr>
                      <w:rFonts w:hint="eastAsia" w:ascii="Times New Roman" w:hAnsi="Times New Roman" w:eastAsia="宋体"/>
                      <w:b w:val="0"/>
                      <w:bCs/>
                      <w:color w:val="auto"/>
                      <w:szCs w:val="21"/>
                      <w:lang w:val="en-US" w:eastAsia="zh-CN"/>
                    </w:rPr>
                    <w:t>12</w:t>
                  </w:r>
                </w:p>
              </w:tc>
              <w:tc>
                <w:tcPr>
                  <w:tcW w:w="655"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0.07</w:t>
                  </w:r>
                </w:p>
              </w:tc>
              <w:tc>
                <w:tcPr>
                  <w:tcW w:w="668"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25</w:t>
                  </w:r>
                </w:p>
              </w:tc>
              <w:tc>
                <w:tcPr>
                  <w:tcW w:w="709"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12.23</w:t>
                  </w:r>
                </w:p>
              </w:tc>
              <w:tc>
                <w:tcPr>
                  <w:tcW w:w="450"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正常</w:t>
                  </w:r>
                </w:p>
              </w:tc>
              <w:tc>
                <w:tcPr>
                  <w:tcW w:w="863"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SO2</w:t>
                  </w:r>
                </w:p>
              </w:tc>
              <w:tc>
                <w:tcPr>
                  <w:tcW w:w="1248"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0.0</w:t>
                  </w:r>
                  <w:r>
                    <w:rPr>
                      <w:rFonts w:hint="eastAsia" w:ascii="Times New Roman" w:hAnsi="Times New Roman" w:eastAsia="宋体"/>
                      <w:b w:val="0"/>
                      <w:bCs/>
                      <w:color w:val="auto"/>
                      <w:szCs w:val="21"/>
                      <w:lang w:val="en-US" w:eastAsia="zh-CN"/>
                    </w:rPr>
                    <w:t>264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30"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1431"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1326"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756"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683"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655"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668"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709"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450"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863"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NOX</w:t>
                  </w:r>
                </w:p>
              </w:tc>
              <w:tc>
                <w:tcPr>
                  <w:tcW w:w="1248"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0.0</w:t>
                  </w:r>
                  <w:r>
                    <w:rPr>
                      <w:rFonts w:hint="eastAsia" w:ascii="Times New Roman" w:hAnsi="Times New Roman" w:eastAsia="宋体"/>
                      <w:b w:val="0"/>
                      <w:bCs/>
                      <w:color w:val="auto"/>
                      <w:szCs w:val="21"/>
                      <w:lang w:val="en-US" w:eastAsia="zh-CN"/>
                    </w:rPr>
                    <w:t>511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30"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1431"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1326"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756"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683"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655"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668"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709"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450"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863"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烟尘</w:t>
                  </w:r>
                </w:p>
              </w:tc>
              <w:tc>
                <w:tcPr>
                  <w:tcW w:w="1248"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0.00</w:t>
                  </w:r>
                  <w:r>
                    <w:rPr>
                      <w:rFonts w:hint="eastAsia" w:ascii="Times New Roman" w:hAnsi="Times New Roman" w:eastAsia="宋体"/>
                      <w:b w:val="0"/>
                      <w:bCs/>
                      <w:color w:val="auto"/>
                      <w:szCs w:val="21"/>
                      <w:lang w:val="en-US" w:eastAsia="zh-CN"/>
                    </w:rPr>
                    <w:t>361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30"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3</w:t>
                  </w:r>
                  <w:r>
                    <w:rPr>
                      <w:rFonts w:ascii="Times New Roman" w:hAnsi="Times New Roman" w:eastAsia="宋体"/>
                      <w:b w:val="0"/>
                      <w:bCs/>
                      <w:color w:val="auto"/>
                      <w:szCs w:val="21"/>
                    </w:rPr>
                    <w:t>#</w:t>
                  </w:r>
                </w:p>
              </w:tc>
              <w:tc>
                <w:tcPr>
                  <w:tcW w:w="1431"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120</w:t>
                  </w:r>
                  <w:r>
                    <w:rPr>
                      <w:rFonts w:ascii="Times New Roman" w:hAnsi="Times New Roman" w:eastAsia="宋体"/>
                      <w:b w:val="0"/>
                      <w:bCs/>
                      <w:color w:val="auto"/>
                      <w:szCs w:val="21"/>
                    </w:rPr>
                    <w:t>°</w:t>
                  </w:r>
                  <w:r>
                    <w:rPr>
                      <w:rFonts w:hint="eastAsia" w:ascii="Times New Roman" w:hAnsi="Times New Roman" w:eastAsia="宋体"/>
                      <w:b w:val="0"/>
                      <w:bCs/>
                      <w:color w:val="auto"/>
                      <w:szCs w:val="21"/>
                    </w:rPr>
                    <w:t>30'20.23"</w:t>
                  </w:r>
                </w:p>
              </w:tc>
              <w:tc>
                <w:tcPr>
                  <w:tcW w:w="1326"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32</w:t>
                  </w:r>
                  <w:r>
                    <w:rPr>
                      <w:rFonts w:ascii="Times New Roman" w:hAnsi="Times New Roman" w:eastAsia="宋体"/>
                      <w:b w:val="0"/>
                      <w:bCs/>
                      <w:color w:val="auto"/>
                      <w:szCs w:val="21"/>
                    </w:rPr>
                    <w:t>°</w:t>
                  </w:r>
                  <w:r>
                    <w:rPr>
                      <w:rFonts w:hint="eastAsia" w:ascii="Times New Roman" w:hAnsi="Times New Roman" w:eastAsia="宋体"/>
                      <w:b w:val="0"/>
                      <w:bCs/>
                      <w:color w:val="auto"/>
                      <w:szCs w:val="21"/>
                    </w:rPr>
                    <w:t>23'01.64"</w:t>
                  </w:r>
                </w:p>
              </w:tc>
              <w:tc>
                <w:tcPr>
                  <w:tcW w:w="756"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5</w:t>
                  </w:r>
                </w:p>
              </w:tc>
              <w:tc>
                <w:tcPr>
                  <w:tcW w:w="683"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15</w:t>
                  </w:r>
                </w:p>
              </w:tc>
              <w:tc>
                <w:tcPr>
                  <w:tcW w:w="655"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0.2</w:t>
                  </w:r>
                </w:p>
              </w:tc>
              <w:tc>
                <w:tcPr>
                  <w:tcW w:w="668"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25</w:t>
                  </w:r>
                </w:p>
              </w:tc>
              <w:tc>
                <w:tcPr>
                  <w:tcW w:w="709"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12.8</w:t>
                  </w:r>
                </w:p>
              </w:tc>
              <w:tc>
                <w:tcPr>
                  <w:tcW w:w="450"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正常</w:t>
                  </w:r>
                </w:p>
              </w:tc>
              <w:tc>
                <w:tcPr>
                  <w:tcW w:w="863"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沥青烟</w:t>
                  </w:r>
                </w:p>
              </w:tc>
              <w:tc>
                <w:tcPr>
                  <w:tcW w:w="1248"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0.0065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30"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1431"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1326"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756"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683"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655"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668"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709"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450"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863"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苯并[a]芘</w:t>
                  </w:r>
                </w:p>
              </w:tc>
              <w:tc>
                <w:tcPr>
                  <w:tcW w:w="1248"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0.000003</w:t>
                  </w:r>
                  <w:r>
                    <w:rPr>
                      <w:rFonts w:hint="eastAsia" w:ascii="Times New Roman" w:hAnsi="Times New Roman" w:eastAsia="宋体"/>
                      <w:b w:val="0"/>
                      <w:bCs/>
                      <w:color w:val="auto"/>
                      <w:szCs w:val="21"/>
                    </w:rPr>
                    <w:t>6</w:t>
                  </w:r>
                </w:p>
              </w:tc>
            </w:tr>
          </w:tbl>
          <w:p>
            <w:pPr>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b/>
                <w:color w:val="auto"/>
                <w:sz w:val="21"/>
                <w:szCs w:val="21"/>
              </w:rPr>
              <w:t>表</w:t>
            </w:r>
            <w:r>
              <w:rPr>
                <w:rFonts w:ascii="Times New Roman" w:hAnsi="Times New Roman" w:eastAsia="宋体"/>
                <w:b/>
                <w:color w:val="auto"/>
                <w:sz w:val="21"/>
                <w:szCs w:val="21"/>
              </w:rPr>
              <w:t>7</w:t>
            </w:r>
            <w:r>
              <w:rPr>
                <w:rFonts w:hint="eastAsia"/>
                <w:b/>
                <w:color w:val="auto"/>
                <w:sz w:val="21"/>
                <w:szCs w:val="21"/>
                <w:lang w:val="en-US" w:eastAsia="zh-CN"/>
              </w:rPr>
              <w:t>.6</w:t>
            </w:r>
            <w:r>
              <w:rPr>
                <w:rFonts w:ascii="Times New Roman" w:hAnsi="Times New Roman" w:eastAsia="宋体"/>
                <w:b/>
                <w:color w:val="auto"/>
                <w:sz w:val="21"/>
                <w:szCs w:val="21"/>
              </w:rPr>
              <w:t>-</w:t>
            </w:r>
            <w:r>
              <w:rPr>
                <w:rFonts w:hint="eastAsia" w:ascii="Times New Roman" w:hAnsi="Times New Roman" w:eastAsia="宋体"/>
                <w:b/>
                <w:color w:val="auto"/>
                <w:sz w:val="21"/>
                <w:szCs w:val="21"/>
              </w:rPr>
              <w:t>3本项目无组织污染源强</w:t>
            </w:r>
          </w:p>
          <w:tbl>
            <w:tblPr>
              <w:tblStyle w:val="43"/>
              <w:tblW w:w="9189" w:type="dxa"/>
              <w:tblInd w:w="15"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906"/>
              <w:gridCol w:w="1500"/>
              <w:gridCol w:w="1337"/>
              <w:gridCol w:w="701"/>
              <w:gridCol w:w="437"/>
              <w:gridCol w:w="487"/>
              <w:gridCol w:w="654"/>
              <w:gridCol w:w="437"/>
              <w:gridCol w:w="655"/>
              <w:gridCol w:w="301"/>
              <w:gridCol w:w="721"/>
              <w:gridCol w:w="1053"/>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906" w:type="dxa"/>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r>
                    <w:rPr>
                      <w:rFonts w:hint="eastAsia" w:ascii="Times New Roman" w:hAnsi="Times New Roman" w:eastAsia="宋体"/>
                      <w:b/>
                      <w:bCs w:val="0"/>
                      <w:color w:val="auto"/>
                      <w:szCs w:val="21"/>
                    </w:rPr>
                    <w:t>面源</w:t>
                  </w:r>
                </w:p>
                <w:p>
                  <w:pPr>
                    <w:pStyle w:val="24"/>
                    <w:spacing w:line="320" w:lineRule="exact"/>
                    <w:ind w:firstLine="0" w:firstLineChars="0"/>
                    <w:jc w:val="center"/>
                    <w:rPr>
                      <w:rFonts w:ascii="Times New Roman" w:hAnsi="Times New Roman" w:eastAsia="宋体"/>
                      <w:b/>
                      <w:bCs w:val="0"/>
                      <w:color w:val="auto"/>
                      <w:szCs w:val="21"/>
                    </w:rPr>
                  </w:pPr>
                  <w:r>
                    <w:rPr>
                      <w:rFonts w:hint="eastAsia" w:ascii="Times New Roman" w:hAnsi="Times New Roman" w:eastAsia="宋体"/>
                      <w:b/>
                      <w:bCs w:val="0"/>
                      <w:color w:val="auto"/>
                      <w:szCs w:val="21"/>
                    </w:rPr>
                    <w:t>名称</w:t>
                  </w:r>
                </w:p>
              </w:tc>
              <w:tc>
                <w:tcPr>
                  <w:tcW w:w="1500" w:type="dxa"/>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r>
                    <w:rPr>
                      <w:rFonts w:ascii="Times New Roman" w:hAnsi="Times New Roman" w:eastAsia="宋体"/>
                      <w:b/>
                      <w:bCs w:val="0"/>
                      <w:color w:val="auto"/>
                      <w:szCs w:val="21"/>
                    </w:rPr>
                    <w:t>X</w:t>
                  </w:r>
                  <w:r>
                    <w:rPr>
                      <w:rFonts w:hint="eastAsia" w:ascii="Times New Roman" w:hAnsi="Times New Roman" w:eastAsia="宋体"/>
                      <w:b/>
                      <w:bCs w:val="0"/>
                      <w:color w:val="auto"/>
                      <w:szCs w:val="21"/>
                    </w:rPr>
                    <w:t>坐标</w:t>
                  </w:r>
                </w:p>
              </w:tc>
              <w:tc>
                <w:tcPr>
                  <w:tcW w:w="1337" w:type="dxa"/>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r>
                    <w:rPr>
                      <w:rFonts w:ascii="Times New Roman" w:hAnsi="Times New Roman" w:eastAsia="宋体"/>
                      <w:b/>
                      <w:bCs w:val="0"/>
                      <w:color w:val="auto"/>
                      <w:szCs w:val="21"/>
                    </w:rPr>
                    <w:t>Y</w:t>
                  </w:r>
                  <w:r>
                    <w:rPr>
                      <w:rFonts w:hint="eastAsia" w:ascii="Times New Roman" w:hAnsi="Times New Roman" w:eastAsia="宋体"/>
                      <w:b/>
                      <w:bCs w:val="0"/>
                      <w:color w:val="auto"/>
                      <w:szCs w:val="21"/>
                    </w:rPr>
                    <w:t>坐标</w:t>
                  </w:r>
                </w:p>
              </w:tc>
              <w:tc>
                <w:tcPr>
                  <w:tcW w:w="701" w:type="dxa"/>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r>
                    <w:rPr>
                      <w:rFonts w:hint="eastAsia" w:ascii="Times New Roman" w:hAnsi="Times New Roman" w:eastAsia="宋体"/>
                      <w:b/>
                      <w:bCs w:val="0"/>
                      <w:color w:val="auto"/>
                      <w:szCs w:val="21"/>
                    </w:rPr>
                    <w:t>面源海拔高度</w:t>
                  </w:r>
                </w:p>
              </w:tc>
              <w:tc>
                <w:tcPr>
                  <w:tcW w:w="437" w:type="dxa"/>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r>
                    <w:rPr>
                      <w:rFonts w:hint="eastAsia" w:ascii="Times New Roman" w:hAnsi="Times New Roman" w:eastAsia="宋体"/>
                      <w:b/>
                      <w:bCs w:val="0"/>
                      <w:color w:val="auto"/>
                      <w:szCs w:val="21"/>
                    </w:rPr>
                    <w:t>长度</w:t>
                  </w:r>
                </w:p>
              </w:tc>
              <w:tc>
                <w:tcPr>
                  <w:tcW w:w="487" w:type="dxa"/>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r>
                    <w:rPr>
                      <w:rFonts w:hint="eastAsia" w:ascii="Times New Roman" w:hAnsi="Times New Roman" w:eastAsia="宋体"/>
                      <w:b/>
                      <w:bCs w:val="0"/>
                      <w:color w:val="auto"/>
                      <w:szCs w:val="21"/>
                    </w:rPr>
                    <w:t>宽度</w:t>
                  </w:r>
                </w:p>
              </w:tc>
              <w:tc>
                <w:tcPr>
                  <w:tcW w:w="654" w:type="dxa"/>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r>
                    <w:rPr>
                      <w:rFonts w:hint="eastAsia" w:ascii="Times New Roman" w:hAnsi="Times New Roman" w:eastAsia="宋体"/>
                      <w:b/>
                      <w:bCs w:val="0"/>
                      <w:color w:val="auto"/>
                      <w:szCs w:val="21"/>
                    </w:rPr>
                    <w:t>与正北向夹角</w:t>
                  </w:r>
                </w:p>
              </w:tc>
              <w:tc>
                <w:tcPr>
                  <w:tcW w:w="437" w:type="dxa"/>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r>
                    <w:rPr>
                      <w:rFonts w:hint="eastAsia" w:ascii="Times New Roman" w:hAnsi="Times New Roman" w:eastAsia="宋体"/>
                      <w:b/>
                      <w:bCs w:val="0"/>
                      <w:color w:val="auto"/>
                      <w:szCs w:val="21"/>
                    </w:rPr>
                    <w:t>有效高度</w:t>
                  </w:r>
                </w:p>
              </w:tc>
              <w:tc>
                <w:tcPr>
                  <w:tcW w:w="655" w:type="dxa"/>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r>
                    <w:rPr>
                      <w:rFonts w:hint="eastAsia" w:ascii="Times New Roman" w:hAnsi="Times New Roman" w:eastAsia="宋体"/>
                      <w:b/>
                      <w:bCs w:val="0"/>
                      <w:color w:val="auto"/>
                      <w:szCs w:val="21"/>
                    </w:rPr>
                    <w:t>年排放时间</w:t>
                  </w:r>
                </w:p>
              </w:tc>
              <w:tc>
                <w:tcPr>
                  <w:tcW w:w="301" w:type="dxa"/>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r>
                    <w:rPr>
                      <w:rFonts w:hint="eastAsia" w:ascii="Times New Roman" w:hAnsi="Times New Roman" w:eastAsia="宋体"/>
                      <w:b/>
                      <w:bCs w:val="0"/>
                      <w:color w:val="auto"/>
                      <w:szCs w:val="21"/>
                    </w:rPr>
                    <w:t>排放工况</w:t>
                  </w:r>
                </w:p>
              </w:tc>
              <w:tc>
                <w:tcPr>
                  <w:tcW w:w="721" w:type="dxa"/>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r>
                    <w:rPr>
                      <w:rFonts w:hint="eastAsia" w:ascii="Times New Roman" w:hAnsi="Times New Roman" w:eastAsia="宋体"/>
                      <w:b/>
                      <w:bCs w:val="0"/>
                      <w:color w:val="auto"/>
                      <w:szCs w:val="21"/>
                    </w:rPr>
                    <w:t>污染物名称</w:t>
                  </w:r>
                </w:p>
              </w:tc>
              <w:tc>
                <w:tcPr>
                  <w:tcW w:w="1053" w:type="dxa"/>
                  <w:tcBorders>
                    <w:tl2br w:val="nil"/>
                    <w:tr2bl w:val="nil"/>
                  </w:tcBorders>
                  <w:vAlign w:val="center"/>
                </w:tcPr>
                <w:p>
                  <w:pPr>
                    <w:pStyle w:val="24"/>
                    <w:spacing w:line="320" w:lineRule="exact"/>
                    <w:ind w:firstLine="0" w:firstLineChars="0"/>
                    <w:jc w:val="center"/>
                    <w:rPr>
                      <w:rFonts w:ascii="Times New Roman" w:hAnsi="Times New Roman" w:eastAsia="宋体"/>
                      <w:b/>
                      <w:bCs w:val="0"/>
                      <w:color w:val="auto"/>
                      <w:szCs w:val="21"/>
                    </w:rPr>
                  </w:pPr>
                  <w:r>
                    <w:rPr>
                      <w:rFonts w:hint="eastAsia" w:ascii="Times New Roman" w:hAnsi="Times New Roman" w:eastAsia="宋体"/>
                      <w:b/>
                      <w:bCs w:val="0"/>
                      <w:color w:val="auto"/>
                      <w:szCs w:val="21"/>
                    </w:rPr>
                    <w:t>排放速率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906"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单位</w:t>
                  </w:r>
                </w:p>
              </w:tc>
              <w:tc>
                <w:tcPr>
                  <w:tcW w:w="1500"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w:t>
                  </w:r>
                </w:p>
              </w:tc>
              <w:tc>
                <w:tcPr>
                  <w:tcW w:w="1337"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w:t>
                  </w:r>
                </w:p>
              </w:tc>
              <w:tc>
                <w:tcPr>
                  <w:tcW w:w="701"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m</w:t>
                  </w:r>
                </w:p>
              </w:tc>
              <w:tc>
                <w:tcPr>
                  <w:tcW w:w="437"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m</w:t>
                  </w:r>
                </w:p>
              </w:tc>
              <w:tc>
                <w:tcPr>
                  <w:tcW w:w="487"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m</w:t>
                  </w:r>
                </w:p>
              </w:tc>
              <w:tc>
                <w:tcPr>
                  <w:tcW w:w="654"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w:t>
                  </w:r>
                </w:p>
              </w:tc>
              <w:tc>
                <w:tcPr>
                  <w:tcW w:w="437"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m</w:t>
                  </w:r>
                </w:p>
              </w:tc>
              <w:tc>
                <w:tcPr>
                  <w:tcW w:w="655"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h</w:t>
                  </w:r>
                </w:p>
              </w:tc>
              <w:tc>
                <w:tcPr>
                  <w:tcW w:w="301"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w:t>
                  </w:r>
                </w:p>
              </w:tc>
              <w:tc>
                <w:tcPr>
                  <w:tcW w:w="721"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w:t>
                  </w:r>
                </w:p>
              </w:tc>
              <w:tc>
                <w:tcPr>
                  <w:tcW w:w="1053"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kg/h</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906"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生产区</w:t>
                  </w:r>
                </w:p>
              </w:tc>
              <w:tc>
                <w:tcPr>
                  <w:tcW w:w="1500"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120°</w:t>
                  </w:r>
                  <w:r>
                    <w:rPr>
                      <w:rFonts w:hint="eastAsia" w:ascii="Times New Roman" w:hAnsi="Times New Roman" w:eastAsia="宋体"/>
                      <w:b w:val="0"/>
                      <w:bCs/>
                      <w:color w:val="auto"/>
                      <w:szCs w:val="21"/>
                    </w:rPr>
                    <w:t>30</w:t>
                  </w:r>
                  <w:r>
                    <w:rPr>
                      <w:rFonts w:ascii="Times New Roman" w:hAnsi="Times New Roman" w:eastAsia="宋体"/>
                      <w:b w:val="0"/>
                      <w:bCs/>
                      <w:color w:val="auto"/>
                      <w:szCs w:val="21"/>
                    </w:rPr>
                    <w:t>'</w:t>
                  </w:r>
                  <w:r>
                    <w:rPr>
                      <w:rFonts w:hint="eastAsia" w:ascii="Times New Roman" w:hAnsi="Times New Roman" w:eastAsia="宋体"/>
                      <w:b w:val="0"/>
                      <w:bCs/>
                      <w:color w:val="auto"/>
                      <w:szCs w:val="21"/>
                    </w:rPr>
                    <w:t>20.05</w:t>
                  </w:r>
                  <w:r>
                    <w:rPr>
                      <w:rFonts w:ascii="Times New Roman" w:hAnsi="Times New Roman" w:eastAsia="宋体"/>
                      <w:b w:val="0"/>
                      <w:bCs/>
                      <w:color w:val="auto"/>
                      <w:szCs w:val="21"/>
                    </w:rPr>
                    <w:t>"</w:t>
                  </w:r>
                </w:p>
              </w:tc>
              <w:tc>
                <w:tcPr>
                  <w:tcW w:w="1337"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32</w:t>
                  </w:r>
                  <w:r>
                    <w:rPr>
                      <w:rFonts w:ascii="Times New Roman" w:hAnsi="Times New Roman" w:eastAsia="宋体"/>
                      <w:b w:val="0"/>
                      <w:bCs/>
                      <w:color w:val="auto"/>
                      <w:szCs w:val="21"/>
                    </w:rPr>
                    <w:t>°</w:t>
                  </w:r>
                  <w:r>
                    <w:rPr>
                      <w:rFonts w:hint="eastAsia" w:ascii="Times New Roman" w:hAnsi="Times New Roman" w:eastAsia="宋体"/>
                      <w:b w:val="0"/>
                      <w:bCs/>
                      <w:color w:val="auto"/>
                      <w:szCs w:val="21"/>
                    </w:rPr>
                    <w:t>23'01.86"</w:t>
                  </w:r>
                </w:p>
              </w:tc>
              <w:tc>
                <w:tcPr>
                  <w:tcW w:w="701"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5</w:t>
                  </w:r>
                </w:p>
              </w:tc>
              <w:tc>
                <w:tcPr>
                  <w:tcW w:w="437"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40</w:t>
                  </w:r>
                </w:p>
              </w:tc>
              <w:tc>
                <w:tcPr>
                  <w:tcW w:w="487"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15</w:t>
                  </w:r>
                </w:p>
              </w:tc>
              <w:tc>
                <w:tcPr>
                  <w:tcW w:w="654"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15</w:t>
                  </w:r>
                </w:p>
              </w:tc>
              <w:tc>
                <w:tcPr>
                  <w:tcW w:w="437"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6</w:t>
                  </w:r>
                </w:p>
              </w:tc>
              <w:tc>
                <w:tcPr>
                  <w:tcW w:w="655"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7200</w:t>
                  </w:r>
                </w:p>
              </w:tc>
              <w:tc>
                <w:tcPr>
                  <w:tcW w:w="301" w:type="dxa"/>
                  <w:vMerge w:val="restart"/>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正常</w:t>
                  </w:r>
                </w:p>
              </w:tc>
              <w:tc>
                <w:tcPr>
                  <w:tcW w:w="721"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hint="eastAsia" w:ascii="Times New Roman" w:hAnsi="Times New Roman" w:eastAsia="宋体"/>
                      <w:b w:val="0"/>
                      <w:bCs/>
                      <w:color w:val="auto"/>
                      <w:szCs w:val="21"/>
                    </w:rPr>
                    <w:t>颗粒物</w:t>
                  </w:r>
                </w:p>
              </w:tc>
              <w:tc>
                <w:tcPr>
                  <w:tcW w:w="1053" w:type="dxa"/>
                  <w:tcBorders>
                    <w:tl2br w:val="nil"/>
                    <w:tr2bl w:val="nil"/>
                  </w:tcBorders>
                  <w:vAlign w:val="center"/>
                </w:tcPr>
                <w:p>
                  <w:pPr>
                    <w:pStyle w:val="24"/>
                    <w:spacing w:line="320" w:lineRule="exact"/>
                    <w:ind w:firstLine="0" w:firstLineChars="0"/>
                    <w:jc w:val="center"/>
                    <w:rPr>
                      <w:rFonts w:hint="default" w:ascii="Times New Roman" w:hAnsi="Times New Roman" w:eastAsia="宋体"/>
                      <w:b w:val="0"/>
                      <w:bCs/>
                      <w:color w:val="auto"/>
                      <w:szCs w:val="21"/>
                      <w:lang w:val="en-US" w:eastAsia="zh-CN"/>
                    </w:rPr>
                  </w:pPr>
                  <w:r>
                    <w:rPr>
                      <w:rFonts w:hint="eastAsia" w:ascii="Times New Roman" w:hAnsi="Times New Roman" w:eastAsia="宋体"/>
                      <w:b w:val="0"/>
                      <w:bCs/>
                      <w:color w:val="auto"/>
                      <w:szCs w:val="21"/>
                      <w:lang w:val="en-US" w:eastAsia="zh-CN"/>
                    </w:rPr>
                    <w:t>0.0545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906"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1500"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1337"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701"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437"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487"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654"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437"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655"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301"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721"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SO2</w:t>
                  </w:r>
                </w:p>
              </w:tc>
              <w:tc>
                <w:tcPr>
                  <w:tcW w:w="1053" w:type="dxa"/>
                  <w:tcBorders>
                    <w:tl2br w:val="nil"/>
                    <w:tr2bl w:val="nil"/>
                  </w:tcBorders>
                  <w:vAlign w:val="center"/>
                </w:tcPr>
                <w:p>
                  <w:pPr>
                    <w:pStyle w:val="24"/>
                    <w:spacing w:line="320" w:lineRule="exact"/>
                    <w:ind w:firstLine="0" w:firstLineChars="0"/>
                    <w:jc w:val="center"/>
                    <w:rPr>
                      <w:rFonts w:hint="default" w:ascii="Times New Roman" w:hAnsi="Times New Roman" w:eastAsia="宋体"/>
                      <w:b w:val="0"/>
                      <w:bCs/>
                      <w:color w:val="auto"/>
                      <w:szCs w:val="21"/>
                      <w:lang w:val="en-US" w:eastAsia="zh-CN"/>
                    </w:rPr>
                  </w:pPr>
                  <w:r>
                    <w:rPr>
                      <w:rFonts w:hint="eastAsia" w:ascii="Times New Roman" w:hAnsi="Times New Roman" w:eastAsia="宋体"/>
                      <w:b w:val="0"/>
                      <w:bCs/>
                      <w:color w:val="auto"/>
                      <w:szCs w:val="21"/>
                      <w:lang w:val="en-US" w:eastAsia="zh-CN"/>
                    </w:rPr>
                    <w:t>0.00792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906"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1500"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1337"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701"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437"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487"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654"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437"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655"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301"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721" w:type="dxa"/>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r>
                    <w:rPr>
                      <w:rFonts w:ascii="Times New Roman" w:hAnsi="Times New Roman" w:eastAsia="宋体"/>
                      <w:b w:val="0"/>
                      <w:bCs/>
                      <w:color w:val="auto"/>
                      <w:szCs w:val="21"/>
                    </w:rPr>
                    <w:t>NOX</w:t>
                  </w:r>
                </w:p>
              </w:tc>
              <w:tc>
                <w:tcPr>
                  <w:tcW w:w="1053" w:type="dxa"/>
                  <w:tcBorders>
                    <w:tl2br w:val="nil"/>
                    <w:tr2bl w:val="nil"/>
                  </w:tcBorders>
                  <w:vAlign w:val="center"/>
                </w:tcPr>
                <w:p>
                  <w:pPr>
                    <w:pStyle w:val="24"/>
                    <w:spacing w:line="320" w:lineRule="exact"/>
                    <w:ind w:firstLine="0" w:firstLineChars="0"/>
                    <w:jc w:val="center"/>
                    <w:rPr>
                      <w:rFonts w:hint="default" w:ascii="Times New Roman" w:hAnsi="Times New Roman" w:eastAsia="宋体"/>
                      <w:b w:val="0"/>
                      <w:bCs/>
                      <w:color w:val="auto"/>
                      <w:szCs w:val="21"/>
                      <w:lang w:val="en-US" w:eastAsia="zh-CN"/>
                    </w:rPr>
                  </w:pPr>
                  <w:r>
                    <w:rPr>
                      <w:rFonts w:hint="eastAsia" w:ascii="Times New Roman" w:hAnsi="Times New Roman" w:eastAsia="宋体"/>
                      <w:b w:val="0"/>
                      <w:bCs/>
                      <w:color w:val="auto"/>
                      <w:szCs w:val="21"/>
                      <w:lang w:val="en-US" w:eastAsia="zh-CN"/>
                    </w:rPr>
                    <w:t>0.015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906"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1500"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1337"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701"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437"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487"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654"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437"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655"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301"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721" w:type="dxa"/>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r>
                    <w:rPr>
                      <w:rFonts w:ascii="Times New Roman" w:hAnsi="Times New Roman" w:eastAsia="宋体"/>
                      <w:b w:val="0"/>
                      <w:bCs/>
                      <w:color w:val="auto"/>
                      <w:szCs w:val="21"/>
                    </w:rPr>
                    <w:t>沥青烟</w:t>
                  </w:r>
                </w:p>
              </w:tc>
              <w:tc>
                <w:tcPr>
                  <w:tcW w:w="1053" w:type="dxa"/>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r>
                    <w:rPr>
                      <w:rFonts w:hint="default" w:ascii="Times New Roman" w:hAnsi="Times New Roman" w:eastAsia="宋体"/>
                      <w:b w:val="0"/>
                      <w:bCs/>
                      <w:color w:val="auto"/>
                      <w:szCs w:val="21"/>
                      <w:lang w:val="en-US" w:eastAsia="zh-CN"/>
                    </w:rPr>
                    <w:t>0.00013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906"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1500" w:type="dxa"/>
                  <w:vMerge w:val="continue"/>
                  <w:tcBorders>
                    <w:tl2br w:val="nil"/>
                    <w:tr2bl w:val="nil"/>
                  </w:tcBorders>
                  <w:vAlign w:val="center"/>
                </w:tcPr>
                <w:p>
                  <w:pPr>
                    <w:pStyle w:val="24"/>
                    <w:spacing w:line="320" w:lineRule="exact"/>
                    <w:ind w:firstLine="0" w:firstLineChars="0"/>
                    <w:jc w:val="center"/>
                    <w:rPr>
                      <w:rFonts w:ascii="Times New Roman" w:hAnsi="Times New Roman" w:eastAsia="宋体"/>
                      <w:b w:val="0"/>
                      <w:bCs/>
                      <w:color w:val="auto"/>
                      <w:szCs w:val="21"/>
                    </w:rPr>
                  </w:pPr>
                </w:p>
              </w:tc>
              <w:tc>
                <w:tcPr>
                  <w:tcW w:w="1337"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701"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437"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487"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654"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437"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655"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301" w:type="dxa"/>
                  <w:vMerge w:val="continue"/>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p>
              </w:tc>
              <w:tc>
                <w:tcPr>
                  <w:tcW w:w="721" w:type="dxa"/>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r>
                    <w:rPr>
                      <w:rFonts w:ascii="Times New Roman" w:hAnsi="Times New Roman" w:eastAsia="宋体"/>
                      <w:b w:val="0"/>
                      <w:bCs/>
                      <w:color w:val="auto"/>
                      <w:szCs w:val="21"/>
                    </w:rPr>
                    <w:t>苯并[a]芘</w:t>
                  </w:r>
                </w:p>
              </w:tc>
              <w:tc>
                <w:tcPr>
                  <w:tcW w:w="1053" w:type="dxa"/>
                  <w:tcBorders>
                    <w:tl2br w:val="nil"/>
                    <w:tr2bl w:val="nil"/>
                  </w:tcBorders>
                  <w:vAlign w:val="center"/>
                </w:tcPr>
                <w:p>
                  <w:pPr>
                    <w:pStyle w:val="24"/>
                    <w:spacing w:line="320" w:lineRule="exact"/>
                    <w:ind w:firstLine="0" w:firstLineChars="0"/>
                    <w:jc w:val="center"/>
                    <w:rPr>
                      <w:rFonts w:hint="eastAsia" w:ascii="Times New Roman" w:hAnsi="Times New Roman" w:eastAsia="宋体"/>
                      <w:b w:val="0"/>
                      <w:bCs/>
                      <w:color w:val="auto"/>
                      <w:szCs w:val="21"/>
                    </w:rPr>
                  </w:pPr>
                  <w:r>
                    <w:rPr>
                      <w:rFonts w:hint="default" w:ascii="Times New Roman" w:hAnsi="Times New Roman" w:eastAsia="宋体"/>
                      <w:b w:val="0"/>
                      <w:bCs/>
                      <w:color w:val="auto"/>
                      <w:szCs w:val="21"/>
                      <w:lang w:val="en-US" w:eastAsia="zh-CN"/>
                    </w:rPr>
                    <w:t>7.21</w:t>
                  </w:r>
                  <w:r>
                    <w:rPr>
                      <w:rFonts w:hint="default" w:ascii="Times New Roman" w:hAnsi="Times New Roman" w:eastAsia="宋体"/>
                      <w:b w:val="0"/>
                      <w:bCs/>
                      <w:color w:val="auto"/>
                      <w:szCs w:val="21"/>
                    </w:rPr>
                    <w:t>*10-</w:t>
                  </w:r>
                  <w:r>
                    <w:rPr>
                      <w:rFonts w:hint="default" w:ascii="Times New Roman" w:hAnsi="Times New Roman" w:eastAsia="宋体"/>
                      <w:b w:val="0"/>
                      <w:bCs/>
                      <w:color w:val="auto"/>
                      <w:szCs w:val="21"/>
                      <w:lang w:val="en-US" w:eastAsia="zh-CN"/>
                    </w:rPr>
                    <w:t>8</w:t>
                  </w:r>
                </w:p>
              </w:tc>
            </w:tr>
          </w:tbl>
          <w:p>
            <w:pPr>
              <w:ind w:firstLine="480"/>
              <w:rPr>
                <w:rFonts w:hint="eastAsia" w:ascii="Times New Roman" w:hAnsi="Times New Roman" w:eastAsia="宋体"/>
                <w:b/>
                <w:color w:val="auto"/>
                <w:sz w:val="24"/>
                <w:szCs w:val="24"/>
              </w:rPr>
            </w:pPr>
            <w:r>
              <w:rPr>
                <w:rFonts w:hint="eastAsia" w:ascii="Times New Roman" w:hAnsi="Times New Roman" w:eastAsia="宋体"/>
                <w:color w:val="auto"/>
                <w:sz w:val="24"/>
                <w:szCs w:val="24"/>
              </w:rPr>
              <w:t>（5）估算模型参数</w:t>
            </w:r>
          </w:p>
          <w:p>
            <w:pPr>
              <w:spacing w:line="240" w:lineRule="auto"/>
              <w:ind w:firstLine="422"/>
              <w:jc w:val="center"/>
              <w:rPr>
                <w:rFonts w:ascii="Times New Roman" w:hAnsi="Times New Roman" w:eastAsia="宋体"/>
                <w:color w:val="auto"/>
                <w:sz w:val="21"/>
                <w:szCs w:val="21"/>
              </w:rPr>
            </w:pPr>
            <w:r>
              <w:rPr>
                <w:rFonts w:hint="eastAsia" w:ascii="Times New Roman" w:hAnsi="Times New Roman" w:eastAsia="宋体"/>
                <w:b/>
                <w:color w:val="auto"/>
                <w:sz w:val="21"/>
                <w:szCs w:val="21"/>
              </w:rPr>
              <w:t>表</w:t>
            </w:r>
            <w:r>
              <w:rPr>
                <w:rFonts w:ascii="Times New Roman" w:hAnsi="Times New Roman" w:eastAsia="宋体"/>
                <w:b/>
                <w:color w:val="auto"/>
                <w:sz w:val="21"/>
                <w:szCs w:val="21"/>
              </w:rPr>
              <w:t>7</w:t>
            </w:r>
            <w:r>
              <w:rPr>
                <w:rFonts w:hint="eastAsia"/>
                <w:b/>
                <w:color w:val="auto"/>
                <w:sz w:val="21"/>
                <w:szCs w:val="21"/>
                <w:lang w:val="en-US" w:eastAsia="zh-CN"/>
              </w:rPr>
              <w:t>.6</w:t>
            </w:r>
            <w:r>
              <w:rPr>
                <w:rFonts w:ascii="Times New Roman" w:hAnsi="Times New Roman" w:eastAsia="宋体"/>
                <w:b/>
                <w:color w:val="auto"/>
                <w:sz w:val="21"/>
                <w:szCs w:val="21"/>
              </w:rPr>
              <w:t>-</w:t>
            </w:r>
            <w:r>
              <w:rPr>
                <w:rFonts w:hint="eastAsia" w:ascii="Times New Roman" w:hAnsi="Times New Roman" w:eastAsia="宋体"/>
                <w:b/>
                <w:color w:val="auto"/>
                <w:sz w:val="21"/>
                <w:szCs w:val="21"/>
              </w:rPr>
              <w:t>4估算模型参数表</w:t>
            </w:r>
          </w:p>
          <w:tbl>
            <w:tblPr>
              <w:tblStyle w:val="43"/>
              <w:tblW w:w="9219" w:type="dxa"/>
              <w:tblInd w:w="0" w:type="dxa"/>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108" w:type="dxa"/>
                <w:bottom w:w="0" w:type="dxa"/>
                <w:right w:w="108" w:type="dxa"/>
              </w:tblCellMar>
            </w:tblPr>
            <w:tblGrid>
              <w:gridCol w:w="2552"/>
              <w:gridCol w:w="3411"/>
              <w:gridCol w:w="3256"/>
            </w:tblGrid>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trPr>
              <w:tc>
                <w:tcPr>
                  <w:tcW w:w="5963" w:type="dxa"/>
                  <w:gridSpan w:val="2"/>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参数</w:t>
                  </w:r>
                </w:p>
              </w:tc>
              <w:tc>
                <w:tcPr>
                  <w:tcW w:w="3256" w:type="dxa"/>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取值</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trPr>
              <w:tc>
                <w:tcPr>
                  <w:tcW w:w="2552" w:type="dxa"/>
                  <w:vMerge w:val="restart"/>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城市/农村选项</w:t>
                  </w:r>
                </w:p>
              </w:tc>
              <w:tc>
                <w:tcPr>
                  <w:tcW w:w="3411" w:type="dxa"/>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城市/农村</w:t>
                  </w:r>
                </w:p>
              </w:tc>
              <w:tc>
                <w:tcPr>
                  <w:tcW w:w="3256" w:type="dxa"/>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农村</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trPr>
              <w:tc>
                <w:tcPr>
                  <w:tcW w:w="2552" w:type="dxa"/>
                  <w:vMerge w:val="continue"/>
                  <w:vAlign w:val="center"/>
                </w:tcPr>
                <w:p>
                  <w:pPr>
                    <w:widowControl/>
                    <w:spacing w:line="240" w:lineRule="auto"/>
                    <w:ind w:firstLine="0" w:firstLineChars="0"/>
                    <w:jc w:val="left"/>
                    <w:rPr>
                      <w:rFonts w:ascii="Times New Roman" w:hAnsi="Times New Roman" w:eastAsia="宋体"/>
                      <w:color w:val="auto"/>
                      <w:kern w:val="0"/>
                      <w:sz w:val="21"/>
                      <w:szCs w:val="21"/>
                    </w:rPr>
                  </w:pPr>
                </w:p>
              </w:tc>
              <w:tc>
                <w:tcPr>
                  <w:tcW w:w="3411" w:type="dxa"/>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人口数（城市选项时）</w:t>
                  </w:r>
                </w:p>
              </w:tc>
              <w:tc>
                <w:tcPr>
                  <w:tcW w:w="3256" w:type="dxa"/>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trPr>
              <w:tc>
                <w:tcPr>
                  <w:tcW w:w="5963" w:type="dxa"/>
                  <w:gridSpan w:val="2"/>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最高环境温度/℃</w:t>
                  </w:r>
                </w:p>
              </w:tc>
              <w:tc>
                <w:tcPr>
                  <w:tcW w:w="3256" w:type="dxa"/>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39.6</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trPr>
              <w:tc>
                <w:tcPr>
                  <w:tcW w:w="5963" w:type="dxa"/>
                  <w:gridSpan w:val="2"/>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最低环境温度/℃</w:t>
                  </w:r>
                </w:p>
              </w:tc>
              <w:tc>
                <w:tcPr>
                  <w:tcW w:w="3256" w:type="dxa"/>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-11.2</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trPr>
              <w:tc>
                <w:tcPr>
                  <w:tcW w:w="5963" w:type="dxa"/>
                  <w:gridSpan w:val="2"/>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土地利用类型</w:t>
                  </w:r>
                </w:p>
              </w:tc>
              <w:tc>
                <w:tcPr>
                  <w:tcW w:w="3256" w:type="dxa"/>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农作地</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108" w:type="dxa"/>
                  <w:bottom w:w="0" w:type="dxa"/>
                  <w:right w:w="108" w:type="dxa"/>
                </w:tblCellMar>
              </w:tblPrEx>
              <w:trPr>
                <w:trHeight w:val="315" w:hRule="atLeast"/>
              </w:trPr>
              <w:tc>
                <w:tcPr>
                  <w:tcW w:w="5963" w:type="dxa"/>
                  <w:gridSpan w:val="2"/>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区域湿度条件</w:t>
                  </w:r>
                </w:p>
              </w:tc>
              <w:tc>
                <w:tcPr>
                  <w:tcW w:w="3256" w:type="dxa"/>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潮湿气候</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trPr>
              <w:tc>
                <w:tcPr>
                  <w:tcW w:w="2552" w:type="dxa"/>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　</w:t>
                  </w:r>
                </w:p>
              </w:tc>
              <w:tc>
                <w:tcPr>
                  <w:tcW w:w="3411" w:type="dxa"/>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地形数据分辨率</w:t>
                  </w:r>
                </w:p>
              </w:tc>
              <w:tc>
                <w:tcPr>
                  <w:tcW w:w="3256" w:type="dxa"/>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trPr>
              <w:tc>
                <w:tcPr>
                  <w:tcW w:w="2552" w:type="dxa"/>
                  <w:vMerge w:val="restart"/>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是否考虑海岸线熏烟</w:t>
                  </w:r>
                </w:p>
              </w:tc>
              <w:tc>
                <w:tcPr>
                  <w:tcW w:w="3411" w:type="dxa"/>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是/否</w:t>
                  </w:r>
                </w:p>
              </w:tc>
              <w:tc>
                <w:tcPr>
                  <w:tcW w:w="3256" w:type="dxa"/>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否</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trPr>
              <w:tc>
                <w:tcPr>
                  <w:tcW w:w="2552" w:type="dxa"/>
                  <w:vMerge w:val="continue"/>
                  <w:vAlign w:val="center"/>
                </w:tcPr>
                <w:p>
                  <w:pPr>
                    <w:widowControl/>
                    <w:spacing w:line="240" w:lineRule="auto"/>
                    <w:ind w:firstLine="0" w:firstLineChars="0"/>
                    <w:jc w:val="left"/>
                    <w:rPr>
                      <w:rFonts w:ascii="Times New Roman" w:hAnsi="Times New Roman" w:eastAsia="宋体"/>
                      <w:color w:val="auto"/>
                      <w:kern w:val="0"/>
                      <w:sz w:val="21"/>
                      <w:szCs w:val="21"/>
                    </w:rPr>
                  </w:pPr>
                </w:p>
              </w:tc>
              <w:tc>
                <w:tcPr>
                  <w:tcW w:w="3411" w:type="dxa"/>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海岸线距离/m</w:t>
                  </w:r>
                </w:p>
              </w:tc>
              <w:tc>
                <w:tcPr>
                  <w:tcW w:w="3256" w:type="dxa"/>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trPr>
              <w:tc>
                <w:tcPr>
                  <w:tcW w:w="2552" w:type="dxa"/>
                  <w:vMerge w:val="continue"/>
                  <w:vAlign w:val="center"/>
                </w:tcPr>
                <w:p>
                  <w:pPr>
                    <w:widowControl/>
                    <w:spacing w:line="240" w:lineRule="auto"/>
                    <w:ind w:firstLine="0" w:firstLineChars="0"/>
                    <w:jc w:val="left"/>
                    <w:rPr>
                      <w:rFonts w:ascii="Times New Roman" w:hAnsi="Times New Roman" w:eastAsia="宋体"/>
                      <w:color w:val="auto"/>
                      <w:kern w:val="0"/>
                      <w:sz w:val="21"/>
                      <w:szCs w:val="21"/>
                    </w:rPr>
                  </w:pPr>
                </w:p>
              </w:tc>
              <w:tc>
                <w:tcPr>
                  <w:tcW w:w="3411" w:type="dxa"/>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海岸线方向/°</w:t>
                  </w:r>
                </w:p>
              </w:tc>
              <w:tc>
                <w:tcPr>
                  <w:tcW w:w="3256" w:type="dxa"/>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w:t>
                  </w:r>
                </w:p>
              </w:tc>
            </w:tr>
          </w:tbl>
          <w:p>
            <w:pPr>
              <w:pStyle w:val="21"/>
              <w:bidi w:val="0"/>
              <w:rPr>
                <w:sz w:val="24"/>
                <w:szCs w:val="22"/>
              </w:rPr>
            </w:pPr>
            <w:r>
              <w:rPr>
                <w:sz w:val="24"/>
                <w:szCs w:val="22"/>
              </w:rPr>
              <w:t>（</w:t>
            </w:r>
            <w:r>
              <w:rPr>
                <w:rFonts w:hint="eastAsia"/>
                <w:sz w:val="24"/>
                <w:szCs w:val="22"/>
              </w:rPr>
              <w:t>6</w:t>
            </w:r>
            <w:r>
              <w:rPr>
                <w:sz w:val="24"/>
                <w:szCs w:val="22"/>
              </w:rPr>
              <w:t>）评价工作等级的确定方法</w:t>
            </w:r>
          </w:p>
          <w:p>
            <w:pPr>
              <w:pStyle w:val="21"/>
              <w:bidi w:val="0"/>
              <w:rPr>
                <w:sz w:val="24"/>
                <w:szCs w:val="22"/>
              </w:rPr>
            </w:pPr>
            <w:r>
              <w:rPr>
                <w:rFonts w:hint="eastAsia"/>
                <w:sz w:val="24"/>
                <w:szCs w:val="22"/>
              </w:rPr>
              <w:t>根据</w:t>
            </w:r>
            <w:r>
              <w:rPr>
                <w:sz w:val="24"/>
                <w:szCs w:val="22"/>
              </w:rPr>
              <w:t>HJ2.2—2018</w:t>
            </w:r>
            <w:r>
              <w:rPr>
                <w:rFonts w:hint="eastAsia"/>
                <w:sz w:val="24"/>
                <w:szCs w:val="22"/>
              </w:rPr>
              <w:t>《环境影响评价技术导则大气环境》中</w:t>
            </w:r>
            <w:r>
              <w:rPr>
                <w:sz w:val="24"/>
                <w:szCs w:val="22"/>
              </w:rPr>
              <w:t>5.3</w:t>
            </w:r>
            <w:r>
              <w:rPr>
                <w:rFonts w:hint="eastAsia"/>
                <w:sz w:val="24"/>
                <w:szCs w:val="22"/>
              </w:rPr>
              <w:t>节工作等级的确定方法，结合项目工程分析结果，选择正常排放的主要污染物及排放参数，采用附录</w:t>
            </w:r>
            <w:r>
              <w:rPr>
                <w:sz w:val="24"/>
                <w:szCs w:val="22"/>
              </w:rPr>
              <w:t>A</w:t>
            </w:r>
            <w:r>
              <w:rPr>
                <w:rFonts w:hint="eastAsia"/>
                <w:sz w:val="24"/>
                <w:szCs w:val="22"/>
              </w:rPr>
              <w:t>推荐模型中</w:t>
            </w:r>
            <w:r>
              <w:rPr>
                <w:sz w:val="24"/>
                <w:szCs w:val="22"/>
              </w:rPr>
              <w:t>AERSCREEN</w:t>
            </w:r>
            <w:r>
              <w:rPr>
                <w:rFonts w:hint="eastAsia"/>
                <w:sz w:val="24"/>
                <w:szCs w:val="22"/>
              </w:rPr>
              <w:t>模式计算项目污染源的最大环境影响，然后按评价工作分级判据进行分级。</w:t>
            </w:r>
          </w:p>
          <w:p>
            <w:pPr>
              <w:pStyle w:val="21"/>
              <w:bidi w:val="0"/>
              <w:rPr>
                <w:sz w:val="24"/>
                <w:szCs w:val="22"/>
              </w:rPr>
            </w:pPr>
            <w:r>
              <w:rPr>
                <w:rFonts w:hint="eastAsia"/>
                <w:sz w:val="24"/>
                <w:szCs w:val="22"/>
              </w:rPr>
              <w:t>①</w:t>
            </w:r>
            <w:r>
              <w:rPr>
                <w:sz w:val="24"/>
                <w:szCs w:val="22"/>
              </w:rPr>
              <w:t>PMAX</w:t>
            </w:r>
            <w:r>
              <w:rPr>
                <w:rFonts w:hint="eastAsia"/>
                <w:sz w:val="24"/>
                <w:szCs w:val="22"/>
              </w:rPr>
              <w:t>及</w:t>
            </w:r>
            <w:r>
              <w:rPr>
                <w:sz w:val="24"/>
                <w:szCs w:val="22"/>
              </w:rPr>
              <w:t>D10%</w:t>
            </w:r>
            <w:r>
              <w:rPr>
                <w:rFonts w:hint="eastAsia"/>
                <w:sz w:val="24"/>
                <w:szCs w:val="22"/>
              </w:rPr>
              <w:t>的确定</w:t>
            </w:r>
          </w:p>
          <w:p>
            <w:pPr>
              <w:pStyle w:val="21"/>
              <w:bidi w:val="0"/>
              <w:rPr>
                <w:sz w:val="24"/>
                <w:szCs w:val="22"/>
              </w:rPr>
            </w:pPr>
            <w:r>
              <w:rPr>
                <w:rFonts w:hint="eastAsia"/>
                <w:sz w:val="24"/>
                <w:szCs w:val="22"/>
              </w:rPr>
              <w:t>依据《环境影响评价技术导则大气环境》（</w:t>
            </w:r>
            <w:r>
              <w:rPr>
                <w:sz w:val="24"/>
                <w:szCs w:val="22"/>
              </w:rPr>
              <w:t>HJ2.2-2018</w:t>
            </w:r>
            <w:r>
              <w:rPr>
                <w:rFonts w:hint="eastAsia"/>
                <w:sz w:val="24"/>
                <w:szCs w:val="22"/>
              </w:rPr>
              <w:t>）中最大地面浓度占标率</w:t>
            </w:r>
            <w:r>
              <w:rPr>
                <w:sz w:val="24"/>
                <w:szCs w:val="22"/>
              </w:rPr>
              <w:t>Pi</w:t>
            </w:r>
            <w:r>
              <w:rPr>
                <w:rFonts w:hint="eastAsia"/>
                <w:sz w:val="24"/>
                <w:szCs w:val="22"/>
              </w:rPr>
              <w:t>定义如下：</w:t>
            </w:r>
          </w:p>
          <w:p>
            <w:pPr>
              <w:pStyle w:val="21"/>
              <w:bidi w:val="0"/>
              <w:rPr>
                <w:sz w:val="24"/>
                <w:szCs w:val="22"/>
              </w:rPr>
            </w:pPr>
            <w:r>
              <w:rPr>
                <w:sz w:val="24"/>
                <w:szCs w:val="22"/>
              </w:rPr>
              <w:t>Pi=CI/C0i×100%</w:t>
            </w:r>
          </w:p>
          <w:p>
            <w:pPr>
              <w:pStyle w:val="21"/>
              <w:bidi w:val="0"/>
              <w:rPr>
                <w:sz w:val="24"/>
                <w:szCs w:val="22"/>
              </w:rPr>
            </w:pPr>
            <w:r>
              <w:rPr>
                <w:sz w:val="24"/>
                <w:szCs w:val="22"/>
              </w:rPr>
              <w:t>式中：Pi—第i个污染物的最大地面浓度占标率，%；</w:t>
            </w:r>
          </w:p>
          <w:p>
            <w:pPr>
              <w:pStyle w:val="21"/>
              <w:bidi w:val="0"/>
              <w:rPr>
                <w:sz w:val="24"/>
                <w:szCs w:val="22"/>
              </w:rPr>
            </w:pPr>
            <w:r>
              <w:rPr>
                <w:sz w:val="24"/>
                <w:szCs w:val="22"/>
              </w:rPr>
              <w:t>CI—采用估算模式计算出的第i个污染物的最大地面浓度，mg/m3</w:t>
            </w:r>
            <w:r>
              <w:rPr>
                <w:rFonts w:hint="eastAsia"/>
                <w:sz w:val="24"/>
                <w:szCs w:val="22"/>
              </w:rPr>
              <w:t>；</w:t>
            </w:r>
          </w:p>
          <w:p>
            <w:pPr>
              <w:pStyle w:val="21"/>
              <w:bidi w:val="0"/>
              <w:rPr>
                <w:sz w:val="24"/>
                <w:szCs w:val="22"/>
              </w:rPr>
            </w:pPr>
            <w:r>
              <w:rPr>
                <w:sz w:val="24"/>
                <w:szCs w:val="22"/>
              </w:rPr>
              <w:t>C0i—第i个污染物的环境质量标准，mg/m3。</w:t>
            </w:r>
          </w:p>
          <w:p>
            <w:pPr>
              <w:pStyle w:val="21"/>
              <w:bidi w:val="0"/>
              <w:rPr>
                <w:sz w:val="24"/>
                <w:szCs w:val="22"/>
              </w:rPr>
            </w:pPr>
            <w:r>
              <w:rPr>
                <w:rFonts w:hint="eastAsia"/>
                <w:sz w:val="24"/>
                <w:szCs w:val="22"/>
              </w:rPr>
              <w:t>②评价等级判别表</w:t>
            </w:r>
          </w:p>
          <w:p>
            <w:pPr>
              <w:pStyle w:val="21"/>
              <w:bidi w:val="0"/>
              <w:rPr>
                <w:rFonts w:ascii="Times New Roman" w:hAnsi="Times New Roman" w:eastAsia="宋体"/>
                <w:color w:val="auto"/>
                <w:szCs w:val="24"/>
              </w:rPr>
            </w:pPr>
            <w:r>
              <w:rPr>
                <w:rFonts w:hint="eastAsia"/>
                <w:sz w:val="24"/>
                <w:szCs w:val="22"/>
              </w:rPr>
              <w:t>评价等级按下表的分级判据进行划分，详见表</w:t>
            </w:r>
            <w:r>
              <w:rPr>
                <w:sz w:val="24"/>
                <w:szCs w:val="22"/>
              </w:rPr>
              <w:t>7</w:t>
            </w:r>
            <w:r>
              <w:rPr>
                <w:rFonts w:hint="eastAsia"/>
                <w:sz w:val="24"/>
                <w:szCs w:val="22"/>
                <w:lang w:val="en-US" w:eastAsia="zh-CN"/>
              </w:rPr>
              <w:t>.6</w:t>
            </w:r>
            <w:r>
              <w:rPr>
                <w:sz w:val="24"/>
                <w:szCs w:val="22"/>
              </w:rPr>
              <w:t>-</w:t>
            </w:r>
            <w:r>
              <w:rPr>
                <w:rFonts w:hint="eastAsia"/>
                <w:sz w:val="24"/>
                <w:szCs w:val="22"/>
              </w:rPr>
              <w:t>5。</w:t>
            </w:r>
          </w:p>
          <w:p>
            <w:pPr>
              <w:pStyle w:val="151"/>
              <w:ind w:firstLine="480"/>
              <w:jc w:val="center"/>
              <w:rPr>
                <w:rFonts w:ascii="Times New Roman" w:hAnsi="Times New Roman" w:eastAsia="宋体"/>
                <w:b/>
                <w:color w:val="auto"/>
                <w:sz w:val="21"/>
                <w:szCs w:val="21"/>
              </w:rPr>
            </w:pPr>
            <w:r>
              <w:rPr>
                <w:rFonts w:ascii="Times New Roman" w:hAnsi="Times New Roman" w:eastAsia="宋体"/>
                <w:b/>
                <w:color w:val="auto"/>
                <w:sz w:val="21"/>
                <w:szCs w:val="21"/>
              </w:rPr>
              <w:t>表7</w:t>
            </w:r>
            <w:r>
              <w:rPr>
                <w:rFonts w:hint="eastAsia"/>
                <w:b/>
                <w:color w:val="auto"/>
                <w:sz w:val="21"/>
                <w:szCs w:val="21"/>
                <w:lang w:val="en-US" w:eastAsia="zh-CN"/>
              </w:rPr>
              <w:t>.6</w:t>
            </w:r>
            <w:r>
              <w:rPr>
                <w:rFonts w:ascii="Times New Roman" w:hAnsi="Times New Roman" w:eastAsia="宋体"/>
                <w:b/>
                <w:color w:val="auto"/>
                <w:sz w:val="21"/>
                <w:szCs w:val="21"/>
              </w:rPr>
              <w:t>-</w:t>
            </w:r>
            <w:r>
              <w:rPr>
                <w:rFonts w:hint="eastAsia" w:ascii="Times New Roman" w:hAnsi="Times New Roman" w:eastAsia="宋体"/>
                <w:b/>
                <w:color w:val="auto"/>
                <w:sz w:val="21"/>
                <w:szCs w:val="21"/>
              </w:rPr>
              <w:t>5</w:t>
            </w:r>
            <w:r>
              <w:rPr>
                <w:rFonts w:ascii="Times New Roman" w:hAnsi="Times New Roman" w:eastAsia="宋体"/>
                <w:b/>
                <w:color w:val="auto"/>
                <w:sz w:val="21"/>
                <w:szCs w:val="21"/>
              </w:rPr>
              <w:t>评价工作等级</w:t>
            </w:r>
          </w:p>
          <w:tbl>
            <w:tblPr>
              <w:tblStyle w:val="43"/>
              <w:tblW w:w="9073"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67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20" w:type="dxa"/>
                  <w:tcBorders>
                    <w:top w:val="single" w:color="auto" w:sz="12" w:space="0"/>
                    <w:left w:val="nil"/>
                    <w:bottom w:val="single" w:color="auto" w:sz="4" w:space="0"/>
                    <w:right w:val="single" w:color="auto" w:sz="4" w:space="0"/>
                  </w:tcBorders>
                  <w:vAlign w:val="center"/>
                </w:tcPr>
                <w:p>
                  <w:pPr>
                    <w:pStyle w:val="151"/>
                    <w:adjustRightInd/>
                    <w:snapToGrid/>
                    <w:spacing w:line="320" w:lineRule="exact"/>
                    <w:ind w:left="0" w:leftChars="0" w:firstLine="0" w:firstLineChars="0"/>
                    <w:jc w:val="center"/>
                    <w:rPr>
                      <w:rFonts w:ascii="Times New Roman" w:hAnsi="Times New Roman" w:eastAsia="宋体"/>
                      <w:color w:val="auto"/>
                      <w:kern w:val="2"/>
                      <w:sz w:val="21"/>
                      <w:szCs w:val="21"/>
                    </w:rPr>
                  </w:pPr>
                  <w:r>
                    <w:rPr>
                      <w:rFonts w:ascii="Times New Roman" w:hAnsi="Times New Roman" w:eastAsia="宋体"/>
                      <w:b/>
                      <w:color w:val="auto"/>
                      <w:kern w:val="2"/>
                      <w:sz w:val="21"/>
                      <w:szCs w:val="21"/>
                    </w:rPr>
                    <w:t>评价工作等级</w:t>
                  </w:r>
                </w:p>
              </w:tc>
              <w:tc>
                <w:tcPr>
                  <w:tcW w:w="6753" w:type="dxa"/>
                  <w:tcBorders>
                    <w:top w:val="single" w:color="auto" w:sz="12" w:space="0"/>
                    <w:left w:val="single" w:color="auto" w:sz="4" w:space="0"/>
                    <w:bottom w:val="single" w:color="auto" w:sz="4" w:space="0"/>
                    <w:right w:val="nil"/>
                  </w:tcBorders>
                  <w:vAlign w:val="center"/>
                </w:tcPr>
                <w:p>
                  <w:pPr>
                    <w:pStyle w:val="151"/>
                    <w:adjustRightInd/>
                    <w:snapToGrid/>
                    <w:spacing w:line="320" w:lineRule="exact"/>
                    <w:ind w:left="0" w:leftChars="0" w:firstLine="0" w:firstLineChars="0"/>
                    <w:jc w:val="center"/>
                    <w:rPr>
                      <w:rFonts w:ascii="Times New Roman" w:hAnsi="Times New Roman" w:eastAsia="宋体"/>
                      <w:color w:val="auto"/>
                      <w:kern w:val="2"/>
                      <w:sz w:val="21"/>
                      <w:szCs w:val="21"/>
                    </w:rPr>
                  </w:pPr>
                  <w:r>
                    <w:rPr>
                      <w:rFonts w:ascii="Times New Roman" w:hAnsi="Times New Roman" w:eastAsia="宋体"/>
                      <w:b/>
                      <w:color w:val="auto"/>
                      <w:kern w:val="2"/>
                      <w:sz w:val="21"/>
                      <w:szCs w:val="21"/>
                    </w:rPr>
                    <w:t>分级判据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20" w:type="dxa"/>
                  <w:tcBorders>
                    <w:top w:val="single" w:color="auto" w:sz="4" w:space="0"/>
                    <w:left w:val="nil"/>
                    <w:bottom w:val="single" w:color="auto" w:sz="4" w:space="0"/>
                    <w:right w:val="single" w:color="auto" w:sz="4" w:space="0"/>
                  </w:tcBorders>
                  <w:vAlign w:val="center"/>
                </w:tcPr>
                <w:p>
                  <w:pPr>
                    <w:pStyle w:val="151"/>
                    <w:adjustRightInd/>
                    <w:snapToGrid/>
                    <w:spacing w:line="320" w:lineRule="exact"/>
                    <w:ind w:left="0" w:leftChars="0" w:firstLine="0" w:firstLineChars="0"/>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一级评价</w:t>
                  </w:r>
                </w:p>
              </w:tc>
              <w:tc>
                <w:tcPr>
                  <w:tcW w:w="6753" w:type="dxa"/>
                  <w:tcBorders>
                    <w:top w:val="single" w:color="auto" w:sz="4" w:space="0"/>
                    <w:left w:val="single" w:color="auto" w:sz="4" w:space="0"/>
                    <w:bottom w:val="single" w:color="auto" w:sz="4" w:space="0"/>
                    <w:right w:val="nil"/>
                  </w:tcBorders>
                  <w:vAlign w:val="center"/>
                </w:tcPr>
                <w:p>
                  <w:pPr>
                    <w:pStyle w:val="151"/>
                    <w:adjustRightInd/>
                    <w:snapToGrid/>
                    <w:spacing w:line="320" w:lineRule="exact"/>
                    <w:ind w:left="0" w:leftChars="0" w:firstLine="0" w:firstLineChars="0"/>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P</w:t>
                  </w:r>
                  <w:r>
                    <w:rPr>
                      <w:rFonts w:ascii="Times New Roman" w:hAnsi="Times New Roman" w:eastAsia="宋体"/>
                      <w:color w:val="auto"/>
                      <w:kern w:val="2"/>
                      <w:sz w:val="21"/>
                      <w:szCs w:val="21"/>
                      <w:vertAlign w:val="subscript"/>
                    </w:rPr>
                    <w:t>max</w:t>
                  </w:r>
                  <w:r>
                    <w:rPr>
                      <w:rFonts w:ascii="Times New Roman" w:hAnsi="Times New Roman" w:eastAsia="宋体"/>
                      <w:color w:val="auto"/>
                      <w:kern w:val="2"/>
                      <w:sz w:val="21"/>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20" w:type="dxa"/>
                  <w:tcBorders>
                    <w:top w:val="single" w:color="auto" w:sz="4" w:space="0"/>
                    <w:left w:val="nil"/>
                    <w:bottom w:val="single" w:color="auto" w:sz="4" w:space="0"/>
                    <w:right w:val="single" w:color="auto" w:sz="4" w:space="0"/>
                  </w:tcBorders>
                  <w:vAlign w:val="center"/>
                </w:tcPr>
                <w:p>
                  <w:pPr>
                    <w:pStyle w:val="151"/>
                    <w:adjustRightInd/>
                    <w:snapToGrid/>
                    <w:spacing w:line="320" w:lineRule="exact"/>
                    <w:ind w:left="0" w:leftChars="0" w:firstLine="0" w:firstLineChars="0"/>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二级评价</w:t>
                  </w:r>
                </w:p>
              </w:tc>
              <w:tc>
                <w:tcPr>
                  <w:tcW w:w="6753" w:type="dxa"/>
                  <w:tcBorders>
                    <w:top w:val="single" w:color="auto" w:sz="4" w:space="0"/>
                    <w:left w:val="single" w:color="auto" w:sz="4" w:space="0"/>
                    <w:bottom w:val="single" w:color="auto" w:sz="4" w:space="0"/>
                    <w:right w:val="nil"/>
                  </w:tcBorders>
                  <w:vAlign w:val="center"/>
                </w:tcPr>
                <w:p>
                  <w:pPr>
                    <w:pStyle w:val="151"/>
                    <w:adjustRightInd/>
                    <w:snapToGrid/>
                    <w:spacing w:line="320" w:lineRule="exact"/>
                    <w:ind w:left="0" w:leftChars="0" w:firstLine="0" w:firstLineChars="0"/>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1%≤P</w:t>
                  </w:r>
                  <w:r>
                    <w:rPr>
                      <w:rFonts w:ascii="Times New Roman" w:hAnsi="Times New Roman" w:eastAsia="宋体"/>
                      <w:color w:val="auto"/>
                      <w:kern w:val="2"/>
                      <w:sz w:val="21"/>
                      <w:szCs w:val="21"/>
                      <w:vertAlign w:val="subscript"/>
                    </w:rPr>
                    <w:t>max</w:t>
                  </w:r>
                  <w:r>
                    <w:rPr>
                      <w:rFonts w:ascii="Times New Roman" w:hAnsi="Times New Roman" w:eastAsia="宋体"/>
                      <w:color w:val="auto"/>
                      <w:kern w:val="2"/>
                      <w:sz w:val="21"/>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20" w:type="dxa"/>
                  <w:tcBorders>
                    <w:top w:val="single" w:color="auto" w:sz="4" w:space="0"/>
                    <w:left w:val="nil"/>
                    <w:bottom w:val="single" w:color="auto" w:sz="12" w:space="0"/>
                    <w:right w:val="single" w:color="auto" w:sz="4" w:space="0"/>
                  </w:tcBorders>
                  <w:vAlign w:val="center"/>
                </w:tcPr>
                <w:p>
                  <w:pPr>
                    <w:pStyle w:val="151"/>
                    <w:adjustRightInd/>
                    <w:snapToGrid/>
                    <w:spacing w:line="320" w:lineRule="exact"/>
                    <w:ind w:left="0" w:leftChars="0" w:firstLine="0" w:firstLineChars="0"/>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三级评价</w:t>
                  </w:r>
                </w:p>
              </w:tc>
              <w:tc>
                <w:tcPr>
                  <w:tcW w:w="6753" w:type="dxa"/>
                  <w:tcBorders>
                    <w:top w:val="single" w:color="auto" w:sz="4" w:space="0"/>
                    <w:left w:val="single" w:color="auto" w:sz="4" w:space="0"/>
                    <w:bottom w:val="single" w:color="auto" w:sz="12" w:space="0"/>
                    <w:right w:val="nil"/>
                  </w:tcBorders>
                  <w:vAlign w:val="center"/>
                </w:tcPr>
                <w:p>
                  <w:pPr>
                    <w:pStyle w:val="151"/>
                    <w:adjustRightInd/>
                    <w:snapToGrid/>
                    <w:spacing w:line="320" w:lineRule="exact"/>
                    <w:ind w:left="0" w:leftChars="0" w:firstLine="0" w:firstLineChars="0"/>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P</w:t>
                  </w:r>
                  <w:r>
                    <w:rPr>
                      <w:rFonts w:ascii="Times New Roman" w:hAnsi="Times New Roman" w:eastAsia="宋体"/>
                      <w:color w:val="auto"/>
                      <w:kern w:val="2"/>
                      <w:sz w:val="21"/>
                      <w:szCs w:val="21"/>
                      <w:vertAlign w:val="subscript"/>
                    </w:rPr>
                    <w:t>max</w:t>
                  </w:r>
                  <w:r>
                    <w:rPr>
                      <w:rFonts w:ascii="Times New Roman" w:hAnsi="Times New Roman" w:eastAsia="宋体"/>
                      <w:color w:val="auto"/>
                      <w:kern w:val="2"/>
                      <w:sz w:val="21"/>
                      <w:szCs w:val="21"/>
                    </w:rPr>
                    <w:t>＜1%</w:t>
                  </w:r>
                </w:p>
              </w:tc>
            </w:tr>
          </w:tbl>
          <w:p>
            <w:pPr>
              <w:pStyle w:val="21"/>
              <w:bidi w:val="0"/>
              <w:rPr>
                <w:sz w:val="24"/>
                <w:szCs w:val="22"/>
              </w:rPr>
            </w:pPr>
            <w:r>
              <w:rPr>
                <w:sz w:val="24"/>
                <w:szCs w:val="22"/>
              </w:rPr>
              <w:t>（</w:t>
            </w:r>
            <w:r>
              <w:rPr>
                <w:rFonts w:hint="eastAsia"/>
                <w:sz w:val="24"/>
                <w:szCs w:val="22"/>
              </w:rPr>
              <w:t>7</w:t>
            </w:r>
            <w:r>
              <w:rPr>
                <w:sz w:val="24"/>
                <w:szCs w:val="22"/>
              </w:rPr>
              <w:t>）估算模式的计算结果</w:t>
            </w:r>
          </w:p>
          <w:p>
            <w:pPr>
              <w:pStyle w:val="21"/>
              <w:bidi w:val="0"/>
              <w:rPr>
                <w:sz w:val="24"/>
                <w:szCs w:val="22"/>
              </w:rPr>
            </w:pPr>
            <w:r>
              <w:rPr>
                <w:rFonts w:hint="eastAsia"/>
                <w:sz w:val="24"/>
                <w:szCs w:val="22"/>
              </w:rPr>
              <w:t>根据《大气环境影响评价技术导则（</w:t>
            </w:r>
            <w:r>
              <w:rPr>
                <w:sz w:val="24"/>
                <w:szCs w:val="22"/>
              </w:rPr>
              <w:t>HJ2.2-2018</w:t>
            </w:r>
            <w:r>
              <w:rPr>
                <w:rFonts w:hint="eastAsia"/>
                <w:sz w:val="24"/>
                <w:szCs w:val="22"/>
              </w:rPr>
              <w:t>）》导则推荐的估算模式</w:t>
            </w:r>
            <w:r>
              <w:rPr>
                <w:sz w:val="24"/>
                <w:szCs w:val="22"/>
              </w:rPr>
              <w:t>ARESCREEN</w:t>
            </w:r>
            <w:r>
              <w:rPr>
                <w:rFonts w:hint="eastAsia"/>
                <w:sz w:val="24"/>
                <w:szCs w:val="22"/>
              </w:rPr>
              <w:t>，选取</w:t>
            </w:r>
            <w:r>
              <w:rPr>
                <w:sz w:val="24"/>
                <w:szCs w:val="22"/>
              </w:rPr>
              <w:t>PM10</w:t>
            </w:r>
            <w:r>
              <w:rPr>
                <w:rFonts w:hint="eastAsia"/>
                <w:sz w:val="24"/>
                <w:szCs w:val="22"/>
              </w:rPr>
              <w:t>及非甲烷总烃进行大气环境影响预测。本项目正常工况下估算结果如下表。</w:t>
            </w:r>
          </w:p>
          <w:p>
            <w:pPr>
              <w:spacing w:line="240" w:lineRule="auto"/>
              <w:ind w:firstLine="0" w:firstLineChars="0"/>
              <w:jc w:val="center"/>
              <w:rPr>
                <w:rFonts w:ascii="Times New Roman" w:hAnsi="Times New Roman" w:eastAsia="宋体"/>
                <w:b/>
                <w:color w:val="auto"/>
                <w:sz w:val="21"/>
                <w:szCs w:val="21"/>
              </w:rPr>
            </w:pPr>
            <w:r>
              <w:rPr>
                <w:rFonts w:hint="eastAsia" w:ascii="Times New Roman" w:hAnsi="Times New Roman" w:eastAsia="宋体"/>
                <w:b/>
                <w:color w:val="auto"/>
                <w:sz w:val="21"/>
                <w:szCs w:val="21"/>
              </w:rPr>
              <w:t>表</w:t>
            </w:r>
            <w:r>
              <w:rPr>
                <w:rFonts w:ascii="Times New Roman" w:hAnsi="Times New Roman" w:eastAsia="宋体"/>
                <w:b/>
                <w:color w:val="auto"/>
                <w:sz w:val="21"/>
                <w:szCs w:val="21"/>
              </w:rPr>
              <w:t>7</w:t>
            </w:r>
            <w:r>
              <w:rPr>
                <w:rFonts w:hint="eastAsia"/>
                <w:b/>
                <w:color w:val="auto"/>
                <w:sz w:val="21"/>
                <w:szCs w:val="21"/>
                <w:lang w:val="en-US" w:eastAsia="zh-CN"/>
              </w:rPr>
              <w:t>.6</w:t>
            </w:r>
            <w:r>
              <w:rPr>
                <w:rFonts w:ascii="Times New Roman" w:hAnsi="Times New Roman" w:eastAsia="宋体"/>
                <w:b/>
                <w:color w:val="auto"/>
                <w:sz w:val="21"/>
                <w:szCs w:val="21"/>
              </w:rPr>
              <w:t>-</w:t>
            </w:r>
            <w:r>
              <w:rPr>
                <w:rFonts w:hint="eastAsia"/>
                <w:b/>
                <w:color w:val="auto"/>
                <w:sz w:val="21"/>
                <w:szCs w:val="21"/>
                <w:lang w:val="en-US" w:eastAsia="zh-CN"/>
              </w:rPr>
              <w:t>6</w:t>
            </w:r>
            <w:r>
              <w:rPr>
                <w:rFonts w:hint="eastAsia" w:ascii="Times New Roman" w:hAnsi="Times New Roman" w:eastAsia="宋体"/>
                <w:b/>
                <w:color w:val="auto"/>
                <w:sz w:val="21"/>
                <w:szCs w:val="21"/>
              </w:rPr>
              <w:t>正常工况下</w:t>
            </w:r>
            <w:r>
              <w:rPr>
                <w:rFonts w:hint="eastAsia"/>
                <w:b/>
                <w:color w:val="auto"/>
                <w:sz w:val="21"/>
                <w:szCs w:val="21"/>
                <w:lang w:val="en-US" w:eastAsia="zh-CN"/>
              </w:rPr>
              <w:t>1</w:t>
            </w:r>
            <w:r>
              <w:rPr>
                <w:rFonts w:ascii="Times New Roman" w:hAnsi="Times New Roman" w:eastAsia="宋体"/>
                <w:b/>
                <w:color w:val="auto"/>
                <w:sz w:val="21"/>
                <w:szCs w:val="21"/>
              </w:rPr>
              <w:t>#</w:t>
            </w:r>
            <w:r>
              <w:rPr>
                <w:rFonts w:hint="eastAsia" w:ascii="Times New Roman" w:hAnsi="Times New Roman" w:eastAsia="宋体"/>
                <w:b/>
                <w:color w:val="auto"/>
                <w:sz w:val="21"/>
                <w:szCs w:val="21"/>
              </w:rPr>
              <w:t>排气筒估算模式预测结果</w:t>
            </w:r>
          </w:p>
          <w:tbl>
            <w:tblPr>
              <w:tblStyle w:val="43"/>
              <w:tblW w:w="9219" w:type="dxa"/>
              <w:tblInd w:w="0" w:type="dxa"/>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360"/>
              <w:gridCol w:w="1315"/>
              <w:gridCol w:w="1309"/>
              <w:gridCol w:w="1306"/>
              <w:gridCol w:w="1307"/>
              <w:gridCol w:w="1307"/>
            </w:tblGrid>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vMerge w:val="restart"/>
                  <w:tcBorders>
                    <w:top w:val="single" w:color="auto" w:sz="12"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距源中心下风向距离D（m）</w:t>
                  </w:r>
                </w:p>
              </w:tc>
              <w:tc>
                <w:tcPr>
                  <w:tcW w:w="2675" w:type="dxa"/>
                  <w:gridSpan w:val="2"/>
                  <w:tcBorders>
                    <w:top w:val="single" w:color="auto" w:sz="12"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PM</w:t>
                  </w:r>
                  <w:r>
                    <w:rPr>
                      <w:rFonts w:ascii="Times New Roman" w:hAnsi="Times New Roman" w:eastAsia="宋体"/>
                      <w:b/>
                      <w:bCs/>
                      <w:color w:val="auto"/>
                      <w:kern w:val="0"/>
                      <w:sz w:val="21"/>
                      <w:szCs w:val="21"/>
                      <w:vertAlign w:val="subscript"/>
                    </w:rPr>
                    <w:t>10</w:t>
                  </w:r>
                </w:p>
              </w:tc>
              <w:tc>
                <w:tcPr>
                  <w:tcW w:w="2615" w:type="dxa"/>
                  <w:gridSpan w:val="2"/>
                  <w:tcBorders>
                    <w:top w:val="single" w:color="auto" w:sz="12"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hint="eastAsia" w:ascii="Times New Roman" w:hAnsi="Times New Roman" w:eastAsia="宋体"/>
                      <w:b/>
                      <w:bCs/>
                      <w:color w:val="auto"/>
                      <w:kern w:val="0"/>
                      <w:sz w:val="21"/>
                      <w:szCs w:val="21"/>
                    </w:rPr>
                    <w:t>SO</w:t>
                  </w:r>
                  <w:r>
                    <w:rPr>
                      <w:rFonts w:hint="eastAsia" w:ascii="Times New Roman" w:hAnsi="Times New Roman" w:eastAsia="宋体"/>
                      <w:b/>
                      <w:bCs/>
                      <w:color w:val="auto"/>
                      <w:kern w:val="0"/>
                      <w:sz w:val="21"/>
                      <w:szCs w:val="21"/>
                      <w:vertAlign w:val="subscript"/>
                    </w:rPr>
                    <w:t>2</w:t>
                  </w:r>
                </w:p>
              </w:tc>
              <w:tc>
                <w:tcPr>
                  <w:tcW w:w="2614" w:type="dxa"/>
                  <w:gridSpan w:val="2"/>
                  <w:tcBorders>
                    <w:top w:val="single" w:color="auto" w:sz="12"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hint="eastAsia" w:ascii="Times New Roman" w:hAnsi="Times New Roman" w:eastAsia="宋体"/>
                      <w:b/>
                      <w:bCs/>
                      <w:color w:val="auto"/>
                      <w:kern w:val="0"/>
                      <w:sz w:val="21"/>
                      <w:szCs w:val="21"/>
                    </w:rPr>
                    <w:t>NOx</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vMerge w:val="continue"/>
                  <w:tcBorders>
                    <w:top w:val="single" w:color="auto" w:sz="12"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Times New Roman" w:hAnsi="Times New Roman" w:eastAsia="宋体"/>
                      <w:b/>
                      <w:bCs/>
                      <w:color w:val="auto"/>
                      <w:kern w:val="0"/>
                      <w:sz w:val="21"/>
                      <w:szCs w:val="21"/>
                    </w:rPr>
                  </w:pP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下风向预测浓度（mg/m</w:t>
                  </w:r>
                  <w:r>
                    <w:rPr>
                      <w:rFonts w:ascii="Times New Roman" w:hAnsi="Times New Roman" w:eastAsia="宋体"/>
                      <w:b/>
                      <w:bCs/>
                      <w:color w:val="auto"/>
                      <w:kern w:val="0"/>
                      <w:sz w:val="21"/>
                      <w:szCs w:val="21"/>
                      <w:vertAlign w:val="superscript"/>
                    </w:rPr>
                    <w:t>3</w:t>
                  </w:r>
                  <w:r>
                    <w:rPr>
                      <w:rFonts w:ascii="Times New Roman" w:hAnsi="Times New Roman" w:eastAsia="宋体"/>
                      <w:b/>
                      <w:bCs/>
                      <w:color w:val="auto"/>
                      <w:kern w:val="0"/>
                      <w:sz w:val="21"/>
                      <w:szCs w:val="21"/>
                    </w:rPr>
                    <w:t>)</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浓度占标率（%）</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下风向预测浓度（mg/m</w:t>
                  </w:r>
                  <w:r>
                    <w:rPr>
                      <w:rFonts w:ascii="Times New Roman" w:hAnsi="Times New Roman" w:eastAsia="宋体"/>
                      <w:b/>
                      <w:bCs/>
                      <w:color w:val="auto"/>
                      <w:kern w:val="0"/>
                      <w:sz w:val="21"/>
                      <w:szCs w:val="21"/>
                      <w:vertAlign w:val="superscript"/>
                    </w:rPr>
                    <w:t>3</w:t>
                  </w:r>
                  <w:r>
                    <w:rPr>
                      <w:rFonts w:ascii="Times New Roman" w:hAnsi="Times New Roman" w:eastAsia="宋体"/>
                      <w:b/>
                      <w:bCs/>
                      <w:color w:val="auto"/>
                      <w:kern w:val="0"/>
                      <w:sz w:val="21"/>
                      <w:szCs w:val="21"/>
                    </w:rPr>
                    <w:t>)</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浓度占标率（%）</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下风向预测浓度（mg/m</w:t>
                  </w:r>
                  <w:r>
                    <w:rPr>
                      <w:rFonts w:ascii="Times New Roman" w:hAnsi="Times New Roman" w:eastAsia="宋体"/>
                      <w:b/>
                      <w:bCs/>
                      <w:color w:val="auto"/>
                      <w:kern w:val="0"/>
                      <w:sz w:val="21"/>
                      <w:szCs w:val="21"/>
                      <w:vertAlign w:val="superscript"/>
                    </w:rPr>
                    <w:t>3</w:t>
                  </w:r>
                  <w:r>
                    <w:rPr>
                      <w:rFonts w:ascii="Times New Roman" w:hAnsi="Times New Roman" w:eastAsia="宋体"/>
                      <w:b/>
                      <w:bCs/>
                      <w:color w:val="auto"/>
                      <w:kern w:val="0"/>
                      <w:sz w:val="21"/>
                      <w:szCs w:val="21"/>
                    </w:rPr>
                    <w:t>)</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浓度占标率（%）</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10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1.38E-04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0.03</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1.99E-04</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0.04</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3.77E-04</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0.15</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25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2.03E-03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0.45</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2.94E-03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0.59</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5.57E-03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2.23</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50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2.53E-03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0.56</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3.66E-03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0.73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6.93E-03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2.77</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b/>
                      <w:bCs/>
                      <w:color w:val="auto"/>
                      <w:kern w:val="0"/>
                      <w:sz w:val="21"/>
                      <w:szCs w:val="21"/>
                      <w:lang w:val="en-US" w:eastAsia="zh-CN"/>
                    </w:rPr>
                  </w:pPr>
                  <w:r>
                    <w:rPr>
                      <w:rFonts w:hint="eastAsia"/>
                      <w:b w:val="0"/>
                      <w:bCs w:val="0"/>
                      <w:color w:val="auto"/>
                      <w:kern w:val="0"/>
                      <w:sz w:val="21"/>
                      <w:szCs w:val="21"/>
                      <w:lang w:val="en-US" w:eastAsia="zh-CN"/>
                    </w:rPr>
                    <w:t>75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sz w:val="21"/>
                      <w:szCs w:val="21"/>
                    </w:rPr>
                  </w:pPr>
                  <w:r>
                    <w:rPr>
                      <w:rFonts w:hint="eastAsia" w:ascii="Times New Roman" w:hAnsi="Times New Roman" w:eastAsia="宋体"/>
                      <w:color w:val="auto"/>
                      <w:sz w:val="21"/>
                      <w:szCs w:val="21"/>
                    </w:rPr>
                    <w:t>4.30E-03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0.95</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6.22E-03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1.24</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1.18E-02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4.71</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b/>
                      <w:bCs/>
                      <w:color w:val="auto"/>
                      <w:kern w:val="0"/>
                      <w:sz w:val="21"/>
                      <w:szCs w:val="21"/>
                      <w:lang w:val="en-US" w:eastAsia="zh-CN"/>
                    </w:rPr>
                  </w:pPr>
                  <w:r>
                    <w:rPr>
                      <w:rFonts w:ascii="Times New Roman" w:hAnsi="Times New Roman" w:eastAsia="宋体"/>
                      <w:color w:val="auto"/>
                      <w:kern w:val="0"/>
                      <w:sz w:val="21"/>
                      <w:szCs w:val="21"/>
                    </w:rPr>
                    <w:t>100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sz w:val="21"/>
                      <w:szCs w:val="21"/>
                    </w:rPr>
                  </w:pPr>
                  <w:r>
                    <w:rPr>
                      <w:rFonts w:hint="eastAsia" w:ascii="Times New Roman" w:hAnsi="Times New Roman" w:eastAsia="宋体"/>
                      <w:color w:val="auto"/>
                      <w:sz w:val="21"/>
                      <w:szCs w:val="21"/>
                    </w:rPr>
                    <w:t>4.35E-03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0.97</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6.29E-03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1.26</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1.19E-02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4.76</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125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4.05E-03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0.90</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5.86E-03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1.17</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1.11E-02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4.44</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150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4.09E-03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0.91</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5.92E-03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1.18</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1.12E-02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4.48</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175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4.42E-03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0.98</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6.40E-03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1.28</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1.21E-02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4.85</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200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4.53E-03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1.01</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6.55E-03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1.31</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1.24E-02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4.96</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b/>
                      <w:bCs w:val="0"/>
                      <w:color w:val="auto"/>
                      <w:kern w:val="0"/>
                      <w:sz w:val="21"/>
                      <w:szCs w:val="21"/>
                      <w:lang w:val="en-US" w:eastAsia="zh-CN"/>
                    </w:rPr>
                  </w:pPr>
                  <w:r>
                    <w:rPr>
                      <w:rFonts w:hint="eastAsia"/>
                      <w:b/>
                      <w:bCs w:val="0"/>
                      <w:color w:val="auto"/>
                      <w:kern w:val="0"/>
                      <w:sz w:val="21"/>
                      <w:szCs w:val="21"/>
                      <w:lang w:val="en-US" w:eastAsia="zh-CN"/>
                    </w:rPr>
                    <w:t>201</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val="0"/>
                      <w:color w:val="auto"/>
                      <w:sz w:val="21"/>
                      <w:szCs w:val="21"/>
                    </w:rPr>
                  </w:pPr>
                  <w:r>
                    <w:rPr>
                      <w:rFonts w:hint="eastAsia" w:ascii="Times New Roman" w:hAnsi="Times New Roman" w:eastAsia="宋体"/>
                      <w:b/>
                      <w:bCs w:val="0"/>
                      <w:color w:val="auto"/>
                      <w:sz w:val="21"/>
                      <w:szCs w:val="21"/>
                    </w:rPr>
                    <w:t>4.53E-03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val="0"/>
                      <w:color w:val="auto"/>
                      <w:sz w:val="21"/>
                      <w:szCs w:val="21"/>
                    </w:rPr>
                  </w:pPr>
                  <w:r>
                    <w:rPr>
                      <w:rFonts w:hint="eastAsia" w:ascii="Times New Roman" w:hAnsi="Times New Roman" w:eastAsia="宋体"/>
                      <w:b/>
                      <w:bCs w:val="0"/>
                      <w:color w:val="auto"/>
                      <w:sz w:val="21"/>
                      <w:szCs w:val="21"/>
                    </w:rPr>
                    <w:t>1.01</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val="0"/>
                      <w:color w:val="auto"/>
                      <w:sz w:val="21"/>
                      <w:szCs w:val="21"/>
                    </w:rPr>
                  </w:pPr>
                  <w:r>
                    <w:rPr>
                      <w:rFonts w:hint="eastAsia" w:ascii="Times New Roman" w:hAnsi="Times New Roman" w:eastAsia="宋体"/>
                      <w:b/>
                      <w:bCs w:val="0"/>
                      <w:color w:val="auto"/>
                      <w:sz w:val="21"/>
                      <w:szCs w:val="21"/>
                    </w:rPr>
                    <w:t>6.55E-03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val="0"/>
                      <w:color w:val="auto"/>
                      <w:sz w:val="21"/>
                      <w:szCs w:val="21"/>
                    </w:rPr>
                  </w:pPr>
                  <w:r>
                    <w:rPr>
                      <w:rFonts w:hint="eastAsia" w:ascii="Times New Roman" w:hAnsi="Times New Roman" w:eastAsia="宋体"/>
                      <w:b/>
                      <w:bCs w:val="0"/>
                      <w:color w:val="auto"/>
                      <w:sz w:val="21"/>
                      <w:szCs w:val="21"/>
                    </w:rPr>
                    <w:t>1.31</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val="0"/>
                      <w:color w:val="auto"/>
                      <w:sz w:val="21"/>
                      <w:szCs w:val="21"/>
                    </w:rPr>
                  </w:pPr>
                  <w:r>
                    <w:rPr>
                      <w:rFonts w:hint="eastAsia" w:ascii="Times New Roman" w:hAnsi="Times New Roman" w:eastAsia="宋体"/>
                      <w:b/>
                      <w:bCs w:val="0"/>
                      <w:color w:val="auto"/>
                      <w:sz w:val="21"/>
                      <w:szCs w:val="21"/>
                    </w:rPr>
                    <w:t>1.24E-02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val="0"/>
                      <w:color w:val="auto"/>
                      <w:sz w:val="21"/>
                      <w:szCs w:val="21"/>
                    </w:rPr>
                  </w:pPr>
                  <w:r>
                    <w:rPr>
                      <w:rFonts w:hint="eastAsia" w:ascii="Times New Roman" w:hAnsi="Times New Roman" w:eastAsia="宋体"/>
                      <w:b/>
                      <w:bCs w:val="0"/>
                      <w:color w:val="auto"/>
                      <w:sz w:val="21"/>
                      <w:szCs w:val="21"/>
                    </w:rPr>
                    <w:t>4.96</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225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4.47E-03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0.99</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6.46E-03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1.29</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1.22E-02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4.90</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250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4.32E-03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0.96</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6.25E-03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1.25</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1.18E-02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4.73</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275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4.13E-03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0.92</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5.97E-03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1.19</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1.13E-02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4.52</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300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3.92E-03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0.87</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5.67E-03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1.13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1.07E-02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4.29</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325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3.71E-03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0.82</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5.36E-03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1.07</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1.01E-02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4.06</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350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3.50E-03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0.78</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5.06E-03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1.01</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9.58E-03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3.83</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375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3.30E-03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0.73</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4.78E-03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0.96</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9.04E-03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3.62</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400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3.12E-03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0.69</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4.51E-03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0.90</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8.54E-03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3.42</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425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2.95E-03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0.65</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4.26E-03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0.85</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8.07E-03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3.23</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450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2.79E-03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0.62</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4.03E-03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0.81</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7.63E-03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3.05</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475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2.64E-03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0.59</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3.82E-03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0.76</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7.23E-03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2.89</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500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2.50E-03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0.56</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3.62E-03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0.72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6.85E-03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2.74</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525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2.45E-03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0.55</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color w:val="auto"/>
                      <w:sz w:val="21"/>
                      <w:szCs w:val="21"/>
                      <w:lang w:eastAsia="zh-CN"/>
                    </w:rPr>
                    <w:t>3.53</w:t>
                  </w:r>
                  <w:r>
                    <w:rPr>
                      <w:rFonts w:hint="eastAsia" w:ascii="Times New Roman" w:hAnsi="Times New Roman" w:eastAsia="宋体"/>
                      <w:color w:val="auto"/>
                      <w:sz w:val="21"/>
                      <w:szCs w:val="21"/>
                    </w:rPr>
                    <w:t>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0.71</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6.72E-03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2.69</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550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2.45E-03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0.54</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3.54E-03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0.71</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6.71E-03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2.68</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575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2.44E-03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0.54</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3.52E-03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0.70</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6.67E-03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2.67</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600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2.42E-03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0.54</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3.50E-03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0.70</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6.62E-03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2.65</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625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2.39E-03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0.53</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3.46E-03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0.69</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6.56E-03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2.62</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650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2.37E-03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0.53</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3.42E-03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0.68</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6.48E-03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2.59</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675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2.34E-03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0.52</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3.38E-03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0.68</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6.40E-03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2.56</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700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2.30E-03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0.51</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3.33E-03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0.67</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6.31E-03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2.52</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725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2.27E-03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0.50</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3.28E-03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0.66</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6.21E-03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2.48</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750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2.23E-03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0.50</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3.23E-03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0.65</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6.11E-03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2.45</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775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2.20E-03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0.49</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3.18E-03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0.64</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6.01E-03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2.41</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800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2.16E-03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0.48</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3.12E-03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0.62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5.91E-03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2.36</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825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2.12E-03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0.47</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3.07E-03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0.61</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5.81E-03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2.32</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850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2.08E-03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0.46</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3.01E-03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0.60</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5.71E-03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2.28</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875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2.05E-03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0.45</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2.96E-03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0.59</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5.60E-03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2.24</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900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2.01E-03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0.45</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2.91E-03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0.58</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5.50E-03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2.20</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925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1.97E-03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0.44</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2.85E-03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0.57</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5.40E-03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2.16</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950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1.94E-03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0.43</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2.80E-03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0.56</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5.30E-03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2.12</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975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1.90E-03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0.42</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2.75E-03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0.55</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5.20E-03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2.08</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1000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1.87E-03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0.41</w:t>
                  </w:r>
                </w:p>
              </w:tc>
              <w:tc>
                <w:tcPr>
                  <w:tcW w:w="1309"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2.70E-03</w:t>
                  </w:r>
                </w:p>
              </w:tc>
              <w:tc>
                <w:tcPr>
                  <w:tcW w:w="1306"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0.54</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5.11E-03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2.04</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最大落地浓度（mg/m</w:t>
                  </w:r>
                  <w:r>
                    <w:rPr>
                      <w:rFonts w:ascii="Times New Roman" w:hAnsi="Times New Roman" w:eastAsia="宋体"/>
                      <w:color w:val="auto"/>
                      <w:kern w:val="0"/>
                      <w:sz w:val="21"/>
                      <w:szCs w:val="21"/>
                      <w:vertAlign w:val="superscript"/>
                    </w:rPr>
                    <w:t>3</w:t>
                  </w:r>
                  <w:r>
                    <w:rPr>
                      <w:rFonts w:ascii="Times New Roman" w:hAnsi="Times New Roman" w:eastAsia="宋体"/>
                      <w:color w:val="auto"/>
                      <w:kern w:val="0"/>
                      <w:sz w:val="21"/>
                      <w:szCs w:val="21"/>
                    </w:rPr>
                    <w:t>)</w:t>
                  </w:r>
                </w:p>
              </w:tc>
              <w:tc>
                <w:tcPr>
                  <w:tcW w:w="2675" w:type="dxa"/>
                  <w:gridSpan w:val="2"/>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val="0"/>
                      <w:bCs/>
                      <w:color w:val="auto"/>
                      <w:sz w:val="21"/>
                      <w:szCs w:val="21"/>
                    </w:rPr>
                  </w:pPr>
                  <w:r>
                    <w:rPr>
                      <w:rFonts w:hint="eastAsia" w:ascii="Times New Roman" w:hAnsi="Times New Roman" w:eastAsia="宋体"/>
                      <w:b w:val="0"/>
                      <w:bCs/>
                      <w:color w:val="auto"/>
                      <w:sz w:val="21"/>
                      <w:szCs w:val="21"/>
                    </w:rPr>
                    <w:t>4.53E-03</w:t>
                  </w:r>
                </w:p>
              </w:tc>
              <w:tc>
                <w:tcPr>
                  <w:tcW w:w="2615" w:type="dxa"/>
                  <w:gridSpan w:val="2"/>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val="0"/>
                      <w:bCs/>
                      <w:color w:val="auto"/>
                      <w:sz w:val="21"/>
                      <w:szCs w:val="21"/>
                    </w:rPr>
                  </w:pPr>
                  <w:r>
                    <w:rPr>
                      <w:rFonts w:hint="eastAsia" w:ascii="Times New Roman" w:hAnsi="Times New Roman" w:eastAsia="宋体"/>
                      <w:b w:val="0"/>
                      <w:bCs/>
                      <w:color w:val="auto"/>
                      <w:sz w:val="21"/>
                      <w:szCs w:val="21"/>
                    </w:rPr>
                    <w:t>6.55E-03</w:t>
                  </w:r>
                </w:p>
              </w:tc>
              <w:tc>
                <w:tcPr>
                  <w:tcW w:w="2614" w:type="dxa"/>
                  <w:gridSpan w:val="2"/>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val="0"/>
                      <w:bCs/>
                      <w:color w:val="auto"/>
                      <w:sz w:val="21"/>
                      <w:szCs w:val="21"/>
                    </w:rPr>
                  </w:pPr>
                  <w:r>
                    <w:rPr>
                      <w:rFonts w:hint="eastAsia" w:ascii="Times New Roman" w:hAnsi="Times New Roman" w:eastAsia="宋体"/>
                      <w:b w:val="0"/>
                      <w:bCs/>
                      <w:color w:val="auto"/>
                      <w:sz w:val="21"/>
                      <w:szCs w:val="21"/>
                    </w:rPr>
                    <w:t>1.24E-02</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最大占标率（%）</w:t>
                  </w:r>
                </w:p>
              </w:tc>
              <w:tc>
                <w:tcPr>
                  <w:tcW w:w="2675" w:type="dxa"/>
                  <w:gridSpan w:val="2"/>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val="0"/>
                      <w:bCs/>
                      <w:color w:val="auto"/>
                      <w:kern w:val="0"/>
                      <w:sz w:val="21"/>
                      <w:szCs w:val="21"/>
                    </w:rPr>
                  </w:pPr>
                  <w:r>
                    <w:rPr>
                      <w:rFonts w:hint="eastAsia" w:ascii="Times New Roman" w:hAnsi="Times New Roman" w:eastAsia="宋体"/>
                      <w:b w:val="0"/>
                      <w:bCs/>
                      <w:color w:val="auto"/>
                      <w:sz w:val="21"/>
                      <w:szCs w:val="21"/>
                    </w:rPr>
                    <w:t>1.01</w:t>
                  </w:r>
                </w:p>
              </w:tc>
              <w:tc>
                <w:tcPr>
                  <w:tcW w:w="2615" w:type="dxa"/>
                  <w:gridSpan w:val="2"/>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b w:val="0"/>
                      <w:bCs/>
                      <w:color w:val="auto"/>
                      <w:kern w:val="0"/>
                      <w:sz w:val="21"/>
                      <w:szCs w:val="21"/>
                    </w:rPr>
                  </w:pPr>
                  <w:r>
                    <w:rPr>
                      <w:rFonts w:hint="eastAsia" w:ascii="Times New Roman" w:hAnsi="Times New Roman" w:eastAsia="宋体"/>
                      <w:b w:val="0"/>
                      <w:bCs/>
                      <w:color w:val="auto"/>
                      <w:sz w:val="21"/>
                      <w:szCs w:val="21"/>
                    </w:rPr>
                    <w:t>1.31</w:t>
                  </w:r>
                </w:p>
              </w:tc>
              <w:tc>
                <w:tcPr>
                  <w:tcW w:w="2614" w:type="dxa"/>
                  <w:gridSpan w:val="2"/>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default" w:ascii="Times New Roman" w:hAnsi="Times New Roman" w:eastAsia="宋体"/>
                      <w:b w:val="0"/>
                      <w:bCs/>
                      <w:color w:val="auto"/>
                      <w:kern w:val="0"/>
                      <w:sz w:val="21"/>
                      <w:szCs w:val="21"/>
                      <w:lang w:val="en-US" w:eastAsia="zh-CN"/>
                    </w:rPr>
                  </w:pPr>
                  <w:r>
                    <w:rPr>
                      <w:rFonts w:hint="eastAsia"/>
                      <w:b w:val="0"/>
                      <w:bCs/>
                      <w:color w:val="auto"/>
                      <w:kern w:val="0"/>
                      <w:sz w:val="21"/>
                      <w:szCs w:val="21"/>
                      <w:lang w:val="en-US" w:eastAsia="zh-CN"/>
                    </w:rPr>
                    <w:t>4.96</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000000"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最大浓度出现距离（m）</w:t>
                  </w:r>
                </w:p>
              </w:tc>
              <w:tc>
                <w:tcPr>
                  <w:tcW w:w="7904" w:type="dxa"/>
                  <w:gridSpan w:val="6"/>
                  <w:tcBorders>
                    <w:top w:val="single" w:color="auto" w:sz="4" w:space="0"/>
                    <w:left w:val="single" w:color="auto" w:sz="4" w:space="0"/>
                    <w:bottom w:val="single" w:color="000000" w:sz="12"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olor w:val="auto"/>
                      <w:kern w:val="0"/>
                      <w:sz w:val="21"/>
                      <w:szCs w:val="21"/>
                      <w:lang w:val="en-US" w:eastAsia="zh-CN"/>
                    </w:rPr>
                  </w:pPr>
                  <w:r>
                    <w:rPr>
                      <w:rFonts w:hint="eastAsia"/>
                      <w:color w:val="auto"/>
                      <w:kern w:val="0"/>
                      <w:sz w:val="21"/>
                      <w:szCs w:val="21"/>
                      <w:lang w:val="en-US" w:eastAsia="zh-CN"/>
                    </w:rPr>
                    <w:t>201</w:t>
                  </w:r>
                </w:p>
              </w:tc>
            </w:tr>
          </w:tbl>
          <w:p>
            <w:pPr>
              <w:spacing w:line="240" w:lineRule="auto"/>
              <w:ind w:firstLine="0" w:firstLineChars="0"/>
              <w:jc w:val="center"/>
              <w:rPr>
                <w:rFonts w:ascii="Times New Roman" w:hAnsi="Times New Roman" w:eastAsia="宋体"/>
                <w:b/>
                <w:color w:val="auto"/>
                <w:sz w:val="21"/>
                <w:szCs w:val="21"/>
              </w:rPr>
            </w:pPr>
            <w:r>
              <w:rPr>
                <w:rFonts w:hint="eastAsia" w:ascii="Times New Roman" w:hAnsi="Times New Roman" w:eastAsia="宋体"/>
                <w:b/>
                <w:color w:val="auto"/>
                <w:sz w:val="21"/>
                <w:szCs w:val="21"/>
              </w:rPr>
              <w:t>表</w:t>
            </w:r>
            <w:r>
              <w:rPr>
                <w:rFonts w:ascii="Times New Roman" w:hAnsi="Times New Roman" w:eastAsia="宋体"/>
                <w:b/>
                <w:color w:val="auto"/>
                <w:sz w:val="21"/>
                <w:szCs w:val="21"/>
              </w:rPr>
              <w:t>7</w:t>
            </w:r>
            <w:r>
              <w:rPr>
                <w:rFonts w:hint="eastAsia"/>
                <w:b/>
                <w:color w:val="auto"/>
                <w:sz w:val="21"/>
                <w:szCs w:val="21"/>
                <w:lang w:val="en-US" w:eastAsia="zh-CN"/>
              </w:rPr>
              <w:t>.6</w:t>
            </w:r>
            <w:r>
              <w:rPr>
                <w:rFonts w:ascii="Times New Roman" w:hAnsi="Times New Roman" w:eastAsia="宋体"/>
                <w:b/>
                <w:color w:val="auto"/>
                <w:sz w:val="21"/>
                <w:szCs w:val="21"/>
              </w:rPr>
              <w:t>-</w:t>
            </w:r>
            <w:r>
              <w:rPr>
                <w:rFonts w:hint="eastAsia"/>
                <w:b/>
                <w:color w:val="auto"/>
                <w:sz w:val="21"/>
                <w:szCs w:val="21"/>
                <w:lang w:val="en-US" w:eastAsia="zh-CN"/>
              </w:rPr>
              <w:t>7</w:t>
            </w:r>
            <w:r>
              <w:rPr>
                <w:rFonts w:hint="eastAsia" w:ascii="Times New Roman" w:hAnsi="Times New Roman" w:eastAsia="宋体"/>
                <w:b/>
                <w:color w:val="auto"/>
                <w:sz w:val="21"/>
                <w:szCs w:val="21"/>
              </w:rPr>
              <w:t>正常工况下</w:t>
            </w:r>
            <w:r>
              <w:rPr>
                <w:rFonts w:hint="eastAsia"/>
                <w:b/>
                <w:color w:val="auto"/>
                <w:sz w:val="21"/>
                <w:szCs w:val="21"/>
                <w:lang w:val="en-US" w:eastAsia="zh-CN"/>
              </w:rPr>
              <w:t>2</w:t>
            </w:r>
            <w:r>
              <w:rPr>
                <w:rFonts w:ascii="Times New Roman" w:hAnsi="Times New Roman" w:eastAsia="宋体"/>
                <w:b/>
                <w:color w:val="auto"/>
                <w:sz w:val="21"/>
                <w:szCs w:val="21"/>
              </w:rPr>
              <w:t>#</w:t>
            </w:r>
            <w:r>
              <w:rPr>
                <w:rFonts w:hint="eastAsia" w:ascii="Times New Roman" w:hAnsi="Times New Roman" w:eastAsia="宋体"/>
                <w:b/>
                <w:color w:val="auto"/>
                <w:sz w:val="21"/>
                <w:szCs w:val="21"/>
              </w:rPr>
              <w:t>排气筒估算模式预测结果</w:t>
            </w:r>
          </w:p>
          <w:tbl>
            <w:tblPr>
              <w:tblStyle w:val="43"/>
              <w:tblW w:w="9219" w:type="dxa"/>
              <w:tblInd w:w="0" w:type="dxa"/>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360"/>
              <w:gridCol w:w="1315"/>
              <w:gridCol w:w="1308"/>
              <w:gridCol w:w="1307"/>
              <w:gridCol w:w="1307"/>
              <w:gridCol w:w="1307"/>
            </w:tblGrid>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vMerge w:val="restart"/>
                  <w:tcBorders>
                    <w:top w:val="single" w:color="auto" w:sz="12"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距源中心下风向距离D（m）</w:t>
                  </w:r>
                </w:p>
              </w:tc>
              <w:tc>
                <w:tcPr>
                  <w:tcW w:w="2675" w:type="dxa"/>
                  <w:gridSpan w:val="2"/>
                  <w:tcBorders>
                    <w:top w:val="single" w:color="auto" w:sz="12"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PM</w:t>
                  </w:r>
                  <w:r>
                    <w:rPr>
                      <w:rFonts w:ascii="Times New Roman" w:hAnsi="Times New Roman" w:eastAsia="宋体"/>
                      <w:b/>
                      <w:bCs/>
                      <w:color w:val="auto"/>
                      <w:kern w:val="0"/>
                      <w:sz w:val="21"/>
                      <w:szCs w:val="21"/>
                      <w:vertAlign w:val="subscript"/>
                    </w:rPr>
                    <w:t>10</w:t>
                  </w:r>
                </w:p>
              </w:tc>
              <w:tc>
                <w:tcPr>
                  <w:tcW w:w="2615" w:type="dxa"/>
                  <w:gridSpan w:val="2"/>
                  <w:tcBorders>
                    <w:top w:val="single" w:color="auto" w:sz="12"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hint="eastAsia" w:ascii="Times New Roman" w:hAnsi="Times New Roman" w:eastAsia="宋体"/>
                      <w:b/>
                      <w:bCs/>
                      <w:color w:val="auto"/>
                      <w:kern w:val="0"/>
                      <w:sz w:val="21"/>
                      <w:szCs w:val="21"/>
                    </w:rPr>
                    <w:t>SO</w:t>
                  </w:r>
                  <w:r>
                    <w:rPr>
                      <w:rFonts w:hint="eastAsia" w:ascii="Times New Roman" w:hAnsi="Times New Roman" w:eastAsia="宋体"/>
                      <w:b/>
                      <w:bCs/>
                      <w:color w:val="auto"/>
                      <w:kern w:val="0"/>
                      <w:sz w:val="21"/>
                      <w:szCs w:val="21"/>
                      <w:vertAlign w:val="subscript"/>
                    </w:rPr>
                    <w:t>2</w:t>
                  </w:r>
                </w:p>
              </w:tc>
              <w:tc>
                <w:tcPr>
                  <w:tcW w:w="2614" w:type="dxa"/>
                  <w:gridSpan w:val="2"/>
                  <w:tcBorders>
                    <w:top w:val="single" w:color="auto" w:sz="12"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hint="eastAsia" w:ascii="Times New Roman" w:hAnsi="Times New Roman" w:eastAsia="宋体"/>
                      <w:b/>
                      <w:bCs/>
                      <w:color w:val="auto"/>
                      <w:kern w:val="0"/>
                      <w:sz w:val="21"/>
                      <w:szCs w:val="21"/>
                    </w:rPr>
                    <w:t>NOx</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vMerge w:val="continue"/>
                  <w:tcBorders>
                    <w:top w:val="single" w:color="auto" w:sz="12"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Times New Roman" w:hAnsi="Times New Roman" w:eastAsia="宋体"/>
                      <w:b/>
                      <w:bCs/>
                      <w:color w:val="auto"/>
                      <w:kern w:val="0"/>
                      <w:sz w:val="21"/>
                      <w:szCs w:val="21"/>
                    </w:rPr>
                  </w:pP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下风向预测浓度（mg/m</w:t>
                  </w:r>
                  <w:r>
                    <w:rPr>
                      <w:rFonts w:ascii="Times New Roman" w:hAnsi="Times New Roman" w:eastAsia="宋体"/>
                      <w:b/>
                      <w:bCs/>
                      <w:color w:val="auto"/>
                      <w:kern w:val="0"/>
                      <w:sz w:val="21"/>
                      <w:szCs w:val="21"/>
                      <w:vertAlign w:val="superscript"/>
                    </w:rPr>
                    <w:t>3</w:t>
                  </w:r>
                  <w:r>
                    <w:rPr>
                      <w:rFonts w:ascii="Times New Roman" w:hAnsi="Times New Roman" w:eastAsia="宋体"/>
                      <w:b/>
                      <w:bCs/>
                      <w:color w:val="auto"/>
                      <w:kern w:val="0"/>
                      <w:sz w:val="21"/>
                      <w:szCs w:val="21"/>
                    </w:rPr>
                    <w:t>)</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浓度占标率（%）</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下风向预测浓度（mg/m</w:t>
                  </w:r>
                  <w:r>
                    <w:rPr>
                      <w:rFonts w:ascii="Times New Roman" w:hAnsi="Times New Roman" w:eastAsia="宋体"/>
                      <w:b/>
                      <w:bCs/>
                      <w:color w:val="auto"/>
                      <w:kern w:val="0"/>
                      <w:sz w:val="21"/>
                      <w:szCs w:val="21"/>
                      <w:vertAlign w:val="superscript"/>
                    </w:rPr>
                    <w:t>3</w:t>
                  </w:r>
                  <w:r>
                    <w:rPr>
                      <w:rFonts w:ascii="Times New Roman" w:hAnsi="Times New Roman" w:eastAsia="宋体"/>
                      <w:b/>
                      <w:bCs/>
                      <w:color w:val="auto"/>
                      <w:kern w:val="0"/>
                      <w:sz w:val="21"/>
                      <w:szCs w:val="21"/>
                    </w:rPr>
                    <w:t>)</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浓度占标率（%）</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下风向预测浓度（mg/m</w:t>
                  </w:r>
                  <w:r>
                    <w:rPr>
                      <w:rFonts w:ascii="Times New Roman" w:hAnsi="Times New Roman" w:eastAsia="宋体"/>
                      <w:b/>
                      <w:bCs/>
                      <w:color w:val="auto"/>
                      <w:kern w:val="0"/>
                      <w:sz w:val="21"/>
                      <w:szCs w:val="21"/>
                      <w:vertAlign w:val="superscript"/>
                    </w:rPr>
                    <w:t>3</w:t>
                  </w:r>
                  <w:r>
                    <w:rPr>
                      <w:rFonts w:ascii="Times New Roman" w:hAnsi="Times New Roman" w:eastAsia="宋体"/>
                      <w:b/>
                      <w:bCs/>
                      <w:color w:val="auto"/>
                      <w:kern w:val="0"/>
                      <w:sz w:val="21"/>
                      <w:szCs w:val="21"/>
                    </w:rPr>
                    <w:t>)</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浓度占标率（%）</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10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2.70E-04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0.06</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1.97E-03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0.39</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3.82E-03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1.53</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25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1.17E-03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0.26</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8.55E-03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1.71</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1.65E-02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6.62</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hint="eastAsia" w:ascii="Times New Roman" w:hAnsi="Times New Roman" w:eastAsia="宋体"/>
                      <w:b/>
                      <w:bCs/>
                      <w:color w:val="auto"/>
                      <w:kern w:val="0"/>
                      <w:sz w:val="21"/>
                      <w:szCs w:val="21"/>
                    </w:rPr>
                    <w:t>34</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b/>
                      <w:bCs/>
                      <w:color w:val="auto"/>
                      <w:sz w:val="21"/>
                      <w:szCs w:val="21"/>
                    </w:rPr>
                  </w:pPr>
                  <w:r>
                    <w:rPr>
                      <w:rFonts w:hint="eastAsia"/>
                      <w:b/>
                      <w:bCs/>
                      <w:color w:val="auto"/>
                      <w:sz w:val="21"/>
                      <w:szCs w:val="21"/>
                    </w:rPr>
                    <w:t>1.40E-03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b/>
                      <w:bCs/>
                      <w:color w:val="auto"/>
                      <w:sz w:val="21"/>
                      <w:szCs w:val="21"/>
                    </w:rPr>
                  </w:pPr>
                  <w:r>
                    <w:rPr>
                      <w:rFonts w:hint="eastAsia"/>
                      <w:b/>
                      <w:bCs/>
                      <w:color w:val="auto"/>
                      <w:sz w:val="21"/>
                      <w:szCs w:val="21"/>
                    </w:rPr>
                    <w:t>0.31</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b/>
                      <w:bCs/>
                      <w:color w:val="auto"/>
                      <w:sz w:val="21"/>
                      <w:szCs w:val="21"/>
                    </w:rPr>
                  </w:pPr>
                  <w:r>
                    <w:rPr>
                      <w:rFonts w:hint="eastAsia"/>
                      <w:b/>
                      <w:bCs/>
                      <w:color w:val="auto"/>
                      <w:sz w:val="21"/>
                      <w:szCs w:val="21"/>
                    </w:rPr>
                    <w:t>1.02E-02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b/>
                      <w:bCs/>
                      <w:color w:val="auto"/>
                      <w:sz w:val="21"/>
                      <w:szCs w:val="21"/>
                    </w:rPr>
                  </w:pPr>
                  <w:r>
                    <w:rPr>
                      <w:rFonts w:hint="eastAsia"/>
                      <w:b/>
                      <w:bCs/>
                      <w:color w:val="auto"/>
                      <w:sz w:val="21"/>
                      <w:szCs w:val="21"/>
                    </w:rPr>
                    <w:t>2.05</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b/>
                      <w:bCs/>
                      <w:color w:val="auto"/>
                      <w:sz w:val="21"/>
                      <w:szCs w:val="21"/>
                    </w:rPr>
                  </w:pPr>
                  <w:r>
                    <w:rPr>
                      <w:rFonts w:hint="eastAsia"/>
                      <w:b/>
                      <w:bCs/>
                      <w:color w:val="auto"/>
                      <w:sz w:val="21"/>
                      <w:szCs w:val="21"/>
                    </w:rPr>
                    <w:t>1.98E-02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b/>
                      <w:bCs/>
                      <w:color w:val="auto"/>
                      <w:sz w:val="21"/>
                      <w:szCs w:val="21"/>
                    </w:rPr>
                  </w:pPr>
                  <w:r>
                    <w:rPr>
                      <w:rFonts w:hint="eastAsia"/>
                      <w:b/>
                      <w:bCs/>
                      <w:color w:val="auto"/>
                      <w:sz w:val="21"/>
                      <w:szCs w:val="21"/>
                    </w:rPr>
                    <w:t>7.92</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50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1.14E-03</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0.25</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8.35E-03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1.67</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1.62E-02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6.46</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color w:val="auto"/>
                      <w:kern w:val="0"/>
                      <w:sz w:val="21"/>
                      <w:szCs w:val="21"/>
                    </w:rPr>
                    <w:t>75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b/>
                      <w:bCs/>
                      <w:color w:val="auto"/>
                      <w:sz w:val="21"/>
                      <w:szCs w:val="21"/>
                    </w:rPr>
                  </w:pPr>
                  <w:r>
                    <w:rPr>
                      <w:rFonts w:hint="eastAsia"/>
                      <w:color w:val="auto"/>
                      <w:sz w:val="21"/>
                      <w:szCs w:val="21"/>
                    </w:rPr>
                    <w:t>9.44E-04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b/>
                      <w:bCs/>
                      <w:color w:val="auto"/>
                      <w:sz w:val="21"/>
                      <w:szCs w:val="21"/>
                    </w:rPr>
                  </w:pPr>
                  <w:r>
                    <w:rPr>
                      <w:rFonts w:hint="eastAsia"/>
                      <w:color w:val="auto"/>
                      <w:sz w:val="21"/>
                      <w:szCs w:val="21"/>
                    </w:rPr>
                    <w:t>0.21</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b/>
                      <w:bCs/>
                      <w:color w:val="auto"/>
                      <w:sz w:val="21"/>
                      <w:szCs w:val="21"/>
                    </w:rPr>
                  </w:pPr>
                  <w:r>
                    <w:rPr>
                      <w:rFonts w:hint="eastAsia"/>
                      <w:color w:val="auto"/>
                      <w:sz w:val="21"/>
                      <w:szCs w:val="21"/>
                    </w:rPr>
                    <w:t>6.90E-03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b/>
                      <w:bCs/>
                      <w:color w:val="auto"/>
                      <w:sz w:val="21"/>
                      <w:szCs w:val="21"/>
                    </w:rPr>
                  </w:pPr>
                  <w:r>
                    <w:rPr>
                      <w:rFonts w:hint="eastAsia"/>
                      <w:color w:val="auto"/>
                      <w:sz w:val="21"/>
                      <w:szCs w:val="21"/>
                    </w:rPr>
                    <w:t>1.38</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b/>
                      <w:bCs/>
                      <w:color w:val="auto"/>
                      <w:sz w:val="21"/>
                      <w:szCs w:val="21"/>
                    </w:rPr>
                  </w:pPr>
                  <w:r>
                    <w:rPr>
                      <w:rFonts w:hint="eastAsia"/>
                      <w:color w:val="auto"/>
                      <w:sz w:val="21"/>
                      <w:szCs w:val="21"/>
                    </w:rPr>
                    <w:t>1.34E-02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b/>
                      <w:bCs/>
                      <w:color w:val="auto"/>
                      <w:sz w:val="21"/>
                      <w:szCs w:val="21"/>
                    </w:rPr>
                  </w:pPr>
                  <w:r>
                    <w:rPr>
                      <w:rFonts w:hint="eastAsia"/>
                      <w:color w:val="auto"/>
                      <w:sz w:val="21"/>
                      <w:szCs w:val="21"/>
                    </w:rPr>
                    <w:t>5.34</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100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9.64E-04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0.21</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7.05E-03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1.41</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1.37E-02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5.46</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125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9.08E-04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0.20</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6.64E-03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1.33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1.28E-02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5.14</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150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8.10E-04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0.18</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5.92E-03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1.18</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1.15E-02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4.59</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175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7.13E-04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0.16</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5.21E-03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1.04</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1.01E-02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4.04</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color w:val="auto"/>
                      <w:kern w:val="0"/>
                      <w:sz w:val="21"/>
                      <w:szCs w:val="21"/>
                    </w:rPr>
                  </w:pPr>
                  <w:r>
                    <w:rPr>
                      <w:rFonts w:ascii="Times New Roman" w:hAnsi="Times New Roman" w:eastAsia="宋体"/>
                      <w:color w:val="auto"/>
                      <w:kern w:val="0"/>
                      <w:sz w:val="21"/>
                      <w:szCs w:val="21"/>
                    </w:rPr>
                    <w:t>200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b/>
                      <w:color w:val="auto"/>
                      <w:sz w:val="21"/>
                      <w:szCs w:val="21"/>
                    </w:rPr>
                  </w:pPr>
                  <w:r>
                    <w:rPr>
                      <w:rFonts w:hint="eastAsia"/>
                      <w:color w:val="auto"/>
                      <w:sz w:val="21"/>
                      <w:szCs w:val="21"/>
                    </w:rPr>
                    <w:t>6.27E-04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b/>
                      <w:color w:val="auto"/>
                      <w:sz w:val="21"/>
                      <w:szCs w:val="21"/>
                    </w:rPr>
                  </w:pPr>
                  <w:r>
                    <w:rPr>
                      <w:rFonts w:hint="eastAsia"/>
                      <w:color w:val="auto"/>
                      <w:sz w:val="21"/>
                      <w:szCs w:val="21"/>
                    </w:rPr>
                    <w:t>0.14</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b/>
                      <w:color w:val="auto"/>
                      <w:sz w:val="21"/>
                      <w:szCs w:val="21"/>
                    </w:rPr>
                  </w:pPr>
                  <w:r>
                    <w:rPr>
                      <w:rFonts w:hint="eastAsia"/>
                      <w:color w:val="auto"/>
                      <w:sz w:val="21"/>
                      <w:szCs w:val="21"/>
                    </w:rPr>
                    <w:t>4.59E-03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b/>
                      <w:color w:val="auto"/>
                      <w:sz w:val="21"/>
                      <w:szCs w:val="21"/>
                    </w:rPr>
                  </w:pPr>
                  <w:r>
                    <w:rPr>
                      <w:rFonts w:hint="eastAsia"/>
                      <w:color w:val="auto"/>
                      <w:sz w:val="21"/>
                      <w:szCs w:val="21"/>
                    </w:rPr>
                    <w:t>0.92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b/>
                      <w:color w:val="auto"/>
                      <w:sz w:val="21"/>
                      <w:szCs w:val="21"/>
                    </w:rPr>
                  </w:pPr>
                  <w:r>
                    <w:rPr>
                      <w:rFonts w:hint="eastAsia"/>
                      <w:color w:val="auto"/>
                      <w:sz w:val="21"/>
                      <w:szCs w:val="21"/>
                    </w:rPr>
                    <w:t>8.88E-03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b/>
                      <w:color w:val="auto"/>
                      <w:sz w:val="21"/>
                      <w:szCs w:val="21"/>
                      <w:lang w:eastAsia="zh-CN"/>
                    </w:rPr>
                  </w:pPr>
                  <w:r>
                    <w:rPr>
                      <w:rFonts w:hint="eastAsia"/>
                      <w:color w:val="auto"/>
                      <w:sz w:val="21"/>
                      <w:szCs w:val="21"/>
                      <w:lang w:eastAsia="zh-CN"/>
                    </w:rPr>
                    <w:t>3.53</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225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5.68E-04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0.13</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4.15E-03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0.83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8.04E-03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3.21</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250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5.63E-04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0.13</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4.12E-03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0.82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7.97E-03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3.19</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275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5.50E-04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0.12</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4.03E-03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0.81</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7.79E-03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3.12</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300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5.33E-04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0.12</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3.90E-03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0.78</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7.54E-03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3.02</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325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5.13E-04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0.11</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3.75E-03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0.75</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7.26E-03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2.90</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350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4.91E-04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0.11</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3.59E-03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0.72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6.96E-03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2.78</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375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4.70E-04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0.10</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3.44E-03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0.69</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6.65E-03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2.66</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400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4.49E-04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0.10</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3.28E-03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0.66</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6.36E-03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2.54</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425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4.34E-04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0.10</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3.17E-03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0.63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6.15E-03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2.46</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450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4.23E-04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0.09</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3.10E-03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0.62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5.99E-03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2.40</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475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4.12E-04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0.09</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3.01E-03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0.60</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5.83E-03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2.33</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500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4.00E-04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0.09</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2.93E-03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0.59</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5.67E-03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2.27</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525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3.89E-04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0.09</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2.84E-03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0.57</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5.50E-03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2.20</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550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3.77E-04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0.08</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2.76E-03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0.55</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5.34E-03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2.13</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575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3.66E-04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0.08</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2.67E-03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0.53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5.17E-03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2.07</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600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3.54E-04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0.08</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2.59E-03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0.52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5.02E-03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2.01</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625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3.44E-04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0.08</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2.51E-03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0.50</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4.86E-03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1.95</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650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3.33E-04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0.07</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2.44E-03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0.49</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4.71E-03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1.89</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675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3.23E-04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0.07</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2.36E-03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0.47</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4.57E-03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1.83</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700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3.13E-04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0.07</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2.29E-03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0.46</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4.43E-03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1.77</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725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3.04E-04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0.07</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2.22E-03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0.44</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4.30E-03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1.72</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750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2.95E-04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0.07</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2.16E-03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0.43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4.18E-03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1.67</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775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2.87E-04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0.06</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2.10E-03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0.42</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4.06E-03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1.62</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800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2.80E-04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0.06</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2.05E-03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0.41</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3.96E-03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1.59</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825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2.74E-04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0.06</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2.00E-03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0.40</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3.87E-03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1.55</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850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2.70E-04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0.06</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1.97E-03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0.39</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3.82E-03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1.53</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875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2.69E-04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0.06</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1.97E-03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0.39</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3.80E-03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1.52</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900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2.67E-04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0.06</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1.96E-03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0.39</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3.79E-03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1.51</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925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2.66E-04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0.06</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1.94E-03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0.39</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3.76E-03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1.51</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950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2.64E-04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0.06</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1.93E-03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0.39</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3.74E-03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1.50</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975</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2.62E-04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0.06</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1.92E-03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0.38</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3.71E-03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1.48</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1000</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2.60E-04</w:t>
                  </w:r>
                </w:p>
              </w:tc>
              <w:tc>
                <w:tcPr>
                  <w:tcW w:w="131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0.06</w:t>
                  </w:r>
                </w:p>
              </w:tc>
              <w:tc>
                <w:tcPr>
                  <w:tcW w:w="1308"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1.90E-03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0.38</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3.68E-03</w:t>
                  </w:r>
                </w:p>
              </w:tc>
              <w:tc>
                <w:tcPr>
                  <w:tcW w:w="130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1.47</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最大落地浓度（mg/m</w:t>
                  </w:r>
                  <w:r>
                    <w:rPr>
                      <w:rFonts w:ascii="Times New Roman" w:hAnsi="Times New Roman" w:eastAsia="宋体"/>
                      <w:color w:val="auto"/>
                      <w:kern w:val="0"/>
                      <w:sz w:val="21"/>
                      <w:szCs w:val="21"/>
                      <w:vertAlign w:val="superscript"/>
                    </w:rPr>
                    <w:t>3</w:t>
                  </w:r>
                  <w:r>
                    <w:rPr>
                      <w:rFonts w:ascii="Times New Roman" w:hAnsi="Times New Roman" w:eastAsia="宋体"/>
                      <w:color w:val="auto"/>
                      <w:kern w:val="0"/>
                      <w:sz w:val="21"/>
                      <w:szCs w:val="21"/>
                    </w:rPr>
                    <w:t>)</w:t>
                  </w:r>
                </w:p>
              </w:tc>
              <w:tc>
                <w:tcPr>
                  <w:tcW w:w="2675" w:type="dxa"/>
                  <w:gridSpan w:val="2"/>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b w:val="0"/>
                      <w:bCs w:val="0"/>
                      <w:color w:val="auto"/>
                      <w:kern w:val="0"/>
                      <w:sz w:val="21"/>
                      <w:szCs w:val="21"/>
                    </w:rPr>
                  </w:pPr>
                  <w:r>
                    <w:rPr>
                      <w:rFonts w:hint="eastAsia"/>
                      <w:b w:val="0"/>
                      <w:bCs w:val="0"/>
                      <w:color w:val="auto"/>
                      <w:sz w:val="21"/>
                      <w:szCs w:val="21"/>
                    </w:rPr>
                    <w:t>1.40E-03</w:t>
                  </w:r>
                </w:p>
              </w:tc>
              <w:tc>
                <w:tcPr>
                  <w:tcW w:w="2615" w:type="dxa"/>
                  <w:gridSpan w:val="2"/>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b w:val="0"/>
                      <w:bCs w:val="0"/>
                      <w:color w:val="auto"/>
                      <w:sz w:val="21"/>
                      <w:szCs w:val="21"/>
                    </w:rPr>
                  </w:pPr>
                  <w:r>
                    <w:rPr>
                      <w:rFonts w:hint="eastAsia"/>
                      <w:b w:val="0"/>
                      <w:bCs w:val="0"/>
                      <w:color w:val="auto"/>
                      <w:sz w:val="21"/>
                      <w:szCs w:val="21"/>
                    </w:rPr>
                    <w:t>1.02E-02</w:t>
                  </w:r>
                </w:p>
              </w:tc>
              <w:tc>
                <w:tcPr>
                  <w:tcW w:w="2614" w:type="dxa"/>
                  <w:gridSpan w:val="2"/>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b w:val="0"/>
                      <w:bCs w:val="0"/>
                      <w:color w:val="auto"/>
                      <w:sz w:val="21"/>
                      <w:szCs w:val="21"/>
                    </w:rPr>
                  </w:pPr>
                  <w:r>
                    <w:rPr>
                      <w:rFonts w:hint="eastAsia"/>
                      <w:b w:val="0"/>
                      <w:bCs w:val="0"/>
                      <w:color w:val="auto"/>
                      <w:sz w:val="21"/>
                      <w:szCs w:val="21"/>
                    </w:rPr>
                    <w:t>1.98E-02</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最大占标率（%）</w:t>
                  </w:r>
                </w:p>
              </w:tc>
              <w:tc>
                <w:tcPr>
                  <w:tcW w:w="2675" w:type="dxa"/>
                  <w:gridSpan w:val="2"/>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b w:val="0"/>
                      <w:bCs w:val="0"/>
                      <w:color w:val="auto"/>
                      <w:kern w:val="0"/>
                      <w:sz w:val="21"/>
                      <w:szCs w:val="21"/>
                    </w:rPr>
                  </w:pPr>
                  <w:r>
                    <w:rPr>
                      <w:rFonts w:hint="eastAsia"/>
                      <w:b w:val="0"/>
                      <w:bCs w:val="0"/>
                      <w:color w:val="auto"/>
                      <w:sz w:val="21"/>
                      <w:szCs w:val="21"/>
                    </w:rPr>
                    <w:t>0.31</w:t>
                  </w:r>
                </w:p>
              </w:tc>
              <w:tc>
                <w:tcPr>
                  <w:tcW w:w="2615" w:type="dxa"/>
                  <w:gridSpan w:val="2"/>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b w:val="0"/>
                      <w:bCs w:val="0"/>
                      <w:color w:val="auto"/>
                      <w:kern w:val="0"/>
                      <w:sz w:val="21"/>
                      <w:szCs w:val="21"/>
                    </w:rPr>
                  </w:pPr>
                  <w:r>
                    <w:rPr>
                      <w:rFonts w:hint="eastAsia"/>
                      <w:b w:val="0"/>
                      <w:bCs w:val="0"/>
                      <w:color w:val="auto"/>
                      <w:sz w:val="21"/>
                      <w:szCs w:val="21"/>
                    </w:rPr>
                    <w:t>2.05</w:t>
                  </w:r>
                </w:p>
              </w:tc>
              <w:tc>
                <w:tcPr>
                  <w:tcW w:w="2614" w:type="dxa"/>
                  <w:gridSpan w:val="2"/>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default" w:ascii="Times New Roman" w:hAnsi="Times New Roman" w:eastAsia="宋体"/>
                      <w:b w:val="0"/>
                      <w:bCs w:val="0"/>
                      <w:color w:val="auto"/>
                      <w:kern w:val="0"/>
                      <w:sz w:val="21"/>
                      <w:szCs w:val="21"/>
                      <w:lang w:val="en-US" w:eastAsia="zh-CN"/>
                    </w:rPr>
                  </w:pPr>
                  <w:r>
                    <w:rPr>
                      <w:rFonts w:hint="eastAsia"/>
                      <w:b w:val="0"/>
                      <w:bCs w:val="0"/>
                      <w:color w:val="auto"/>
                      <w:kern w:val="0"/>
                      <w:sz w:val="21"/>
                      <w:szCs w:val="21"/>
                      <w:lang w:val="en-US" w:eastAsia="zh-CN"/>
                    </w:rPr>
                    <w:t>7.92</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15" w:type="dxa"/>
                  <w:tcBorders>
                    <w:top w:val="single" w:color="auto" w:sz="4" w:space="0"/>
                    <w:left w:val="nil"/>
                    <w:bottom w:val="single" w:color="000000"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最大浓度出现距离（m）</w:t>
                  </w:r>
                </w:p>
              </w:tc>
              <w:tc>
                <w:tcPr>
                  <w:tcW w:w="7904" w:type="dxa"/>
                  <w:gridSpan w:val="6"/>
                  <w:tcBorders>
                    <w:top w:val="single" w:color="auto" w:sz="4" w:space="0"/>
                    <w:left w:val="single" w:color="auto" w:sz="4" w:space="0"/>
                    <w:bottom w:val="single" w:color="000000" w:sz="12"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34</w:t>
                  </w:r>
                </w:p>
              </w:tc>
            </w:tr>
          </w:tbl>
          <w:p>
            <w:pPr>
              <w:spacing w:line="240" w:lineRule="auto"/>
              <w:ind w:firstLine="0" w:firstLineChars="0"/>
              <w:jc w:val="center"/>
              <w:rPr>
                <w:rFonts w:ascii="Times New Roman" w:hAnsi="Times New Roman" w:eastAsia="宋体"/>
                <w:b/>
                <w:color w:val="auto"/>
                <w:sz w:val="21"/>
                <w:szCs w:val="21"/>
              </w:rPr>
            </w:pPr>
            <w:r>
              <w:rPr>
                <w:rFonts w:hint="eastAsia" w:ascii="Times New Roman" w:hAnsi="Times New Roman" w:eastAsia="宋体"/>
                <w:b/>
                <w:color w:val="auto"/>
                <w:sz w:val="21"/>
                <w:szCs w:val="21"/>
              </w:rPr>
              <w:t>表</w:t>
            </w:r>
            <w:r>
              <w:rPr>
                <w:rFonts w:ascii="Times New Roman" w:hAnsi="Times New Roman" w:eastAsia="宋体"/>
                <w:b/>
                <w:color w:val="auto"/>
                <w:sz w:val="21"/>
                <w:szCs w:val="21"/>
              </w:rPr>
              <w:t>7</w:t>
            </w:r>
            <w:r>
              <w:rPr>
                <w:rFonts w:hint="eastAsia"/>
                <w:b/>
                <w:color w:val="auto"/>
                <w:sz w:val="21"/>
                <w:szCs w:val="21"/>
                <w:lang w:val="en-US" w:eastAsia="zh-CN"/>
              </w:rPr>
              <w:t>.6</w:t>
            </w:r>
            <w:r>
              <w:rPr>
                <w:rFonts w:ascii="Times New Roman" w:hAnsi="Times New Roman" w:eastAsia="宋体"/>
                <w:b/>
                <w:color w:val="auto"/>
                <w:sz w:val="21"/>
                <w:szCs w:val="21"/>
              </w:rPr>
              <w:t>-</w:t>
            </w:r>
            <w:r>
              <w:rPr>
                <w:rFonts w:hint="eastAsia"/>
                <w:b/>
                <w:color w:val="auto"/>
                <w:sz w:val="21"/>
                <w:szCs w:val="21"/>
                <w:lang w:val="en-US" w:eastAsia="zh-CN"/>
              </w:rPr>
              <w:t>8</w:t>
            </w:r>
            <w:r>
              <w:rPr>
                <w:rFonts w:hint="eastAsia" w:ascii="Times New Roman" w:hAnsi="Times New Roman" w:eastAsia="宋体"/>
                <w:b/>
                <w:color w:val="auto"/>
                <w:sz w:val="21"/>
                <w:szCs w:val="21"/>
              </w:rPr>
              <w:t>正常工况下</w:t>
            </w:r>
            <w:r>
              <w:rPr>
                <w:rFonts w:hint="eastAsia"/>
                <w:b/>
                <w:color w:val="auto"/>
                <w:sz w:val="21"/>
                <w:szCs w:val="21"/>
                <w:lang w:val="en-US" w:eastAsia="zh-CN"/>
              </w:rPr>
              <w:t>3</w:t>
            </w:r>
            <w:r>
              <w:rPr>
                <w:rFonts w:ascii="Times New Roman" w:hAnsi="Times New Roman" w:eastAsia="宋体"/>
                <w:b/>
                <w:color w:val="auto"/>
                <w:sz w:val="21"/>
                <w:szCs w:val="21"/>
              </w:rPr>
              <w:t>#</w:t>
            </w:r>
            <w:r>
              <w:rPr>
                <w:rFonts w:hint="eastAsia" w:ascii="Times New Roman" w:hAnsi="Times New Roman" w:eastAsia="宋体"/>
                <w:b/>
                <w:color w:val="auto"/>
                <w:sz w:val="21"/>
                <w:szCs w:val="21"/>
              </w:rPr>
              <w:t>排气筒估算模式预测结果</w:t>
            </w:r>
          </w:p>
          <w:tbl>
            <w:tblPr>
              <w:tblStyle w:val="43"/>
              <w:tblW w:w="9219"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898"/>
              <w:gridCol w:w="1836"/>
              <w:gridCol w:w="1826"/>
              <w:gridCol w:w="18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vMerge w:val="restart"/>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距源中心下风向距离D（m）</w:t>
                  </w:r>
                </w:p>
              </w:tc>
              <w:tc>
                <w:tcPr>
                  <w:tcW w:w="3734" w:type="dxa"/>
                  <w:gridSpan w:val="2"/>
                  <w:tcBorders>
                    <w:tl2br w:val="nil"/>
                    <w:tr2bl w:val="nil"/>
                  </w:tcBorders>
                  <w:vAlign w:val="center"/>
                </w:tcPr>
                <w:p>
                  <w:pPr>
                    <w:pStyle w:val="220"/>
                    <w:rPr>
                      <w:rFonts w:ascii="Times New Roman" w:hAnsi="Times New Roman" w:eastAsia="宋体"/>
                      <w:b/>
                      <w:bCs/>
                      <w:color w:val="auto"/>
                    </w:rPr>
                  </w:pPr>
                  <w:r>
                    <w:rPr>
                      <w:rFonts w:hint="eastAsia" w:ascii="Times New Roman" w:hAnsi="Times New Roman" w:eastAsia="宋体"/>
                      <w:b/>
                      <w:color w:val="auto"/>
                    </w:rPr>
                    <w:t>苯并[a]芘</w:t>
                  </w:r>
                </w:p>
              </w:tc>
              <w:tc>
                <w:tcPr>
                  <w:tcW w:w="3650" w:type="dxa"/>
                  <w:gridSpan w:val="2"/>
                  <w:tcBorders>
                    <w:tl2br w:val="nil"/>
                    <w:tr2bl w:val="nil"/>
                  </w:tcBorders>
                  <w:vAlign w:val="center"/>
                </w:tcPr>
                <w:p>
                  <w:pPr>
                    <w:pStyle w:val="220"/>
                    <w:rPr>
                      <w:rFonts w:ascii="Times New Roman" w:hAnsi="Times New Roman" w:eastAsia="宋体"/>
                      <w:b/>
                      <w:bCs/>
                      <w:color w:val="auto"/>
                    </w:rPr>
                  </w:pPr>
                  <w:r>
                    <w:rPr>
                      <w:rFonts w:hint="eastAsia" w:ascii="Times New Roman" w:hAnsi="Times New Roman" w:eastAsia="宋体"/>
                      <w:b/>
                      <w:color w:val="auto"/>
                    </w:rPr>
                    <w:t>沥青烟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vMerge w:val="continue"/>
                  <w:tcBorders>
                    <w:tl2br w:val="nil"/>
                    <w:tr2bl w:val="nil"/>
                  </w:tcBorders>
                  <w:vAlign w:val="center"/>
                </w:tcPr>
                <w:p>
                  <w:pPr>
                    <w:widowControl/>
                    <w:spacing w:line="240" w:lineRule="auto"/>
                    <w:ind w:firstLine="0" w:firstLineChars="0"/>
                    <w:jc w:val="center"/>
                    <w:rPr>
                      <w:rFonts w:ascii="Times New Roman" w:hAnsi="Times New Roman" w:eastAsia="宋体"/>
                      <w:b/>
                      <w:bCs/>
                      <w:color w:val="auto"/>
                      <w:kern w:val="0"/>
                      <w:sz w:val="21"/>
                      <w:szCs w:val="21"/>
                    </w:rPr>
                  </w:pPr>
                </w:p>
              </w:tc>
              <w:tc>
                <w:tcPr>
                  <w:tcW w:w="1898"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下风向预测浓度（mg/m</w:t>
                  </w:r>
                  <w:r>
                    <w:rPr>
                      <w:rFonts w:ascii="Times New Roman" w:hAnsi="Times New Roman" w:eastAsia="宋体"/>
                      <w:b/>
                      <w:bCs/>
                      <w:color w:val="auto"/>
                      <w:kern w:val="0"/>
                      <w:sz w:val="21"/>
                      <w:szCs w:val="21"/>
                      <w:vertAlign w:val="superscript"/>
                    </w:rPr>
                    <w:t>3</w:t>
                  </w:r>
                  <w:r>
                    <w:rPr>
                      <w:rFonts w:ascii="Times New Roman" w:hAnsi="Times New Roman" w:eastAsia="宋体"/>
                      <w:b/>
                      <w:bCs/>
                      <w:color w:val="auto"/>
                      <w:kern w:val="0"/>
                      <w:sz w:val="21"/>
                      <w:szCs w:val="21"/>
                    </w:rPr>
                    <w:t>)</w:t>
                  </w:r>
                </w:p>
              </w:tc>
              <w:tc>
                <w:tcPr>
                  <w:tcW w:w="1836"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浓度占标率（%）</w:t>
                  </w:r>
                </w:p>
              </w:tc>
              <w:tc>
                <w:tcPr>
                  <w:tcW w:w="1826"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下风向预测浓度（mg/m</w:t>
                  </w:r>
                  <w:r>
                    <w:rPr>
                      <w:rFonts w:ascii="Times New Roman" w:hAnsi="Times New Roman" w:eastAsia="宋体"/>
                      <w:b/>
                      <w:bCs/>
                      <w:color w:val="auto"/>
                      <w:kern w:val="0"/>
                      <w:sz w:val="21"/>
                      <w:szCs w:val="21"/>
                      <w:vertAlign w:val="superscript"/>
                    </w:rPr>
                    <w:t>3</w:t>
                  </w:r>
                  <w:r>
                    <w:rPr>
                      <w:rFonts w:ascii="Times New Roman" w:hAnsi="Times New Roman" w:eastAsia="宋体"/>
                      <w:b/>
                      <w:bCs/>
                      <w:color w:val="auto"/>
                      <w:kern w:val="0"/>
                      <w:sz w:val="21"/>
                      <w:szCs w:val="21"/>
                    </w:rPr>
                    <w:t>)</w:t>
                  </w:r>
                </w:p>
              </w:tc>
              <w:tc>
                <w:tcPr>
                  <w:tcW w:w="1824"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浓度占标率（%）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10</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1.47E-08</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2.59E-05</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835"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25</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2.19E-07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3.85E-04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0.53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835"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50</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3.09E-07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5.42E-04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0.74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35"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75</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4.07E-07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0.01</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7.16E-04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0.98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hint="eastAsia" w:ascii="Times New Roman" w:hAnsi="Times New Roman" w:eastAsia="宋体"/>
                      <w:b/>
                      <w:bCs/>
                      <w:color w:val="auto"/>
                      <w:kern w:val="0"/>
                      <w:sz w:val="21"/>
                      <w:szCs w:val="21"/>
                    </w:rPr>
                    <w:t>76</w:t>
                  </w:r>
                </w:p>
              </w:tc>
              <w:tc>
                <w:tcPr>
                  <w:tcW w:w="1898" w:type="dxa"/>
                  <w:tcBorders>
                    <w:tl2br w:val="nil"/>
                    <w:tr2bl w:val="nil"/>
                  </w:tcBorders>
                  <w:vAlign w:val="center"/>
                </w:tcPr>
                <w:p>
                  <w:pPr>
                    <w:ind w:firstLine="0" w:firstLineChars="0"/>
                    <w:jc w:val="center"/>
                    <w:rPr>
                      <w:rFonts w:ascii="Times New Roman" w:hAnsi="Times New Roman" w:eastAsia="宋体"/>
                      <w:b/>
                      <w:bCs/>
                      <w:color w:val="auto"/>
                      <w:sz w:val="21"/>
                      <w:szCs w:val="21"/>
                    </w:rPr>
                  </w:pPr>
                  <w:r>
                    <w:rPr>
                      <w:rFonts w:hint="eastAsia" w:ascii="Times New Roman" w:hAnsi="Times New Roman" w:eastAsia="宋体"/>
                      <w:b/>
                      <w:bCs/>
                      <w:color w:val="auto"/>
                      <w:sz w:val="21"/>
                      <w:szCs w:val="21"/>
                    </w:rPr>
                    <w:t>4.08E-07</w:t>
                  </w:r>
                </w:p>
              </w:tc>
              <w:tc>
                <w:tcPr>
                  <w:tcW w:w="1836" w:type="dxa"/>
                  <w:tcBorders>
                    <w:tl2br w:val="nil"/>
                    <w:tr2bl w:val="nil"/>
                  </w:tcBorders>
                  <w:vAlign w:val="center"/>
                </w:tcPr>
                <w:p>
                  <w:pPr>
                    <w:ind w:firstLine="0" w:firstLineChars="0"/>
                    <w:jc w:val="center"/>
                    <w:rPr>
                      <w:rFonts w:ascii="Times New Roman" w:hAnsi="Times New Roman" w:eastAsia="宋体"/>
                      <w:b/>
                      <w:bCs/>
                      <w:color w:val="auto"/>
                      <w:sz w:val="21"/>
                      <w:szCs w:val="21"/>
                    </w:rPr>
                  </w:pPr>
                  <w:r>
                    <w:rPr>
                      <w:rFonts w:hint="eastAsia" w:ascii="Times New Roman" w:hAnsi="Times New Roman" w:eastAsia="宋体"/>
                      <w:b/>
                      <w:bCs/>
                      <w:color w:val="auto"/>
                      <w:sz w:val="21"/>
                      <w:szCs w:val="21"/>
                    </w:rPr>
                    <w:t>0.01</w:t>
                  </w:r>
                </w:p>
              </w:tc>
              <w:tc>
                <w:tcPr>
                  <w:tcW w:w="1826" w:type="dxa"/>
                  <w:tcBorders>
                    <w:tl2br w:val="nil"/>
                    <w:tr2bl w:val="nil"/>
                  </w:tcBorders>
                  <w:vAlign w:val="center"/>
                </w:tcPr>
                <w:p>
                  <w:pPr>
                    <w:ind w:firstLine="0" w:firstLineChars="0"/>
                    <w:jc w:val="center"/>
                    <w:rPr>
                      <w:rFonts w:ascii="Times New Roman" w:hAnsi="Times New Roman" w:eastAsia="宋体"/>
                      <w:b/>
                      <w:bCs/>
                      <w:color w:val="auto"/>
                      <w:sz w:val="21"/>
                      <w:szCs w:val="21"/>
                    </w:rPr>
                  </w:pPr>
                  <w:r>
                    <w:rPr>
                      <w:rFonts w:hint="eastAsia" w:ascii="Times New Roman" w:hAnsi="Times New Roman" w:eastAsia="宋体"/>
                      <w:b/>
                      <w:bCs/>
                      <w:color w:val="auto"/>
                      <w:sz w:val="21"/>
                      <w:szCs w:val="21"/>
                    </w:rPr>
                    <w:t>7.16E-04</w:t>
                  </w:r>
                </w:p>
              </w:tc>
              <w:tc>
                <w:tcPr>
                  <w:tcW w:w="1824" w:type="dxa"/>
                  <w:tcBorders>
                    <w:tl2br w:val="nil"/>
                    <w:tr2bl w:val="nil"/>
                  </w:tcBorders>
                  <w:vAlign w:val="center"/>
                </w:tcPr>
                <w:p>
                  <w:pPr>
                    <w:ind w:firstLine="0" w:firstLineChars="0"/>
                    <w:jc w:val="center"/>
                    <w:rPr>
                      <w:rFonts w:ascii="Times New Roman" w:hAnsi="Times New Roman" w:eastAsia="宋体"/>
                      <w:b/>
                      <w:bCs/>
                      <w:color w:val="auto"/>
                      <w:sz w:val="21"/>
                      <w:szCs w:val="21"/>
                    </w:rPr>
                  </w:pPr>
                  <w:r>
                    <w:rPr>
                      <w:rFonts w:hint="eastAsia" w:ascii="Times New Roman" w:hAnsi="Times New Roman" w:eastAsia="宋体"/>
                      <w:b/>
                      <w:bCs/>
                      <w:color w:val="auto"/>
                      <w:sz w:val="21"/>
                      <w:szCs w:val="21"/>
                    </w:rPr>
                    <w:t>0.98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100</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3.72E-07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6.54E-04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125</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3.18E-07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5.58E-04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150</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3.07E-07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5.40E-04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0.74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175</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3.32E-07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5.84E-04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b/>
                      <w:color w:val="auto"/>
                      <w:kern w:val="0"/>
                      <w:sz w:val="21"/>
                      <w:szCs w:val="21"/>
                    </w:rPr>
                  </w:pPr>
                  <w:r>
                    <w:rPr>
                      <w:rFonts w:ascii="Times New Roman" w:hAnsi="Times New Roman" w:eastAsia="宋体"/>
                      <w:color w:val="auto"/>
                      <w:kern w:val="0"/>
                      <w:sz w:val="21"/>
                      <w:szCs w:val="21"/>
                    </w:rPr>
                    <w:t>200</w:t>
                  </w:r>
                </w:p>
              </w:tc>
              <w:tc>
                <w:tcPr>
                  <w:tcW w:w="1898" w:type="dxa"/>
                  <w:tcBorders>
                    <w:tl2br w:val="nil"/>
                    <w:tr2bl w:val="nil"/>
                  </w:tcBorders>
                  <w:vAlign w:val="center"/>
                </w:tcPr>
                <w:p>
                  <w:pPr>
                    <w:ind w:firstLine="0" w:firstLineChars="0"/>
                    <w:jc w:val="center"/>
                    <w:rPr>
                      <w:rFonts w:ascii="Times New Roman" w:hAnsi="Times New Roman" w:eastAsia="宋体"/>
                      <w:b/>
                      <w:color w:val="auto"/>
                      <w:sz w:val="21"/>
                      <w:szCs w:val="21"/>
                    </w:rPr>
                  </w:pPr>
                  <w:r>
                    <w:rPr>
                      <w:rFonts w:hint="eastAsia" w:ascii="Times New Roman" w:hAnsi="Times New Roman" w:eastAsia="宋体"/>
                      <w:color w:val="auto"/>
                      <w:sz w:val="21"/>
                      <w:szCs w:val="21"/>
                    </w:rPr>
                    <w:t>3.40E-07</w:t>
                  </w:r>
                </w:p>
              </w:tc>
              <w:tc>
                <w:tcPr>
                  <w:tcW w:w="1836" w:type="dxa"/>
                  <w:tcBorders>
                    <w:tl2br w:val="nil"/>
                    <w:tr2bl w:val="nil"/>
                  </w:tcBorders>
                  <w:vAlign w:val="center"/>
                </w:tcPr>
                <w:p>
                  <w:pPr>
                    <w:ind w:firstLine="0" w:firstLineChars="0"/>
                    <w:jc w:val="center"/>
                    <w:rPr>
                      <w:rFonts w:ascii="Times New Roman" w:hAnsi="Times New Roman" w:eastAsia="宋体"/>
                      <w:b/>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b/>
                      <w:color w:val="auto"/>
                      <w:sz w:val="21"/>
                      <w:szCs w:val="21"/>
                    </w:rPr>
                  </w:pPr>
                  <w:r>
                    <w:rPr>
                      <w:rFonts w:hint="eastAsia" w:ascii="Times New Roman" w:hAnsi="Times New Roman" w:eastAsia="宋体"/>
                      <w:color w:val="auto"/>
                      <w:sz w:val="21"/>
                      <w:szCs w:val="21"/>
                    </w:rPr>
                    <w:t>5.97E-04</w:t>
                  </w:r>
                </w:p>
              </w:tc>
              <w:tc>
                <w:tcPr>
                  <w:tcW w:w="1824" w:type="dxa"/>
                  <w:tcBorders>
                    <w:tl2br w:val="nil"/>
                    <w:tr2bl w:val="nil"/>
                  </w:tcBorders>
                  <w:vAlign w:val="center"/>
                </w:tcPr>
                <w:p>
                  <w:pPr>
                    <w:ind w:firstLine="0" w:firstLineChars="0"/>
                    <w:jc w:val="center"/>
                    <w:rPr>
                      <w:rFonts w:ascii="Times New Roman" w:hAnsi="Times New Roman" w:eastAsia="宋体"/>
                      <w:b/>
                      <w:color w:val="auto"/>
                      <w:sz w:val="21"/>
                      <w:szCs w:val="21"/>
                    </w:rPr>
                  </w:pPr>
                  <w:r>
                    <w:rPr>
                      <w:rFonts w:hint="eastAsia" w:ascii="Times New Roman" w:hAnsi="Times New Roman" w:eastAsia="宋体"/>
                      <w:color w:val="auto"/>
                      <w:sz w:val="21"/>
                      <w:szCs w:val="21"/>
                    </w:rPr>
                    <w:t>0.82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225</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3.36E-07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5.90E-04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0.81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250</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3.24E-07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5.70E-04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0.78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275</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3.10E-07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5.45E-04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300</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2.94E-07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5.17E-04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0.71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325</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2.78E-07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4.89E-04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350</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2.63E-07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4.62E-04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0.63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375</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2.48E-07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4.36E-04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400</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2.34E-07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4.11E-04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425</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2.21E-07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3.89E-04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0.53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450</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2.09E-07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3.68E-04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475</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1.98E-07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3.48E-04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0.48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500</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1.88E-07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3.30E-04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525</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1.84E-07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3.24E-04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550</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1.84E-07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3.23E-04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575</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1.83E-07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3.21E-04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600</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1.82E-07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3.19E-04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625</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1.80E-07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3.16E-04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650</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1.78E-07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3.12E-04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675</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1.75E-07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3.08E-04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700</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1.73E-07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3.04E-04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725</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1.70E-07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2.99E-04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0.41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750</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1.68E-07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2.95E-04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775</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1.65E-07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2.90E-04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800</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1.62E-07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2.85E-04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825</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1.59E-07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2.80E-04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850</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1.56E-07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2.75E-04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875</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1.54E-07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2.70E-04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0.37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900</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1.51E-07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2.65E-04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925</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1.48E-07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2.60E-04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950</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1.45E-07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2.55E-04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975</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1.43E-07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2.51E-04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1000</w:t>
                  </w:r>
                </w:p>
              </w:tc>
              <w:tc>
                <w:tcPr>
                  <w:tcW w:w="1898"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1.40E-07</w:t>
                  </w:r>
                </w:p>
              </w:tc>
              <w:tc>
                <w:tcPr>
                  <w:tcW w:w="183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0.00</w:t>
                  </w:r>
                </w:p>
              </w:tc>
              <w:tc>
                <w:tcPr>
                  <w:tcW w:w="1826"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2.46E-04</w:t>
                  </w:r>
                </w:p>
              </w:tc>
              <w:tc>
                <w:tcPr>
                  <w:tcW w:w="1824" w:type="dxa"/>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最大落地浓度（mg/m</w:t>
                  </w:r>
                  <w:r>
                    <w:rPr>
                      <w:rFonts w:ascii="Times New Roman" w:hAnsi="Times New Roman" w:eastAsia="宋体"/>
                      <w:color w:val="auto"/>
                      <w:kern w:val="0"/>
                      <w:sz w:val="21"/>
                      <w:szCs w:val="21"/>
                      <w:vertAlign w:val="superscript"/>
                    </w:rPr>
                    <w:t>3</w:t>
                  </w:r>
                  <w:r>
                    <w:rPr>
                      <w:rFonts w:ascii="Times New Roman" w:hAnsi="Times New Roman" w:eastAsia="宋体"/>
                      <w:color w:val="auto"/>
                      <w:kern w:val="0"/>
                      <w:sz w:val="21"/>
                      <w:szCs w:val="21"/>
                    </w:rPr>
                    <w:t>)</w:t>
                  </w:r>
                </w:p>
              </w:tc>
              <w:tc>
                <w:tcPr>
                  <w:tcW w:w="3734" w:type="dxa"/>
                  <w:gridSpan w:val="2"/>
                  <w:tcBorders>
                    <w:tl2br w:val="nil"/>
                    <w:tr2bl w:val="nil"/>
                  </w:tcBorders>
                  <w:vAlign w:val="center"/>
                </w:tcPr>
                <w:p>
                  <w:pPr>
                    <w:ind w:firstLine="0" w:firstLineChars="0"/>
                    <w:jc w:val="center"/>
                    <w:rPr>
                      <w:rFonts w:ascii="Times New Roman" w:hAnsi="Times New Roman" w:eastAsia="宋体"/>
                      <w:color w:val="auto"/>
                      <w:kern w:val="0"/>
                      <w:sz w:val="21"/>
                      <w:szCs w:val="21"/>
                    </w:rPr>
                  </w:pPr>
                  <w:r>
                    <w:rPr>
                      <w:rFonts w:hint="eastAsia" w:ascii="Times New Roman" w:hAnsi="Times New Roman" w:eastAsia="宋体"/>
                      <w:color w:val="auto"/>
                      <w:sz w:val="21"/>
                      <w:szCs w:val="21"/>
                    </w:rPr>
                    <w:t>4.08E-07</w:t>
                  </w:r>
                </w:p>
              </w:tc>
              <w:tc>
                <w:tcPr>
                  <w:tcW w:w="3650" w:type="dxa"/>
                  <w:gridSpan w:val="2"/>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7.16E-04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最大占标率（%）</w:t>
                  </w:r>
                </w:p>
              </w:tc>
              <w:tc>
                <w:tcPr>
                  <w:tcW w:w="3734" w:type="dxa"/>
                  <w:gridSpan w:val="2"/>
                  <w:tcBorders>
                    <w:tl2br w:val="nil"/>
                    <w:tr2bl w:val="nil"/>
                  </w:tcBorders>
                  <w:vAlign w:val="center"/>
                </w:tcPr>
                <w:p>
                  <w:pPr>
                    <w:ind w:firstLine="0" w:firstLineChars="0"/>
                    <w:jc w:val="center"/>
                    <w:rPr>
                      <w:rFonts w:ascii="Times New Roman" w:hAnsi="Times New Roman" w:eastAsia="宋体"/>
                      <w:color w:val="auto"/>
                      <w:kern w:val="0"/>
                      <w:sz w:val="21"/>
                      <w:szCs w:val="21"/>
                    </w:rPr>
                  </w:pPr>
                  <w:r>
                    <w:rPr>
                      <w:rFonts w:hint="eastAsia" w:ascii="Times New Roman" w:hAnsi="Times New Roman" w:eastAsia="宋体"/>
                      <w:color w:val="auto"/>
                      <w:sz w:val="21"/>
                      <w:szCs w:val="21"/>
                    </w:rPr>
                    <w:t>0.01</w:t>
                  </w:r>
                </w:p>
              </w:tc>
              <w:tc>
                <w:tcPr>
                  <w:tcW w:w="3650" w:type="dxa"/>
                  <w:gridSpan w:val="2"/>
                  <w:tcBorders>
                    <w:tl2br w:val="nil"/>
                    <w:tr2bl w:val="nil"/>
                  </w:tcBorders>
                  <w:vAlign w:val="center"/>
                </w:tcPr>
                <w:p>
                  <w:pPr>
                    <w:ind w:firstLine="0" w:firstLineChars="0"/>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0.98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35"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最大浓度出现距离（m）</w:t>
                  </w:r>
                </w:p>
              </w:tc>
              <w:tc>
                <w:tcPr>
                  <w:tcW w:w="7384" w:type="dxa"/>
                  <w:gridSpan w:val="4"/>
                  <w:tcBorders>
                    <w:tl2br w:val="nil"/>
                    <w:tr2bl w:val="nil"/>
                  </w:tcBorders>
                  <w:vAlign w:val="center"/>
                </w:tcPr>
                <w:p>
                  <w:pPr>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76</w:t>
                  </w:r>
                </w:p>
              </w:tc>
            </w:tr>
          </w:tbl>
          <w:p>
            <w:pPr>
              <w:spacing w:line="240" w:lineRule="auto"/>
              <w:ind w:firstLine="0" w:firstLineChars="0"/>
              <w:jc w:val="center"/>
              <w:rPr>
                <w:rFonts w:ascii="Times New Roman" w:hAnsi="Times New Roman" w:eastAsia="宋体"/>
                <w:b/>
                <w:color w:val="auto"/>
                <w:sz w:val="21"/>
                <w:szCs w:val="21"/>
              </w:rPr>
            </w:pPr>
            <w:r>
              <w:rPr>
                <w:rFonts w:hint="eastAsia" w:ascii="Times New Roman" w:hAnsi="Times New Roman" w:eastAsia="宋体"/>
                <w:b/>
                <w:color w:val="auto"/>
                <w:sz w:val="21"/>
                <w:szCs w:val="21"/>
              </w:rPr>
              <w:t>表</w:t>
            </w:r>
            <w:r>
              <w:rPr>
                <w:rFonts w:ascii="Times New Roman" w:hAnsi="Times New Roman" w:eastAsia="宋体"/>
                <w:b/>
                <w:color w:val="auto"/>
                <w:sz w:val="21"/>
                <w:szCs w:val="21"/>
              </w:rPr>
              <w:t>7</w:t>
            </w:r>
            <w:r>
              <w:rPr>
                <w:rFonts w:hint="eastAsia"/>
                <w:b/>
                <w:color w:val="auto"/>
                <w:sz w:val="21"/>
                <w:szCs w:val="21"/>
                <w:lang w:val="en-US" w:eastAsia="zh-CN"/>
              </w:rPr>
              <w:t>.6</w:t>
            </w:r>
            <w:r>
              <w:rPr>
                <w:rFonts w:ascii="Times New Roman" w:hAnsi="Times New Roman" w:eastAsia="宋体"/>
                <w:b/>
                <w:color w:val="auto"/>
                <w:sz w:val="21"/>
                <w:szCs w:val="21"/>
              </w:rPr>
              <w:t>-</w:t>
            </w:r>
            <w:r>
              <w:rPr>
                <w:rFonts w:hint="eastAsia"/>
                <w:b/>
                <w:color w:val="auto"/>
                <w:sz w:val="21"/>
                <w:szCs w:val="21"/>
                <w:lang w:val="en-US" w:eastAsia="zh-CN"/>
              </w:rPr>
              <w:t>9</w:t>
            </w:r>
            <w:r>
              <w:rPr>
                <w:rFonts w:hint="eastAsia" w:ascii="Times New Roman" w:hAnsi="Times New Roman" w:eastAsia="宋体"/>
                <w:b/>
                <w:color w:val="auto"/>
                <w:sz w:val="21"/>
                <w:szCs w:val="21"/>
              </w:rPr>
              <w:t>生产区面源估算模式预测结果</w:t>
            </w:r>
          </w:p>
          <w:tbl>
            <w:tblPr>
              <w:tblStyle w:val="43"/>
              <w:tblW w:w="9073" w:type="dxa"/>
              <w:tblInd w:w="0" w:type="dxa"/>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040"/>
              <w:gridCol w:w="647"/>
              <w:gridCol w:w="1125"/>
              <w:gridCol w:w="614"/>
              <w:gridCol w:w="1040"/>
              <w:gridCol w:w="665"/>
              <w:gridCol w:w="1022"/>
              <w:gridCol w:w="699"/>
              <w:gridCol w:w="1006"/>
              <w:gridCol w:w="657"/>
            </w:tblGrid>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vMerge w:val="restart"/>
                  <w:tcBorders>
                    <w:top w:val="single" w:color="auto" w:sz="12"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距源中心下风向距离D（m）</w:t>
                  </w:r>
                </w:p>
              </w:tc>
              <w:tc>
                <w:tcPr>
                  <w:tcW w:w="1687" w:type="dxa"/>
                  <w:gridSpan w:val="2"/>
                  <w:tcBorders>
                    <w:top w:val="single" w:color="auto" w:sz="12"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PM</w:t>
                  </w:r>
                  <w:r>
                    <w:rPr>
                      <w:rFonts w:ascii="Times New Roman" w:hAnsi="Times New Roman" w:eastAsia="宋体"/>
                      <w:b/>
                      <w:bCs/>
                      <w:color w:val="auto"/>
                      <w:kern w:val="0"/>
                      <w:sz w:val="21"/>
                      <w:szCs w:val="21"/>
                      <w:vertAlign w:val="subscript"/>
                    </w:rPr>
                    <w:t>10</w:t>
                  </w:r>
                </w:p>
              </w:tc>
              <w:tc>
                <w:tcPr>
                  <w:tcW w:w="1739" w:type="dxa"/>
                  <w:gridSpan w:val="2"/>
                  <w:tcBorders>
                    <w:top w:val="single" w:color="auto" w:sz="12"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hint="eastAsia" w:ascii="Times New Roman" w:hAnsi="Times New Roman" w:eastAsia="宋体"/>
                      <w:b/>
                      <w:bCs/>
                      <w:color w:val="auto"/>
                      <w:kern w:val="0"/>
                      <w:sz w:val="21"/>
                      <w:szCs w:val="21"/>
                    </w:rPr>
                    <w:t>SO</w:t>
                  </w:r>
                  <w:r>
                    <w:rPr>
                      <w:rFonts w:hint="eastAsia" w:ascii="Times New Roman" w:hAnsi="Times New Roman" w:eastAsia="宋体"/>
                      <w:b/>
                      <w:bCs/>
                      <w:color w:val="auto"/>
                      <w:kern w:val="0"/>
                      <w:sz w:val="21"/>
                      <w:szCs w:val="21"/>
                      <w:vertAlign w:val="subscript"/>
                    </w:rPr>
                    <w:t>2</w:t>
                  </w:r>
                </w:p>
              </w:tc>
              <w:tc>
                <w:tcPr>
                  <w:tcW w:w="1705" w:type="dxa"/>
                  <w:gridSpan w:val="2"/>
                  <w:tcBorders>
                    <w:top w:val="single" w:color="auto" w:sz="12"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hint="eastAsia" w:ascii="Times New Roman" w:hAnsi="Times New Roman" w:eastAsia="宋体"/>
                      <w:b/>
                      <w:bCs/>
                      <w:color w:val="auto"/>
                      <w:kern w:val="0"/>
                      <w:sz w:val="21"/>
                      <w:szCs w:val="21"/>
                    </w:rPr>
                    <w:t>NOx</w:t>
                  </w:r>
                </w:p>
              </w:tc>
              <w:tc>
                <w:tcPr>
                  <w:tcW w:w="1721" w:type="dxa"/>
                  <w:gridSpan w:val="2"/>
                  <w:tcBorders>
                    <w:top w:val="single" w:color="auto" w:sz="12" w:space="0"/>
                    <w:left w:val="single" w:color="auto" w:sz="4" w:space="0"/>
                    <w:bottom w:val="single" w:color="auto" w:sz="4" w:space="0"/>
                    <w:right w:val="nil"/>
                  </w:tcBorders>
                  <w:vAlign w:val="center"/>
                </w:tcPr>
                <w:p>
                  <w:pPr>
                    <w:pStyle w:val="220"/>
                    <w:keepNext w:val="0"/>
                    <w:keepLines w:val="0"/>
                    <w:pageBreakBefore w:val="0"/>
                    <w:kinsoku/>
                    <w:wordWrap/>
                    <w:overflowPunct/>
                    <w:topLinePunct w:val="0"/>
                    <w:autoSpaceDE/>
                    <w:autoSpaceDN/>
                    <w:bidi w:val="0"/>
                    <w:ind w:firstLine="0" w:firstLineChars="0"/>
                    <w:rPr>
                      <w:rFonts w:hint="eastAsia" w:ascii="Times New Roman" w:hAnsi="Times New Roman" w:eastAsia="宋体"/>
                      <w:b/>
                      <w:color w:val="auto"/>
                      <w:sz w:val="21"/>
                      <w:szCs w:val="21"/>
                    </w:rPr>
                  </w:pPr>
                  <w:r>
                    <w:rPr>
                      <w:rFonts w:hint="eastAsia" w:ascii="Times New Roman" w:hAnsi="Times New Roman" w:eastAsia="宋体"/>
                      <w:b/>
                      <w:color w:val="auto"/>
                      <w:sz w:val="21"/>
                      <w:szCs w:val="21"/>
                    </w:rPr>
                    <w:t>苯并[a]芘</w:t>
                  </w:r>
                </w:p>
              </w:tc>
              <w:tc>
                <w:tcPr>
                  <w:tcW w:w="1663" w:type="dxa"/>
                  <w:gridSpan w:val="2"/>
                  <w:tcBorders>
                    <w:top w:val="single" w:color="auto" w:sz="12" w:space="0"/>
                    <w:left w:val="single" w:color="auto" w:sz="4" w:space="0"/>
                    <w:bottom w:val="single" w:color="auto" w:sz="4" w:space="0"/>
                    <w:right w:val="nil"/>
                  </w:tcBorders>
                  <w:vAlign w:val="center"/>
                </w:tcPr>
                <w:p>
                  <w:pPr>
                    <w:pStyle w:val="220"/>
                    <w:keepNext w:val="0"/>
                    <w:keepLines w:val="0"/>
                    <w:pageBreakBefore w:val="0"/>
                    <w:kinsoku/>
                    <w:wordWrap/>
                    <w:overflowPunct/>
                    <w:topLinePunct w:val="0"/>
                    <w:autoSpaceDE/>
                    <w:autoSpaceDN/>
                    <w:bidi w:val="0"/>
                    <w:ind w:firstLine="0" w:firstLineChars="0"/>
                    <w:rPr>
                      <w:rFonts w:hint="eastAsia" w:ascii="Times New Roman" w:hAnsi="Times New Roman" w:eastAsia="宋体"/>
                      <w:b/>
                      <w:color w:val="auto"/>
                      <w:sz w:val="21"/>
                      <w:szCs w:val="21"/>
                    </w:rPr>
                  </w:pPr>
                  <w:r>
                    <w:rPr>
                      <w:rFonts w:hint="eastAsia" w:ascii="Times New Roman" w:hAnsi="Times New Roman" w:eastAsia="宋体"/>
                      <w:b/>
                      <w:color w:val="auto"/>
                      <w:sz w:val="21"/>
                      <w:szCs w:val="21"/>
                    </w:rPr>
                    <w:t>沥青烟</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vMerge w:val="continue"/>
                  <w:tcBorders>
                    <w:top w:val="single" w:color="auto" w:sz="12"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Times New Roman" w:hAnsi="Times New Roman" w:eastAsia="宋体"/>
                      <w:b/>
                      <w:bCs/>
                      <w:color w:val="auto"/>
                      <w:kern w:val="0"/>
                      <w:sz w:val="21"/>
                      <w:szCs w:val="21"/>
                    </w:rPr>
                  </w:pP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下风向预测浓度（mg/m</w:t>
                  </w:r>
                  <w:r>
                    <w:rPr>
                      <w:rFonts w:ascii="Times New Roman" w:hAnsi="Times New Roman" w:eastAsia="宋体"/>
                      <w:b/>
                      <w:bCs/>
                      <w:color w:val="auto"/>
                      <w:kern w:val="0"/>
                      <w:sz w:val="21"/>
                      <w:szCs w:val="21"/>
                      <w:vertAlign w:val="superscript"/>
                    </w:rPr>
                    <w:t>3</w:t>
                  </w:r>
                  <w:r>
                    <w:rPr>
                      <w:rFonts w:ascii="Times New Roman" w:hAnsi="Times New Roman" w:eastAsia="宋体"/>
                      <w:b/>
                      <w:bCs/>
                      <w:color w:val="auto"/>
                      <w:kern w:val="0"/>
                      <w:sz w:val="21"/>
                      <w:szCs w:val="21"/>
                    </w:rPr>
                    <w:t>)</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浓度占标率（%）</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下风向预测浓度（mg/m</w:t>
                  </w:r>
                  <w:r>
                    <w:rPr>
                      <w:rFonts w:ascii="Times New Roman" w:hAnsi="Times New Roman" w:eastAsia="宋体"/>
                      <w:b/>
                      <w:bCs/>
                      <w:color w:val="auto"/>
                      <w:kern w:val="0"/>
                      <w:sz w:val="21"/>
                      <w:szCs w:val="21"/>
                      <w:vertAlign w:val="superscript"/>
                    </w:rPr>
                    <w:t>3</w:t>
                  </w:r>
                  <w:r>
                    <w:rPr>
                      <w:rFonts w:ascii="Times New Roman" w:hAnsi="Times New Roman" w:eastAsia="宋体"/>
                      <w:b/>
                      <w:bCs/>
                      <w:color w:val="auto"/>
                      <w:kern w:val="0"/>
                      <w:sz w:val="21"/>
                      <w:szCs w:val="21"/>
                    </w:rPr>
                    <w:t>)</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浓度占标率（%）</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下风向预测浓度（mg/m</w:t>
                  </w:r>
                  <w:r>
                    <w:rPr>
                      <w:rFonts w:ascii="Times New Roman" w:hAnsi="Times New Roman" w:eastAsia="宋体"/>
                      <w:b/>
                      <w:bCs/>
                      <w:color w:val="auto"/>
                      <w:kern w:val="0"/>
                      <w:sz w:val="21"/>
                      <w:szCs w:val="21"/>
                      <w:vertAlign w:val="superscript"/>
                    </w:rPr>
                    <w:t>3</w:t>
                  </w:r>
                  <w:r>
                    <w:rPr>
                      <w:rFonts w:ascii="Times New Roman" w:hAnsi="Times New Roman" w:eastAsia="宋体"/>
                      <w:b/>
                      <w:bCs/>
                      <w:color w:val="auto"/>
                      <w:kern w:val="0"/>
                      <w:sz w:val="21"/>
                      <w:szCs w:val="21"/>
                    </w:rPr>
                    <w:t>)</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浓度占标率（%）</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下风向预测浓度（mg/m</w:t>
                  </w:r>
                  <w:r>
                    <w:rPr>
                      <w:rFonts w:ascii="Times New Roman" w:hAnsi="Times New Roman" w:eastAsia="宋体"/>
                      <w:b/>
                      <w:bCs/>
                      <w:color w:val="auto"/>
                      <w:kern w:val="0"/>
                      <w:sz w:val="21"/>
                      <w:szCs w:val="21"/>
                      <w:vertAlign w:val="superscript"/>
                    </w:rPr>
                    <w:t>3</w:t>
                  </w:r>
                  <w:r>
                    <w:rPr>
                      <w:rFonts w:ascii="Times New Roman" w:hAnsi="Times New Roman" w:eastAsia="宋体"/>
                      <w:b/>
                      <w:bCs/>
                      <w:color w:val="auto"/>
                      <w:kern w:val="0"/>
                      <w:sz w:val="21"/>
                      <w:szCs w:val="21"/>
                    </w:rPr>
                    <w:t>)</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浓度占标率（%）</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下风向预测浓度（mg/m</w:t>
                  </w:r>
                  <w:r>
                    <w:rPr>
                      <w:rFonts w:ascii="Times New Roman" w:hAnsi="Times New Roman" w:eastAsia="宋体"/>
                      <w:b/>
                      <w:bCs/>
                      <w:color w:val="auto"/>
                      <w:kern w:val="0"/>
                      <w:sz w:val="21"/>
                      <w:szCs w:val="21"/>
                      <w:vertAlign w:val="superscript"/>
                    </w:rPr>
                    <w:t>3</w:t>
                  </w:r>
                  <w:r>
                    <w:rPr>
                      <w:rFonts w:ascii="Times New Roman" w:hAnsi="Times New Roman" w:eastAsia="宋体"/>
                      <w:b/>
                      <w:bCs/>
                      <w:color w:val="auto"/>
                      <w:kern w:val="0"/>
                      <w:sz w:val="21"/>
                      <w:szCs w:val="21"/>
                    </w:rPr>
                    <w:t>)</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浓度占标率（%）</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10</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2.49E-02</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5.54</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3.61E-03</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olor w:val="auto"/>
                      <w:sz w:val="21"/>
                      <w:szCs w:val="21"/>
                      <w:lang w:val="en-US" w:eastAsia="zh-CN"/>
                    </w:rPr>
                  </w:pPr>
                  <w:r>
                    <w:rPr>
                      <w:rFonts w:hint="eastAsia"/>
                      <w:color w:val="auto"/>
                      <w:sz w:val="21"/>
                      <w:szCs w:val="21"/>
                    </w:rPr>
                    <w:t>0.72</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6.84E-03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2.74</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8.71E-08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1.57E-04</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0.22</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bCs/>
                      <w:color w:val="auto"/>
                      <w:kern w:val="0"/>
                      <w:sz w:val="21"/>
                      <w:szCs w:val="21"/>
                    </w:rPr>
                  </w:pPr>
                  <w:r>
                    <w:rPr>
                      <w:rFonts w:hint="eastAsia" w:ascii="Times New Roman" w:hAnsi="Times New Roman" w:eastAsia="宋体"/>
                      <w:b/>
                      <w:bCs/>
                      <w:color w:val="auto"/>
                      <w:kern w:val="0"/>
                      <w:sz w:val="21"/>
                      <w:szCs w:val="21"/>
                    </w:rPr>
                    <w:t>22</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b/>
                      <w:bCs/>
                      <w:color w:val="auto"/>
                      <w:sz w:val="21"/>
                      <w:szCs w:val="21"/>
                    </w:rPr>
                  </w:pPr>
                  <w:r>
                    <w:rPr>
                      <w:rFonts w:hint="eastAsia"/>
                      <w:b/>
                      <w:bCs/>
                      <w:color w:val="auto"/>
                      <w:sz w:val="21"/>
                      <w:szCs w:val="21"/>
                    </w:rPr>
                    <w:t>3.39E-02</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b/>
                      <w:bCs/>
                      <w:color w:val="auto"/>
                      <w:sz w:val="21"/>
                      <w:szCs w:val="21"/>
                    </w:rPr>
                  </w:pPr>
                  <w:r>
                    <w:rPr>
                      <w:rFonts w:hint="eastAsia"/>
                      <w:b/>
                      <w:bCs/>
                      <w:color w:val="auto"/>
                      <w:sz w:val="21"/>
                      <w:szCs w:val="21"/>
                    </w:rPr>
                    <w:t>7.53</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b/>
                      <w:bCs/>
                      <w:color w:val="auto"/>
                      <w:sz w:val="21"/>
                      <w:szCs w:val="21"/>
                    </w:rPr>
                  </w:pPr>
                  <w:r>
                    <w:rPr>
                      <w:rFonts w:hint="eastAsia"/>
                      <w:b/>
                      <w:bCs/>
                      <w:color w:val="auto"/>
                      <w:sz w:val="21"/>
                      <w:szCs w:val="21"/>
                    </w:rPr>
                    <w:t>4.91E-03</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b/>
                      <w:bCs/>
                      <w:color w:val="auto"/>
                      <w:sz w:val="21"/>
                      <w:szCs w:val="21"/>
                    </w:rPr>
                  </w:pPr>
                  <w:r>
                    <w:rPr>
                      <w:rFonts w:hint="eastAsia"/>
                      <w:b/>
                      <w:bCs/>
                      <w:color w:val="auto"/>
                      <w:sz w:val="21"/>
                      <w:szCs w:val="21"/>
                    </w:rPr>
                    <w:t>0.98</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b/>
                      <w:bCs/>
                      <w:color w:val="auto"/>
                      <w:sz w:val="21"/>
                      <w:szCs w:val="21"/>
                    </w:rPr>
                  </w:pPr>
                  <w:r>
                    <w:rPr>
                      <w:rFonts w:hint="eastAsia"/>
                      <w:b/>
                      <w:bCs/>
                      <w:color w:val="auto"/>
                      <w:sz w:val="21"/>
                      <w:szCs w:val="21"/>
                    </w:rPr>
                    <w:t>9.29E-03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b/>
                      <w:bCs/>
                      <w:color w:val="auto"/>
                      <w:sz w:val="21"/>
                      <w:szCs w:val="21"/>
                    </w:rPr>
                  </w:pPr>
                  <w:r>
                    <w:rPr>
                      <w:rFonts w:hint="eastAsia"/>
                      <w:b/>
                      <w:bCs/>
                      <w:color w:val="auto"/>
                      <w:sz w:val="21"/>
                      <w:szCs w:val="21"/>
                    </w:rPr>
                    <w:t>3.72</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b/>
                      <w:bCs/>
                      <w:color w:val="auto"/>
                      <w:sz w:val="21"/>
                      <w:szCs w:val="21"/>
                    </w:rPr>
                  </w:pPr>
                  <w:r>
                    <w:rPr>
                      <w:rFonts w:hint="eastAsia" w:ascii="Times New Roman" w:hAnsi="Times New Roman" w:eastAsia="宋体"/>
                      <w:b/>
                      <w:bCs/>
                      <w:color w:val="auto"/>
                      <w:sz w:val="21"/>
                      <w:szCs w:val="21"/>
                    </w:rPr>
                    <w:t>1.06E-07</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b/>
                      <w:bCs/>
                      <w:color w:val="auto"/>
                      <w:sz w:val="21"/>
                      <w:szCs w:val="21"/>
                    </w:rPr>
                  </w:pPr>
                  <w:r>
                    <w:rPr>
                      <w:rFonts w:hint="eastAsia" w:ascii="Times New Roman" w:hAnsi="Times New Roman" w:eastAsia="宋体"/>
                      <w:b/>
                      <w:bCs/>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b/>
                      <w:bCs/>
                      <w:color w:val="auto"/>
                      <w:sz w:val="21"/>
                      <w:szCs w:val="21"/>
                    </w:rPr>
                  </w:pPr>
                  <w:r>
                    <w:rPr>
                      <w:rFonts w:hint="eastAsia" w:ascii="Times New Roman" w:hAnsi="Times New Roman" w:eastAsia="宋体"/>
                      <w:b/>
                      <w:bCs/>
                      <w:color w:val="auto"/>
                      <w:sz w:val="21"/>
                      <w:szCs w:val="21"/>
                    </w:rPr>
                    <w:t>1.92E-04</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b/>
                      <w:bCs/>
                      <w:color w:val="auto"/>
                      <w:sz w:val="21"/>
                      <w:szCs w:val="21"/>
                    </w:rPr>
                  </w:pPr>
                  <w:r>
                    <w:rPr>
                      <w:rFonts w:hint="eastAsia" w:ascii="Times New Roman" w:hAnsi="Times New Roman" w:eastAsia="宋体"/>
                      <w:b/>
                      <w:bCs/>
                      <w:color w:val="auto"/>
                      <w:sz w:val="21"/>
                      <w:szCs w:val="21"/>
                    </w:rPr>
                    <w:t>0.26</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color w:val="auto"/>
                      <w:kern w:val="0"/>
                      <w:sz w:val="21"/>
                      <w:szCs w:val="21"/>
                    </w:rPr>
                  </w:pPr>
                  <w:r>
                    <w:rPr>
                      <w:rFonts w:hint="eastAsia" w:ascii="Times New Roman" w:hAnsi="Times New Roman" w:eastAsia="宋体"/>
                      <w:bCs/>
                      <w:color w:val="auto"/>
                      <w:kern w:val="0"/>
                      <w:sz w:val="21"/>
                      <w:szCs w:val="21"/>
                    </w:rPr>
                    <w:t>25</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b/>
                      <w:color w:val="auto"/>
                      <w:sz w:val="21"/>
                      <w:szCs w:val="21"/>
                    </w:rPr>
                  </w:pPr>
                  <w:r>
                    <w:rPr>
                      <w:rFonts w:hint="eastAsia"/>
                      <w:color w:val="auto"/>
                      <w:sz w:val="21"/>
                      <w:szCs w:val="21"/>
                    </w:rPr>
                    <w:t>3.39E-02</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b/>
                      <w:color w:val="auto"/>
                      <w:sz w:val="21"/>
                      <w:szCs w:val="21"/>
                    </w:rPr>
                  </w:pPr>
                  <w:r>
                    <w:rPr>
                      <w:rFonts w:hint="eastAsia"/>
                      <w:color w:val="auto"/>
                      <w:sz w:val="21"/>
                      <w:szCs w:val="21"/>
                    </w:rPr>
                    <w:t>7.53</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4.91E-03</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0.98</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9.29E-03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3.72</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1.06E-07</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1.90E-04</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0.26</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50</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2.51E-02</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5.58</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3.64E-03</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0.73</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6.89E-03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2.76</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8.45E-08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1.52E-04</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0.21</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75</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2.53E-02</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5.61</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3.66E-03</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0.73</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6.93E-03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2.77</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6.14E-08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1.11E-04</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0.15</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100</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2.46E-02</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5.47</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3.57E-03</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0.71</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6.75E-03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2.70</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4.60E-08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8.29E-05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0.11</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125</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2.24E-02</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4.97</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3.24E-03</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0.65</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6.14E-03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2.45</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3.77E-08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6.80E-05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0.09</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150</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1.95E-02</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4.34</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2.83E-03</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0.57</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5.36E-03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2.14</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3.57E-08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6.44E-05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0.09</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175</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1.73E-02</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3.85</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2.51E-03</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0.50</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4.76E-03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1.90</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3.41E-08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6.15E-05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0.08</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200</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1.57E-02</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3.49</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2.27E-03</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0.45</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4.30E-03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1.72</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3.27E-08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5.90E-05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0.08</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225</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1.44E-02</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3.20</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2.09E-03</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0.42</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3.95E-03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1.58</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3.14E-08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5.67E-05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0.08</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250</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1.33E-02</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2.97</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1.93E-03</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0.39</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3.66E-03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1.46</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3.03E-08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5.46E-05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0.07</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275</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1.25E-02</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2.77</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1.80E-03</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0.36</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3.42E-03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1.37</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2.92E-08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5.27E-05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0.07</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300</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1.17E-02</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2.60</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1.69E-03</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0.34</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3.21E-03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1.28</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2.82E-08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5.09E-05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0.07</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325</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1.10E-02</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2.46</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1.60E-03</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0.32</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3.03E-03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1.21</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2.73E-08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4.92E-05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0.07</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350</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1.05E-02</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2.33</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1.52E-03</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0.30</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2.87E-03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1.15</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2.64E-08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4.76E-05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0.07</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375</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9.97E-03</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2.22</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1.44E-03</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0.29</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2.73E-03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1.09</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2.56E-08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4.61E-05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0.06</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400</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9.52E-03</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2.12</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1.38E-03</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0.28</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2.61E-03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1.04</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2.48E-08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4.47E-05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0.06</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425</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9.12E-03</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2.03</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1.32E-03</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0.26</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2.50E-03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1.00</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2.40E-08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4.33E-05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0.06</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450</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8.76E-03</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1.95</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1.27E-03</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0.25</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2.40E-03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0.96</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2.34E-08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4.22E-05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0.06</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475</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8.43E-03</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1.87</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1.22E-03</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0.24</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2.31E-03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0.92</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2.28E-08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4.10E-05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0.06</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500</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8.12E-03</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1.81</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1.18E-03</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0.24</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2.23E-03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0.89</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2.23E-08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4.03E-05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0.06</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525</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7.85E-03</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1.74</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1.14E-03</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0.23</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2.15E-03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0.86</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2.19E-08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3.95E-05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0.05</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550</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7.59E-03</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1.69</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1.10E-03</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0.22</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2.08E-03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0.83</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2.15E-08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3.88E-05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0.05</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575</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7.36E-03</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1.63</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1.06E-03</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0.21</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2.02E-03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0.81</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2.11E-08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3.81E-05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0.05</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600</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7.14E-03</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1.59</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1.03E-03</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0.21</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1.96E-03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0.78</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2.08E-08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3.74E-05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0.05</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625</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6.93E-03</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1.54</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1.00E-03</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0.20</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1.90E-03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0.76</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2.04E-08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3.68E-05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0.05</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650</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6.74E-03</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1.50</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9.76E-04</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0.20</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1.85E-03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0.74</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2.01E-08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3.62E-05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0.05</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675</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6.56E-03</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1.46</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9.51E-04</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0.19</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1.80E-03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0.72</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1.98E-08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3.56E-05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0.05</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700</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6.40E-03</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1.42</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9.26E-04</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0.19</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1.75E-03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0.70</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1.94E-08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3.50E-05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0.05</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725</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6.24E-03</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1.39</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9.04E-04</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0.18</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1.71E-03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0.68</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1.91E-08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3.45E-05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0.05</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750</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6.09E-03</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1.35</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8.82E-04</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0.18</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1.67E-03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0.67</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1.88E-08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3.40E-05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0.05</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775</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5.95E-03</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1.32</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8.62E-04</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0.17</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1.63E-03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0.65</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1.85E-08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3.34E-05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0.05</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800</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5.82E-03</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1.29</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8.43E-04</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0.17</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1.60E-03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0.64</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1.83E-08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3.29E-05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0.05</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825</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5.70E-03</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1.27</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8.25E-04</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0.16</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1.56E-03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0.62</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1.80E-08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3.24E-05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0.04</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850</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5.58E-03</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1.24</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8.07E-04</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0.16</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1.53E-03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0.61</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1.77E-08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3.20E-05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0.04</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875</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5.46E-03</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1.21</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7.91E-04</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0.16</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1.50E-03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0.60</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1.75E-08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3.15E-05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0.04</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900</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5.36E-03</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1.19</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7.76E-04</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0.16</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1.47E-03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0.59</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1.72E-08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3.10E-05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0.04</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925</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5.25E-03</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1.17</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7.61E-04</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0.15</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1.44E-03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0.58</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1.70E-08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3.06E-05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0.04</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950</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5.16E-03</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1.15</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7.46E-04</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0.15</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1.41E-03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0.57</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1.67E-08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3.02E-05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0.04</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975</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5.06E-03</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1.12</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7.33E-04</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0.15</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1.39E-03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0.56</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1.65E-08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2.98E-05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0.04</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1000</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rPr>
                    <w:t>4.97E-03</w:t>
                  </w:r>
                </w:p>
              </w:tc>
              <w:tc>
                <w:tcPr>
                  <w:tcW w:w="64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ascii="Times New Roman" w:hAnsi="Times New Roman" w:eastAsia="宋体"/>
                      <w:color w:val="auto"/>
                      <w:sz w:val="21"/>
                      <w:szCs w:val="21"/>
                    </w:rPr>
                  </w:pPr>
                  <w:r>
                    <w:rPr>
                      <w:rFonts w:hint="eastAsia"/>
                      <w:color w:val="auto"/>
                      <w:sz w:val="21"/>
                      <w:szCs w:val="21"/>
                    </w:rPr>
                    <w:t>1.10</w:t>
                  </w:r>
                </w:p>
              </w:tc>
              <w:tc>
                <w:tcPr>
                  <w:tcW w:w="112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7.20E-04</w:t>
                  </w:r>
                </w:p>
              </w:tc>
              <w:tc>
                <w:tcPr>
                  <w:tcW w:w="614"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color w:val="auto"/>
                      <w:sz w:val="21"/>
                      <w:szCs w:val="21"/>
                    </w:rPr>
                    <w:t>0.14</w:t>
                  </w:r>
                </w:p>
              </w:tc>
              <w:tc>
                <w:tcPr>
                  <w:tcW w:w="1040"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1.36E-03</w:t>
                  </w:r>
                </w:p>
              </w:tc>
              <w:tc>
                <w:tcPr>
                  <w:tcW w:w="665"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color w:val="auto"/>
                      <w:sz w:val="21"/>
                      <w:szCs w:val="21"/>
                    </w:rPr>
                  </w:pPr>
                  <w:r>
                    <w:rPr>
                      <w:rFonts w:hint="eastAsia"/>
                      <w:color w:val="auto"/>
                      <w:sz w:val="21"/>
                      <w:szCs w:val="21"/>
                    </w:rPr>
                    <w:t>0.55</w:t>
                  </w:r>
                </w:p>
              </w:tc>
              <w:tc>
                <w:tcPr>
                  <w:tcW w:w="1022"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1.63E-08</w:t>
                  </w:r>
                </w:p>
              </w:tc>
              <w:tc>
                <w:tcPr>
                  <w:tcW w:w="69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0.00</w:t>
                  </w:r>
                </w:p>
              </w:tc>
              <w:tc>
                <w:tcPr>
                  <w:tcW w:w="1006"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2.94E-05</w:t>
                  </w:r>
                </w:p>
              </w:tc>
              <w:tc>
                <w:tcPr>
                  <w:tcW w:w="657" w:type="dxa"/>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0.04</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最大落地浓度（mg/m</w:t>
                  </w:r>
                  <w:r>
                    <w:rPr>
                      <w:rFonts w:ascii="Times New Roman" w:hAnsi="Times New Roman" w:eastAsia="宋体"/>
                      <w:color w:val="auto"/>
                      <w:kern w:val="0"/>
                      <w:sz w:val="21"/>
                      <w:szCs w:val="21"/>
                      <w:vertAlign w:val="superscript"/>
                    </w:rPr>
                    <w:t>3</w:t>
                  </w:r>
                  <w:r>
                    <w:rPr>
                      <w:rFonts w:ascii="Times New Roman" w:hAnsi="Times New Roman" w:eastAsia="宋体"/>
                      <w:color w:val="auto"/>
                      <w:kern w:val="0"/>
                      <w:sz w:val="21"/>
                      <w:szCs w:val="21"/>
                    </w:rPr>
                    <w:t>)</w:t>
                  </w:r>
                </w:p>
              </w:tc>
              <w:tc>
                <w:tcPr>
                  <w:tcW w:w="1687" w:type="dxa"/>
                  <w:gridSpan w:val="2"/>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b w:val="0"/>
                      <w:bCs w:val="0"/>
                      <w:color w:val="auto"/>
                      <w:kern w:val="0"/>
                      <w:sz w:val="21"/>
                      <w:szCs w:val="21"/>
                    </w:rPr>
                  </w:pPr>
                  <w:r>
                    <w:rPr>
                      <w:rFonts w:hint="eastAsia"/>
                      <w:b w:val="0"/>
                      <w:bCs w:val="0"/>
                      <w:color w:val="auto"/>
                      <w:sz w:val="21"/>
                      <w:szCs w:val="21"/>
                    </w:rPr>
                    <w:t>3.39E-02</w:t>
                  </w:r>
                </w:p>
              </w:tc>
              <w:tc>
                <w:tcPr>
                  <w:tcW w:w="1739" w:type="dxa"/>
                  <w:gridSpan w:val="2"/>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b w:val="0"/>
                      <w:bCs w:val="0"/>
                      <w:color w:val="auto"/>
                      <w:sz w:val="21"/>
                      <w:szCs w:val="21"/>
                    </w:rPr>
                  </w:pPr>
                  <w:r>
                    <w:rPr>
                      <w:rFonts w:hint="eastAsia"/>
                      <w:b w:val="0"/>
                      <w:bCs w:val="0"/>
                      <w:color w:val="auto"/>
                      <w:sz w:val="21"/>
                      <w:szCs w:val="21"/>
                    </w:rPr>
                    <w:t>4.91E-03</w:t>
                  </w:r>
                </w:p>
              </w:tc>
              <w:tc>
                <w:tcPr>
                  <w:tcW w:w="1705" w:type="dxa"/>
                  <w:gridSpan w:val="2"/>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Times New Roman" w:hAnsi="Times New Roman" w:eastAsia="宋体"/>
                      <w:b w:val="0"/>
                      <w:bCs w:val="0"/>
                      <w:color w:val="auto"/>
                      <w:sz w:val="21"/>
                      <w:szCs w:val="21"/>
                    </w:rPr>
                  </w:pPr>
                  <w:r>
                    <w:rPr>
                      <w:rFonts w:hint="eastAsia"/>
                      <w:b w:val="0"/>
                      <w:bCs w:val="0"/>
                      <w:color w:val="auto"/>
                      <w:sz w:val="21"/>
                      <w:szCs w:val="21"/>
                    </w:rPr>
                    <w:t>9.29E-03</w:t>
                  </w:r>
                </w:p>
              </w:tc>
              <w:tc>
                <w:tcPr>
                  <w:tcW w:w="1721" w:type="dxa"/>
                  <w:gridSpan w:val="2"/>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1.06E-07</w:t>
                  </w:r>
                </w:p>
              </w:tc>
              <w:tc>
                <w:tcPr>
                  <w:tcW w:w="1663" w:type="dxa"/>
                  <w:gridSpan w:val="2"/>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1.92E-04</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最大占标率（%）</w:t>
                  </w:r>
                </w:p>
              </w:tc>
              <w:tc>
                <w:tcPr>
                  <w:tcW w:w="1687" w:type="dxa"/>
                  <w:gridSpan w:val="2"/>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b w:val="0"/>
                      <w:bCs w:val="0"/>
                      <w:color w:val="auto"/>
                      <w:kern w:val="0"/>
                      <w:sz w:val="21"/>
                      <w:szCs w:val="21"/>
                    </w:rPr>
                  </w:pPr>
                  <w:r>
                    <w:rPr>
                      <w:rFonts w:hint="eastAsia"/>
                      <w:b w:val="0"/>
                      <w:bCs w:val="0"/>
                      <w:color w:val="auto"/>
                      <w:sz w:val="21"/>
                      <w:szCs w:val="21"/>
                    </w:rPr>
                    <w:t>7.53</w:t>
                  </w:r>
                </w:p>
              </w:tc>
              <w:tc>
                <w:tcPr>
                  <w:tcW w:w="1739" w:type="dxa"/>
                  <w:gridSpan w:val="2"/>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b w:val="0"/>
                      <w:bCs w:val="0"/>
                      <w:color w:val="auto"/>
                      <w:kern w:val="0"/>
                      <w:sz w:val="21"/>
                      <w:szCs w:val="21"/>
                      <w:lang w:val="en-US" w:eastAsia="zh-CN"/>
                    </w:rPr>
                  </w:pPr>
                  <w:r>
                    <w:rPr>
                      <w:rFonts w:hint="eastAsia"/>
                      <w:b w:val="0"/>
                      <w:bCs w:val="0"/>
                      <w:color w:val="auto"/>
                      <w:sz w:val="21"/>
                      <w:szCs w:val="21"/>
                    </w:rPr>
                    <w:t>0.98</w:t>
                  </w:r>
                </w:p>
              </w:tc>
              <w:tc>
                <w:tcPr>
                  <w:tcW w:w="1705" w:type="dxa"/>
                  <w:gridSpan w:val="2"/>
                  <w:tcBorders>
                    <w:top w:val="single" w:color="auto" w:sz="4" w:space="0"/>
                    <w:left w:val="single" w:color="auto" w:sz="4" w:space="0"/>
                    <w:bottom w:val="single" w:color="auto" w:sz="4" w:space="0"/>
                    <w:right w:val="nil"/>
                  </w:tcBorders>
                  <w:vAlign w:val="center"/>
                </w:tcPr>
                <w:p>
                  <w:pPr>
                    <w:keepNext w:val="0"/>
                    <w:keepLines w:val="0"/>
                    <w:pageBreakBefore w:val="0"/>
                    <w:kinsoku/>
                    <w:wordWrap/>
                    <w:overflowPunct/>
                    <w:topLinePunct w:val="0"/>
                    <w:autoSpaceDE/>
                    <w:autoSpaceDN/>
                    <w:bidi w:val="0"/>
                    <w:ind w:firstLine="0" w:firstLineChars="0"/>
                    <w:jc w:val="center"/>
                    <w:textAlignment w:val="auto"/>
                    <w:rPr>
                      <w:rFonts w:hint="default" w:ascii="Times New Roman" w:hAnsi="Times New Roman" w:eastAsia="宋体"/>
                      <w:b w:val="0"/>
                      <w:bCs w:val="0"/>
                      <w:color w:val="auto"/>
                      <w:kern w:val="0"/>
                      <w:sz w:val="21"/>
                      <w:szCs w:val="21"/>
                      <w:lang w:val="en-US" w:eastAsia="zh-CN"/>
                    </w:rPr>
                  </w:pPr>
                  <w:r>
                    <w:rPr>
                      <w:rFonts w:hint="eastAsia"/>
                      <w:b w:val="0"/>
                      <w:bCs w:val="0"/>
                      <w:color w:val="auto"/>
                      <w:kern w:val="0"/>
                      <w:sz w:val="21"/>
                      <w:szCs w:val="21"/>
                      <w:lang w:val="en-US" w:eastAsia="zh-CN"/>
                    </w:rPr>
                    <w:t>3.72</w:t>
                  </w:r>
                </w:p>
              </w:tc>
              <w:tc>
                <w:tcPr>
                  <w:tcW w:w="1721" w:type="dxa"/>
                  <w:gridSpan w:val="2"/>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0.00</w:t>
                  </w:r>
                </w:p>
              </w:tc>
              <w:tc>
                <w:tcPr>
                  <w:tcW w:w="1663" w:type="dxa"/>
                  <w:gridSpan w:val="2"/>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0.26</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58" w:type="dxa"/>
                  <w:tcBorders>
                    <w:top w:val="single" w:color="auto" w:sz="4" w:space="0"/>
                    <w:left w:val="nil"/>
                    <w:bottom w:val="single" w:color="000000"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最大浓度出现距离（m）</w:t>
                  </w:r>
                </w:p>
              </w:tc>
              <w:tc>
                <w:tcPr>
                  <w:tcW w:w="8515" w:type="dxa"/>
                  <w:gridSpan w:val="10"/>
                  <w:tcBorders>
                    <w:top w:val="single" w:color="auto" w:sz="4" w:space="0"/>
                    <w:left w:val="single" w:color="auto" w:sz="4" w:space="0"/>
                    <w:bottom w:val="single" w:color="000000" w:sz="12"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olor w:val="auto"/>
                      <w:kern w:val="0"/>
                      <w:sz w:val="21"/>
                      <w:szCs w:val="21"/>
                    </w:rPr>
                  </w:pPr>
                  <w:r>
                    <w:rPr>
                      <w:rFonts w:hint="eastAsia" w:ascii="Times New Roman" w:hAnsi="Times New Roman" w:eastAsia="宋体"/>
                      <w:color w:val="auto"/>
                      <w:kern w:val="0"/>
                      <w:sz w:val="21"/>
                      <w:szCs w:val="21"/>
                    </w:rPr>
                    <w:t>22</w:t>
                  </w:r>
                </w:p>
              </w:tc>
            </w:tr>
          </w:tbl>
          <w:p>
            <w:pPr>
              <w:pStyle w:val="21"/>
              <w:bidi w:val="0"/>
              <w:rPr>
                <w:sz w:val="24"/>
                <w:szCs w:val="24"/>
              </w:rPr>
            </w:pPr>
            <w:r>
              <w:rPr>
                <w:rFonts w:hint="eastAsia"/>
                <w:sz w:val="24"/>
                <w:szCs w:val="24"/>
              </w:rPr>
              <w:t>（8）评价工作等级划分的判定</w:t>
            </w:r>
          </w:p>
          <w:p>
            <w:pPr>
              <w:pStyle w:val="21"/>
              <w:bidi w:val="0"/>
              <w:rPr>
                <w:sz w:val="24"/>
                <w:szCs w:val="24"/>
              </w:rPr>
            </w:pPr>
            <w:r>
              <w:rPr>
                <w:rFonts w:hint="eastAsia"/>
                <w:sz w:val="24"/>
                <w:szCs w:val="24"/>
              </w:rPr>
              <w:t>根据预测结果表明，大气预测评价等级二级，不进行进一步预测与评价，只对污染物排放量进行核算。</w:t>
            </w:r>
          </w:p>
          <w:p>
            <w:pPr>
              <w:pStyle w:val="21"/>
              <w:bidi w:val="0"/>
              <w:rPr>
                <w:sz w:val="24"/>
                <w:szCs w:val="24"/>
              </w:rPr>
            </w:pPr>
            <w:r>
              <w:rPr>
                <w:rFonts w:hint="eastAsia"/>
                <w:sz w:val="24"/>
                <w:szCs w:val="24"/>
              </w:rPr>
              <w:t>（9）大气环境影响预测结论</w:t>
            </w:r>
          </w:p>
          <w:p>
            <w:pPr>
              <w:pStyle w:val="21"/>
              <w:bidi w:val="0"/>
              <w:rPr>
                <w:sz w:val="24"/>
                <w:szCs w:val="24"/>
              </w:rPr>
            </w:pPr>
            <w:r>
              <w:rPr>
                <w:rFonts w:hint="eastAsia"/>
                <w:sz w:val="24"/>
                <w:szCs w:val="24"/>
              </w:rPr>
              <w:t>项目所在区域环境空气质量目前不达标，本项目正常排放下的</w:t>
            </w:r>
            <w:r>
              <w:rPr>
                <w:sz w:val="24"/>
                <w:szCs w:val="24"/>
              </w:rPr>
              <w:t>PM10</w:t>
            </w:r>
            <w:r>
              <w:rPr>
                <w:rFonts w:hint="eastAsia"/>
                <w:sz w:val="24"/>
                <w:szCs w:val="24"/>
              </w:rPr>
              <w:t>、SO</w:t>
            </w:r>
            <w:r>
              <w:rPr>
                <w:rFonts w:hint="eastAsia"/>
                <w:sz w:val="24"/>
                <w:szCs w:val="24"/>
                <w:vertAlign w:val="subscript"/>
              </w:rPr>
              <w:t>2</w:t>
            </w:r>
            <w:r>
              <w:rPr>
                <w:rFonts w:hint="eastAsia"/>
                <w:sz w:val="24"/>
                <w:szCs w:val="24"/>
              </w:rPr>
              <w:t>、NOX最大地面浓度占标率＜</w:t>
            </w:r>
            <w:r>
              <w:rPr>
                <w:sz w:val="24"/>
                <w:szCs w:val="24"/>
              </w:rPr>
              <w:t>10%</w:t>
            </w:r>
            <w:r>
              <w:rPr>
                <w:rFonts w:hint="eastAsia"/>
                <w:sz w:val="24"/>
                <w:szCs w:val="24"/>
              </w:rPr>
              <w:t>，沥青烟、苯并[a]芘最大地面浓度占标率＜</w:t>
            </w:r>
            <w:r>
              <w:rPr>
                <w:sz w:val="24"/>
                <w:szCs w:val="24"/>
              </w:rPr>
              <w:t>1%</w:t>
            </w:r>
            <w:r>
              <w:rPr>
                <w:rFonts w:hint="eastAsia"/>
                <w:sz w:val="24"/>
                <w:szCs w:val="24"/>
              </w:rPr>
              <w:t>，对周围大气环境影响较小，综上所述，本项目大气环境影响可以接受。</w:t>
            </w:r>
          </w:p>
          <w:p>
            <w:pPr>
              <w:pStyle w:val="21"/>
              <w:bidi w:val="0"/>
              <w:rPr>
                <w:sz w:val="24"/>
                <w:szCs w:val="24"/>
              </w:rPr>
            </w:pPr>
            <w:r>
              <w:rPr>
                <w:rFonts w:hint="eastAsia"/>
                <w:sz w:val="24"/>
                <w:szCs w:val="24"/>
              </w:rPr>
              <w:t>（10）项目无组织废气厂界浓度预测</w:t>
            </w:r>
          </w:p>
          <w:p>
            <w:pPr>
              <w:pStyle w:val="21"/>
              <w:bidi w:val="0"/>
              <w:rPr>
                <w:sz w:val="24"/>
                <w:szCs w:val="24"/>
              </w:rPr>
            </w:pPr>
            <w:r>
              <w:rPr>
                <w:rFonts w:hint="eastAsia"/>
                <w:sz w:val="24"/>
                <w:szCs w:val="24"/>
              </w:rPr>
              <w:t>本项目无组织废气厂界浓度预测结果见</w:t>
            </w:r>
            <w:r>
              <w:rPr>
                <w:rFonts w:hint="eastAsia"/>
                <w:sz w:val="24"/>
                <w:szCs w:val="24"/>
                <w:lang w:eastAsia="zh-CN"/>
              </w:rPr>
              <w:t>下表</w:t>
            </w:r>
            <w:r>
              <w:rPr>
                <w:rFonts w:hint="eastAsia"/>
                <w:sz w:val="24"/>
                <w:szCs w:val="24"/>
              </w:rPr>
              <w:t>。</w:t>
            </w:r>
          </w:p>
          <w:p>
            <w:pPr>
              <w:spacing w:line="240" w:lineRule="auto"/>
              <w:ind w:firstLine="0" w:firstLineChars="0"/>
              <w:jc w:val="center"/>
              <w:rPr>
                <w:rFonts w:ascii="Times New Roman" w:hAnsi="Times New Roman" w:eastAsia="宋体"/>
                <w:b/>
                <w:color w:val="auto"/>
                <w:sz w:val="21"/>
                <w:szCs w:val="21"/>
              </w:rPr>
            </w:pPr>
            <w:r>
              <w:rPr>
                <w:rFonts w:hint="eastAsia" w:ascii="Times New Roman" w:hAnsi="Times New Roman" w:eastAsia="宋体"/>
                <w:b/>
                <w:color w:val="auto"/>
                <w:sz w:val="21"/>
                <w:szCs w:val="21"/>
              </w:rPr>
              <w:t>表7</w:t>
            </w:r>
            <w:r>
              <w:rPr>
                <w:rFonts w:hint="eastAsia"/>
                <w:b/>
                <w:color w:val="auto"/>
                <w:sz w:val="21"/>
                <w:szCs w:val="21"/>
                <w:lang w:val="en-US" w:eastAsia="zh-CN"/>
              </w:rPr>
              <w:t>.6</w:t>
            </w:r>
            <w:r>
              <w:rPr>
                <w:rFonts w:hint="eastAsia" w:ascii="Times New Roman" w:hAnsi="Times New Roman" w:eastAsia="宋体"/>
                <w:b/>
                <w:color w:val="auto"/>
                <w:sz w:val="21"/>
                <w:szCs w:val="21"/>
              </w:rPr>
              <w:t>-1</w:t>
            </w:r>
            <w:r>
              <w:rPr>
                <w:rFonts w:hint="eastAsia"/>
                <w:b/>
                <w:color w:val="auto"/>
                <w:sz w:val="21"/>
                <w:szCs w:val="21"/>
                <w:lang w:val="en-US" w:eastAsia="zh-CN"/>
              </w:rPr>
              <w:t>0</w:t>
            </w:r>
            <w:r>
              <w:rPr>
                <w:rFonts w:hint="eastAsia" w:ascii="Times New Roman" w:hAnsi="Times New Roman" w:eastAsia="宋体"/>
                <w:b/>
                <w:color w:val="auto"/>
                <w:sz w:val="21"/>
                <w:szCs w:val="21"/>
              </w:rPr>
              <w:t xml:space="preserve"> 无组织废气厂界浓度预测结果表单位：mg/m</w:t>
            </w:r>
            <w:r>
              <w:rPr>
                <w:rFonts w:hint="eastAsia" w:ascii="Times New Roman" w:hAnsi="Times New Roman" w:eastAsia="宋体"/>
                <w:b/>
                <w:color w:val="auto"/>
                <w:sz w:val="21"/>
                <w:szCs w:val="21"/>
                <w:vertAlign w:val="superscript"/>
              </w:rPr>
              <w:t>3</w:t>
            </w:r>
          </w:p>
          <w:tbl>
            <w:tblPr>
              <w:tblStyle w:val="43"/>
              <w:tblW w:w="9219"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14"/>
              <w:gridCol w:w="1350"/>
              <w:gridCol w:w="1323"/>
              <w:gridCol w:w="1350"/>
              <w:gridCol w:w="1459"/>
              <w:gridCol w:w="212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15" w:hRule="exact"/>
              </w:trPr>
              <w:tc>
                <w:tcPr>
                  <w:tcW w:w="1614" w:type="dxa"/>
                  <w:vAlign w:val="center"/>
                </w:tcPr>
                <w:p>
                  <w:pPr>
                    <w:widowControl/>
                    <w:spacing w:line="240" w:lineRule="auto"/>
                    <w:ind w:firstLine="0" w:firstLineChars="0"/>
                    <w:jc w:val="center"/>
                    <w:rPr>
                      <w:rFonts w:ascii="Times New Roman" w:hAnsi="Times New Roman" w:eastAsia="宋体"/>
                      <w:b/>
                      <w:color w:val="auto"/>
                      <w:kern w:val="0"/>
                      <w:sz w:val="21"/>
                      <w:szCs w:val="21"/>
                    </w:rPr>
                  </w:pPr>
                  <w:r>
                    <w:rPr>
                      <w:rFonts w:hint="eastAsia" w:ascii="Times New Roman" w:hAnsi="Times New Roman" w:eastAsia="宋体"/>
                      <w:b/>
                      <w:color w:val="auto"/>
                      <w:kern w:val="0"/>
                      <w:sz w:val="21"/>
                      <w:szCs w:val="21"/>
                    </w:rPr>
                    <w:t>污染物</w:t>
                  </w:r>
                </w:p>
              </w:tc>
              <w:tc>
                <w:tcPr>
                  <w:tcW w:w="1350" w:type="dxa"/>
                  <w:vAlign w:val="center"/>
                </w:tcPr>
                <w:p>
                  <w:pPr>
                    <w:widowControl/>
                    <w:spacing w:line="240" w:lineRule="auto"/>
                    <w:ind w:firstLine="0" w:firstLineChars="0"/>
                    <w:jc w:val="center"/>
                    <w:rPr>
                      <w:rFonts w:ascii="Times New Roman" w:hAnsi="Times New Roman" w:eastAsia="宋体"/>
                      <w:b/>
                      <w:color w:val="auto"/>
                      <w:kern w:val="0"/>
                      <w:sz w:val="21"/>
                      <w:szCs w:val="21"/>
                    </w:rPr>
                  </w:pPr>
                  <w:r>
                    <w:rPr>
                      <w:rFonts w:hint="eastAsia" w:ascii="Times New Roman" w:hAnsi="Times New Roman" w:eastAsia="宋体"/>
                      <w:b/>
                      <w:color w:val="auto"/>
                      <w:kern w:val="0"/>
                      <w:sz w:val="21"/>
                      <w:szCs w:val="21"/>
                    </w:rPr>
                    <w:t>东厂界</w:t>
                  </w:r>
                </w:p>
              </w:tc>
              <w:tc>
                <w:tcPr>
                  <w:tcW w:w="1323" w:type="dxa"/>
                  <w:vAlign w:val="center"/>
                </w:tcPr>
                <w:p>
                  <w:pPr>
                    <w:widowControl/>
                    <w:adjustRightInd w:val="0"/>
                    <w:spacing w:line="240" w:lineRule="auto"/>
                    <w:ind w:firstLine="0" w:firstLineChars="0"/>
                    <w:jc w:val="center"/>
                    <w:rPr>
                      <w:rFonts w:ascii="Times New Roman" w:hAnsi="Times New Roman" w:eastAsia="宋体"/>
                      <w:b/>
                      <w:color w:val="auto"/>
                      <w:kern w:val="0"/>
                      <w:sz w:val="21"/>
                      <w:szCs w:val="21"/>
                    </w:rPr>
                  </w:pPr>
                  <w:r>
                    <w:rPr>
                      <w:rFonts w:hint="eastAsia" w:ascii="Times New Roman" w:hAnsi="Times New Roman" w:eastAsia="宋体"/>
                      <w:b/>
                      <w:color w:val="auto"/>
                      <w:kern w:val="0"/>
                      <w:sz w:val="21"/>
                      <w:szCs w:val="21"/>
                    </w:rPr>
                    <w:t>南厂界</w:t>
                  </w:r>
                </w:p>
              </w:tc>
              <w:tc>
                <w:tcPr>
                  <w:tcW w:w="1350" w:type="dxa"/>
                  <w:vAlign w:val="center"/>
                </w:tcPr>
                <w:p>
                  <w:pPr>
                    <w:widowControl/>
                    <w:spacing w:line="240" w:lineRule="auto"/>
                    <w:ind w:firstLine="0" w:firstLineChars="0"/>
                    <w:jc w:val="center"/>
                    <w:rPr>
                      <w:rFonts w:ascii="Times New Roman" w:hAnsi="Times New Roman" w:eastAsia="宋体"/>
                      <w:b/>
                      <w:color w:val="auto"/>
                      <w:kern w:val="0"/>
                      <w:sz w:val="21"/>
                      <w:szCs w:val="21"/>
                    </w:rPr>
                  </w:pPr>
                  <w:r>
                    <w:rPr>
                      <w:rFonts w:hint="eastAsia" w:ascii="Times New Roman" w:hAnsi="Times New Roman" w:eastAsia="宋体"/>
                      <w:b/>
                      <w:color w:val="auto"/>
                      <w:kern w:val="0"/>
                      <w:sz w:val="21"/>
                      <w:szCs w:val="21"/>
                    </w:rPr>
                    <w:t>西厂界</w:t>
                  </w:r>
                </w:p>
              </w:tc>
              <w:tc>
                <w:tcPr>
                  <w:tcW w:w="1459" w:type="dxa"/>
                  <w:vAlign w:val="center"/>
                </w:tcPr>
                <w:p>
                  <w:pPr>
                    <w:widowControl/>
                    <w:spacing w:line="240" w:lineRule="auto"/>
                    <w:ind w:firstLine="0" w:firstLineChars="0"/>
                    <w:jc w:val="center"/>
                    <w:rPr>
                      <w:rFonts w:ascii="Times New Roman" w:hAnsi="Times New Roman" w:eastAsia="宋体"/>
                      <w:b/>
                      <w:color w:val="auto"/>
                      <w:kern w:val="0"/>
                      <w:sz w:val="21"/>
                      <w:szCs w:val="21"/>
                    </w:rPr>
                  </w:pPr>
                  <w:r>
                    <w:rPr>
                      <w:rFonts w:hint="eastAsia" w:ascii="Times New Roman" w:hAnsi="Times New Roman" w:eastAsia="宋体"/>
                      <w:b/>
                      <w:color w:val="auto"/>
                      <w:kern w:val="0"/>
                      <w:sz w:val="21"/>
                      <w:szCs w:val="21"/>
                    </w:rPr>
                    <w:t>北厂界</w:t>
                  </w:r>
                </w:p>
              </w:tc>
              <w:tc>
                <w:tcPr>
                  <w:tcW w:w="2123" w:type="dxa"/>
                  <w:vAlign w:val="center"/>
                </w:tcPr>
                <w:p>
                  <w:pPr>
                    <w:widowControl/>
                    <w:spacing w:line="240" w:lineRule="auto"/>
                    <w:ind w:firstLine="0" w:firstLineChars="0"/>
                    <w:jc w:val="center"/>
                    <w:rPr>
                      <w:rFonts w:ascii="Times New Roman" w:hAnsi="Times New Roman" w:eastAsia="宋体"/>
                      <w:b/>
                      <w:color w:val="auto"/>
                      <w:kern w:val="0"/>
                      <w:sz w:val="21"/>
                      <w:szCs w:val="21"/>
                    </w:rPr>
                  </w:pPr>
                  <w:r>
                    <w:rPr>
                      <w:rFonts w:hint="eastAsia" w:ascii="Times New Roman" w:hAnsi="Times New Roman" w:eastAsia="宋体"/>
                      <w:b/>
                      <w:color w:val="auto"/>
                      <w:kern w:val="0"/>
                      <w:sz w:val="21"/>
                      <w:szCs w:val="21"/>
                    </w:rPr>
                    <w:t>浓度限值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2" w:hRule="atLeast"/>
              </w:trPr>
              <w:tc>
                <w:tcPr>
                  <w:tcW w:w="161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PM10</w:t>
                  </w:r>
                </w:p>
              </w:tc>
              <w:tc>
                <w:tcPr>
                  <w:tcW w:w="1350" w:type="dxa"/>
                  <w:vAlign w:val="center"/>
                </w:tcPr>
                <w:p>
                  <w:pPr>
                    <w:widowControl/>
                    <w:spacing w:line="240" w:lineRule="auto"/>
                    <w:ind w:firstLine="0" w:firstLineChars="0"/>
                    <w:jc w:val="center"/>
                    <w:rPr>
                      <w:rFonts w:hint="default" w:ascii="Times New Roman" w:hAnsi="Times New Roman" w:eastAsia="宋体"/>
                      <w:color w:val="auto"/>
                      <w:kern w:val="0"/>
                      <w:sz w:val="21"/>
                      <w:szCs w:val="21"/>
                      <w:lang w:val="en-US" w:eastAsia="zh-CN"/>
                    </w:rPr>
                  </w:pPr>
                  <w:r>
                    <w:rPr>
                      <w:rFonts w:hint="eastAsia"/>
                      <w:color w:val="auto"/>
                      <w:kern w:val="0"/>
                      <w:sz w:val="21"/>
                      <w:szCs w:val="21"/>
                      <w:lang w:val="en-US" w:eastAsia="zh-CN"/>
                    </w:rPr>
                    <w:t>0.0234</w:t>
                  </w:r>
                </w:p>
              </w:tc>
              <w:tc>
                <w:tcPr>
                  <w:tcW w:w="1323" w:type="dxa"/>
                  <w:vAlign w:val="center"/>
                </w:tcPr>
                <w:p>
                  <w:pPr>
                    <w:spacing w:line="240" w:lineRule="auto"/>
                    <w:ind w:firstLine="0" w:firstLineChars="0"/>
                    <w:jc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0.0339</w:t>
                  </w:r>
                </w:p>
              </w:tc>
              <w:tc>
                <w:tcPr>
                  <w:tcW w:w="1350" w:type="dxa"/>
                  <w:vAlign w:val="center"/>
                </w:tcPr>
                <w:p>
                  <w:pPr>
                    <w:pStyle w:val="24"/>
                    <w:spacing w:line="240" w:lineRule="auto"/>
                    <w:ind w:firstLine="0" w:firstLineChars="0"/>
                    <w:jc w:val="center"/>
                    <w:rPr>
                      <w:rFonts w:hint="default"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0.0263</w:t>
                  </w:r>
                </w:p>
              </w:tc>
              <w:tc>
                <w:tcPr>
                  <w:tcW w:w="1459" w:type="dxa"/>
                  <w:vAlign w:val="center"/>
                </w:tcPr>
                <w:p>
                  <w:pPr>
                    <w:pStyle w:val="24"/>
                    <w:spacing w:line="240" w:lineRule="auto"/>
                    <w:ind w:firstLine="0" w:firstLineChars="0"/>
                    <w:jc w:val="center"/>
                    <w:rPr>
                      <w:rFonts w:hint="default"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0.0271</w:t>
                  </w:r>
                </w:p>
              </w:tc>
              <w:tc>
                <w:tcPr>
                  <w:tcW w:w="2123" w:type="dxa"/>
                  <w:vAlign w:val="center"/>
                </w:tcPr>
                <w:p>
                  <w:pPr>
                    <w:pStyle w:val="24"/>
                    <w:spacing w:line="240" w:lineRule="auto"/>
                    <w:ind w:firstLine="0" w:firstLineChars="0"/>
                    <w:jc w:val="center"/>
                    <w:rPr>
                      <w:rFonts w:ascii="Times New Roman" w:hAnsi="Times New Roman" w:eastAsia="宋体"/>
                      <w:color w:val="auto"/>
                      <w:kern w:val="0"/>
                      <w:szCs w:val="21"/>
                    </w:rPr>
                  </w:pPr>
                  <w:r>
                    <w:rPr>
                      <w:rFonts w:hint="eastAsia" w:ascii="Times New Roman" w:hAnsi="Times New Roman" w:eastAsia="宋体"/>
                      <w:color w:val="auto"/>
                      <w:kern w:val="0"/>
                      <w:szCs w:val="21"/>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2" w:hRule="atLeast"/>
              </w:trPr>
              <w:tc>
                <w:tcPr>
                  <w:tcW w:w="1614" w:type="dxa"/>
                  <w:vAlign w:val="center"/>
                </w:tcPr>
                <w:p>
                  <w:pPr>
                    <w:pStyle w:val="220"/>
                    <w:spacing w:line="320" w:lineRule="exact"/>
                    <w:ind w:firstLine="0" w:firstLineChars="0"/>
                    <w:rPr>
                      <w:rFonts w:ascii="Times New Roman" w:hAnsi="Times New Roman" w:eastAsia="宋体"/>
                      <w:color w:val="auto"/>
                      <w:kern w:val="0"/>
                      <w:sz w:val="21"/>
                      <w:szCs w:val="21"/>
                    </w:rPr>
                  </w:pPr>
                  <w:r>
                    <w:rPr>
                      <w:rFonts w:ascii="Times New Roman" w:hAnsi="Times New Roman" w:eastAsia="宋体"/>
                      <w:color w:val="auto"/>
                    </w:rPr>
                    <w:t>SO</w:t>
                  </w:r>
                  <w:r>
                    <w:rPr>
                      <w:rFonts w:ascii="Times New Roman" w:hAnsi="Times New Roman" w:eastAsia="宋体"/>
                      <w:color w:val="auto"/>
                      <w:vertAlign w:val="subscript"/>
                    </w:rPr>
                    <w:t>2</w:t>
                  </w:r>
                </w:p>
              </w:tc>
              <w:tc>
                <w:tcPr>
                  <w:tcW w:w="1350" w:type="dxa"/>
                  <w:vAlign w:val="center"/>
                </w:tcPr>
                <w:p>
                  <w:pPr>
                    <w:widowControl/>
                    <w:spacing w:line="240" w:lineRule="auto"/>
                    <w:ind w:firstLine="0" w:firstLineChars="0"/>
                    <w:jc w:val="center"/>
                    <w:rPr>
                      <w:rFonts w:hint="default" w:ascii="Times New Roman" w:hAnsi="Times New Roman" w:eastAsia="宋体"/>
                      <w:color w:val="auto"/>
                      <w:kern w:val="0"/>
                      <w:sz w:val="21"/>
                      <w:szCs w:val="21"/>
                      <w:lang w:val="en-US" w:eastAsia="zh-CN"/>
                    </w:rPr>
                  </w:pPr>
                  <w:r>
                    <w:rPr>
                      <w:rFonts w:hint="eastAsia"/>
                      <w:color w:val="auto"/>
                      <w:kern w:val="0"/>
                      <w:sz w:val="21"/>
                      <w:szCs w:val="21"/>
                      <w:lang w:val="en-US" w:eastAsia="zh-CN"/>
                    </w:rPr>
                    <w:t>0.00334</w:t>
                  </w:r>
                </w:p>
              </w:tc>
              <w:tc>
                <w:tcPr>
                  <w:tcW w:w="1323" w:type="dxa"/>
                  <w:vAlign w:val="center"/>
                </w:tcPr>
                <w:p>
                  <w:pPr>
                    <w:spacing w:line="240" w:lineRule="auto"/>
                    <w:ind w:firstLine="0" w:firstLineChars="0"/>
                    <w:jc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0.00491</w:t>
                  </w:r>
                </w:p>
              </w:tc>
              <w:tc>
                <w:tcPr>
                  <w:tcW w:w="1350" w:type="dxa"/>
                  <w:vAlign w:val="center"/>
                </w:tcPr>
                <w:p>
                  <w:pPr>
                    <w:pStyle w:val="24"/>
                    <w:spacing w:line="240" w:lineRule="auto"/>
                    <w:ind w:firstLine="0" w:firstLineChars="0"/>
                    <w:jc w:val="center"/>
                    <w:rPr>
                      <w:rFonts w:hint="default"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0.00385</w:t>
                  </w:r>
                </w:p>
              </w:tc>
              <w:tc>
                <w:tcPr>
                  <w:tcW w:w="1459" w:type="dxa"/>
                  <w:vAlign w:val="center"/>
                </w:tcPr>
                <w:p>
                  <w:pPr>
                    <w:pStyle w:val="24"/>
                    <w:spacing w:line="240" w:lineRule="auto"/>
                    <w:ind w:firstLine="0" w:firstLineChars="0"/>
                    <w:jc w:val="center"/>
                    <w:rPr>
                      <w:rFonts w:hint="default"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0.00393</w:t>
                  </w:r>
                </w:p>
              </w:tc>
              <w:tc>
                <w:tcPr>
                  <w:tcW w:w="2123" w:type="dxa"/>
                  <w:vAlign w:val="center"/>
                </w:tcPr>
                <w:p>
                  <w:pPr>
                    <w:pStyle w:val="24"/>
                    <w:spacing w:line="240" w:lineRule="auto"/>
                    <w:ind w:firstLine="0" w:firstLineChars="0"/>
                    <w:jc w:val="center"/>
                    <w:rPr>
                      <w:rFonts w:hint="default"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200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2" w:hRule="atLeast"/>
              </w:trPr>
              <w:tc>
                <w:tcPr>
                  <w:tcW w:w="1614" w:type="dxa"/>
                  <w:vAlign w:val="center"/>
                </w:tcPr>
                <w:p>
                  <w:pPr>
                    <w:pStyle w:val="220"/>
                    <w:spacing w:line="320" w:lineRule="exact"/>
                    <w:ind w:firstLine="0" w:firstLineChars="0"/>
                    <w:rPr>
                      <w:rFonts w:ascii="Times New Roman" w:hAnsi="Times New Roman" w:eastAsia="宋体"/>
                      <w:color w:val="auto"/>
                      <w:kern w:val="0"/>
                      <w:sz w:val="21"/>
                      <w:szCs w:val="21"/>
                    </w:rPr>
                  </w:pPr>
                  <w:r>
                    <w:rPr>
                      <w:rFonts w:ascii="Times New Roman" w:hAnsi="Times New Roman" w:eastAsia="宋体"/>
                      <w:color w:val="auto"/>
                    </w:rPr>
                    <w:t>NO</w:t>
                  </w:r>
                  <w:r>
                    <w:rPr>
                      <w:rFonts w:ascii="Times New Roman" w:hAnsi="Times New Roman" w:eastAsia="宋体"/>
                      <w:color w:val="auto"/>
                      <w:vertAlign w:val="subscript"/>
                    </w:rPr>
                    <w:t>X</w:t>
                  </w:r>
                </w:p>
              </w:tc>
              <w:tc>
                <w:tcPr>
                  <w:tcW w:w="1350" w:type="dxa"/>
                  <w:vAlign w:val="center"/>
                </w:tcPr>
                <w:p>
                  <w:pPr>
                    <w:widowControl/>
                    <w:spacing w:line="240" w:lineRule="auto"/>
                    <w:ind w:firstLine="0" w:firstLineChars="0"/>
                    <w:jc w:val="center"/>
                    <w:rPr>
                      <w:rFonts w:hint="default" w:ascii="Times New Roman" w:hAnsi="Times New Roman" w:eastAsia="宋体"/>
                      <w:color w:val="auto"/>
                      <w:kern w:val="0"/>
                      <w:sz w:val="21"/>
                      <w:szCs w:val="21"/>
                      <w:lang w:val="en-US" w:eastAsia="zh-CN"/>
                    </w:rPr>
                  </w:pPr>
                  <w:r>
                    <w:rPr>
                      <w:rFonts w:hint="eastAsia"/>
                      <w:color w:val="auto"/>
                      <w:kern w:val="0"/>
                      <w:sz w:val="21"/>
                      <w:szCs w:val="21"/>
                      <w:lang w:val="en-US" w:eastAsia="zh-CN"/>
                    </w:rPr>
                    <w:t>0.00635</w:t>
                  </w:r>
                </w:p>
              </w:tc>
              <w:tc>
                <w:tcPr>
                  <w:tcW w:w="1323" w:type="dxa"/>
                  <w:vAlign w:val="center"/>
                </w:tcPr>
                <w:p>
                  <w:pPr>
                    <w:spacing w:line="240" w:lineRule="auto"/>
                    <w:ind w:firstLine="0" w:firstLineChars="0"/>
                    <w:jc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0.00929</w:t>
                  </w:r>
                </w:p>
              </w:tc>
              <w:tc>
                <w:tcPr>
                  <w:tcW w:w="1350" w:type="dxa"/>
                  <w:vAlign w:val="center"/>
                </w:tcPr>
                <w:p>
                  <w:pPr>
                    <w:pStyle w:val="24"/>
                    <w:spacing w:line="240" w:lineRule="auto"/>
                    <w:ind w:firstLine="0" w:firstLineChars="0"/>
                    <w:jc w:val="center"/>
                    <w:rPr>
                      <w:rFonts w:hint="default"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0.00534</w:t>
                  </w:r>
                </w:p>
              </w:tc>
              <w:tc>
                <w:tcPr>
                  <w:tcW w:w="1459" w:type="dxa"/>
                  <w:vAlign w:val="center"/>
                </w:tcPr>
                <w:p>
                  <w:pPr>
                    <w:pStyle w:val="24"/>
                    <w:spacing w:line="240" w:lineRule="auto"/>
                    <w:ind w:firstLine="0" w:firstLineChars="0"/>
                    <w:jc w:val="center"/>
                    <w:rPr>
                      <w:rFonts w:hint="default"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0.00542</w:t>
                  </w:r>
                </w:p>
              </w:tc>
              <w:tc>
                <w:tcPr>
                  <w:tcW w:w="2123" w:type="dxa"/>
                  <w:vAlign w:val="center"/>
                </w:tcPr>
                <w:p>
                  <w:pPr>
                    <w:pStyle w:val="24"/>
                    <w:spacing w:line="240" w:lineRule="auto"/>
                    <w:ind w:firstLine="0" w:firstLineChars="0"/>
                    <w:jc w:val="center"/>
                    <w:rPr>
                      <w:rFonts w:hint="default"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300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2" w:hRule="atLeast"/>
              </w:trPr>
              <w:tc>
                <w:tcPr>
                  <w:tcW w:w="161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苯并[a]芘</w:t>
                  </w:r>
                </w:p>
              </w:tc>
              <w:tc>
                <w:tcPr>
                  <w:tcW w:w="1350" w:type="dxa"/>
                  <w:vAlign w:val="center"/>
                </w:tcPr>
                <w:p>
                  <w:pPr>
                    <w:widowControl/>
                    <w:spacing w:line="240" w:lineRule="auto"/>
                    <w:ind w:firstLine="0" w:firstLineChars="0"/>
                    <w:jc w:val="center"/>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4.01</w:t>
                  </w:r>
                  <w:r>
                    <w:rPr>
                      <w:rFonts w:hint="eastAsia" w:ascii="Times New Roman" w:hAnsi="Times New Roman" w:eastAsia="宋体"/>
                      <w:color w:val="auto"/>
                      <w:sz w:val="21"/>
                      <w:szCs w:val="21"/>
                    </w:rPr>
                    <w:t>E-0</w:t>
                  </w:r>
                  <w:r>
                    <w:rPr>
                      <w:rFonts w:hint="eastAsia" w:ascii="Times New Roman" w:hAnsi="Times New Roman" w:eastAsia="宋体"/>
                      <w:color w:val="auto"/>
                      <w:sz w:val="21"/>
                      <w:szCs w:val="21"/>
                      <w:lang w:val="en-US" w:eastAsia="zh-CN"/>
                    </w:rPr>
                    <w:t>8</w:t>
                  </w:r>
                </w:p>
              </w:tc>
              <w:tc>
                <w:tcPr>
                  <w:tcW w:w="1323" w:type="dxa"/>
                  <w:vAlign w:val="center"/>
                </w:tcPr>
                <w:p>
                  <w:pPr>
                    <w:spacing w:line="240" w:lineRule="auto"/>
                    <w:ind w:firstLine="0" w:firstLineChars="0"/>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1.06</w:t>
                  </w:r>
                  <w:r>
                    <w:rPr>
                      <w:rFonts w:hint="eastAsia" w:ascii="Times New Roman" w:hAnsi="Times New Roman" w:eastAsia="宋体"/>
                      <w:color w:val="auto"/>
                      <w:sz w:val="21"/>
                      <w:szCs w:val="21"/>
                    </w:rPr>
                    <w:t>E-0</w:t>
                  </w:r>
                  <w:r>
                    <w:rPr>
                      <w:rFonts w:hint="eastAsia" w:ascii="Times New Roman" w:hAnsi="Times New Roman" w:eastAsia="宋体"/>
                      <w:color w:val="auto"/>
                      <w:sz w:val="21"/>
                      <w:szCs w:val="21"/>
                      <w:lang w:val="en-US" w:eastAsia="zh-CN"/>
                    </w:rPr>
                    <w:t>7</w:t>
                  </w:r>
                </w:p>
              </w:tc>
              <w:tc>
                <w:tcPr>
                  <w:tcW w:w="1350" w:type="dxa"/>
                  <w:vAlign w:val="center"/>
                </w:tcPr>
                <w:p>
                  <w:pPr>
                    <w:pStyle w:val="24"/>
                    <w:spacing w:line="240" w:lineRule="auto"/>
                    <w:ind w:firstLine="0" w:firstLineChars="0"/>
                    <w:jc w:val="center"/>
                    <w:rPr>
                      <w:rFonts w:hint="eastAsia" w:ascii="Times New Roman" w:hAnsi="Times New Roman" w:eastAsia="宋体"/>
                      <w:color w:val="auto"/>
                      <w:kern w:val="0"/>
                      <w:szCs w:val="21"/>
                      <w:lang w:val="en-US" w:eastAsia="zh-CN"/>
                    </w:rPr>
                  </w:pPr>
                  <w:r>
                    <w:rPr>
                      <w:rFonts w:hint="eastAsia" w:ascii="Times New Roman" w:hAnsi="Times New Roman" w:eastAsia="宋体"/>
                      <w:color w:val="auto"/>
                      <w:kern w:val="0"/>
                      <w:szCs w:val="21"/>
                      <w:lang w:val="en-US" w:eastAsia="zh-CN"/>
                    </w:rPr>
                    <w:t>7.13</w:t>
                  </w:r>
                  <w:r>
                    <w:rPr>
                      <w:rFonts w:hint="eastAsia" w:ascii="Times New Roman" w:hAnsi="Times New Roman" w:eastAsia="宋体"/>
                      <w:color w:val="auto"/>
                      <w:sz w:val="21"/>
                      <w:szCs w:val="21"/>
                    </w:rPr>
                    <w:t>E-0</w:t>
                  </w:r>
                  <w:r>
                    <w:rPr>
                      <w:rFonts w:hint="eastAsia" w:ascii="Times New Roman" w:hAnsi="Times New Roman" w:eastAsia="宋体"/>
                      <w:color w:val="auto"/>
                      <w:sz w:val="21"/>
                      <w:szCs w:val="21"/>
                      <w:lang w:val="en-US" w:eastAsia="zh-CN"/>
                    </w:rPr>
                    <w:t>8</w:t>
                  </w:r>
                </w:p>
              </w:tc>
              <w:tc>
                <w:tcPr>
                  <w:tcW w:w="1459" w:type="dxa"/>
                  <w:vAlign w:val="center"/>
                </w:tcPr>
                <w:p>
                  <w:pPr>
                    <w:pStyle w:val="24"/>
                    <w:spacing w:line="240" w:lineRule="auto"/>
                    <w:ind w:firstLine="0" w:firstLineChars="0"/>
                    <w:jc w:val="center"/>
                    <w:rPr>
                      <w:rFonts w:hint="eastAsia" w:ascii="Times New Roman" w:hAnsi="Times New Roman" w:eastAsia="宋体"/>
                      <w:color w:val="auto"/>
                      <w:kern w:val="0"/>
                      <w:szCs w:val="21"/>
                      <w:lang w:val="en-US" w:eastAsia="zh-CN"/>
                    </w:rPr>
                  </w:pPr>
                  <w:r>
                    <w:rPr>
                      <w:rFonts w:hint="eastAsia" w:ascii="Times New Roman" w:hAnsi="Times New Roman" w:eastAsia="宋体"/>
                      <w:color w:val="auto"/>
                      <w:kern w:val="0"/>
                      <w:szCs w:val="21"/>
                      <w:lang w:val="en-US" w:eastAsia="zh-CN"/>
                    </w:rPr>
                    <w:t>9.31</w:t>
                  </w:r>
                  <w:r>
                    <w:rPr>
                      <w:rFonts w:hint="eastAsia" w:ascii="Times New Roman" w:hAnsi="Times New Roman" w:eastAsia="宋体"/>
                      <w:color w:val="auto"/>
                      <w:sz w:val="21"/>
                      <w:szCs w:val="21"/>
                    </w:rPr>
                    <w:t>E-0</w:t>
                  </w:r>
                  <w:r>
                    <w:rPr>
                      <w:rFonts w:hint="eastAsia" w:ascii="Times New Roman" w:hAnsi="Times New Roman" w:eastAsia="宋体"/>
                      <w:color w:val="auto"/>
                      <w:sz w:val="21"/>
                      <w:szCs w:val="21"/>
                      <w:lang w:val="en-US" w:eastAsia="zh-CN"/>
                    </w:rPr>
                    <w:t>8</w:t>
                  </w:r>
                </w:p>
              </w:tc>
              <w:tc>
                <w:tcPr>
                  <w:tcW w:w="2123" w:type="dxa"/>
                  <w:vAlign w:val="center"/>
                </w:tcPr>
                <w:p>
                  <w:pPr>
                    <w:adjustRightInd w:val="0"/>
                    <w:snapToGrid w:val="0"/>
                    <w:spacing w:line="240" w:lineRule="auto"/>
                    <w:ind w:firstLine="0" w:firstLineChars="0"/>
                    <w:jc w:val="center"/>
                    <w:rPr>
                      <w:rFonts w:hint="eastAsia" w:ascii="Times New Roman" w:hAnsi="Times New Roman" w:eastAsia="宋体"/>
                      <w:color w:val="auto"/>
                      <w:kern w:val="0"/>
                      <w:szCs w:val="21"/>
                    </w:rPr>
                  </w:pPr>
                  <w:r>
                    <w:rPr>
                      <w:rFonts w:hint="eastAsia" w:ascii="Times New Roman" w:hAnsi="Times New Roman" w:eastAsia="宋体"/>
                      <w:color w:val="auto"/>
                      <w:sz w:val="21"/>
                      <w:szCs w:val="21"/>
                    </w:rPr>
                    <w:t>0.008×10</w:t>
                  </w:r>
                  <w:r>
                    <w:rPr>
                      <w:rFonts w:hint="eastAsia" w:ascii="Times New Roman" w:hAnsi="Times New Roman" w:eastAsia="宋体"/>
                      <w:color w:val="auto"/>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2" w:hRule="atLeast"/>
              </w:trPr>
              <w:tc>
                <w:tcPr>
                  <w:tcW w:w="1614" w:type="dxa"/>
                  <w:vAlign w:val="center"/>
                </w:tcPr>
                <w:p>
                  <w:pPr>
                    <w:widowControl/>
                    <w:spacing w:line="240" w:lineRule="auto"/>
                    <w:ind w:firstLine="0" w:firstLineChars="0"/>
                    <w:jc w:val="center"/>
                    <w:rPr>
                      <w:rFonts w:hint="eastAsia" w:ascii="Times New Roman" w:hAnsi="Times New Roman" w:eastAsia="宋体"/>
                      <w:color w:val="auto"/>
                      <w:kern w:val="0"/>
                      <w:sz w:val="21"/>
                      <w:szCs w:val="21"/>
                      <w:lang w:eastAsia="zh-CN"/>
                    </w:rPr>
                  </w:pPr>
                  <w:r>
                    <w:rPr>
                      <w:rFonts w:hint="eastAsia" w:ascii="Times New Roman" w:hAnsi="Times New Roman" w:eastAsia="宋体"/>
                      <w:color w:val="auto"/>
                      <w:kern w:val="0"/>
                      <w:sz w:val="21"/>
                      <w:szCs w:val="21"/>
                      <w:lang w:eastAsia="zh-CN"/>
                    </w:rPr>
                    <w:t>沥青烟</w:t>
                  </w:r>
                </w:p>
              </w:tc>
              <w:tc>
                <w:tcPr>
                  <w:tcW w:w="1350" w:type="dxa"/>
                  <w:vAlign w:val="center"/>
                </w:tcPr>
                <w:p>
                  <w:pPr>
                    <w:widowControl/>
                    <w:spacing w:line="240" w:lineRule="auto"/>
                    <w:ind w:firstLine="0" w:firstLineChars="0"/>
                    <w:jc w:val="center"/>
                    <w:rPr>
                      <w:rFonts w:hint="eastAsia" w:ascii="Times New Roman" w:hAnsi="Times New Roman" w:eastAsia="宋体"/>
                      <w:color w:val="auto"/>
                      <w:kern w:val="0"/>
                      <w:sz w:val="21"/>
                      <w:szCs w:val="21"/>
                    </w:rPr>
                  </w:pPr>
                  <w:r>
                    <w:rPr>
                      <w:rFonts w:hint="eastAsia" w:ascii="Times New Roman" w:hAnsi="Times New Roman" w:eastAsia="宋体"/>
                      <w:color w:val="auto"/>
                      <w:sz w:val="21"/>
                      <w:szCs w:val="21"/>
                      <w:lang w:val="en-US" w:eastAsia="zh-CN"/>
                    </w:rPr>
                    <w:t>7.30</w:t>
                  </w:r>
                  <w:r>
                    <w:rPr>
                      <w:rFonts w:hint="eastAsia" w:ascii="Times New Roman" w:hAnsi="Times New Roman" w:eastAsia="宋体"/>
                      <w:color w:val="auto"/>
                      <w:sz w:val="21"/>
                      <w:szCs w:val="21"/>
                    </w:rPr>
                    <w:t>E-05</w:t>
                  </w:r>
                </w:p>
              </w:tc>
              <w:tc>
                <w:tcPr>
                  <w:tcW w:w="1323" w:type="dxa"/>
                  <w:vAlign w:val="center"/>
                </w:tcPr>
                <w:p>
                  <w:pPr>
                    <w:spacing w:line="240" w:lineRule="auto"/>
                    <w:ind w:firstLine="0" w:firstLineChars="0"/>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1.91</w:t>
                  </w:r>
                  <w:r>
                    <w:rPr>
                      <w:rFonts w:hint="eastAsia" w:ascii="Times New Roman" w:hAnsi="Times New Roman" w:eastAsia="宋体"/>
                      <w:color w:val="auto"/>
                      <w:sz w:val="21"/>
                      <w:szCs w:val="21"/>
                    </w:rPr>
                    <w:t>E-0</w:t>
                  </w:r>
                  <w:r>
                    <w:rPr>
                      <w:rFonts w:hint="eastAsia" w:ascii="Times New Roman" w:hAnsi="Times New Roman" w:eastAsia="宋体"/>
                      <w:color w:val="auto"/>
                      <w:sz w:val="21"/>
                      <w:szCs w:val="21"/>
                      <w:lang w:val="en-US" w:eastAsia="zh-CN"/>
                    </w:rPr>
                    <w:t>4</w:t>
                  </w:r>
                </w:p>
              </w:tc>
              <w:tc>
                <w:tcPr>
                  <w:tcW w:w="1350" w:type="dxa"/>
                  <w:vAlign w:val="center"/>
                </w:tcPr>
                <w:p>
                  <w:pPr>
                    <w:pStyle w:val="24"/>
                    <w:spacing w:line="240" w:lineRule="auto"/>
                    <w:ind w:firstLine="0" w:firstLineChars="0"/>
                    <w:jc w:val="center"/>
                    <w:rPr>
                      <w:rFonts w:hint="eastAsia" w:ascii="Times New Roman" w:hAnsi="Times New Roman" w:eastAsia="宋体"/>
                      <w:color w:val="auto"/>
                      <w:kern w:val="0"/>
                      <w:szCs w:val="21"/>
                      <w:lang w:val="en-US" w:eastAsia="zh-CN"/>
                    </w:rPr>
                  </w:pPr>
                  <w:r>
                    <w:rPr>
                      <w:rFonts w:hint="eastAsia" w:ascii="Times New Roman" w:hAnsi="Times New Roman" w:eastAsia="宋体"/>
                      <w:color w:val="auto"/>
                      <w:kern w:val="0"/>
                      <w:szCs w:val="21"/>
                      <w:lang w:val="en-US" w:eastAsia="zh-CN"/>
                    </w:rPr>
                    <w:t>1.21</w:t>
                  </w:r>
                  <w:r>
                    <w:rPr>
                      <w:rFonts w:hint="eastAsia" w:ascii="Times New Roman" w:hAnsi="Times New Roman" w:eastAsia="宋体"/>
                      <w:color w:val="auto"/>
                      <w:sz w:val="21"/>
                      <w:szCs w:val="21"/>
                    </w:rPr>
                    <w:t>E-0</w:t>
                  </w:r>
                  <w:r>
                    <w:rPr>
                      <w:rFonts w:hint="eastAsia" w:ascii="Times New Roman" w:hAnsi="Times New Roman" w:eastAsia="宋体"/>
                      <w:color w:val="auto"/>
                      <w:sz w:val="21"/>
                      <w:szCs w:val="21"/>
                      <w:lang w:val="en-US" w:eastAsia="zh-CN"/>
                    </w:rPr>
                    <w:t>4</w:t>
                  </w:r>
                </w:p>
              </w:tc>
              <w:tc>
                <w:tcPr>
                  <w:tcW w:w="1459" w:type="dxa"/>
                  <w:vAlign w:val="center"/>
                </w:tcPr>
                <w:p>
                  <w:pPr>
                    <w:pStyle w:val="24"/>
                    <w:spacing w:line="240" w:lineRule="auto"/>
                    <w:ind w:firstLine="0" w:firstLineChars="0"/>
                    <w:jc w:val="center"/>
                    <w:rPr>
                      <w:rFonts w:hint="eastAsia" w:ascii="Times New Roman" w:hAnsi="Times New Roman" w:eastAsia="宋体"/>
                      <w:color w:val="auto"/>
                      <w:kern w:val="0"/>
                      <w:szCs w:val="21"/>
                      <w:lang w:val="en-US" w:eastAsia="zh-CN"/>
                    </w:rPr>
                  </w:pPr>
                  <w:r>
                    <w:rPr>
                      <w:rFonts w:hint="eastAsia" w:ascii="Times New Roman" w:hAnsi="Times New Roman" w:eastAsia="宋体"/>
                      <w:color w:val="auto"/>
                      <w:kern w:val="0"/>
                      <w:szCs w:val="21"/>
                      <w:lang w:val="en-US" w:eastAsia="zh-CN"/>
                    </w:rPr>
                    <w:t>1.73</w:t>
                  </w:r>
                  <w:r>
                    <w:rPr>
                      <w:rFonts w:hint="eastAsia" w:ascii="Times New Roman" w:hAnsi="Times New Roman" w:eastAsia="宋体"/>
                      <w:color w:val="auto"/>
                      <w:sz w:val="21"/>
                      <w:szCs w:val="21"/>
                    </w:rPr>
                    <w:t>E-0</w:t>
                  </w:r>
                  <w:r>
                    <w:rPr>
                      <w:rFonts w:hint="eastAsia" w:ascii="Times New Roman" w:hAnsi="Times New Roman" w:eastAsia="宋体"/>
                      <w:color w:val="auto"/>
                      <w:sz w:val="21"/>
                      <w:szCs w:val="21"/>
                      <w:lang w:val="en-US" w:eastAsia="zh-CN"/>
                    </w:rPr>
                    <w:t>4</w:t>
                  </w:r>
                </w:p>
              </w:tc>
              <w:tc>
                <w:tcPr>
                  <w:tcW w:w="2123" w:type="dxa"/>
                  <w:vAlign w:val="center"/>
                </w:tcPr>
                <w:p>
                  <w:pPr>
                    <w:adjustRightInd w:val="0"/>
                    <w:snapToGrid w:val="0"/>
                    <w:spacing w:line="240" w:lineRule="auto"/>
                    <w:ind w:firstLine="0" w:firstLineChars="0"/>
                    <w:rPr>
                      <w:rFonts w:hint="eastAsia" w:ascii="Times New Roman" w:hAnsi="Times New Roman" w:eastAsia="宋体"/>
                      <w:color w:val="auto"/>
                      <w:kern w:val="0"/>
                      <w:szCs w:val="21"/>
                    </w:rPr>
                  </w:pPr>
                  <w:r>
                    <w:rPr>
                      <w:rFonts w:hint="eastAsia" w:ascii="Times New Roman" w:hAnsi="Times New Roman" w:eastAsia="宋体"/>
                      <w:color w:val="auto"/>
                      <w:sz w:val="21"/>
                      <w:szCs w:val="21"/>
                    </w:rPr>
                    <w:t>生产设备不得有明显的无组织排放存在</w:t>
                  </w:r>
                </w:p>
              </w:tc>
            </w:tr>
          </w:tbl>
          <w:p>
            <w:pPr>
              <w:pStyle w:val="21"/>
              <w:bidi w:val="0"/>
              <w:rPr>
                <w:sz w:val="24"/>
                <w:szCs w:val="24"/>
              </w:rPr>
            </w:pPr>
            <w:r>
              <w:rPr>
                <w:rFonts w:hint="eastAsia"/>
                <w:sz w:val="24"/>
                <w:szCs w:val="24"/>
              </w:rPr>
              <w:t>由上表可知，本项目无组织废气厂界估算浓度均能达到厂界无组织排放监控浓度限值的要求。</w:t>
            </w:r>
          </w:p>
          <w:p>
            <w:pPr>
              <w:pStyle w:val="21"/>
              <w:bidi w:val="0"/>
              <w:rPr>
                <w:rFonts w:hint="eastAsia"/>
                <w:sz w:val="24"/>
                <w:szCs w:val="24"/>
              </w:rPr>
            </w:pPr>
            <w:r>
              <w:rPr>
                <w:rFonts w:hint="eastAsia"/>
                <w:sz w:val="24"/>
                <w:szCs w:val="24"/>
              </w:rPr>
              <w:t>（1</w:t>
            </w:r>
            <w:r>
              <w:rPr>
                <w:rFonts w:hint="eastAsia"/>
                <w:sz w:val="24"/>
                <w:szCs w:val="24"/>
                <w:lang w:val="en-US" w:eastAsia="zh-CN"/>
              </w:rPr>
              <w:t>1</w:t>
            </w:r>
            <w:r>
              <w:rPr>
                <w:rFonts w:hint="eastAsia"/>
                <w:sz w:val="24"/>
                <w:szCs w:val="24"/>
              </w:rPr>
              <w:t>）异味影响分析</w:t>
            </w:r>
          </w:p>
          <w:p>
            <w:pPr>
              <w:pStyle w:val="21"/>
              <w:bidi w:val="0"/>
              <w:rPr>
                <w:rFonts w:hint="eastAsia"/>
                <w:sz w:val="24"/>
                <w:szCs w:val="24"/>
              </w:rPr>
            </w:pPr>
            <w:r>
              <w:rPr>
                <w:rFonts w:hint="eastAsia"/>
                <w:sz w:val="24"/>
                <w:szCs w:val="24"/>
              </w:rPr>
              <w:t>臭气浓度与臭气强度是表征异味污染对人的嗅觉刺激程度的两种常用指标。臭气浓度是指用无臭的清洁空气稀释异味样品直至样品无味时所需的稀释倍数，我国《恶臭污染物排放标准》（GB14554-93）中对混合异味物质的臭气浓度排放阈值进行了限定；臭气强度是指异味气体在未经稀释的情况下对人体嗅觉器官的刺激程度，通常以数字的形式表示，可以简单、直观地反映异味污染的程度。因国家、地区的不同，臭气强度的分级方法也有所不同，日本采用的是六级分级制，欧洲等国家采用的是七级分级制，美国采用的是八级分级制。本项目借鉴日本的分级方法，采用六级臭气强度评价，具体见表7</w:t>
            </w:r>
            <w:r>
              <w:rPr>
                <w:rFonts w:hint="eastAsia"/>
                <w:sz w:val="24"/>
                <w:szCs w:val="24"/>
                <w:lang w:val="en-US" w:eastAsia="zh-CN"/>
              </w:rPr>
              <w:t>.6</w:t>
            </w:r>
            <w:r>
              <w:rPr>
                <w:rFonts w:hint="eastAsia"/>
                <w:sz w:val="24"/>
                <w:szCs w:val="24"/>
              </w:rPr>
              <w:t>-1</w:t>
            </w:r>
            <w:r>
              <w:rPr>
                <w:rFonts w:hint="eastAsia"/>
                <w:sz w:val="24"/>
                <w:szCs w:val="24"/>
                <w:lang w:val="en-US" w:eastAsia="zh-CN"/>
              </w:rPr>
              <w:t>1</w:t>
            </w:r>
            <w:r>
              <w:rPr>
                <w:rFonts w:hint="eastAsia"/>
                <w:sz w:val="24"/>
                <w:szCs w:val="24"/>
              </w:rPr>
              <w:t>。</w:t>
            </w:r>
          </w:p>
          <w:p>
            <w:pPr>
              <w:snapToGrid w:val="0"/>
              <w:spacing w:line="240" w:lineRule="auto"/>
              <w:ind w:firstLine="422"/>
              <w:jc w:val="center"/>
              <w:rPr>
                <w:rFonts w:hint="eastAsia" w:ascii="Times New Roman" w:hAnsi="Times New Roman" w:eastAsia="宋体"/>
                <w:b/>
                <w:color w:val="auto"/>
                <w:sz w:val="21"/>
                <w:szCs w:val="21"/>
              </w:rPr>
            </w:pPr>
            <w:r>
              <w:rPr>
                <w:rFonts w:hint="eastAsia" w:ascii="Times New Roman" w:hAnsi="Times New Roman" w:eastAsia="宋体"/>
                <w:b/>
                <w:color w:val="auto"/>
                <w:sz w:val="21"/>
                <w:szCs w:val="21"/>
              </w:rPr>
              <w:t>表7</w:t>
            </w:r>
            <w:r>
              <w:rPr>
                <w:rFonts w:hint="eastAsia"/>
                <w:b/>
                <w:color w:val="auto"/>
                <w:sz w:val="21"/>
                <w:szCs w:val="21"/>
                <w:lang w:val="en-US" w:eastAsia="zh-CN"/>
              </w:rPr>
              <w:t>.6</w:t>
            </w:r>
            <w:r>
              <w:rPr>
                <w:rFonts w:hint="eastAsia" w:ascii="Times New Roman" w:hAnsi="Times New Roman" w:eastAsia="宋体"/>
                <w:b/>
                <w:color w:val="auto"/>
                <w:sz w:val="21"/>
                <w:szCs w:val="21"/>
              </w:rPr>
              <w:t>-1</w:t>
            </w:r>
            <w:r>
              <w:rPr>
                <w:rFonts w:hint="eastAsia"/>
                <w:b/>
                <w:color w:val="auto"/>
                <w:sz w:val="21"/>
                <w:szCs w:val="21"/>
                <w:lang w:val="en-US" w:eastAsia="zh-CN"/>
              </w:rPr>
              <w:t>1</w:t>
            </w:r>
            <w:r>
              <w:rPr>
                <w:rFonts w:hint="eastAsia" w:ascii="Times New Roman" w:hAnsi="Times New Roman" w:eastAsia="宋体"/>
                <w:b/>
                <w:color w:val="auto"/>
                <w:sz w:val="21"/>
                <w:szCs w:val="21"/>
              </w:rPr>
              <w:t xml:space="preserve">  六级臭气强度评价法</w:t>
            </w:r>
          </w:p>
          <w:tbl>
            <w:tblPr>
              <w:tblStyle w:val="43"/>
              <w:tblW w:w="9287"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
            <w:tblGrid>
              <w:gridCol w:w="1570"/>
              <w:gridCol w:w="771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1570" w:type="dxa"/>
                  <w:tcBorders>
                    <w:top w:val="single" w:color="auto" w:sz="12" w:space="0"/>
                    <w:bottom w:val="single" w:color="auto" w:sz="6" w:space="0"/>
                  </w:tcBorders>
                  <w:noWrap w:val="0"/>
                  <w:vAlign w:val="top"/>
                </w:tcPr>
                <w:p>
                  <w:pPr>
                    <w:pStyle w:val="220"/>
                    <w:rPr>
                      <w:rFonts w:ascii="Times New Roman" w:hAnsi="Times New Roman" w:eastAsia="宋体"/>
                      <w:b/>
                      <w:bCs/>
                      <w:color w:val="auto"/>
                    </w:rPr>
                  </w:pPr>
                  <w:r>
                    <w:rPr>
                      <w:rFonts w:ascii="Times New Roman" w:hAnsi="Times New Roman" w:eastAsia="宋体"/>
                      <w:b/>
                      <w:bCs/>
                      <w:color w:val="auto"/>
                    </w:rPr>
                    <w:t>级别</w:t>
                  </w:r>
                </w:p>
              </w:tc>
              <w:tc>
                <w:tcPr>
                  <w:tcW w:w="7717" w:type="dxa"/>
                  <w:tcBorders>
                    <w:top w:val="single" w:color="auto" w:sz="12" w:space="0"/>
                    <w:bottom w:val="single" w:color="auto" w:sz="6" w:space="0"/>
                  </w:tcBorders>
                  <w:noWrap w:val="0"/>
                  <w:vAlign w:val="top"/>
                </w:tcPr>
                <w:p>
                  <w:pPr>
                    <w:pStyle w:val="220"/>
                    <w:rPr>
                      <w:rFonts w:ascii="Times New Roman" w:hAnsi="Times New Roman" w:eastAsia="宋体"/>
                      <w:b/>
                      <w:bCs/>
                      <w:color w:val="auto"/>
                    </w:rPr>
                  </w:pPr>
                  <w:r>
                    <w:rPr>
                      <w:rFonts w:ascii="Times New Roman" w:hAnsi="Times New Roman" w:eastAsia="宋体"/>
                      <w:b/>
                      <w:bCs/>
                      <w:color w:val="auto"/>
                    </w:rPr>
                    <w:t>嗅觉感觉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1570" w:type="dxa"/>
                  <w:tcBorders>
                    <w:top w:val="single" w:color="auto" w:sz="6" w:space="0"/>
                  </w:tcBorders>
                  <w:noWrap w:val="0"/>
                  <w:vAlign w:val="center"/>
                </w:tcPr>
                <w:p>
                  <w:pPr>
                    <w:pStyle w:val="220"/>
                    <w:rPr>
                      <w:rFonts w:ascii="Times New Roman" w:hAnsi="Times New Roman" w:eastAsia="宋体"/>
                      <w:color w:val="auto"/>
                    </w:rPr>
                  </w:pPr>
                  <w:r>
                    <w:rPr>
                      <w:rFonts w:ascii="Times New Roman" w:hAnsi="Times New Roman" w:eastAsia="宋体"/>
                      <w:color w:val="auto"/>
                    </w:rPr>
                    <w:t>0</w:t>
                  </w:r>
                </w:p>
              </w:tc>
              <w:tc>
                <w:tcPr>
                  <w:tcW w:w="7717" w:type="dxa"/>
                  <w:tcBorders>
                    <w:top w:val="single" w:color="auto" w:sz="6" w:space="0"/>
                  </w:tcBorders>
                  <w:noWrap w:val="0"/>
                  <w:vAlign w:val="center"/>
                </w:tcPr>
                <w:p>
                  <w:pPr>
                    <w:pStyle w:val="220"/>
                    <w:rPr>
                      <w:rFonts w:ascii="Times New Roman" w:hAnsi="Times New Roman" w:eastAsia="宋体"/>
                      <w:color w:val="auto"/>
                    </w:rPr>
                  </w:pPr>
                  <w:r>
                    <w:rPr>
                      <w:rFonts w:ascii="Times New Roman" w:hAnsi="Times New Roman" w:eastAsia="宋体"/>
                      <w:color w:val="auto"/>
                    </w:rPr>
                    <w:t>未闻到任何气味，无任何反映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trHeight w:val="90" w:hRule="atLeast"/>
                <w:jc w:val="center"/>
              </w:trPr>
              <w:tc>
                <w:tcPr>
                  <w:tcW w:w="1570" w:type="dxa"/>
                  <w:noWrap w:val="0"/>
                  <w:vAlign w:val="center"/>
                </w:tcPr>
                <w:p>
                  <w:pPr>
                    <w:pStyle w:val="220"/>
                    <w:rPr>
                      <w:rFonts w:ascii="Times New Roman" w:hAnsi="Times New Roman" w:eastAsia="宋体"/>
                      <w:color w:val="auto"/>
                    </w:rPr>
                  </w:pPr>
                  <w:r>
                    <w:rPr>
                      <w:rFonts w:ascii="Times New Roman" w:hAnsi="Times New Roman" w:eastAsia="宋体"/>
                      <w:color w:val="auto"/>
                    </w:rPr>
                    <w:t>1</w:t>
                  </w:r>
                </w:p>
              </w:tc>
              <w:tc>
                <w:tcPr>
                  <w:tcW w:w="7717" w:type="dxa"/>
                  <w:noWrap w:val="0"/>
                  <w:vAlign w:val="center"/>
                </w:tcPr>
                <w:p>
                  <w:pPr>
                    <w:pStyle w:val="220"/>
                    <w:rPr>
                      <w:rFonts w:ascii="Times New Roman" w:hAnsi="Times New Roman" w:eastAsia="宋体"/>
                      <w:color w:val="auto"/>
                    </w:rPr>
                  </w:pPr>
                  <w:r>
                    <w:rPr>
                      <w:rFonts w:ascii="Times New Roman" w:hAnsi="Times New Roman" w:eastAsia="宋体"/>
                      <w:color w:val="auto"/>
                    </w:rPr>
                    <w:t>勉强闻到有气味，不易辨认异味性质（检知阈值），无所谓</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1570" w:type="dxa"/>
                  <w:noWrap w:val="0"/>
                  <w:vAlign w:val="center"/>
                </w:tcPr>
                <w:p>
                  <w:pPr>
                    <w:pStyle w:val="220"/>
                    <w:rPr>
                      <w:rFonts w:ascii="Times New Roman" w:hAnsi="Times New Roman" w:eastAsia="宋体"/>
                      <w:color w:val="auto"/>
                    </w:rPr>
                  </w:pPr>
                  <w:r>
                    <w:rPr>
                      <w:rFonts w:ascii="Times New Roman" w:hAnsi="Times New Roman" w:eastAsia="宋体"/>
                      <w:color w:val="auto"/>
                    </w:rPr>
                    <w:t>2</w:t>
                  </w:r>
                </w:p>
              </w:tc>
              <w:tc>
                <w:tcPr>
                  <w:tcW w:w="7717" w:type="dxa"/>
                  <w:noWrap w:val="0"/>
                  <w:vAlign w:val="center"/>
                </w:tcPr>
                <w:p>
                  <w:pPr>
                    <w:pStyle w:val="220"/>
                    <w:rPr>
                      <w:rFonts w:ascii="Times New Roman" w:hAnsi="Times New Roman" w:eastAsia="宋体"/>
                      <w:color w:val="auto"/>
                    </w:rPr>
                  </w:pPr>
                  <w:r>
                    <w:rPr>
                      <w:rFonts w:ascii="Times New Roman" w:hAnsi="Times New Roman" w:eastAsia="宋体"/>
                      <w:color w:val="auto"/>
                    </w:rPr>
                    <w:t>能闻到有异味，能辨认异味性质（确认阈值），但感到很正常</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1570" w:type="dxa"/>
                  <w:noWrap w:val="0"/>
                  <w:vAlign w:val="center"/>
                </w:tcPr>
                <w:p>
                  <w:pPr>
                    <w:pStyle w:val="220"/>
                    <w:rPr>
                      <w:rFonts w:ascii="Times New Roman" w:hAnsi="Times New Roman" w:eastAsia="宋体"/>
                      <w:color w:val="auto"/>
                    </w:rPr>
                  </w:pPr>
                  <w:r>
                    <w:rPr>
                      <w:rFonts w:ascii="Times New Roman" w:hAnsi="Times New Roman" w:eastAsia="宋体"/>
                      <w:color w:val="auto"/>
                    </w:rPr>
                    <w:t>3</w:t>
                  </w:r>
                </w:p>
              </w:tc>
              <w:tc>
                <w:tcPr>
                  <w:tcW w:w="7717" w:type="dxa"/>
                  <w:noWrap w:val="0"/>
                  <w:vAlign w:val="center"/>
                </w:tcPr>
                <w:p>
                  <w:pPr>
                    <w:pStyle w:val="220"/>
                    <w:rPr>
                      <w:rFonts w:ascii="Times New Roman" w:hAnsi="Times New Roman" w:eastAsia="宋体"/>
                      <w:color w:val="auto"/>
                    </w:rPr>
                  </w:pPr>
                  <w:r>
                    <w:rPr>
                      <w:rFonts w:ascii="Times New Roman" w:hAnsi="Times New Roman" w:eastAsia="宋体"/>
                      <w:color w:val="auto"/>
                    </w:rPr>
                    <w:t>很容易闻到气味，有所不快，但不反感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1570" w:type="dxa"/>
                  <w:noWrap w:val="0"/>
                  <w:vAlign w:val="center"/>
                </w:tcPr>
                <w:p>
                  <w:pPr>
                    <w:pStyle w:val="220"/>
                    <w:rPr>
                      <w:rFonts w:ascii="Times New Roman" w:hAnsi="Times New Roman" w:eastAsia="宋体"/>
                      <w:color w:val="auto"/>
                    </w:rPr>
                  </w:pPr>
                  <w:r>
                    <w:rPr>
                      <w:rFonts w:ascii="Times New Roman" w:hAnsi="Times New Roman" w:eastAsia="宋体"/>
                      <w:color w:val="auto"/>
                    </w:rPr>
                    <w:t>4</w:t>
                  </w:r>
                </w:p>
              </w:tc>
              <w:tc>
                <w:tcPr>
                  <w:tcW w:w="7717" w:type="dxa"/>
                  <w:noWrap w:val="0"/>
                  <w:vAlign w:val="center"/>
                </w:tcPr>
                <w:p>
                  <w:pPr>
                    <w:pStyle w:val="220"/>
                    <w:rPr>
                      <w:rFonts w:ascii="Times New Roman" w:hAnsi="Times New Roman" w:eastAsia="宋体"/>
                      <w:color w:val="auto"/>
                    </w:rPr>
                  </w:pPr>
                  <w:r>
                    <w:rPr>
                      <w:rFonts w:ascii="Times New Roman" w:hAnsi="Times New Roman" w:eastAsia="宋体"/>
                      <w:color w:val="auto"/>
                    </w:rPr>
                    <w:t>有很强的异味，很反感，想离开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trHeight w:val="20" w:hRule="atLeast"/>
                <w:jc w:val="center"/>
              </w:trPr>
              <w:tc>
                <w:tcPr>
                  <w:tcW w:w="1570" w:type="dxa"/>
                  <w:tcBorders>
                    <w:bottom w:val="single" w:color="auto" w:sz="12" w:space="0"/>
                  </w:tcBorders>
                  <w:noWrap w:val="0"/>
                  <w:vAlign w:val="center"/>
                </w:tcPr>
                <w:p>
                  <w:pPr>
                    <w:pStyle w:val="220"/>
                    <w:rPr>
                      <w:rFonts w:ascii="Times New Roman" w:hAnsi="Times New Roman" w:eastAsia="宋体"/>
                      <w:color w:val="auto"/>
                    </w:rPr>
                  </w:pPr>
                  <w:r>
                    <w:rPr>
                      <w:rFonts w:ascii="Times New Roman" w:hAnsi="Times New Roman" w:eastAsia="宋体"/>
                      <w:color w:val="auto"/>
                    </w:rPr>
                    <w:t>5</w:t>
                  </w:r>
                </w:p>
              </w:tc>
              <w:tc>
                <w:tcPr>
                  <w:tcW w:w="7717" w:type="dxa"/>
                  <w:tcBorders>
                    <w:bottom w:val="single" w:color="auto" w:sz="12" w:space="0"/>
                  </w:tcBorders>
                  <w:noWrap w:val="0"/>
                  <w:vAlign w:val="center"/>
                </w:tcPr>
                <w:p>
                  <w:pPr>
                    <w:pStyle w:val="220"/>
                    <w:rPr>
                      <w:rFonts w:ascii="Times New Roman" w:hAnsi="Times New Roman" w:eastAsia="宋体"/>
                      <w:color w:val="auto"/>
                    </w:rPr>
                  </w:pPr>
                  <w:r>
                    <w:rPr>
                      <w:rFonts w:ascii="Times New Roman" w:hAnsi="Times New Roman" w:eastAsia="宋体"/>
                      <w:color w:val="auto"/>
                    </w:rPr>
                    <w:t>有极强的异味，无法忍受，立即逃跑</w:t>
                  </w:r>
                </w:p>
              </w:tc>
            </w:tr>
          </w:tbl>
          <w:p>
            <w:pPr>
              <w:spacing w:before="120" w:beforeLines="50" w:line="500" w:lineRule="exact"/>
              <w:ind w:firstLine="480"/>
              <w:rPr>
                <w:rFonts w:ascii="Times New Roman" w:hAnsi="Times New Roman" w:eastAsia="宋体"/>
                <w:color w:val="auto"/>
                <w:sz w:val="24"/>
                <w:szCs w:val="24"/>
              </w:rPr>
            </w:pPr>
            <w:r>
              <w:rPr>
                <w:rFonts w:ascii="Times New Roman" w:hAnsi="Times New Roman" w:eastAsia="宋体"/>
                <w:color w:val="auto"/>
                <w:sz w:val="24"/>
                <w:szCs w:val="24"/>
              </w:rPr>
              <w:t>臭气强度与异味物质浓度近似满足韦伯定律：</w:t>
            </w:r>
          </w:p>
          <w:p>
            <w:pPr>
              <w:spacing w:line="500" w:lineRule="exact"/>
              <w:ind w:firstLine="480"/>
              <w:jc w:val="center"/>
              <w:rPr>
                <w:rFonts w:ascii="Times New Roman" w:hAnsi="Times New Roman" w:eastAsia="宋体"/>
                <w:color w:val="auto"/>
                <w:sz w:val="24"/>
                <w:szCs w:val="24"/>
              </w:rPr>
            </w:pPr>
            <w:r>
              <w:rPr>
                <w:rFonts w:ascii="Times New Roman" w:hAnsi="Times New Roman" w:eastAsia="宋体"/>
                <w:color w:val="auto"/>
                <w:position w:val="-10"/>
                <w:sz w:val="24"/>
                <w:szCs w:val="24"/>
              </w:rPr>
              <w:drawing>
                <wp:inline distT="0" distB="0" distL="114300" distR="114300">
                  <wp:extent cx="1638300" cy="209550"/>
                  <wp:effectExtent l="0" t="0" r="0" b="0"/>
                  <wp:docPr id="38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图片 10"/>
                          <pic:cNvPicPr>
                            <a:picLocks noChangeAspect="1"/>
                          </pic:cNvPicPr>
                        </pic:nvPicPr>
                        <pic:blipFill>
                          <a:blip r:embed="rId40"/>
                          <a:stretch>
                            <a:fillRect/>
                          </a:stretch>
                        </pic:blipFill>
                        <pic:spPr>
                          <a:xfrm>
                            <a:off x="0" y="0"/>
                            <a:ext cx="1638300" cy="209550"/>
                          </a:xfrm>
                          <a:prstGeom prst="rect">
                            <a:avLst/>
                          </a:prstGeom>
                          <a:noFill/>
                          <a:ln>
                            <a:noFill/>
                          </a:ln>
                        </pic:spPr>
                      </pic:pic>
                    </a:graphicData>
                  </a:graphic>
                </wp:inline>
              </w:drawing>
            </w:r>
          </w:p>
          <w:p>
            <w:pPr>
              <w:spacing w:line="500" w:lineRule="exact"/>
              <w:ind w:firstLine="480"/>
              <w:rPr>
                <w:rFonts w:ascii="Times New Roman" w:hAnsi="Times New Roman" w:eastAsia="宋体"/>
                <w:color w:val="auto"/>
                <w:sz w:val="24"/>
                <w:szCs w:val="24"/>
              </w:rPr>
            </w:pPr>
            <w:r>
              <w:rPr>
                <w:rFonts w:ascii="Times New Roman" w:hAnsi="Times New Roman" w:eastAsia="宋体"/>
                <w:color w:val="auto"/>
                <w:sz w:val="24"/>
                <w:szCs w:val="24"/>
              </w:rPr>
              <w:t xml:space="preserve">式中： Y </w:t>
            </w:r>
            <w:r>
              <w:rPr>
                <w:rFonts w:ascii="Times New Roman" w:hAnsi="Times New Roman" w:eastAsia="宋体"/>
                <w:color w:val="auto"/>
                <w:sz w:val="24"/>
                <w:szCs w:val="24"/>
              </w:rPr>
              <w:tab/>
            </w:r>
            <w:r>
              <w:rPr>
                <w:rFonts w:ascii="Times New Roman" w:hAnsi="Times New Roman" w:eastAsia="宋体"/>
                <w:color w:val="auto"/>
                <w:sz w:val="24"/>
                <w:szCs w:val="24"/>
              </w:rPr>
              <w:t>——臭气强度的平均值</w:t>
            </w:r>
          </w:p>
          <w:p>
            <w:pPr>
              <w:tabs>
                <w:tab w:val="left" w:pos="851"/>
                <w:tab w:val="left" w:pos="1276"/>
              </w:tabs>
              <w:spacing w:line="500" w:lineRule="exact"/>
              <w:ind w:firstLine="480"/>
              <w:rPr>
                <w:rFonts w:ascii="Times New Roman" w:hAnsi="Times New Roman" w:eastAsia="宋体"/>
                <w:color w:val="auto"/>
                <w:sz w:val="24"/>
                <w:szCs w:val="24"/>
              </w:rPr>
            </w:pPr>
            <w:r>
              <w:rPr>
                <w:rFonts w:ascii="Times New Roman" w:hAnsi="Times New Roman" w:eastAsia="宋体"/>
                <w:color w:val="auto"/>
                <w:sz w:val="24"/>
                <w:szCs w:val="24"/>
              </w:rPr>
              <w:tab/>
            </w:r>
            <w:r>
              <w:rPr>
                <w:rFonts w:ascii="Times New Roman" w:hAnsi="Times New Roman" w:eastAsia="宋体"/>
                <w:color w:val="auto"/>
                <w:sz w:val="24"/>
                <w:szCs w:val="24"/>
              </w:rPr>
              <w:t>X  ——异味物质的质量浓度，mg/m</w:t>
            </w:r>
            <w:r>
              <w:rPr>
                <w:rFonts w:ascii="Times New Roman" w:hAnsi="Times New Roman" w:eastAsia="宋体"/>
                <w:color w:val="auto"/>
                <w:sz w:val="24"/>
                <w:szCs w:val="24"/>
                <w:vertAlign w:val="superscript"/>
              </w:rPr>
              <w:t>3</w:t>
            </w:r>
          </w:p>
          <w:p>
            <w:pPr>
              <w:tabs>
                <w:tab w:val="left" w:pos="851"/>
                <w:tab w:val="left" w:pos="1276"/>
              </w:tabs>
              <w:spacing w:line="500" w:lineRule="exact"/>
              <w:ind w:firstLine="480"/>
              <w:rPr>
                <w:rFonts w:ascii="Times New Roman" w:hAnsi="Times New Roman" w:eastAsia="宋体"/>
                <w:color w:val="auto"/>
                <w:sz w:val="24"/>
                <w:szCs w:val="24"/>
              </w:rPr>
            </w:pPr>
            <w:r>
              <w:rPr>
                <w:rFonts w:ascii="Times New Roman" w:hAnsi="Times New Roman" w:eastAsia="宋体"/>
                <w:color w:val="auto"/>
                <w:sz w:val="24"/>
                <w:szCs w:val="24"/>
              </w:rPr>
              <w:tab/>
            </w:r>
            <w:r>
              <w:rPr>
                <w:rFonts w:ascii="Times New Roman" w:hAnsi="Times New Roman" w:eastAsia="宋体"/>
                <w:i/>
                <w:color w:val="auto"/>
                <w:sz w:val="24"/>
                <w:szCs w:val="24"/>
              </w:rPr>
              <w:t>Mr</w:t>
            </w:r>
            <w:r>
              <w:rPr>
                <w:rFonts w:ascii="Times New Roman" w:hAnsi="Times New Roman" w:eastAsia="宋体"/>
                <w:i/>
                <w:color w:val="auto"/>
                <w:sz w:val="24"/>
                <w:szCs w:val="24"/>
              </w:rPr>
              <w:tab/>
            </w:r>
            <w:r>
              <w:rPr>
                <w:rFonts w:ascii="Times New Roman" w:hAnsi="Times New Roman" w:eastAsia="宋体"/>
                <w:color w:val="auto"/>
                <w:sz w:val="24"/>
                <w:szCs w:val="24"/>
              </w:rPr>
              <w:t>——异味物质的相对分子质量</w:t>
            </w:r>
          </w:p>
          <w:p>
            <w:pPr>
              <w:tabs>
                <w:tab w:val="left" w:pos="851"/>
              </w:tabs>
              <w:spacing w:line="500" w:lineRule="exact"/>
              <w:ind w:firstLine="480"/>
              <w:rPr>
                <w:rFonts w:ascii="Times New Roman" w:hAnsi="Times New Roman" w:eastAsia="宋体"/>
                <w:color w:val="auto"/>
                <w:sz w:val="24"/>
                <w:szCs w:val="24"/>
              </w:rPr>
            </w:pPr>
            <w:r>
              <w:rPr>
                <w:rFonts w:ascii="Times New Roman" w:hAnsi="Times New Roman" w:eastAsia="宋体"/>
                <w:color w:val="auto"/>
                <w:sz w:val="24"/>
                <w:szCs w:val="24"/>
              </w:rPr>
              <w:tab/>
            </w:r>
            <w:r>
              <w:rPr>
                <w:rFonts w:ascii="Times New Roman" w:hAnsi="Times New Roman" w:eastAsia="宋体"/>
                <w:color w:val="auto"/>
                <w:position w:val="-10"/>
                <w:sz w:val="24"/>
                <w:szCs w:val="24"/>
              </w:rPr>
              <w:drawing>
                <wp:inline distT="0" distB="0" distL="114300" distR="114300">
                  <wp:extent cx="276225" cy="209550"/>
                  <wp:effectExtent l="0" t="0" r="0" b="0"/>
                  <wp:docPr id="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pic:cNvPicPr>
                            <a:picLocks noChangeAspect="1"/>
                          </pic:cNvPicPr>
                        </pic:nvPicPr>
                        <pic:blipFill>
                          <a:blip r:embed="rId41"/>
                          <a:stretch>
                            <a:fillRect/>
                          </a:stretch>
                        </pic:blipFill>
                        <pic:spPr>
                          <a:xfrm>
                            <a:off x="0" y="0"/>
                            <a:ext cx="276225" cy="209550"/>
                          </a:xfrm>
                          <a:prstGeom prst="rect">
                            <a:avLst/>
                          </a:prstGeom>
                          <a:noFill/>
                          <a:ln>
                            <a:noFill/>
                          </a:ln>
                        </pic:spPr>
                      </pic:pic>
                    </a:graphicData>
                  </a:graphic>
                </wp:inline>
              </w:drawing>
            </w:r>
            <w:r>
              <w:rPr>
                <w:rFonts w:ascii="Times New Roman" w:hAnsi="Times New Roman" w:eastAsia="宋体"/>
                <w:color w:val="auto"/>
                <w:sz w:val="24"/>
                <w:szCs w:val="24"/>
              </w:rPr>
              <w:t>——常数</w:t>
            </w:r>
          </w:p>
          <w:p>
            <w:pPr>
              <w:tabs>
                <w:tab w:val="left" w:pos="851"/>
              </w:tabs>
              <w:spacing w:line="500" w:lineRule="exact"/>
              <w:ind w:firstLine="480"/>
              <w:rPr>
                <w:rFonts w:ascii="Times New Roman" w:hAnsi="Times New Roman" w:eastAsia="宋体"/>
                <w:color w:val="auto"/>
                <w:sz w:val="24"/>
                <w:szCs w:val="24"/>
              </w:rPr>
            </w:pPr>
            <w:r>
              <w:rPr>
                <w:rFonts w:ascii="Times New Roman" w:hAnsi="Times New Roman" w:eastAsia="宋体"/>
                <w:color w:val="auto"/>
                <w:sz w:val="24"/>
                <w:szCs w:val="24"/>
              </w:rPr>
              <w:t>日本《恶臭防止法》中规定了8种异味污染物的质量浓度与臭气强度的关系，如表</w:t>
            </w:r>
            <w:r>
              <w:rPr>
                <w:rFonts w:hint="eastAsia" w:ascii="Times New Roman" w:hAnsi="Times New Roman" w:eastAsia="宋体"/>
                <w:color w:val="auto"/>
                <w:sz w:val="24"/>
                <w:szCs w:val="24"/>
              </w:rPr>
              <w:t>7-1</w:t>
            </w:r>
            <w:r>
              <w:rPr>
                <w:rFonts w:hint="eastAsia"/>
                <w:color w:val="auto"/>
                <w:sz w:val="24"/>
                <w:szCs w:val="24"/>
                <w:lang w:val="en-US" w:eastAsia="zh-CN"/>
              </w:rPr>
              <w:t>2</w:t>
            </w:r>
            <w:r>
              <w:rPr>
                <w:rFonts w:ascii="Times New Roman" w:hAnsi="Times New Roman" w:eastAsia="宋体"/>
                <w:color w:val="auto"/>
                <w:sz w:val="24"/>
                <w:szCs w:val="24"/>
              </w:rPr>
              <w:t>所示，异味污染超过2.5级，即可认为大气受到异味污染。</w:t>
            </w:r>
          </w:p>
          <w:p>
            <w:pPr>
              <w:snapToGrid w:val="0"/>
              <w:spacing w:line="240" w:lineRule="auto"/>
              <w:ind w:firstLine="422"/>
              <w:jc w:val="center"/>
              <w:rPr>
                <w:rFonts w:hint="eastAsia" w:ascii="Times New Roman" w:hAnsi="Times New Roman" w:eastAsia="宋体"/>
                <w:b/>
                <w:color w:val="auto"/>
                <w:sz w:val="21"/>
                <w:szCs w:val="21"/>
              </w:rPr>
            </w:pPr>
            <w:r>
              <w:rPr>
                <w:rFonts w:hint="eastAsia" w:ascii="Times New Roman" w:hAnsi="Times New Roman" w:eastAsia="宋体"/>
                <w:b/>
                <w:color w:val="auto"/>
                <w:sz w:val="21"/>
                <w:szCs w:val="21"/>
              </w:rPr>
              <w:t>表7</w:t>
            </w:r>
            <w:r>
              <w:rPr>
                <w:rFonts w:hint="eastAsia"/>
                <w:b/>
                <w:color w:val="auto"/>
                <w:sz w:val="21"/>
                <w:szCs w:val="21"/>
                <w:lang w:val="en-US" w:eastAsia="zh-CN"/>
              </w:rPr>
              <w:t>.6</w:t>
            </w:r>
            <w:r>
              <w:rPr>
                <w:rFonts w:hint="eastAsia" w:ascii="Times New Roman" w:hAnsi="Times New Roman" w:eastAsia="宋体"/>
                <w:b/>
                <w:color w:val="auto"/>
                <w:sz w:val="21"/>
                <w:szCs w:val="21"/>
              </w:rPr>
              <w:t>-1</w:t>
            </w:r>
            <w:r>
              <w:rPr>
                <w:rFonts w:hint="eastAsia"/>
                <w:b/>
                <w:color w:val="auto"/>
                <w:sz w:val="21"/>
                <w:szCs w:val="21"/>
                <w:lang w:val="en-US" w:eastAsia="zh-CN"/>
              </w:rPr>
              <w:t>2</w:t>
            </w:r>
            <w:r>
              <w:rPr>
                <w:rFonts w:hint="eastAsia" w:ascii="Times New Roman" w:hAnsi="Times New Roman" w:eastAsia="宋体"/>
                <w:b/>
                <w:color w:val="auto"/>
                <w:sz w:val="21"/>
                <w:szCs w:val="21"/>
              </w:rPr>
              <w:t xml:space="preserve"> 臭气强度与异味污染物质量浓度的关系*</w:t>
            </w:r>
          </w:p>
          <w:tbl>
            <w:tblPr>
              <w:tblStyle w:val="43"/>
              <w:tblW w:w="9287"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
            <w:tblGrid>
              <w:gridCol w:w="996"/>
              <w:gridCol w:w="860"/>
              <w:gridCol w:w="1042"/>
              <w:gridCol w:w="925"/>
              <w:gridCol w:w="1029"/>
              <w:gridCol w:w="936"/>
              <w:gridCol w:w="1213"/>
              <w:gridCol w:w="1198"/>
              <w:gridCol w:w="10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996" w:type="dxa"/>
                  <w:vMerge w:val="restart"/>
                  <w:noWrap w:val="0"/>
                  <w:vAlign w:val="center"/>
                </w:tcPr>
                <w:p>
                  <w:pPr>
                    <w:pStyle w:val="220"/>
                    <w:rPr>
                      <w:rFonts w:ascii="Times New Roman" w:hAnsi="Times New Roman" w:eastAsia="宋体"/>
                      <w:b/>
                      <w:bCs/>
                      <w:color w:val="auto"/>
                    </w:rPr>
                  </w:pPr>
                  <w:r>
                    <w:rPr>
                      <w:rFonts w:ascii="Times New Roman" w:hAnsi="Times New Roman" w:eastAsia="宋体"/>
                      <w:b/>
                      <w:bCs/>
                      <w:color w:val="auto"/>
                    </w:rPr>
                    <w:t>臭气强度/级</w:t>
                  </w:r>
                </w:p>
              </w:tc>
              <w:tc>
                <w:tcPr>
                  <w:tcW w:w="8291" w:type="dxa"/>
                  <w:gridSpan w:val="8"/>
                  <w:noWrap w:val="0"/>
                  <w:vAlign w:val="center"/>
                </w:tcPr>
                <w:p>
                  <w:pPr>
                    <w:pStyle w:val="220"/>
                    <w:rPr>
                      <w:rFonts w:ascii="Times New Roman" w:hAnsi="Times New Roman" w:eastAsia="宋体"/>
                      <w:b/>
                      <w:bCs/>
                      <w:color w:val="auto"/>
                    </w:rPr>
                  </w:pPr>
                  <w:r>
                    <w:rPr>
                      <w:rFonts w:ascii="Times New Roman" w:hAnsi="Times New Roman" w:eastAsia="宋体"/>
                      <w:b/>
                      <w:bCs/>
                      <w:color w:val="auto"/>
                    </w:rPr>
                    <w:t>异味污染物质量浓度/ (mg/m</w:t>
                  </w:r>
                  <w:r>
                    <w:rPr>
                      <w:rFonts w:ascii="Times New Roman" w:hAnsi="Times New Roman" w:eastAsia="宋体"/>
                      <w:b/>
                      <w:bCs/>
                      <w:color w:val="auto"/>
                      <w:vertAlign w:val="superscript"/>
                    </w:rPr>
                    <w:t>3</w:t>
                  </w:r>
                  <w:r>
                    <w:rPr>
                      <w:rFonts w:ascii="Times New Roman" w:hAnsi="Times New Roman" w:eastAsia="宋体"/>
                      <w:b/>
                      <w:bCs/>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996" w:type="dxa"/>
                  <w:vMerge w:val="continue"/>
                  <w:noWrap w:val="0"/>
                  <w:vAlign w:val="center"/>
                </w:tcPr>
                <w:p>
                  <w:pPr>
                    <w:pStyle w:val="220"/>
                    <w:rPr>
                      <w:rFonts w:ascii="Times New Roman" w:hAnsi="Times New Roman" w:eastAsia="宋体"/>
                      <w:b/>
                      <w:bCs/>
                      <w:color w:val="auto"/>
                    </w:rPr>
                  </w:pPr>
                </w:p>
              </w:tc>
              <w:tc>
                <w:tcPr>
                  <w:tcW w:w="860" w:type="dxa"/>
                  <w:noWrap w:val="0"/>
                  <w:vAlign w:val="center"/>
                </w:tcPr>
                <w:p>
                  <w:pPr>
                    <w:pStyle w:val="220"/>
                    <w:rPr>
                      <w:rFonts w:ascii="Times New Roman" w:hAnsi="Times New Roman" w:eastAsia="宋体"/>
                      <w:b/>
                      <w:bCs/>
                      <w:color w:val="auto"/>
                    </w:rPr>
                  </w:pPr>
                  <w:r>
                    <w:rPr>
                      <w:rFonts w:ascii="Times New Roman" w:hAnsi="Times New Roman" w:eastAsia="宋体"/>
                      <w:b/>
                      <w:bCs/>
                      <w:color w:val="auto"/>
                    </w:rPr>
                    <w:t>氨</w:t>
                  </w:r>
                </w:p>
              </w:tc>
              <w:tc>
                <w:tcPr>
                  <w:tcW w:w="1042" w:type="dxa"/>
                  <w:noWrap w:val="0"/>
                  <w:vAlign w:val="center"/>
                </w:tcPr>
                <w:p>
                  <w:pPr>
                    <w:pStyle w:val="220"/>
                    <w:rPr>
                      <w:rFonts w:ascii="Times New Roman" w:hAnsi="Times New Roman" w:eastAsia="宋体"/>
                      <w:b/>
                      <w:bCs/>
                      <w:color w:val="auto"/>
                    </w:rPr>
                  </w:pPr>
                  <w:r>
                    <w:rPr>
                      <w:rFonts w:ascii="Times New Roman" w:hAnsi="Times New Roman" w:eastAsia="宋体"/>
                      <w:b/>
                      <w:bCs/>
                      <w:color w:val="auto"/>
                    </w:rPr>
                    <w:t>硫化氢</w:t>
                  </w:r>
                </w:p>
              </w:tc>
              <w:tc>
                <w:tcPr>
                  <w:tcW w:w="925" w:type="dxa"/>
                  <w:noWrap w:val="0"/>
                  <w:vAlign w:val="center"/>
                </w:tcPr>
                <w:p>
                  <w:pPr>
                    <w:pStyle w:val="220"/>
                    <w:rPr>
                      <w:rFonts w:ascii="Times New Roman" w:hAnsi="Times New Roman" w:eastAsia="宋体"/>
                      <w:b/>
                      <w:bCs/>
                      <w:color w:val="auto"/>
                    </w:rPr>
                  </w:pPr>
                  <w:r>
                    <w:rPr>
                      <w:rFonts w:ascii="Times New Roman" w:hAnsi="Times New Roman" w:eastAsia="宋体"/>
                      <w:b/>
                      <w:bCs/>
                      <w:color w:val="auto"/>
                    </w:rPr>
                    <w:t>三甲胺</w:t>
                  </w:r>
                </w:p>
              </w:tc>
              <w:tc>
                <w:tcPr>
                  <w:tcW w:w="1029" w:type="dxa"/>
                  <w:noWrap w:val="0"/>
                  <w:vAlign w:val="center"/>
                </w:tcPr>
                <w:p>
                  <w:pPr>
                    <w:pStyle w:val="220"/>
                    <w:rPr>
                      <w:rFonts w:ascii="Times New Roman" w:hAnsi="Times New Roman" w:eastAsia="宋体"/>
                      <w:b/>
                      <w:bCs/>
                      <w:color w:val="auto"/>
                    </w:rPr>
                  </w:pPr>
                  <w:r>
                    <w:rPr>
                      <w:rFonts w:ascii="Times New Roman" w:hAnsi="Times New Roman" w:eastAsia="宋体"/>
                      <w:b/>
                      <w:bCs/>
                      <w:color w:val="auto"/>
                    </w:rPr>
                    <w:t>甲硫醇</w:t>
                  </w:r>
                </w:p>
              </w:tc>
              <w:tc>
                <w:tcPr>
                  <w:tcW w:w="936" w:type="dxa"/>
                  <w:noWrap w:val="0"/>
                  <w:vAlign w:val="center"/>
                </w:tcPr>
                <w:p>
                  <w:pPr>
                    <w:pStyle w:val="220"/>
                    <w:rPr>
                      <w:rFonts w:ascii="Times New Roman" w:hAnsi="Times New Roman" w:eastAsia="宋体"/>
                      <w:b/>
                      <w:bCs/>
                      <w:color w:val="auto"/>
                    </w:rPr>
                  </w:pPr>
                  <w:r>
                    <w:rPr>
                      <w:rFonts w:ascii="Times New Roman" w:hAnsi="Times New Roman" w:eastAsia="宋体"/>
                      <w:b/>
                      <w:bCs/>
                      <w:color w:val="auto"/>
                    </w:rPr>
                    <w:t>甲硫醚</w:t>
                  </w:r>
                </w:p>
              </w:tc>
              <w:tc>
                <w:tcPr>
                  <w:tcW w:w="1213" w:type="dxa"/>
                  <w:noWrap w:val="0"/>
                  <w:vAlign w:val="center"/>
                </w:tcPr>
                <w:p>
                  <w:pPr>
                    <w:pStyle w:val="220"/>
                    <w:rPr>
                      <w:rFonts w:ascii="Times New Roman" w:hAnsi="Times New Roman" w:eastAsia="宋体"/>
                      <w:b/>
                      <w:bCs/>
                      <w:color w:val="auto"/>
                    </w:rPr>
                  </w:pPr>
                  <w:r>
                    <w:rPr>
                      <w:rFonts w:ascii="Times New Roman" w:hAnsi="Times New Roman" w:eastAsia="宋体"/>
                      <w:b/>
                      <w:bCs/>
                      <w:color w:val="auto"/>
                    </w:rPr>
                    <w:t>二甲二硫</w:t>
                  </w:r>
                </w:p>
              </w:tc>
              <w:tc>
                <w:tcPr>
                  <w:tcW w:w="1198" w:type="dxa"/>
                  <w:noWrap w:val="0"/>
                  <w:vAlign w:val="center"/>
                </w:tcPr>
                <w:p>
                  <w:pPr>
                    <w:pStyle w:val="220"/>
                    <w:rPr>
                      <w:rFonts w:ascii="Times New Roman" w:hAnsi="Times New Roman" w:eastAsia="宋体"/>
                      <w:b/>
                      <w:bCs/>
                      <w:color w:val="auto"/>
                    </w:rPr>
                  </w:pPr>
                  <w:r>
                    <w:rPr>
                      <w:rFonts w:ascii="Times New Roman" w:hAnsi="Times New Roman" w:eastAsia="宋体"/>
                      <w:b/>
                      <w:bCs/>
                      <w:color w:val="auto"/>
                    </w:rPr>
                    <w:t>二硫化碳</w:t>
                  </w:r>
                </w:p>
              </w:tc>
              <w:tc>
                <w:tcPr>
                  <w:tcW w:w="1088" w:type="dxa"/>
                  <w:noWrap w:val="0"/>
                  <w:vAlign w:val="center"/>
                </w:tcPr>
                <w:p>
                  <w:pPr>
                    <w:pStyle w:val="220"/>
                    <w:rPr>
                      <w:rFonts w:ascii="Times New Roman" w:hAnsi="Times New Roman" w:eastAsia="宋体"/>
                      <w:b/>
                      <w:bCs/>
                      <w:color w:val="auto"/>
                    </w:rPr>
                  </w:pPr>
                  <w:r>
                    <w:rPr>
                      <w:rFonts w:ascii="Times New Roman" w:hAnsi="Times New Roman" w:eastAsia="宋体"/>
                      <w:b/>
                      <w:bCs/>
                      <w:color w:val="auto"/>
                    </w:rPr>
                    <w:t>苯乙烯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996" w:type="dxa"/>
                  <w:noWrap w:val="0"/>
                  <w:vAlign w:val="center"/>
                </w:tcPr>
                <w:p>
                  <w:pPr>
                    <w:pStyle w:val="220"/>
                    <w:rPr>
                      <w:rFonts w:ascii="Times New Roman" w:hAnsi="Times New Roman" w:eastAsia="宋体"/>
                      <w:color w:val="auto"/>
                    </w:rPr>
                  </w:pPr>
                  <w:r>
                    <w:rPr>
                      <w:rFonts w:ascii="Times New Roman" w:hAnsi="Times New Roman" w:eastAsia="宋体"/>
                      <w:color w:val="auto"/>
                    </w:rPr>
                    <w:t>1</w:t>
                  </w:r>
                </w:p>
              </w:tc>
              <w:tc>
                <w:tcPr>
                  <w:tcW w:w="860" w:type="dxa"/>
                  <w:noWrap w:val="0"/>
                  <w:vAlign w:val="center"/>
                </w:tcPr>
                <w:p>
                  <w:pPr>
                    <w:pStyle w:val="220"/>
                    <w:rPr>
                      <w:rFonts w:ascii="Times New Roman" w:hAnsi="Times New Roman" w:eastAsia="宋体"/>
                      <w:color w:val="auto"/>
                    </w:rPr>
                  </w:pPr>
                  <w:r>
                    <w:rPr>
                      <w:rFonts w:ascii="Times New Roman" w:hAnsi="Times New Roman" w:eastAsia="宋体"/>
                      <w:color w:val="auto"/>
                    </w:rPr>
                    <w:t>0.0758</w:t>
                  </w:r>
                </w:p>
              </w:tc>
              <w:tc>
                <w:tcPr>
                  <w:tcW w:w="1042" w:type="dxa"/>
                  <w:noWrap w:val="0"/>
                  <w:vAlign w:val="center"/>
                </w:tcPr>
                <w:p>
                  <w:pPr>
                    <w:pStyle w:val="220"/>
                    <w:rPr>
                      <w:rFonts w:ascii="Times New Roman" w:hAnsi="Times New Roman" w:eastAsia="宋体"/>
                      <w:color w:val="auto"/>
                    </w:rPr>
                  </w:pPr>
                  <w:r>
                    <w:rPr>
                      <w:rFonts w:ascii="Times New Roman" w:hAnsi="Times New Roman" w:eastAsia="宋体"/>
                      <w:color w:val="auto"/>
                    </w:rPr>
                    <w:t>0.0008</w:t>
                  </w:r>
                </w:p>
              </w:tc>
              <w:tc>
                <w:tcPr>
                  <w:tcW w:w="925" w:type="dxa"/>
                  <w:noWrap w:val="0"/>
                  <w:vAlign w:val="center"/>
                </w:tcPr>
                <w:p>
                  <w:pPr>
                    <w:pStyle w:val="220"/>
                    <w:rPr>
                      <w:rFonts w:ascii="Times New Roman" w:hAnsi="Times New Roman" w:eastAsia="宋体"/>
                      <w:color w:val="auto"/>
                    </w:rPr>
                  </w:pPr>
                  <w:r>
                    <w:rPr>
                      <w:rFonts w:ascii="Times New Roman" w:hAnsi="Times New Roman" w:eastAsia="宋体"/>
                      <w:color w:val="auto"/>
                    </w:rPr>
                    <w:t>0.0002</w:t>
                  </w:r>
                </w:p>
              </w:tc>
              <w:tc>
                <w:tcPr>
                  <w:tcW w:w="1029" w:type="dxa"/>
                  <w:noWrap w:val="0"/>
                  <w:vAlign w:val="center"/>
                </w:tcPr>
                <w:p>
                  <w:pPr>
                    <w:pStyle w:val="220"/>
                    <w:rPr>
                      <w:rFonts w:ascii="Times New Roman" w:hAnsi="Times New Roman" w:eastAsia="宋体"/>
                      <w:color w:val="auto"/>
                    </w:rPr>
                  </w:pPr>
                  <w:r>
                    <w:rPr>
                      <w:rFonts w:ascii="Times New Roman" w:hAnsi="Times New Roman" w:eastAsia="宋体"/>
                      <w:color w:val="auto"/>
                    </w:rPr>
                    <w:t>0.0003</w:t>
                  </w:r>
                </w:p>
              </w:tc>
              <w:tc>
                <w:tcPr>
                  <w:tcW w:w="936" w:type="dxa"/>
                  <w:noWrap w:val="0"/>
                  <w:vAlign w:val="center"/>
                </w:tcPr>
                <w:p>
                  <w:pPr>
                    <w:pStyle w:val="220"/>
                    <w:rPr>
                      <w:rFonts w:ascii="Times New Roman" w:hAnsi="Times New Roman" w:eastAsia="宋体"/>
                      <w:color w:val="auto"/>
                    </w:rPr>
                  </w:pPr>
                  <w:r>
                    <w:rPr>
                      <w:rFonts w:ascii="Times New Roman" w:hAnsi="Times New Roman" w:eastAsia="宋体"/>
                      <w:color w:val="auto"/>
                    </w:rPr>
                    <w:t>0.0013</w:t>
                  </w:r>
                </w:p>
              </w:tc>
              <w:tc>
                <w:tcPr>
                  <w:tcW w:w="1213" w:type="dxa"/>
                  <w:noWrap w:val="0"/>
                  <w:vAlign w:val="center"/>
                </w:tcPr>
                <w:p>
                  <w:pPr>
                    <w:pStyle w:val="220"/>
                    <w:rPr>
                      <w:rFonts w:ascii="Times New Roman" w:hAnsi="Times New Roman" w:eastAsia="宋体"/>
                      <w:color w:val="auto"/>
                    </w:rPr>
                  </w:pPr>
                  <w:r>
                    <w:rPr>
                      <w:rFonts w:ascii="Times New Roman" w:hAnsi="Times New Roman" w:eastAsia="宋体"/>
                      <w:color w:val="auto"/>
                    </w:rPr>
                    <w:t>0.0003</w:t>
                  </w:r>
                </w:p>
              </w:tc>
              <w:tc>
                <w:tcPr>
                  <w:tcW w:w="1198" w:type="dxa"/>
                  <w:noWrap w:val="0"/>
                  <w:vAlign w:val="center"/>
                </w:tcPr>
                <w:p>
                  <w:pPr>
                    <w:pStyle w:val="220"/>
                    <w:rPr>
                      <w:rFonts w:ascii="Times New Roman" w:hAnsi="Times New Roman" w:eastAsia="宋体"/>
                      <w:color w:val="auto"/>
                    </w:rPr>
                  </w:pPr>
                  <w:r>
                    <w:rPr>
                      <w:rFonts w:ascii="Times New Roman" w:hAnsi="Times New Roman" w:eastAsia="宋体"/>
                      <w:color w:val="auto"/>
                    </w:rPr>
                    <w:t>0.0039</w:t>
                  </w:r>
                </w:p>
              </w:tc>
              <w:tc>
                <w:tcPr>
                  <w:tcW w:w="1088" w:type="dxa"/>
                  <w:noWrap w:val="0"/>
                  <w:vAlign w:val="center"/>
                </w:tcPr>
                <w:p>
                  <w:pPr>
                    <w:pStyle w:val="220"/>
                    <w:rPr>
                      <w:rFonts w:ascii="Times New Roman" w:hAnsi="Times New Roman" w:eastAsia="宋体"/>
                      <w:color w:val="auto"/>
                    </w:rPr>
                  </w:pPr>
                  <w:r>
                    <w:rPr>
                      <w:rFonts w:ascii="Times New Roman" w:hAnsi="Times New Roman" w:eastAsia="宋体"/>
                      <w:color w:val="auto"/>
                    </w:rPr>
                    <w:t>0.1393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996" w:type="dxa"/>
                  <w:noWrap w:val="0"/>
                  <w:vAlign w:val="center"/>
                </w:tcPr>
                <w:p>
                  <w:pPr>
                    <w:pStyle w:val="220"/>
                    <w:rPr>
                      <w:rFonts w:ascii="Times New Roman" w:hAnsi="Times New Roman" w:eastAsia="宋体"/>
                      <w:color w:val="auto"/>
                    </w:rPr>
                  </w:pPr>
                  <w:r>
                    <w:rPr>
                      <w:rFonts w:ascii="Times New Roman" w:hAnsi="Times New Roman" w:eastAsia="宋体"/>
                      <w:color w:val="auto"/>
                    </w:rPr>
                    <w:t>2</w:t>
                  </w:r>
                </w:p>
              </w:tc>
              <w:tc>
                <w:tcPr>
                  <w:tcW w:w="860" w:type="dxa"/>
                  <w:noWrap w:val="0"/>
                  <w:vAlign w:val="center"/>
                </w:tcPr>
                <w:p>
                  <w:pPr>
                    <w:pStyle w:val="220"/>
                    <w:rPr>
                      <w:rFonts w:ascii="Times New Roman" w:hAnsi="Times New Roman" w:eastAsia="宋体"/>
                      <w:color w:val="auto"/>
                    </w:rPr>
                  </w:pPr>
                  <w:r>
                    <w:rPr>
                      <w:rFonts w:ascii="Times New Roman" w:hAnsi="Times New Roman" w:eastAsia="宋体"/>
                      <w:color w:val="auto"/>
                    </w:rPr>
                    <w:t>0.455</w:t>
                  </w:r>
                </w:p>
              </w:tc>
              <w:tc>
                <w:tcPr>
                  <w:tcW w:w="1042" w:type="dxa"/>
                  <w:noWrap w:val="0"/>
                  <w:vAlign w:val="center"/>
                </w:tcPr>
                <w:p>
                  <w:pPr>
                    <w:pStyle w:val="220"/>
                    <w:rPr>
                      <w:rFonts w:ascii="Times New Roman" w:hAnsi="Times New Roman" w:eastAsia="宋体"/>
                      <w:color w:val="auto"/>
                    </w:rPr>
                  </w:pPr>
                  <w:r>
                    <w:rPr>
                      <w:rFonts w:ascii="Times New Roman" w:hAnsi="Times New Roman" w:eastAsia="宋体"/>
                      <w:color w:val="auto"/>
                    </w:rPr>
                    <w:t>0.0091</w:t>
                  </w:r>
                </w:p>
              </w:tc>
              <w:tc>
                <w:tcPr>
                  <w:tcW w:w="925" w:type="dxa"/>
                  <w:noWrap w:val="0"/>
                  <w:vAlign w:val="center"/>
                </w:tcPr>
                <w:p>
                  <w:pPr>
                    <w:pStyle w:val="220"/>
                    <w:rPr>
                      <w:rFonts w:ascii="Times New Roman" w:hAnsi="Times New Roman" w:eastAsia="宋体"/>
                      <w:color w:val="auto"/>
                    </w:rPr>
                  </w:pPr>
                  <w:r>
                    <w:rPr>
                      <w:rFonts w:ascii="Times New Roman" w:hAnsi="Times New Roman" w:eastAsia="宋体"/>
                      <w:color w:val="auto"/>
                    </w:rPr>
                    <w:t>0.0015</w:t>
                  </w:r>
                </w:p>
              </w:tc>
              <w:tc>
                <w:tcPr>
                  <w:tcW w:w="1029" w:type="dxa"/>
                  <w:noWrap w:val="0"/>
                  <w:vAlign w:val="center"/>
                </w:tcPr>
                <w:p>
                  <w:pPr>
                    <w:pStyle w:val="220"/>
                    <w:rPr>
                      <w:rFonts w:ascii="Times New Roman" w:hAnsi="Times New Roman" w:eastAsia="宋体"/>
                      <w:color w:val="auto"/>
                    </w:rPr>
                  </w:pPr>
                  <w:r>
                    <w:rPr>
                      <w:rFonts w:ascii="Times New Roman" w:hAnsi="Times New Roman" w:eastAsia="宋体"/>
                      <w:color w:val="auto"/>
                    </w:rPr>
                    <w:t>0.0055</w:t>
                  </w:r>
                </w:p>
              </w:tc>
              <w:tc>
                <w:tcPr>
                  <w:tcW w:w="936" w:type="dxa"/>
                  <w:noWrap w:val="0"/>
                  <w:vAlign w:val="center"/>
                </w:tcPr>
                <w:p>
                  <w:pPr>
                    <w:pStyle w:val="220"/>
                    <w:rPr>
                      <w:rFonts w:ascii="Times New Roman" w:hAnsi="Times New Roman" w:eastAsia="宋体"/>
                      <w:color w:val="auto"/>
                    </w:rPr>
                  </w:pPr>
                  <w:r>
                    <w:rPr>
                      <w:rFonts w:ascii="Times New Roman" w:hAnsi="Times New Roman" w:eastAsia="宋体"/>
                      <w:color w:val="auto"/>
                    </w:rPr>
                    <w:t>0.0126</w:t>
                  </w:r>
                </w:p>
              </w:tc>
              <w:tc>
                <w:tcPr>
                  <w:tcW w:w="1213" w:type="dxa"/>
                  <w:noWrap w:val="0"/>
                  <w:vAlign w:val="center"/>
                </w:tcPr>
                <w:p>
                  <w:pPr>
                    <w:pStyle w:val="220"/>
                    <w:rPr>
                      <w:rFonts w:ascii="Times New Roman" w:hAnsi="Times New Roman" w:eastAsia="宋体"/>
                      <w:color w:val="auto"/>
                    </w:rPr>
                  </w:pPr>
                  <w:r>
                    <w:rPr>
                      <w:rFonts w:ascii="Times New Roman" w:hAnsi="Times New Roman" w:eastAsia="宋体"/>
                      <w:color w:val="auto"/>
                    </w:rPr>
                    <w:t>0.0026</w:t>
                  </w:r>
                </w:p>
              </w:tc>
              <w:tc>
                <w:tcPr>
                  <w:tcW w:w="1198" w:type="dxa"/>
                  <w:noWrap w:val="0"/>
                  <w:vAlign w:val="center"/>
                </w:tcPr>
                <w:p>
                  <w:pPr>
                    <w:pStyle w:val="220"/>
                    <w:rPr>
                      <w:rFonts w:ascii="Times New Roman" w:hAnsi="Times New Roman" w:eastAsia="宋体"/>
                      <w:color w:val="auto"/>
                    </w:rPr>
                  </w:pPr>
                  <w:r>
                    <w:rPr>
                      <w:rFonts w:ascii="Times New Roman" w:hAnsi="Times New Roman" w:eastAsia="宋体"/>
                      <w:color w:val="auto"/>
                    </w:rPr>
                    <w:t>0.0196</w:t>
                  </w:r>
                </w:p>
              </w:tc>
              <w:tc>
                <w:tcPr>
                  <w:tcW w:w="1088" w:type="dxa"/>
                  <w:noWrap w:val="0"/>
                  <w:vAlign w:val="center"/>
                </w:tcPr>
                <w:p>
                  <w:pPr>
                    <w:pStyle w:val="220"/>
                    <w:rPr>
                      <w:rFonts w:ascii="Times New Roman" w:hAnsi="Times New Roman" w:eastAsia="宋体"/>
                      <w:color w:val="auto"/>
                    </w:rPr>
                  </w:pPr>
                  <w:r>
                    <w:rPr>
                      <w:rFonts w:ascii="Times New Roman" w:hAnsi="Times New Roman" w:eastAsia="宋体"/>
                      <w:color w:val="auto"/>
                    </w:rPr>
                    <w:t>0.9286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996" w:type="dxa"/>
                  <w:noWrap w:val="0"/>
                  <w:vAlign w:val="center"/>
                </w:tcPr>
                <w:p>
                  <w:pPr>
                    <w:pStyle w:val="220"/>
                    <w:rPr>
                      <w:rFonts w:ascii="Times New Roman" w:hAnsi="Times New Roman" w:eastAsia="宋体"/>
                      <w:color w:val="auto"/>
                    </w:rPr>
                  </w:pPr>
                  <w:r>
                    <w:rPr>
                      <w:rFonts w:ascii="Times New Roman" w:hAnsi="Times New Roman" w:eastAsia="宋体"/>
                      <w:color w:val="auto"/>
                    </w:rPr>
                    <w:t>2.5</w:t>
                  </w:r>
                </w:p>
              </w:tc>
              <w:tc>
                <w:tcPr>
                  <w:tcW w:w="860" w:type="dxa"/>
                  <w:noWrap w:val="0"/>
                  <w:vAlign w:val="center"/>
                </w:tcPr>
                <w:p>
                  <w:pPr>
                    <w:pStyle w:val="220"/>
                    <w:rPr>
                      <w:rFonts w:ascii="Times New Roman" w:hAnsi="Times New Roman" w:eastAsia="宋体"/>
                      <w:color w:val="auto"/>
                    </w:rPr>
                  </w:pPr>
                  <w:r>
                    <w:rPr>
                      <w:rFonts w:ascii="Times New Roman" w:hAnsi="Times New Roman" w:eastAsia="宋体"/>
                      <w:color w:val="auto"/>
                    </w:rPr>
                    <w:t>0.758</w:t>
                  </w:r>
                </w:p>
              </w:tc>
              <w:tc>
                <w:tcPr>
                  <w:tcW w:w="1042" w:type="dxa"/>
                  <w:noWrap w:val="0"/>
                  <w:vAlign w:val="center"/>
                </w:tcPr>
                <w:p>
                  <w:pPr>
                    <w:pStyle w:val="220"/>
                    <w:rPr>
                      <w:rFonts w:ascii="Times New Roman" w:hAnsi="Times New Roman" w:eastAsia="宋体"/>
                      <w:color w:val="auto"/>
                    </w:rPr>
                  </w:pPr>
                  <w:r>
                    <w:rPr>
                      <w:rFonts w:ascii="Times New Roman" w:hAnsi="Times New Roman" w:eastAsia="宋体"/>
                      <w:color w:val="auto"/>
                    </w:rPr>
                    <w:t>0.0304</w:t>
                  </w:r>
                </w:p>
              </w:tc>
              <w:tc>
                <w:tcPr>
                  <w:tcW w:w="925" w:type="dxa"/>
                  <w:noWrap w:val="0"/>
                  <w:vAlign w:val="center"/>
                </w:tcPr>
                <w:p>
                  <w:pPr>
                    <w:pStyle w:val="220"/>
                    <w:rPr>
                      <w:rFonts w:ascii="Times New Roman" w:hAnsi="Times New Roman" w:eastAsia="宋体"/>
                      <w:color w:val="auto"/>
                    </w:rPr>
                  </w:pPr>
                  <w:r>
                    <w:rPr>
                      <w:rFonts w:ascii="Times New Roman" w:hAnsi="Times New Roman" w:eastAsia="宋体"/>
                      <w:color w:val="auto"/>
                    </w:rPr>
                    <w:t>0.0043</w:t>
                  </w:r>
                </w:p>
              </w:tc>
              <w:tc>
                <w:tcPr>
                  <w:tcW w:w="1029" w:type="dxa"/>
                  <w:noWrap w:val="0"/>
                  <w:vAlign w:val="center"/>
                </w:tcPr>
                <w:p>
                  <w:pPr>
                    <w:pStyle w:val="220"/>
                    <w:rPr>
                      <w:rFonts w:ascii="Times New Roman" w:hAnsi="Times New Roman" w:eastAsia="宋体"/>
                      <w:color w:val="auto"/>
                    </w:rPr>
                  </w:pPr>
                  <w:r>
                    <w:rPr>
                      <w:rFonts w:ascii="Times New Roman" w:hAnsi="Times New Roman" w:eastAsia="宋体"/>
                      <w:color w:val="auto"/>
                    </w:rPr>
                    <w:t>0.0277</w:t>
                  </w:r>
                </w:p>
              </w:tc>
              <w:tc>
                <w:tcPr>
                  <w:tcW w:w="936" w:type="dxa"/>
                  <w:noWrap w:val="0"/>
                  <w:vAlign w:val="center"/>
                </w:tcPr>
                <w:p>
                  <w:pPr>
                    <w:pStyle w:val="220"/>
                    <w:rPr>
                      <w:rFonts w:ascii="Times New Roman" w:hAnsi="Times New Roman" w:eastAsia="宋体"/>
                      <w:color w:val="auto"/>
                    </w:rPr>
                  </w:pPr>
                  <w:r>
                    <w:rPr>
                      <w:rFonts w:ascii="Times New Roman" w:hAnsi="Times New Roman" w:eastAsia="宋体"/>
                      <w:color w:val="auto"/>
                    </w:rPr>
                    <w:t>0.0420</w:t>
                  </w:r>
                </w:p>
              </w:tc>
              <w:tc>
                <w:tcPr>
                  <w:tcW w:w="1213" w:type="dxa"/>
                  <w:noWrap w:val="0"/>
                  <w:vAlign w:val="center"/>
                </w:tcPr>
                <w:p>
                  <w:pPr>
                    <w:pStyle w:val="220"/>
                    <w:rPr>
                      <w:rFonts w:ascii="Times New Roman" w:hAnsi="Times New Roman" w:eastAsia="宋体"/>
                      <w:color w:val="auto"/>
                    </w:rPr>
                  </w:pPr>
                  <w:r>
                    <w:rPr>
                      <w:rFonts w:ascii="Times New Roman" w:hAnsi="Times New Roman" w:eastAsia="宋体"/>
                      <w:color w:val="auto"/>
                    </w:rPr>
                    <w:t>0.0132</w:t>
                  </w:r>
                </w:p>
              </w:tc>
              <w:tc>
                <w:tcPr>
                  <w:tcW w:w="1198" w:type="dxa"/>
                  <w:noWrap w:val="0"/>
                  <w:vAlign w:val="center"/>
                </w:tcPr>
                <w:p>
                  <w:pPr>
                    <w:pStyle w:val="220"/>
                    <w:rPr>
                      <w:rFonts w:ascii="Times New Roman" w:hAnsi="Times New Roman" w:eastAsia="宋体"/>
                      <w:color w:val="auto"/>
                    </w:rPr>
                  </w:pPr>
                  <w:r>
                    <w:rPr>
                      <w:rFonts w:ascii="Times New Roman" w:hAnsi="Times New Roman" w:eastAsia="宋体"/>
                      <w:color w:val="auto"/>
                    </w:rPr>
                    <w:t>0.0982</w:t>
                  </w:r>
                </w:p>
              </w:tc>
              <w:tc>
                <w:tcPr>
                  <w:tcW w:w="1088" w:type="dxa"/>
                  <w:noWrap w:val="0"/>
                  <w:vAlign w:val="center"/>
                </w:tcPr>
                <w:p>
                  <w:pPr>
                    <w:pStyle w:val="220"/>
                    <w:rPr>
                      <w:rFonts w:ascii="Times New Roman" w:hAnsi="Times New Roman" w:eastAsia="宋体"/>
                      <w:color w:val="auto"/>
                    </w:rPr>
                  </w:pPr>
                  <w:r>
                    <w:rPr>
                      <w:rFonts w:ascii="Times New Roman" w:hAnsi="Times New Roman" w:eastAsia="宋体"/>
                      <w:color w:val="auto"/>
                    </w:rPr>
                    <w:t>1.8572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996" w:type="dxa"/>
                  <w:noWrap w:val="0"/>
                  <w:vAlign w:val="center"/>
                </w:tcPr>
                <w:p>
                  <w:pPr>
                    <w:pStyle w:val="220"/>
                    <w:rPr>
                      <w:rFonts w:ascii="Times New Roman" w:hAnsi="Times New Roman" w:eastAsia="宋体"/>
                      <w:color w:val="auto"/>
                    </w:rPr>
                  </w:pPr>
                  <w:r>
                    <w:rPr>
                      <w:rFonts w:ascii="Times New Roman" w:hAnsi="Times New Roman" w:eastAsia="宋体"/>
                      <w:color w:val="auto"/>
                    </w:rPr>
                    <w:t>3</w:t>
                  </w:r>
                </w:p>
              </w:tc>
              <w:tc>
                <w:tcPr>
                  <w:tcW w:w="860" w:type="dxa"/>
                  <w:noWrap w:val="0"/>
                  <w:vAlign w:val="center"/>
                </w:tcPr>
                <w:p>
                  <w:pPr>
                    <w:pStyle w:val="220"/>
                    <w:rPr>
                      <w:rFonts w:ascii="Times New Roman" w:hAnsi="Times New Roman" w:eastAsia="宋体"/>
                      <w:color w:val="auto"/>
                    </w:rPr>
                  </w:pPr>
                  <w:r>
                    <w:rPr>
                      <w:rFonts w:ascii="Times New Roman" w:hAnsi="Times New Roman" w:eastAsia="宋体"/>
                      <w:color w:val="auto"/>
                    </w:rPr>
                    <w:t>1.516</w:t>
                  </w:r>
                </w:p>
              </w:tc>
              <w:tc>
                <w:tcPr>
                  <w:tcW w:w="1042" w:type="dxa"/>
                  <w:noWrap w:val="0"/>
                  <w:vAlign w:val="center"/>
                </w:tcPr>
                <w:p>
                  <w:pPr>
                    <w:pStyle w:val="220"/>
                    <w:rPr>
                      <w:rFonts w:ascii="Times New Roman" w:hAnsi="Times New Roman" w:eastAsia="宋体"/>
                      <w:color w:val="auto"/>
                    </w:rPr>
                  </w:pPr>
                  <w:r>
                    <w:rPr>
                      <w:rFonts w:ascii="Times New Roman" w:hAnsi="Times New Roman" w:eastAsia="宋体"/>
                      <w:color w:val="auto"/>
                    </w:rPr>
                    <w:t>0.0911</w:t>
                  </w:r>
                </w:p>
              </w:tc>
              <w:tc>
                <w:tcPr>
                  <w:tcW w:w="925" w:type="dxa"/>
                  <w:noWrap w:val="0"/>
                  <w:vAlign w:val="center"/>
                </w:tcPr>
                <w:p>
                  <w:pPr>
                    <w:pStyle w:val="220"/>
                    <w:rPr>
                      <w:rFonts w:ascii="Times New Roman" w:hAnsi="Times New Roman" w:eastAsia="宋体"/>
                      <w:color w:val="auto"/>
                    </w:rPr>
                  </w:pPr>
                  <w:r>
                    <w:rPr>
                      <w:rFonts w:ascii="Times New Roman" w:hAnsi="Times New Roman" w:eastAsia="宋体"/>
                      <w:color w:val="auto"/>
                    </w:rPr>
                    <w:t>0.0086</w:t>
                  </w:r>
                </w:p>
              </w:tc>
              <w:tc>
                <w:tcPr>
                  <w:tcW w:w="1029" w:type="dxa"/>
                  <w:noWrap w:val="0"/>
                  <w:vAlign w:val="center"/>
                </w:tcPr>
                <w:p>
                  <w:pPr>
                    <w:pStyle w:val="220"/>
                    <w:rPr>
                      <w:rFonts w:ascii="Times New Roman" w:hAnsi="Times New Roman" w:eastAsia="宋体"/>
                      <w:color w:val="auto"/>
                    </w:rPr>
                  </w:pPr>
                  <w:r>
                    <w:rPr>
                      <w:rFonts w:ascii="Times New Roman" w:hAnsi="Times New Roman" w:eastAsia="宋体"/>
                      <w:color w:val="auto"/>
                    </w:rPr>
                    <w:t>0.1107</w:t>
                  </w:r>
                </w:p>
              </w:tc>
              <w:tc>
                <w:tcPr>
                  <w:tcW w:w="936" w:type="dxa"/>
                  <w:noWrap w:val="0"/>
                  <w:vAlign w:val="center"/>
                </w:tcPr>
                <w:p>
                  <w:pPr>
                    <w:pStyle w:val="220"/>
                    <w:rPr>
                      <w:rFonts w:ascii="Times New Roman" w:hAnsi="Times New Roman" w:eastAsia="宋体"/>
                      <w:color w:val="auto"/>
                    </w:rPr>
                  </w:pPr>
                  <w:r>
                    <w:rPr>
                      <w:rFonts w:ascii="Times New Roman" w:hAnsi="Times New Roman" w:eastAsia="宋体"/>
                      <w:color w:val="auto"/>
                    </w:rPr>
                    <w:t>0.1259</w:t>
                  </w:r>
                </w:p>
              </w:tc>
              <w:tc>
                <w:tcPr>
                  <w:tcW w:w="1213" w:type="dxa"/>
                  <w:noWrap w:val="0"/>
                  <w:vAlign w:val="center"/>
                </w:tcPr>
                <w:p>
                  <w:pPr>
                    <w:pStyle w:val="220"/>
                    <w:rPr>
                      <w:rFonts w:ascii="Times New Roman" w:hAnsi="Times New Roman" w:eastAsia="宋体"/>
                      <w:color w:val="auto"/>
                    </w:rPr>
                  </w:pPr>
                  <w:r>
                    <w:rPr>
                      <w:rFonts w:ascii="Times New Roman" w:hAnsi="Times New Roman" w:eastAsia="宋体"/>
                      <w:color w:val="auto"/>
                    </w:rPr>
                    <w:t>0.527</w:t>
                  </w:r>
                </w:p>
              </w:tc>
              <w:tc>
                <w:tcPr>
                  <w:tcW w:w="1198" w:type="dxa"/>
                  <w:noWrap w:val="0"/>
                  <w:vAlign w:val="center"/>
                </w:tcPr>
                <w:p>
                  <w:pPr>
                    <w:pStyle w:val="220"/>
                    <w:rPr>
                      <w:rFonts w:ascii="Times New Roman" w:hAnsi="Times New Roman" w:eastAsia="宋体"/>
                      <w:color w:val="auto"/>
                    </w:rPr>
                  </w:pPr>
                  <w:r>
                    <w:rPr>
                      <w:rFonts w:ascii="Times New Roman" w:hAnsi="Times New Roman" w:eastAsia="宋体"/>
                      <w:color w:val="auto"/>
                    </w:rPr>
                    <w:t>0.1964</w:t>
                  </w:r>
                </w:p>
              </w:tc>
              <w:tc>
                <w:tcPr>
                  <w:tcW w:w="1088" w:type="dxa"/>
                  <w:noWrap w:val="0"/>
                  <w:vAlign w:val="center"/>
                </w:tcPr>
                <w:p>
                  <w:pPr>
                    <w:pStyle w:val="220"/>
                    <w:rPr>
                      <w:rFonts w:ascii="Times New Roman" w:hAnsi="Times New Roman" w:eastAsia="宋体"/>
                      <w:color w:val="auto"/>
                    </w:rPr>
                  </w:pPr>
                  <w:r>
                    <w:rPr>
                      <w:rFonts w:ascii="Times New Roman" w:hAnsi="Times New Roman" w:eastAsia="宋体"/>
                      <w:color w:val="auto"/>
                    </w:rPr>
                    <w:t>3.7144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996" w:type="dxa"/>
                  <w:noWrap w:val="0"/>
                  <w:vAlign w:val="center"/>
                </w:tcPr>
                <w:p>
                  <w:pPr>
                    <w:pStyle w:val="220"/>
                    <w:rPr>
                      <w:rFonts w:ascii="Times New Roman" w:hAnsi="Times New Roman" w:eastAsia="宋体"/>
                      <w:color w:val="auto"/>
                    </w:rPr>
                  </w:pPr>
                  <w:r>
                    <w:rPr>
                      <w:rFonts w:ascii="Times New Roman" w:hAnsi="Times New Roman" w:eastAsia="宋体"/>
                      <w:color w:val="auto"/>
                    </w:rPr>
                    <w:t>3.5</w:t>
                  </w:r>
                </w:p>
              </w:tc>
              <w:tc>
                <w:tcPr>
                  <w:tcW w:w="860" w:type="dxa"/>
                  <w:noWrap w:val="0"/>
                  <w:vAlign w:val="center"/>
                </w:tcPr>
                <w:p>
                  <w:pPr>
                    <w:pStyle w:val="220"/>
                    <w:rPr>
                      <w:rFonts w:ascii="Times New Roman" w:hAnsi="Times New Roman" w:eastAsia="宋体"/>
                      <w:color w:val="auto"/>
                    </w:rPr>
                  </w:pPr>
                  <w:r>
                    <w:rPr>
                      <w:rFonts w:ascii="Times New Roman" w:hAnsi="Times New Roman" w:eastAsia="宋体"/>
                      <w:color w:val="auto"/>
                    </w:rPr>
                    <w:t>3.79</w:t>
                  </w:r>
                </w:p>
              </w:tc>
              <w:tc>
                <w:tcPr>
                  <w:tcW w:w="1042" w:type="dxa"/>
                  <w:noWrap w:val="0"/>
                  <w:vAlign w:val="center"/>
                </w:tcPr>
                <w:p>
                  <w:pPr>
                    <w:pStyle w:val="220"/>
                    <w:rPr>
                      <w:rFonts w:ascii="Times New Roman" w:hAnsi="Times New Roman" w:eastAsia="宋体"/>
                      <w:color w:val="auto"/>
                    </w:rPr>
                  </w:pPr>
                  <w:r>
                    <w:rPr>
                      <w:rFonts w:ascii="Times New Roman" w:hAnsi="Times New Roman" w:eastAsia="宋体"/>
                      <w:color w:val="auto"/>
                    </w:rPr>
                    <w:t>0.3036</w:t>
                  </w:r>
                </w:p>
              </w:tc>
              <w:tc>
                <w:tcPr>
                  <w:tcW w:w="925" w:type="dxa"/>
                  <w:noWrap w:val="0"/>
                  <w:vAlign w:val="center"/>
                </w:tcPr>
                <w:p>
                  <w:pPr>
                    <w:pStyle w:val="220"/>
                    <w:rPr>
                      <w:rFonts w:ascii="Times New Roman" w:hAnsi="Times New Roman" w:eastAsia="宋体"/>
                      <w:color w:val="auto"/>
                    </w:rPr>
                  </w:pPr>
                  <w:r>
                    <w:rPr>
                      <w:rFonts w:ascii="Times New Roman" w:hAnsi="Times New Roman" w:eastAsia="宋体"/>
                      <w:color w:val="auto"/>
                    </w:rPr>
                    <w:t>0.0214</w:t>
                  </w:r>
                </w:p>
              </w:tc>
              <w:tc>
                <w:tcPr>
                  <w:tcW w:w="1029" w:type="dxa"/>
                  <w:noWrap w:val="0"/>
                  <w:vAlign w:val="center"/>
                </w:tcPr>
                <w:p>
                  <w:pPr>
                    <w:pStyle w:val="220"/>
                    <w:rPr>
                      <w:rFonts w:ascii="Times New Roman" w:hAnsi="Times New Roman" w:eastAsia="宋体"/>
                      <w:color w:val="auto"/>
                    </w:rPr>
                  </w:pPr>
                  <w:r>
                    <w:rPr>
                      <w:rFonts w:ascii="Times New Roman" w:hAnsi="Times New Roman" w:eastAsia="宋体"/>
                      <w:color w:val="auto"/>
                    </w:rPr>
                    <w:t>0.5536</w:t>
                  </w:r>
                </w:p>
              </w:tc>
              <w:tc>
                <w:tcPr>
                  <w:tcW w:w="936" w:type="dxa"/>
                  <w:noWrap w:val="0"/>
                  <w:vAlign w:val="center"/>
                </w:tcPr>
                <w:p>
                  <w:pPr>
                    <w:pStyle w:val="220"/>
                    <w:rPr>
                      <w:rFonts w:ascii="Times New Roman" w:hAnsi="Times New Roman" w:eastAsia="宋体"/>
                      <w:color w:val="auto"/>
                    </w:rPr>
                  </w:pPr>
                  <w:r>
                    <w:rPr>
                      <w:rFonts w:ascii="Times New Roman" w:hAnsi="Times New Roman" w:eastAsia="宋体"/>
                      <w:color w:val="auto"/>
                    </w:rPr>
                    <w:t>0.4196</w:t>
                  </w:r>
                </w:p>
              </w:tc>
              <w:tc>
                <w:tcPr>
                  <w:tcW w:w="1213" w:type="dxa"/>
                  <w:noWrap w:val="0"/>
                  <w:vAlign w:val="center"/>
                </w:tcPr>
                <w:p>
                  <w:pPr>
                    <w:pStyle w:val="220"/>
                    <w:rPr>
                      <w:rFonts w:ascii="Times New Roman" w:hAnsi="Times New Roman" w:eastAsia="宋体"/>
                      <w:color w:val="auto"/>
                    </w:rPr>
                  </w:pPr>
                  <w:r>
                    <w:rPr>
                      <w:rFonts w:ascii="Times New Roman" w:hAnsi="Times New Roman" w:eastAsia="宋体"/>
                      <w:color w:val="auto"/>
                    </w:rPr>
                    <w:t>0.1844</w:t>
                  </w:r>
                </w:p>
              </w:tc>
              <w:tc>
                <w:tcPr>
                  <w:tcW w:w="1198" w:type="dxa"/>
                  <w:noWrap w:val="0"/>
                  <w:vAlign w:val="center"/>
                </w:tcPr>
                <w:p>
                  <w:pPr>
                    <w:pStyle w:val="220"/>
                    <w:rPr>
                      <w:rFonts w:ascii="Times New Roman" w:hAnsi="Times New Roman" w:eastAsia="宋体"/>
                      <w:color w:val="auto"/>
                    </w:rPr>
                  </w:pPr>
                  <w:r>
                    <w:rPr>
                      <w:rFonts w:ascii="Times New Roman" w:hAnsi="Times New Roman" w:eastAsia="宋体"/>
                      <w:color w:val="auto"/>
                    </w:rPr>
                    <w:t>0.982</w:t>
                  </w:r>
                </w:p>
              </w:tc>
              <w:tc>
                <w:tcPr>
                  <w:tcW w:w="1088" w:type="dxa"/>
                  <w:noWrap w:val="0"/>
                  <w:vAlign w:val="center"/>
                </w:tcPr>
                <w:p>
                  <w:pPr>
                    <w:pStyle w:val="220"/>
                    <w:rPr>
                      <w:rFonts w:ascii="Times New Roman" w:hAnsi="Times New Roman" w:eastAsia="宋体"/>
                      <w:color w:val="auto"/>
                    </w:rPr>
                  </w:pPr>
                  <w:r>
                    <w:rPr>
                      <w:rFonts w:ascii="Times New Roman" w:hAnsi="Times New Roman" w:eastAsia="宋体"/>
                      <w:color w:val="auto"/>
                    </w:rPr>
                    <w:t>9.286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996" w:type="dxa"/>
                  <w:noWrap w:val="0"/>
                  <w:vAlign w:val="center"/>
                </w:tcPr>
                <w:p>
                  <w:pPr>
                    <w:pStyle w:val="220"/>
                    <w:rPr>
                      <w:rFonts w:ascii="Times New Roman" w:hAnsi="Times New Roman" w:eastAsia="宋体"/>
                      <w:color w:val="auto"/>
                    </w:rPr>
                  </w:pPr>
                  <w:r>
                    <w:rPr>
                      <w:rFonts w:ascii="Times New Roman" w:hAnsi="Times New Roman" w:eastAsia="宋体"/>
                      <w:color w:val="auto"/>
                    </w:rPr>
                    <w:t>4</w:t>
                  </w:r>
                </w:p>
              </w:tc>
              <w:tc>
                <w:tcPr>
                  <w:tcW w:w="860" w:type="dxa"/>
                  <w:noWrap w:val="0"/>
                  <w:vAlign w:val="center"/>
                </w:tcPr>
                <w:p>
                  <w:pPr>
                    <w:pStyle w:val="220"/>
                    <w:rPr>
                      <w:rFonts w:ascii="Times New Roman" w:hAnsi="Times New Roman" w:eastAsia="宋体"/>
                      <w:color w:val="auto"/>
                    </w:rPr>
                  </w:pPr>
                  <w:r>
                    <w:rPr>
                      <w:rFonts w:ascii="Times New Roman" w:hAnsi="Times New Roman" w:eastAsia="宋体"/>
                      <w:color w:val="auto"/>
                    </w:rPr>
                    <w:t>7.58</w:t>
                  </w:r>
                </w:p>
              </w:tc>
              <w:tc>
                <w:tcPr>
                  <w:tcW w:w="1042" w:type="dxa"/>
                  <w:noWrap w:val="0"/>
                  <w:vAlign w:val="center"/>
                </w:tcPr>
                <w:p>
                  <w:pPr>
                    <w:pStyle w:val="220"/>
                    <w:rPr>
                      <w:rFonts w:ascii="Times New Roman" w:hAnsi="Times New Roman" w:eastAsia="宋体"/>
                      <w:color w:val="auto"/>
                    </w:rPr>
                  </w:pPr>
                  <w:r>
                    <w:rPr>
                      <w:rFonts w:ascii="Times New Roman" w:hAnsi="Times New Roman" w:eastAsia="宋体"/>
                      <w:color w:val="auto"/>
                    </w:rPr>
                    <w:t>1.0626</w:t>
                  </w:r>
                </w:p>
              </w:tc>
              <w:tc>
                <w:tcPr>
                  <w:tcW w:w="925" w:type="dxa"/>
                  <w:noWrap w:val="0"/>
                  <w:vAlign w:val="center"/>
                </w:tcPr>
                <w:p>
                  <w:pPr>
                    <w:pStyle w:val="220"/>
                    <w:rPr>
                      <w:rFonts w:ascii="Times New Roman" w:hAnsi="Times New Roman" w:eastAsia="宋体"/>
                      <w:color w:val="auto"/>
                    </w:rPr>
                  </w:pPr>
                  <w:r>
                    <w:rPr>
                      <w:rFonts w:ascii="Times New Roman" w:hAnsi="Times New Roman" w:eastAsia="宋体"/>
                      <w:color w:val="auto"/>
                    </w:rPr>
                    <w:t>0.0643</w:t>
                  </w:r>
                </w:p>
              </w:tc>
              <w:tc>
                <w:tcPr>
                  <w:tcW w:w="1029" w:type="dxa"/>
                  <w:noWrap w:val="0"/>
                  <w:vAlign w:val="center"/>
                </w:tcPr>
                <w:p>
                  <w:pPr>
                    <w:pStyle w:val="220"/>
                    <w:rPr>
                      <w:rFonts w:ascii="Times New Roman" w:hAnsi="Times New Roman" w:eastAsia="宋体"/>
                      <w:color w:val="auto"/>
                    </w:rPr>
                  </w:pPr>
                  <w:r>
                    <w:rPr>
                      <w:rFonts w:ascii="Times New Roman" w:hAnsi="Times New Roman" w:eastAsia="宋体"/>
                      <w:color w:val="auto"/>
                    </w:rPr>
                    <w:t>2.2144</w:t>
                  </w:r>
                </w:p>
              </w:tc>
              <w:tc>
                <w:tcPr>
                  <w:tcW w:w="936" w:type="dxa"/>
                  <w:noWrap w:val="0"/>
                  <w:vAlign w:val="center"/>
                </w:tcPr>
                <w:p>
                  <w:pPr>
                    <w:pStyle w:val="220"/>
                    <w:rPr>
                      <w:rFonts w:ascii="Times New Roman" w:hAnsi="Times New Roman" w:eastAsia="宋体"/>
                      <w:color w:val="auto"/>
                    </w:rPr>
                  </w:pPr>
                  <w:r>
                    <w:rPr>
                      <w:rFonts w:ascii="Times New Roman" w:hAnsi="Times New Roman" w:eastAsia="宋体"/>
                      <w:color w:val="auto"/>
                    </w:rPr>
                    <w:t>1.2588</w:t>
                  </w:r>
                </w:p>
              </w:tc>
              <w:tc>
                <w:tcPr>
                  <w:tcW w:w="1213" w:type="dxa"/>
                  <w:noWrap w:val="0"/>
                  <w:vAlign w:val="center"/>
                </w:tcPr>
                <w:p>
                  <w:pPr>
                    <w:pStyle w:val="220"/>
                    <w:rPr>
                      <w:rFonts w:ascii="Times New Roman" w:hAnsi="Times New Roman" w:eastAsia="宋体"/>
                      <w:color w:val="auto"/>
                    </w:rPr>
                  </w:pPr>
                  <w:r>
                    <w:rPr>
                      <w:rFonts w:ascii="Times New Roman" w:hAnsi="Times New Roman" w:eastAsia="宋体"/>
                      <w:color w:val="auto"/>
                    </w:rPr>
                    <w:t>0.5268</w:t>
                  </w:r>
                </w:p>
              </w:tc>
              <w:tc>
                <w:tcPr>
                  <w:tcW w:w="1198" w:type="dxa"/>
                  <w:noWrap w:val="0"/>
                  <w:vAlign w:val="center"/>
                </w:tcPr>
                <w:p>
                  <w:pPr>
                    <w:pStyle w:val="220"/>
                    <w:rPr>
                      <w:rFonts w:ascii="Times New Roman" w:hAnsi="Times New Roman" w:eastAsia="宋体"/>
                      <w:color w:val="auto"/>
                    </w:rPr>
                  </w:pPr>
                  <w:r>
                    <w:rPr>
                      <w:rFonts w:ascii="Times New Roman" w:hAnsi="Times New Roman" w:eastAsia="宋体"/>
                      <w:color w:val="auto"/>
                    </w:rPr>
                    <w:t>1.964</w:t>
                  </w:r>
                </w:p>
              </w:tc>
              <w:tc>
                <w:tcPr>
                  <w:tcW w:w="1088" w:type="dxa"/>
                  <w:noWrap w:val="0"/>
                  <w:vAlign w:val="center"/>
                </w:tcPr>
                <w:p>
                  <w:pPr>
                    <w:pStyle w:val="220"/>
                    <w:rPr>
                      <w:rFonts w:ascii="Times New Roman" w:hAnsi="Times New Roman" w:eastAsia="宋体"/>
                      <w:color w:val="auto"/>
                    </w:rPr>
                  </w:pPr>
                  <w:r>
                    <w:rPr>
                      <w:rFonts w:ascii="Times New Roman" w:hAnsi="Times New Roman" w:eastAsia="宋体"/>
                      <w:color w:val="auto"/>
                    </w:rPr>
                    <w:t>18.572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996" w:type="dxa"/>
                  <w:noWrap w:val="0"/>
                  <w:vAlign w:val="center"/>
                </w:tcPr>
                <w:p>
                  <w:pPr>
                    <w:pStyle w:val="220"/>
                    <w:rPr>
                      <w:rFonts w:ascii="Times New Roman" w:hAnsi="Times New Roman" w:eastAsia="宋体"/>
                      <w:color w:val="auto"/>
                    </w:rPr>
                  </w:pPr>
                  <w:r>
                    <w:rPr>
                      <w:rFonts w:ascii="Times New Roman" w:hAnsi="Times New Roman" w:eastAsia="宋体"/>
                      <w:color w:val="auto"/>
                    </w:rPr>
                    <w:t>5</w:t>
                  </w:r>
                </w:p>
              </w:tc>
              <w:tc>
                <w:tcPr>
                  <w:tcW w:w="860" w:type="dxa"/>
                  <w:noWrap w:val="0"/>
                  <w:vAlign w:val="center"/>
                </w:tcPr>
                <w:p>
                  <w:pPr>
                    <w:pStyle w:val="220"/>
                    <w:rPr>
                      <w:rFonts w:ascii="Times New Roman" w:hAnsi="Times New Roman" w:eastAsia="宋体"/>
                      <w:color w:val="auto"/>
                    </w:rPr>
                  </w:pPr>
                  <w:r>
                    <w:rPr>
                      <w:rFonts w:ascii="Times New Roman" w:hAnsi="Times New Roman" w:eastAsia="宋体"/>
                      <w:color w:val="auto"/>
                    </w:rPr>
                    <w:t>30.32</w:t>
                  </w:r>
                </w:p>
              </w:tc>
              <w:tc>
                <w:tcPr>
                  <w:tcW w:w="1042" w:type="dxa"/>
                  <w:noWrap w:val="0"/>
                  <w:vAlign w:val="center"/>
                </w:tcPr>
                <w:p>
                  <w:pPr>
                    <w:pStyle w:val="220"/>
                    <w:rPr>
                      <w:rFonts w:ascii="Times New Roman" w:hAnsi="Times New Roman" w:eastAsia="宋体"/>
                      <w:color w:val="auto"/>
                    </w:rPr>
                  </w:pPr>
                  <w:r>
                    <w:rPr>
                      <w:rFonts w:ascii="Times New Roman" w:hAnsi="Times New Roman" w:eastAsia="宋体"/>
                      <w:color w:val="auto"/>
                    </w:rPr>
                    <w:t>12.144</w:t>
                  </w:r>
                </w:p>
              </w:tc>
              <w:tc>
                <w:tcPr>
                  <w:tcW w:w="925" w:type="dxa"/>
                  <w:noWrap w:val="0"/>
                  <w:vAlign w:val="center"/>
                </w:tcPr>
                <w:p>
                  <w:pPr>
                    <w:pStyle w:val="220"/>
                    <w:rPr>
                      <w:rFonts w:ascii="Times New Roman" w:hAnsi="Times New Roman" w:eastAsia="宋体"/>
                      <w:color w:val="auto"/>
                    </w:rPr>
                  </w:pPr>
                  <w:r>
                    <w:rPr>
                      <w:rFonts w:ascii="Times New Roman" w:hAnsi="Times New Roman" w:eastAsia="宋体"/>
                      <w:color w:val="auto"/>
                    </w:rPr>
                    <w:t>0.4286</w:t>
                  </w:r>
                </w:p>
              </w:tc>
              <w:tc>
                <w:tcPr>
                  <w:tcW w:w="1029" w:type="dxa"/>
                  <w:noWrap w:val="0"/>
                  <w:vAlign w:val="center"/>
                </w:tcPr>
                <w:p>
                  <w:pPr>
                    <w:pStyle w:val="220"/>
                    <w:rPr>
                      <w:rFonts w:ascii="Times New Roman" w:hAnsi="Times New Roman" w:eastAsia="宋体"/>
                      <w:color w:val="auto"/>
                    </w:rPr>
                  </w:pPr>
                  <w:r>
                    <w:rPr>
                      <w:rFonts w:ascii="Times New Roman" w:hAnsi="Times New Roman" w:eastAsia="宋体"/>
                      <w:color w:val="auto"/>
                    </w:rPr>
                    <w:t>5.536</w:t>
                  </w:r>
                </w:p>
              </w:tc>
              <w:tc>
                <w:tcPr>
                  <w:tcW w:w="936" w:type="dxa"/>
                  <w:noWrap w:val="0"/>
                  <w:vAlign w:val="center"/>
                </w:tcPr>
                <w:p>
                  <w:pPr>
                    <w:pStyle w:val="220"/>
                    <w:rPr>
                      <w:rFonts w:ascii="Times New Roman" w:hAnsi="Times New Roman" w:eastAsia="宋体"/>
                      <w:color w:val="auto"/>
                    </w:rPr>
                  </w:pPr>
                  <w:r>
                    <w:rPr>
                      <w:rFonts w:ascii="Times New Roman" w:hAnsi="Times New Roman" w:eastAsia="宋体"/>
                      <w:color w:val="auto"/>
                    </w:rPr>
                    <w:t>12.588</w:t>
                  </w:r>
                </w:p>
              </w:tc>
              <w:tc>
                <w:tcPr>
                  <w:tcW w:w="1213" w:type="dxa"/>
                  <w:noWrap w:val="0"/>
                  <w:vAlign w:val="center"/>
                </w:tcPr>
                <w:p>
                  <w:pPr>
                    <w:pStyle w:val="220"/>
                    <w:rPr>
                      <w:rFonts w:ascii="Times New Roman" w:hAnsi="Times New Roman" w:eastAsia="宋体"/>
                      <w:color w:val="auto"/>
                    </w:rPr>
                  </w:pPr>
                  <w:r>
                    <w:rPr>
                      <w:rFonts w:ascii="Times New Roman" w:hAnsi="Times New Roman" w:eastAsia="宋体"/>
                      <w:color w:val="auto"/>
                    </w:rPr>
                    <w:t>7.902</w:t>
                  </w:r>
                </w:p>
              </w:tc>
              <w:tc>
                <w:tcPr>
                  <w:tcW w:w="1198" w:type="dxa"/>
                  <w:noWrap w:val="0"/>
                  <w:vAlign w:val="center"/>
                </w:tcPr>
                <w:p>
                  <w:pPr>
                    <w:pStyle w:val="220"/>
                    <w:rPr>
                      <w:rFonts w:ascii="Times New Roman" w:hAnsi="Times New Roman" w:eastAsia="宋体"/>
                      <w:color w:val="auto"/>
                    </w:rPr>
                  </w:pPr>
                  <w:r>
                    <w:rPr>
                      <w:rFonts w:ascii="Times New Roman" w:hAnsi="Times New Roman" w:eastAsia="宋体"/>
                      <w:color w:val="auto"/>
                    </w:rPr>
                    <w:t>19.64</w:t>
                  </w:r>
                </w:p>
              </w:tc>
              <w:tc>
                <w:tcPr>
                  <w:tcW w:w="1088" w:type="dxa"/>
                  <w:noWrap w:val="0"/>
                  <w:vAlign w:val="center"/>
                </w:tcPr>
                <w:p>
                  <w:pPr>
                    <w:pStyle w:val="220"/>
                    <w:rPr>
                      <w:rFonts w:ascii="Times New Roman" w:hAnsi="Times New Roman" w:eastAsia="宋体"/>
                      <w:color w:val="auto"/>
                    </w:rPr>
                  </w:pPr>
                  <w:r>
                    <w:rPr>
                      <w:rFonts w:ascii="Times New Roman" w:hAnsi="Times New Roman" w:eastAsia="宋体"/>
                      <w:color w:val="auto"/>
                    </w:rPr>
                    <w:t>92.86</w:t>
                  </w:r>
                </w:p>
              </w:tc>
            </w:tr>
          </w:tbl>
          <w:p>
            <w:pPr>
              <w:spacing w:after="120" w:afterLines="50"/>
              <w:ind w:firstLine="482"/>
              <w:rPr>
                <w:rFonts w:ascii="Times New Roman" w:hAnsi="Times New Roman" w:eastAsia="宋体"/>
                <w:b/>
                <w:color w:val="auto"/>
                <w:sz w:val="18"/>
                <w:szCs w:val="18"/>
              </w:rPr>
            </w:pPr>
            <w:r>
              <w:rPr>
                <w:rFonts w:ascii="Times New Roman" w:hAnsi="Times New Roman" w:eastAsia="宋体"/>
                <w:b/>
                <w:color w:val="auto"/>
                <w:sz w:val="18"/>
                <w:szCs w:val="18"/>
              </w:rPr>
              <w:t>* 近藤利明，产业公害（日），1987，23（6），9～14</w:t>
            </w:r>
          </w:p>
          <w:p>
            <w:pPr>
              <w:snapToGrid w:val="0"/>
              <w:ind w:firstLine="480"/>
              <w:rPr>
                <w:rFonts w:hint="eastAsia" w:ascii="Times New Roman" w:hAnsi="Times New Roman" w:eastAsia="宋体"/>
                <w:color w:val="auto"/>
                <w:kern w:val="0"/>
                <w:sz w:val="24"/>
                <w:szCs w:val="24"/>
              </w:rPr>
            </w:pPr>
            <w:r>
              <w:rPr>
                <w:rFonts w:hint="eastAsia" w:ascii="Times New Roman" w:hAnsi="Times New Roman" w:eastAsia="宋体"/>
                <w:color w:val="auto"/>
                <w:kern w:val="0"/>
                <w:sz w:val="24"/>
                <w:szCs w:val="24"/>
              </w:rPr>
              <w:t>本</w:t>
            </w:r>
            <w:r>
              <w:rPr>
                <w:rFonts w:ascii="Times New Roman" w:hAnsi="Times New Roman" w:eastAsia="宋体"/>
                <w:color w:val="auto"/>
                <w:kern w:val="0"/>
                <w:sz w:val="24"/>
                <w:szCs w:val="24"/>
              </w:rPr>
              <w:t>项目不可避免会有少量异味恶臭物质排放。根据前面预测结果</w:t>
            </w:r>
            <w:r>
              <w:rPr>
                <w:rFonts w:hint="eastAsia" w:ascii="Times New Roman" w:hAnsi="Times New Roman" w:eastAsia="宋体"/>
                <w:color w:val="auto"/>
                <w:kern w:val="0"/>
                <w:sz w:val="24"/>
                <w:szCs w:val="24"/>
              </w:rPr>
              <w:t>及本地区同类项目实际生产监测情况综合分析</w:t>
            </w:r>
            <w:r>
              <w:rPr>
                <w:rFonts w:ascii="Times New Roman" w:hAnsi="Times New Roman" w:eastAsia="宋体"/>
                <w:color w:val="auto"/>
                <w:kern w:val="0"/>
                <w:sz w:val="24"/>
                <w:szCs w:val="24"/>
              </w:rPr>
              <w:t>，在报告给定的预测条件下，本项目所排放的大气污染物小时平均浓度叠加环境现状本底值后也均能满足环境功能要求，臭气强度为2级，异味污染均未超过2.5级，所以项目周边大气未受到异味污染。</w:t>
            </w:r>
          </w:p>
          <w:p>
            <w:pPr>
              <w:ind w:firstLine="480"/>
              <w:rPr>
                <w:rFonts w:ascii="Times New Roman" w:hAnsi="Times New Roman" w:eastAsia="宋体"/>
                <w:color w:val="auto"/>
                <w:sz w:val="24"/>
                <w:szCs w:val="24"/>
              </w:rPr>
            </w:pPr>
            <w:r>
              <w:rPr>
                <w:rFonts w:hint="eastAsia" w:ascii="Times New Roman" w:hAnsi="Times New Roman" w:eastAsia="宋体"/>
                <w:color w:val="auto"/>
                <w:sz w:val="24"/>
                <w:szCs w:val="24"/>
              </w:rPr>
              <w:t>（1</w:t>
            </w:r>
            <w:r>
              <w:rPr>
                <w:rFonts w:hint="eastAsia" w:ascii="Times New Roman" w:hAnsi="Times New Roman" w:eastAsia="宋体"/>
                <w:color w:val="auto"/>
                <w:sz w:val="24"/>
                <w:szCs w:val="24"/>
                <w:lang w:val="en-US" w:eastAsia="zh-CN"/>
              </w:rPr>
              <w:t>2</w:t>
            </w:r>
            <w:r>
              <w:rPr>
                <w:rFonts w:hint="eastAsia" w:ascii="Times New Roman" w:hAnsi="Times New Roman" w:eastAsia="宋体"/>
                <w:color w:val="auto"/>
                <w:sz w:val="24"/>
                <w:szCs w:val="24"/>
              </w:rPr>
              <w:t>）大气环境防护距离</w:t>
            </w:r>
          </w:p>
          <w:p>
            <w:pPr>
              <w:ind w:firstLine="480"/>
              <w:rPr>
                <w:rFonts w:ascii="Times New Roman" w:hAnsi="Times New Roman" w:eastAsia="宋体"/>
                <w:color w:val="auto"/>
                <w:sz w:val="24"/>
                <w:szCs w:val="24"/>
              </w:rPr>
            </w:pPr>
            <w:r>
              <w:rPr>
                <w:rFonts w:hint="eastAsia" w:ascii="Times New Roman" w:hAnsi="Times New Roman" w:eastAsia="宋体"/>
                <w:color w:val="auto"/>
                <w:sz w:val="24"/>
                <w:szCs w:val="24"/>
              </w:rPr>
              <w:t>大气环境防护距离不再区分点源和面源，防护距离针对整个企业和项目，根据环境影响评价技术导则大气环境》</w:t>
            </w:r>
            <w:r>
              <w:rPr>
                <w:rFonts w:ascii="Times New Roman" w:hAnsi="Times New Roman" w:eastAsia="宋体"/>
                <w:color w:val="auto"/>
                <w:sz w:val="24"/>
                <w:szCs w:val="24"/>
              </w:rPr>
              <w:t>(HJ2.2-2018)</w:t>
            </w:r>
            <w:r>
              <w:rPr>
                <w:rFonts w:hint="eastAsia" w:ascii="Times New Roman" w:hAnsi="Times New Roman" w:eastAsia="宋体"/>
                <w:color w:val="auto"/>
                <w:sz w:val="24"/>
                <w:szCs w:val="24"/>
              </w:rPr>
              <w:t>，只有大气一级评价需要核算大气环境防护距离，大气二、三级评价不需要计算大气环境防护距离。</w:t>
            </w:r>
          </w:p>
          <w:p>
            <w:pPr>
              <w:ind w:firstLine="480"/>
              <w:rPr>
                <w:rFonts w:ascii="Times New Roman" w:hAnsi="Times New Roman" w:eastAsia="宋体"/>
                <w:color w:val="auto"/>
                <w:sz w:val="24"/>
                <w:szCs w:val="24"/>
              </w:rPr>
            </w:pPr>
            <w:r>
              <w:rPr>
                <w:rFonts w:hint="eastAsia" w:ascii="Times New Roman" w:hAnsi="Times New Roman" w:eastAsia="宋体"/>
                <w:color w:val="auto"/>
                <w:sz w:val="24"/>
                <w:szCs w:val="24"/>
              </w:rPr>
              <w:t>（1</w:t>
            </w:r>
            <w:r>
              <w:rPr>
                <w:rFonts w:hint="eastAsia" w:ascii="Times New Roman" w:hAnsi="Times New Roman" w:eastAsia="宋体"/>
                <w:color w:val="auto"/>
                <w:sz w:val="24"/>
                <w:szCs w:val="24"/>
                <w:lang w:val="en-US" w:eastAsia="zh-CN"/>
              </w:rPr>
              <w:t>3</w:t>
            </w:r>
            <w:r>
              <w:rPr>
                <w:rFonts w:hint="eastAsia" w:ascii="Times New Roman" w:hAnsi="Times New Roman" w:eastAsia="宋体"/>
                <w:color w:val="auto"/>
                <w:sz w:val="24"/>
                <w:szCs w:val="24"/>
              </w:rPr>
              <w:t>）卫生防护距离的确定</w:t>
            </w:r>
          </w:p>
          <w:p>
            <w:pPr>
              <w:ind w:firstLine="480"/>
              <w:rPr>
                <w:rFonts w:ascii="Times New Roman" w:hAnsi="Times New Roman" w:eastAsia="宋体"/>
                <w:color w:val="auto"/>
                <w:sz w:val="24"/>
                <w:szCs w:val="24"/>
              </w:rPr>
            </w:pPr>
            <w:r>
              <w:rPr>
                <w:rFonts w:hint="eastAsia" w:ascii="Times New Roman" w:hAnsi="Times New Roman" w:eastAsia="宋体"/>
                <w:color w:val="auto"/>
                <w:sz w:val="24"/>
                <w:szCs w:val="24"/>
              </w:rPr>
              <w:t>根据《制定地方大气污染物排放标准的技术方法》（</w:t>
            </w:r>
            <w:r>
              <w:rPr>
                <w:rFonts w:ascii="Times New Roman" w:hAnsi="Times New Roman" w:eastAsia="宋体"/>
                <w:color w:val="auto"/>
                <w:sz w:val="24"/>
                <w:szCs w:val="24"/>
              </w:rPr>
              <w:t>GB3840-91</w:t>
            </w:r>
            <w:r>
              <w:rPr>
                <w:rFonts w:hint="eastAsia" w:ascii="Times New Roman" w:hAnsi="Times New Roman" w:eastAsia="宋体"/>
                <w:color w:val="auto"/>
                <w:sz w:val="24"/>
                <w:szCs w:val="24"/>
              </w:rPr>
              <w:t>）规定，无组织排放有害气体的生产单元与居住区之间应设置卫生防护距离，计算公式如下：</w:t>
            </w:r>
          </w:p>
          <w:p>
            <w:pPr>
              <w:ind w:firstLine="480"/>
              <w:jc w:val="center"/>
              <w:rPr>
                <w:rFonts w:ascii="Times New Roman" w:hAnsi="Times New Roman" w:eastAsia="宋体"/>
                <w:color w:val="auto"/>
                <w:sz w:val="24"/>
                <w:szCs w:val="24"/>
              </w:rPr>
            </w:pPr>
            <w:r>
              <w:rPr>
                <w:rFonts w:ascii="Times New Roman" w:hAnsi="Times New Roman" w:eastAsia="宋体"/>
                <w:color w:val="auto"/>
                <w:position w:val="-30"/>
                <w:sz w:val="24"/>
                <w:szCs w:val="24"/>
              </w:rPr>
              <w:drawing>
                <wp:inline distT="0" distB="0" distL="0" distR="0">
                  <wp:extent cx="1828800" cy="457200"/>
                  <wp:effectExtent l="0" t="0" r="0" b="0"/>
                  <wp:docPr id="38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图片 22"/>
                          <pic:cNvPicPr>
                            <a:picLocks noChangeAspect="1" noChangeArrowheads="1"/>
                          </pic:cNvPicPr>
                        </pic:nvPicPr>
                        <pic:blipFill>
                          <a:blip r:embed="rId42" cstate="print"/>
                          <a:srcRect/>
                          <a:stretch>
                            <a:fillRect/>
                          </a:stretch>
                        </pic:blipFill>
                        <pic:spPr>
                          <a:xfrm>
                            <a:off x="0" y="0"/>
                            <a:ext cx="1828800" cy="457200"/>
                          </a:xfrm>
                          <a:prstGeom prst="rect">
                            <a:avLst/>
                          </a:prstGeom>
                          <a:noFill/>
                          <a:ln w="9525">
                            <a:noFill/>
                            <a:miter lim="800000"/>
                            <a:headEnd/>
                            <a:tailEnd/>
                          </a:ln>
                        </pic:spPr>
                      </pic:pic>
                    </a:graphicData>
                  </a:graphic>
                </wp:inline>
              </w:drawing>
            </w:r>
          </w:p>
          <w:p>
            <w:pPr>
              <w:ind w:firstLine="480"/>
              <w:rPr>
                <w:rFonts w:ascii="Times New Roman" w:hAnsi="Times New Roman" w:eastAsia="宋体"/>
                <w:color w:val="auto"/>
                <w:sz w:val="24"/>
                <w:szCs w:val="24"/>
              </w:rPr>
            </w:pPr>
            <w:r>
              <w:rPr>
                <w:rFonts w:hint="eastAsia" w:ascii="Times New Roman" w:hAnsi="Times New Roman" w:eastAsia="宋体"/>
                <w:color w:val="auto"/>
                <w:sz w:val="24"/>
                <w:szCs w:val="24"/>
              </w:rPr>
              <w:t>式中：</w:t>
            </w:r>
          </w:p>
          <w:p>
            <w:pPr>
              <w:ind w:firstLine="480"/>
              <w:rPr>
                <w:rFonts w:ascii="Times New Roman" w:hAnsi="Times New Roman" w:eastAsia="宋体"/>
                <w:color w:val="auto"/>
                <w:sz w:val="24"/>
                <w:szCs w:val="24"/>
              </w:rPr>
            </w:pPr>
            <w:r>
              <w:rPr>
                <w:rFonts w:ascii="Times New Roman" w:hAnsi="Times New Roman" w:eastAsia="宋体"/>
                <w:color w:val="auto"/>
                <w:sz w:val="24"/>
                <w:szCs w:val="24"/>
              </w:rPr>
              <w:t>Cm—</w:t>
            </w:r>
            <w:r>
              <w:rPr>
                <w:rFonts w:hint="eastAsia" w:ascii="Times New Roman" w:hAnsi="Times New Roman" w:eastAsia="宋体"/>
                <w:color w:val="auto"/>
                <w:sz w:val="24"/>
                <w:szCs w:val="24"/>
              </w:rPr>
              <w:t>为环境一次浓度标准限值（</w:t>
            </w:r>
            <w:r>
              <w:rPr>
                <w:rFonts w:ascii="Times New Roman" w:hAnsi="Times New Roman" w:eastAsia="宋体"/>
                <w:color w:val="auto"/>
                <w:sz w:val="24"/>
                <w:szCs w:val="24"/>
              </w:rPr>
              <w:t>mg/m</w:t>
            </w:r>
            <w:r>
              <w:rPr>
                <w:rFonts w:ascii="Times New Roman" w:hAnsi="Times New Roman" w:eastAsia="宋体"/>
                <w:color w:val="auto"/>
                <w:sz w:val="24"/>
                <w:szCs w:val="24"/>
                <w:vertAlign w:val="superscript"/>
              </w:rPr>
              <w:t>3</w:t>
            </w:r>
            <w:r>
              <w:rPr>
                <w:rFonts w:hint="eastAsia" w:ascii="Times New Roman" w:hAnsi="Times New Roman" w:eastAsia="宋体"/>
                <w:color w:val="auto"/>
                <w:sz w:val="24"/>
                <w:szCs w:val="24"/>
              </w:rPr>
              <w:t>）；</w:t>
            </w:r>
          </w:p>
          <w:p>
            <w:pPr>
              <w:ind w:firstLine="480"/>
              <w:rPr>
                <w:rFonts w:ascii="Times New Roman" w:hAnsi="Times New Roman" w:eastAsia="宋体"/>
                <w:color w:val="auto"/>
                <w:sz w:val="24"/>
                <w:szCs w:val="24"/>
              </w:rPr>
            </w:pPr>
            <w:r>
              <w:rPr>
                <w:rFonts w:ascii="Times New Roman" w:hAnsi="Times New Roman" w:eastAsia="宋体"/>
                <w:color w:val="auto"/>
                <w:sz w:val="24"/>
                <w:szCs w:val="24"/>
              </w:rPr>
              <w:t>L—</w:t>
            </w:r>
            <w:r>
              <w:rPr>
                <w:rFonts w:hint="eastAsia" w:ascii="Times New Roman" w:hAnsi="Times New Roman" w:eastAsia="宋体"/>
                <w:color w:val="auto"/>
                <w:sz w:val="24"/>
                <w:szCs w:val="24"/>
              </w:rPr>
              <w:t>工业企业所需的防护距离（</w:t>
            </w:r>
            <w:r>
              <w:rPr>
                <w:rFonts w:ascii="Times New Roman" w:hAnsi="Times New Roman" w:eastAsia="宋体"/>
                <w:color w:val="auto"/>
                <w:sz w:val="24"/>
                <w:szCs w:val="24"/>
              </w:rPr>
              <w:t>m</w:t>
            </w:r>
            <w:r>
              <w:rPr>
                <w:rFonts w:hint="eastAsia" w:ascii="Times New Roman" w:hAnsi="Times New Roman" w:eastAsia="宋体"/>
                <w:color w:val="auto"/>
                <w:sz w:val="24"/>
                <w:szCs w:val="24"/>
              </w:rPr>
              <w:t>）；</w:t>
            </w:r>
          </w:p>
          <w:p>
            <w:pPr>
              <w:ind w:firstLine="480"/>
              <w:rPr>
                <w:rFonts w:ascii="Times New Roman" w:hAnsi="Times New Roman" w:eastAsia="宋体"/>
                <w:color w:val="auto"/>
                <w:sz w:val="24"/>
                <w:szCs w:val="24"/>
              </w:rPr>
            </w:pPr>
            <w:r>
              <w:rPr>
                <w:rFonts w:ascii="Times New Roman" w:hAnsi="Times New Roman" w:eastAsia="宋体"/>
                <w:color w:val="auto"/>
                <w:sz w:val="24"/>
                <w:szCs w:val="24"/>
              </w:rPr>
              <w:t>Qc—</w:t>
            </w:r>
            <w:r>
              <w:rPr>
                <w:rFonts w:hint="eastAsia" w:ascii="Times New Roman" w:hAnsi="Times New Roman" w:eastAsia="宋体"/>
                <w:color w:val="auto"/>
                <w:sz w:val="24"/>
                <w:szCs w:val="24"/>
              </w:rPr>
              <w:t>有害气体无组织排放量可以达到的控制水平（</w:t>
            </w:r>
            <w:r>
              <w:rPr>
                <w:rFonts w:ascii="Times New Roman" w:hAnsi="Times New Roman" w:eastAsia="宋体"/>
                <w:color w:val="auto"/>
                <w:sz w:val="24"/>
                <w:szCs w:val="24"/>
              </w:rPr>
              <w:t>kg/h</w:t>
            </w:r>
            <w:r>
              <w:rPr>
                <w:rFonts w:hint="eastAsia" w:ascii="Times New Roman" w:hAnsi="Times New Roman" w:eastAsia="宋体"/>
                <w:color w:val="auto"/>
                <w:sz w:val="24"/>
                <w:szCs w:val="24"/>
              </w:rPr>
              <w:t>）；</w:t>
            </w:r>
          </w:p>
          <w:p>
            <w:pPr>
              <w:ind w:firstLine="480"/>
              <w:rPr>
                <w:rFonts w:ascii="Times New Roman" w:hAnsi="Times New Roman" w:eastAsia="宋体"/>
                <w:color w:val="auto"/>
                <w:sz w:val="24"/>
                <w:szCs w:val="24"/>
              </w:rPr>
            </w:pPr>
            <w:r>
              <w:rPr>
                <w:rFonts w:ascii="Times New Roman" w:hAnsi="Times New Roman" w:eastAsia="宋体"/>
                <w:color w:val="auto"/>
                <w:sz w:val="24"/>
                <w:szCs w:val="24"/>
              </w:rPr>
              <w:t>r—</w:t>
            </w:r>
            <w:r>
              <w:rPr>
                <w:rFonts w:hint="eastAsia" w:ascii="Times New Roman" w:hAnsi="Times New Roman" w:eastAsia="宋体"/>
                <w:color w:val="auto"/>
                <w:sz w:val="24"/>
                <w:szCs w:val="24"/>
              </w:rPr>
              <w:t>有害气体无组织排放源所在单元的等效半径（</w:t>
            </w:r>
            <w:r>
              <w:rPr>
                <w:rFonts w:ascii="Times New Roman" w:hAnsi="Times New Roman" w:eastAsia="宋体"/>
                <w:color w:val="auto"/>
                <w:sz w:val="24"/>
                <w:szCs w:val="24"/>
              </w:rPr>
              <w:t>m</w:t>
            </w:r>
            <w:r>
              <w:rPr>
                <w:rFonts w:hint="eastAsia" w:ascii="Times New Roman" w:hAnsi="Times New Roman" w:eastAsia="宋体"/>
                <w:color w:val="auto"/>
                <w:sz w:val="24"/>
                <w:szCs w:val="24"/>
              </w:rPr>
              <w:t>）；</w:t>
            </w:r>
          </w:p>
          <w:p>
            <w:pPr>
              <w:ind w:firstLine="480"/>
              <w:rPr>
                <w:rFonts w:ascii="Times New Roman" w:hAnsi="Times New Roman" w:eastAsia="宋体"/>
                <w:color w:val="auto"/>
                <w:sz w:val="24"/>
                <w:szCs w:val="24"/>
              </w:rPr>
            </w:pPr>
            <w:r>
              <w:rPr>
                <w:rFonts w:ascii="Times New Roman" w:hAnsi="Times New Roman" w:eastAsia="宋体"/>
                <w:color w:val="auto"/>
                <w:sz w:val="24"/>
                <w:szCs w:val="24"/>
              </w:rPr>
              <w:t>A</w:t>
            </w:r>
            <w:r>
              <w:rPr>
                <w:rFonts w:hint="eastAsia" w:ascii="Times New Roman" w:hAnsi="Times New Roman" w:eastAsia="宋体"/>
                <w:color w:val="auto"/>
                <w:sz w:val="24"/>
                <w:szCs w:val="24"/>
              </w:rPr>
              <w:t>、</w:t>
            </w:r>
            <w:r>
              <w:rPr>
                <w:rFonts w:ascii="Times New Roman" w:hAnsi="Times New Roman" w:eastAsia="宋体"/>
                <w:color w:val="auto"/>
                <w:sz w:val="24"/>
                <w:szCs w:val="24"/>
              </w:rPr>
              <w:t>B</w:t>
            </w:r>
            <w:r>
              <w:rPr>
                <w:rFonts w:hint="eastAsia" w:ascii="Times New Roman" w:hAnsi="Times New Roman" w:eastAsia="宋体"/>
                <w:color w:val="auto"/>
                <w:sz w:val="24"/>
                <w:szCs w:val="24"/>
              </w:rPr>
              <w:t>、</w:t>
            </w:r>
            <w:r>
              <w:rPr>
                <w:rFonts w:ascii="Times New Roman" w:hAnsi="Times New Roman" w:eastAsia="宋体"/>
                <w:color w:val="auto"/>
                <w:sz w:val="24"/>
                <w:szCs w:val="24"/>
              </w:rPr>
              <w:t>C</w:t>
            </w:r>
            <w:r>
              <w:rPr>
                <w:rFonts w:hint="eastAsia" w:ascii="Times New Roman" w:hAnsi="Times New Roman" w:eastAsia="宋体"/>
                <w:color w:val="auto"/>
                <w:sz w:val="24"/>
                <w:szCs w:val="24"/>
              </w:rPr>
              <w:t>、</w:t>
            </w:r>
            <w:r>
              <w:rPr>
                <w:rFonts w:ascii="Times New Roman" w:hAnsi="Times New Roman" w:eastAsia="宋体"/>
                <w:color w:val="auto"/>
                <w:sz w:val="24"/>
                <w:szCs w:val="24"/>
              </w:rPr>
              <w:t>D</w:t>
            </w:r>
            <w:r>
              <w:rPr>
                <w:rFonts w:hint="eastAsia" w:ascii="Times New Roman" w:hAnsi="Times New Roman" w:eastAsia="宋体"/>
                <w:color w:val="auto"/>
                <w:sz w:val="24"/>
                <w:szCs w:val="24"/>
              </w:rPr>
              <w:t>为计算系数。</w:t>
            </w:r>
          </w:p>
          <w:p>
            <w:pPr>
              <w:snapToGrid w:val="0"/>
              <w:ind w:firstLine="480"/>
              <w:rPr>
                <w:rFonts w:ascii="Times New Roman" w:hAnsi="Times New Roman" w:eastAsia="宋体"/>
                <w:color w:val="auto"/>
                <w:szCs w:val="24"/>
              </w:rPr>
            </w:pPr>
            <w:r>
              <w:rPr>
                <w:rFonts w:hint="eastAsia" w:ascii="Times New Roman" w:hAnsi="Times New Roman" w:eastAsia="宋体"/>
                <w:color w:val="auto"/>
                <w:sz w:val="24"/>
                <w:szCs w:val="24"/>
              </w:rPr>
              <w:t>各参数取值见表</w:t>
            </w:r>
            <w:r>
              <w:rPr>
                <w:rFonts w:ascii="Times New Roman" w:hAnsi="Times New Roman" w:eastAsia="宋体"/>
                <w:color w:val="auto"/>
                <w:sz w:val="24"/>
                <w:szCs w:val="24"/>
              </w:rPr>
              <w:t>7</w:t>
            </w:r>
            <w:r>
              <w:rPr>
                <w:rFonts w:hint="eastAsia"/>
                <w:color w:val="auto"/>
                <w:sz w:val="24"/>
                <w:szCs w:val="24"/>
                <w:lang w:val="en-US" w:eastAsia="zh-CN"/>
              </w:rPr>
              <w:t>.6</w:t>
            </w:r>
            <w:r>
              <w:rPr>
                <w:rFonts w:ascii="Times New Roman" w:hAnsi="Times New Roman" w:eastAsia="宋体"/>
                <w:color w:val="auto"/>
                <w:sz w:val="24"/>
                <w:szCs w:val="24"/>
              </w:rPr>
              <w:t>-1</w:t>
            </w:r>
            <w:r>
              <w:rPr>
                <w:rFonts w:hint="eastAsia"/>
                <w:color w:val="auto"/>
                <w:sz w:val="24"/>
                <w:szCs w:val="24"/>
                <w:lang w:val="en-US" w:eastAsia="zh-CN"/>
              </w:rPr>
              <w:t>3</w:t>
            </w:r>
            <w:r>
              <w:rPr>
                <w:rFonts w:hint="eastAsia" w:ascii="Times New Roman" w:hAnsi="Times New Roman" w:eastAsia="宋体"/>
                <w:color w:val="auto"/>
                <w:sz w:val="24"/>
                <w:szCs w:val="24"/>
              </w:rPr>
              <w:t>。</w:t>
            </w:r>
          </w:p>
          <w:p>
            <w:pPr>
              <w:snapToGrid w:val="0"/>
              <w:spacing w:line="240" w:lineRule="auto"/>
              <w:ind w:firstLine="422"/>
              <w:jc w:val="center"/>
              <w:rPr>
                <w:rFonts w:ascii="Times New Roman" w:hAnsi="Times New Roman" w:eastAsia="宋体"/>
                <w:b/>
                <w:color w:val="auto"/>
                <w:sz w:val="21"/>
                <w:szCs w:val="21"/>
              </w:rPr>
            </w:pPr>
            <w:r>
              <w:rPr>
                <w:rFonts w:hint="eastAsia" w:ascii="Times New Roman" w:hAnsi="Times New Roman" w:eastAsia="宋体"/>
                <w:b/>
                <w:color w:val="auto"/>
                <w:sz w:val="21"/>
                <w:szCs w:val="21"/>
              </w:rPr>
              <w:t>表</w:t>
            </w:r>
            <w:r>
              <w:rPr>
                <w:rFonts w:ascii="Times New Roman" w:hAnsi="Times New Roman" w:eastAsia="宋体"/>
                <w:b/>
                <w:color w:val="auto"/>
                <w:sz w:val="21"/>
                <w:szCs w:val="21"/>
              </w:rPr>
              <w:t>7</w:t>
            </w:r>
            <w:r>
              <w:rPr>
                <w:rFonts w:hint="eastAsia"/>
                <w:b/>
                <w:color w:val="auto"/>
                <w:sz w:val="21"/>
                <w:szCs w:val="21"/>
                <w:lang w:val="en-US" w:eastAsia="zh-CN"/>
              </w:rPr>
              <w:t>.6</w:t>
            </w:r>
            <w:r>
              <w:rPr>
                <w:rFonts w:ascii="Times New Roman" w:hAnsi="Times New Roman" w:eastAsia="宋体"/>
                <w:b/>
                <w:color w:val="auto"/>
                <w:sz w:val="21"/>
                <w:szCs w:val="21"/>
              </w:rPr>
              <w:t>-1</w:t>
            </w:r>
            <w:r>
              <w:rPr>
                <w:rFonts w:hint="eastAsia"/>
                <w:b/>
                <w:color w:val="auto"/>
                <w:sz w:val="21"/>
                <w:szCs w:val="21"/>
                <w:lang w:val="en-US" w:eastAsia="zh-CN"/>
              </w:rPr>
              <w:t>3</w:t>
            </w:r>
            <w:r>
              <w:rPr>
                <w:rFonts w:hint="eastAsia" w:ascii="Times New Roman" w:hAnsi="Times New Roman" w:eastAsia="宋体"/>
                <w:b/>
                <w:color w:val="auto"/>
                <w:sz w:val="21"/>
                <w:szCs w:val="21"/>
              </w:rPr>
              <w:t>卫生防护距离计算系数</w:t>
            </w:r>
          </w:p>
          <w:tbl>
            <w:tblPr>
              <w:tblStyle w:val="43"/>
              <w:tblW w:w="921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553"/>
              <w:gridCol w:w="708"/>
              <w:gridCol w:w="715"/>
              <w:gridCol w:w="715"/>
              <w:gridCol w:w="706"/>
              <w:gridCol w:w="706"/>
              <w:gridCol w:w="706"/>
              <w:gridCol w:w="706"/>
              <w:gridCol w:w="706"/>
              <w:gridCol w:w="6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301" w:type="dxa"/>
                  <w:vMerge w:val="restart"/>
                  <w:tcBorders>
                    <w:top w:val="single" w:color="auto" w:sz="12" w:space="0"/>
                    <w:left w:val="nil"/>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b/>
                      <w:bCs/>
                      <w:color w:val="auto"/>
                      <w:sz w:val="21"/>
                      <w:szCs w:val="21"/>
                    </w:rPr>
                  </w:pPr>
                  <w:r>
                    <w:rPr>
                      <w:rFonts w:hint="eastAsia" w:ascii="Times New Roman" w:hAnsi="Times New Roman" w:eastAsia="宋体"/>
                      <w:b/>
                      <w:bCs/>
                      <w:color w:val="auto"/>
                      <w:sz w:val="21"/>
                      <w:szCs w:val="21"/>
                    </w:rPr>
                    <w:t>计算系数</w:t>
                  </w:r>
                </w:p>
              </w:tc>
              <w:tc>
                <w:tcPr>
                  <w:tcW w:w="1553" w:type="dxa"/>
                  <w:vMerge w:val="restart"/>
                  <w:tcBorders>
                    <w:top w:val="single" w:color="auto" w:sz="12"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b/>
                      <w:bCs/>
                      <w:color w:val="auto"/>
                      <w:sz w:val="21"/>
                      <w:szCs w:val="21"/>
                    </w:rPr>
                  </w:pPr>
                  <w:r>
                    <w:rPr>
                      <w:rFonts w:ascii="Times New Roman" w:hAnsi="Times New Roman" w:eastAsia="宋体"/>
                      <w:b/>
                      <w:bCs/>
                      <w:color w:val="auto"/>
                      <w:sz w:val="21"/>
                      <w:szCs w:val="21"/>
                    </w:rPr>
                    <w:t>5</w:t>
                  </w:r>
                  <w:r>
                    <w:rPr>
                      <w:rFonts w:hint="eastAsia" w:ascii="Times New Roman" w:hAnsi="Times New Roman" w:eastAsia="宋体"/>
                      <w:b/>
                      <w:bCs/>
                      <w:color w:val="auto"/>
                      <w:sz w:val="21"/>
                      <w:szCs w:val="21"/>
                    </w:rPr>
                    <w:t>年平均风速，</w:t>
                  </w:r>
                  <w:r>
                    <w:rPr>
                      <w:rFonts w:ascii="Times New Roman" w:hAnsi="Times New Roman" w:eastAsia="宋体"/>
                      <w:b/>
                      <w:bCs/>
                      <w:color w:val="auto"/>
                      <w:sz w:val="21"/>
                      <w:szCs w:val="21"/>
                    </w:rPr>
                    <w:t>m/s</w:t>
                  </w:r>
                </w:p>
              </w:tc>
              <w:tc>
                <w:tcPr>
                  <w:tcW w:w="6365" w:type="dxa"/>
                  <w:gridSpan w:val="9"/>
                  <w:tcBorders>
                    <w:top w:val="single" w:color="auto" w:sz="12" w:space="0"/>
                    <w:left w:val="single" w:color="auto" w:sz="4" w:space="0"/>
                    <w:bottom w:val="single" w:color="auto" w:sz="4" w:space="0"/>
                    <w:right w:val="nil"/>
                  </w:tcBorders>
                  <w:vAlign w:val="center"/>
                </w:tcPr>
                <w:p>
                  <w:pPr>
                    <w:spacing w:line="240" w:lineRule="auto"/>
                    <w:ind w:firstLine="0" w:firstLineChars="0"/>
                    <w:jc w:val="center"/>
                    <w:rPr>
                      <w:rFonts w:ascii="Times New Roman" w:hAnsi="Times New Roman" w:eastAsia="宋体"/>
                      <w:b/>
                      <w:bCs/>
                      <w:color w:val="auto"/>
                      <w:sz w:val="21"/>
                      <w:szCs w:val="21"/>
                    </w:rPr>
                  </w:pPr>
                  <w:r>
                    <w:rPr>
                      <w:rFonts w:hint="eastAsia" w:ascii="Times New Roman" w:hAnsi="Times New Roman" w:eastAsia="宋体"/>
                      <w:b/>
                      <w:bCs/>
                      <w:color w:val="auto"/>
                      <w:sz w:val="21"/>
                      <w:szCs w:val="21"/>
                    </w:rPr>
                    <w:t>卫生防护距离</w:t>
                  </w:r>
                  <w:r>
                    <w:rPr>
                      <w:rFonts w:ascii="Times New Roman" w:hAnsi="Times New Roman" w:eastAsia="宋体"/>
                      <w:b/>
                      <w:bCs/>
                      <w:color w:val="auto"/>
                      <w:sz w:val="21"/>
                      <w:szCs w:val="21"/>
                    </w:rPr>
                    <w:t>L</w:t>
                  </w:r>
                  <w:r>
                    <w:rPr>
                      <w:rFonts w:hint="eastAsia" w:ascii="Times New Roman" w:hAnsi="Times New Roman" w:eastAsia="宋体"/>
                      <w:b/>
                      <w:bCs/>
                      <w:color w:val="auto"/>
                      <w:sz w:val="21"/>
                      <w:szCs w:val="21"/>
                    </w:rPr>
                    <w:t>（</w:t>
                  </w:r>
                  <w:r>
                    <w:rPr>
                      <w:rFonts w:ascii="Times New Roman" w:hAnsi="Times New Roman" w:eastAsia="宋体"/>
                      <w:b/>
                      <w:bCs/>
                      <w:color w:val="auto"/>
                      <w:sz w:val="21"/>
                      <w:szCs w:val="21"/>
                    </w:rPr>
                    <w:t>m</w:t>
                  </w:r>
                  <w:r>
                    <w:rPr>
                      <w:rFonts w:hint="eastAsia" w:ascii="Times New Roman" w:hAnsi="Times New Roman" w:eastAsia="宋体"/>
                      <w:b/>
                      <w:bCs/>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301" w:type="dxa"/>
                  <w:vMerge w:val="continue"/>
                  <w:tcBorders>
                    <w:top w:val="single" w:color="auto" w:sz="12" w:space="0"/>
                    <w:left w:val="nil"/>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eastAsia="宋体"/>
                      <w:b/>
                      <w:bCs/>
                      <w:color w:val="auto"/>
                      <w:sz w:val="21"/>
                      <w:szCs w:val="21"/>
                    </w:rPr>
                  </w:pPr>
                </w:p>
              </w:tc>
              <w:tc>
                <w:tcPr>
                  <w:tcW w:w="1553" w:type="dxa"/>
                  <w:vMerge w:val="continue"/>
                  <w:tcBorders>
                    <w:top w:val="single" w:color="auto" w:sz="12"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eastAsia="宋体"/>
                      <w:b/>
                      <w:bCs/>
                      <w:color w:val="auto"/>
                      <w:sz w:val="21"/>
                      <w:szCs w:val="21"/>
                    </w:rPr>
                  </w:pPr>
                </w:p>
              </w:tc>
              <w:tc>
                <w:tcPr>
                  <w:tcW w:w="213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L≤1000</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1000</w:t>
                  </w:r>
                  <w:r>
                    <w:rPr>
                      <w:rFonts w:hint="eastAsia" w:ascii="Times New Roman" w:hAnsi="Times New Roman" w:eastAsia="宋体"/>
                      <w:color w:val="auto"/>
                      <w:sz w:val="21"/>
                      <w:szCs w:val="21"/>
                    </w:rPr>
                    <w:t>＜</w:t>
                  </w:r>
                  <w:r>
                    <w:rPr>
                      <w:rFonts w:ascii="Times New Roman" w:hAnsi="Times New Roman" w:eastAsia="宋体"/>
                      <w:color w:val="auto"/>
                      <w:sz w:val="21"/>
                      <w:szCs w:val="21"/>
                    </w:rPr>
                    <w:t>L≤2000</w:t>
                  </w:r>
                </w:p>
              </w:tc>
              <w:tc>
                <w:tcPr>
                  <w:tcW w:w="2109" w:type="dxa"/>
                  <w:gridSpan w:val="3"/>
                  <w:tcBorders>
                    <w:top w:val="single" w:color="auto" w:sz="4" w:space="0"/>
                    <w:left w:val="single" w:color="auto" w:sz="4" w:space="0"/>
                    <w:bottom w:val="single" w:color="auto" w:sz="4" w:space="0"/>
                    <w:right w:val="nil"/>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L</w:t>
                  </w:r>
                  <w:r>
                    <w:rPr>
                      <w:rFonts w:hint="eastAsia" w:ascii="Times New Roman" w:hAnsi="Times New Roman" w:eastAsia="宋体"/>
                      <w:color w:val="auto"/>
                      <w:sz w:val="21"/>
                      <w:szCs w:val="21"/>
                    </w:rPr>
                    <w:t>＞</w:t>
                  </w:r>
                  <w:r>
                    <w:rPr>
                      <w:rFonts w:ascii="Times New Roman" w:hAnsi="Times New Roman" w:eastAsia="宋体"/>
                      <w:color w:val="auto"/>
                      <w:sz w:val="21"/>
                      <w:szCs w:val="21"/>
                    </w:rPr>
                    <w:t>2000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301" w:type="dxa"/>
                  <w:vMerge w:val="continue"/>
                  <w:tcBorders>
                    <w:top w:val="single" w:color="auto" w:sz="12" w:space="0"/>
                    <w:left w:val="nil"/>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eastAsia="宋体"/>
                      <w:b/>
                      <w:bCs/>
                      <w:color w:val="auto"/>
                      <w:sz w:val="21"/>
                      <w:szCs w:val="21"/>
                    </w:rPr>
                  </w:pPr>
                </w:p>
              </w:tc>
              <w:tc>
                <w:tcPr>
                  <w:tcW w:w="1553" w:type="dxa"/>
                  <w:vMerge w:val="continue"/>
                  <w:tcBorders>
                    <w:top w:val="single" w:color="auto" w:sz="12"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eastAsia="宋体"/>
                      <w:b/>
                      <w:bCs/>
                      <w:color w:val="auto"/>
                      <w:sz w:val="21"/>
                      <w:szCs w:val="21"/>
                    </w:rPr>
                  </w:pPr>
                </w:p>
              </w:tc>
              <w:tc>
                <w:tcPr>
                  <w:tcW w:w="6365" w:type="dxa"/>
                  <w:gridSpan w:val="9"/>
                  <w:tcBorders>
                    <w:top w:val="single" w:color="auto" w:sz="4" w:space="0"/>
                    <w:left w:val="single" w:color="auto" w:sz="4" w:space="0"/>
                    <w:bottom w:val="single" w:color="auto" w:sz="4" w:space="0"/>
                    <w:right w:val="nil"/>
                  </w:tcBorders>
                  <w:vAlign w:val="center"/>
                </w:tcPr>
                <w:p>
                  <w:pPr>
                    <w:spacing w:line="240" w:lineRule="auto"/>
                    <w:ind w:firstLine="0" w:firstLineChars="0"/>
                    <w:jc w:val="center"/>
                    <w:rPr>
                      <w:rFonts w:ascii="Times New Roman" w:hAnsi="Times New Roman" w:eastAsia="宋体"/>
                      <w:b/>
                      <w:bCs/>
                      <w:color w:val="auto"/>
                      <w:sz w:val="21"/>
                      <w:szCs w:val="21"/>
                    </w:rPr>
                  </w:pPr>
                  <w:r>
                    <w:rPr>
                      <w:rFonts w:hint="eastAsia" w:ascii="Times New Roman" w:hAnsi="Times New Roman" w:eastAsia="宋体"/>
                      <w:b/>
                      <w:bCs/>
                      <w:color w:val="auto"/>
                      <w:sz w:val="21"/>
                      <w:szCs w:val="21"/>
                    </w:rPr>
                    <w:t>工业大气污染源构成类别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301" w:type="dxa"/>
                  <w:vMerge w:val="continue"/>
                  <w:tcBorders>
                    <w:top w:val="single" w:color="auto" w:sz="12" w:space="0"/>
                    <w:left w:val="nil"/>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eastAsia="宋体"/>
                      <w:b/>
                      <w:bCs/>
                      <w:color w:val="auto"/>
                      <w:sz w:val="21"/>
                      <w:szCs w:val="21"/>
                    </w:rPr>
                  </w:pPr>
                </w:p>
              </w:tc>
              <w:tc>
                <w:tcPr>
                  <w:tcW w:w="1553" w:type="dxa"/>
                  <w:vMerge w:val="continue"/>
                  <w:tcBorders>
                    <w:top w:val="single" w:color="auto" w:sz="12"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eastAsia="宋体"/>
                      <w:b/>
                      <w:bCs/>
                      <w:color w:val="auto"/>
                      <w:sz w:val="21"/>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Ⅰ</w:t>
                  </w:r>
                </w:p>
              </w:tc>
              <w:tc>
                <w:tcPr>
                  <w:tcW w:w="71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Ⅱ</w:t>
                  </w:r>
                </w:p>
              </w:tc>
              <w:tc>
                <w:tcPr>
                  <w:tcW w:w="71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Ⅲ</w:t>
                  </w:r>
                </w:p>
              </w:tc>
              <w:tc>
                <w:tcPr>
                  <w:tcW w:w="7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Ⅰ</w:t>
                  </w:r>
                </w:p>
              </w:tc>
              <w:tc>
                <w:tcPr>
                  <w:tcW w:w="7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Ⅱ</w:t>
                  </w:r>
                </w:p>
              </w:tc>
              <w:tc>
                <w:tcPr>
                  <w:tcW w:w="7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Ⅲ</w:t>
                  </w:r>
                </w:p>
              </w:tc>
              <w:tc>
                <w:tcPr>
                  <w:tcW w:w="7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Ⅰ</w:t>
                  </w:r>
                </w:p>
              </w:tc>
              <w:tc>
                <w:tcPr>
                  <w:tcW w:w="7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Ⅱ</w:t>
                  </w:r>
                </w:p>
              </w:tc>
              <w:tc>
                <w:tcPr>
                  <w:tcW w:w="697" w:type="dxa"/>
                  <w:tcBorders>
                    <w:top w:val="single" w:color="auto" w:sz="4" w:space="0"/>
                    <w:left w:val="single" w:color="auto" w:sz="4" w:space="0"/>
                    <w:bottom w:val="single" w:color="auto" w:sz="4" w:space="0"/>
                    <w:right w:val="nil"/>
                  </w:tcBorders>
                  <w:vAlign w:val="center"/>
                </w:tcPr>
                <w:p>
                  <w:pPr>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301" w:type="dxa"/>
                  <w:vMerge w:val="restart"/>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A</w:t>
                  </w:r>
                </w:p>
              </w:tc>
              <w:tc>
                <w:tcPr>
                  <w:tcW w:w="15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&lt;2</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400</w:t>
                  </w:r>
                </w:p>
              </w:tc>
              <w:tc>
                <w:tcPr>
                  <w:tcW w:w="71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400</w:t>
                  </w:r>
                </w:p>
              </w:tc>
              <w:tc>
                <w:tcPr>
                  <w:tcW w:w="71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400</w:t>
                  </w:r>
                </w:p>
              </w:tc>
              <w:tc>
                <w:tcPr>
                  <w:tcW w:w="7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400</w:t>
                  </w:r>
                </w:p>
              </w:tc>
              <w:tc>
                <w:tcPr>
                  <w:tcW w:w="7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400</w:t>
                  </w:r>
                </w:p>
              </w:tc>
              <w:tc>
                <w:tcPr>
                  <w:tcW w:w="7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400</w:t>
                  </w:r>
                </w:p>
              </w:tc>
              <w:tc>
                <w:tcPr>
                  <w:tcW w:w="7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80</w:t>
                  </w:r>
                </w:p>
              </w:tc>
              <w:tc>
                <w:tcPr>
                  <w:tcW w:w="7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80</w:t>
                  </w:r>
                </w:p>
              </w:tc>
              <w:tc>
                <w:tcPr>
                  <w:tcW w:w="697" w:type="dxa"/>
                  <w:tcBorders>
                    <w:top w:val="single" w:color="auto" w:sz="4" w:space="0"/>
                    <w:left w:val="single" w:color="auto" w:sz="4" w:space="0"/>
                    <w:bottom w:val="single" w:color="auto" w:sz="4" w:space="0"/>
                    <w:right w:val="nil"/>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301" w:type="dxa"/>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eastAsia="宋体"/>
                      <w:color w:val="auto"/>
                      <w:sz w:val="21"/>
                      <w:szCs w:val="21"/>
                    </w:rPr>
                  </w:pPr>
                </w:p>
              </w:tc>
              <w:tc>
                <w:tcPr>
                  <w:tcW w:w="15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2-4</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700</w:t>
                  </w:r>
                </w:p>
              </w:tc>
              <w:tc>
                <w:tcPr>
                  <w:tcW w:w="71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470*</w:t>
                  </w:r>
                </w:p>
              </w:tc>
              <w:tc>
                <w:tcPr>
                  <w:tcW w:w="71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350</w:t>
                  </w:r>
                </w:p>
              </w:tc>
              <w:tc>
                <w:tcPr>
                  <w:tcW w:w="7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700</w:t>
                  </w:r>
                </w:p>
              </w:tc>
              <w:tc>
                <w:tcPr>
                  <w:tcW w:w="7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470</w:t>
                  </w:r>
                </w:p>
              </w:tc>
              <w:tc>
                <w:tcPr>
                  <w:tcW w:w="7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350</w:t>
                  </w:r>
                </w:p>
              </w:tc>
              <w:tc>
                <w:tcPr>
                  <w:tcW w:w="7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380</w:t>
                  </w:r>
                </w:p>
              </w:tc>
              <w:tc>
                <w:tcPr>
                  <w:tcW w:w="7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250</w:t>
                  </w:r>
                </w:p>
              </w:tc>
              <w:tc>
                <w:tcPr>
                  <w:tcW w:w="697" w:type="dxa"/>
                  <w:tcBorders>
                    <w:top w:val="single" w:color="auto" w:sz="4" w:space="0"/>
                    <w:left w:val="single" w:color="auto" w:sz="4" w:space="0"/>
                    <w:bottom w:val="single" w:color="auto" w:sz="4" w:space="0"/>
                    <w:right w:val="nil"/>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190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301" w:type="dxa"/>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eastAsia="宋体"/>
                      <w:color w:val="auto"/>
                      <w:sz w:val="21"/>
                      <w:szCs w:val="21"/>
                    </w:rPr>
                  </w:pPr>
                </w:p>
              </w:tc>
              <w:tc>
                <w:tcPr>
                  <w:tcW w:w="15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&gt;4</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530</w:t>
                  </w:r>
                </w:p>
              </w:tc>
              <w:tc>
                <w:tcPr>
                  <w:tcW w:w="71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350</w:t>
                  </w:r>
                </w:p>
              </w:tc>
              <w:tc>
                <w:tcPr>
                  <w:tcW w:w="71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260</w:t>
                  </w:r>
                </w:p>
              </w:tc>
              <w:tc>
                <w:tcPr>
                  <w:tcW w:w="7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530</w:t>
                  </w:r>
                </w:p>
              </w:tc>
              <w:tc>
                <w:tcPr>
                  <w:tcW w:w="7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350</w:t>
                  </w:r>
                </w:p>
              </w:tc>
              <w:tc>
                <w:tcPr>
                  <w:tcW w:w="7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260</w:t>
                  </w:r>
                </w:p>
              </w:tc>
              <w:tc>
                <w:tcPr>
                  <w:tcW w:w="7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290</w:t>
                  </w:r>
                </w:p>
              </w:tc>
              <w:tc>
                <w:tcPr>
                  <w:tcW w:w="7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190</w:t>
                  </w:r>
                </w:p>
              </w:tc>
              <w:tc>
                <w:tcPr>
                  <w:tcW w:w="697" w:type="dxa"/>
                  <w:tcBorders>
                    <w:top w:val="single" w:color="auto" w:sz="4" w:space="0"/>
                    <w:left w:val="single" w:color="auto" w:sz="4" w:space="0"/>
                    <w:bottom w:val="single" w:color="auto" w:sz="4" w:space="0"/>
                    <w:right w:val="nil"/>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140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301" w:type="dxa"/>
                  <w:vMerge w:val="restart"/>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B</w:t>
                  </w:r>
                </w:p>
              </w:tc>
              <w:tc>
                <w:tcPr>
                  <w:tcW w:w="15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&lt;2</w:t>
                  </w:r>
                </w:p>
              </w:tc>
              <w:tc>
                <w:tcPr>
                  <w:tcW w:w="213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0.01</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0.015</w:t>
                  </w:r>
                </w:p>
              </w:tc>
              <w:tc>
                <w:tcPr>
                  <w:tcW w:w="2109" w:type="dxa"/>
                  <w:gridSpan w:val="3"/>
                  <w:tcBorders>
                    <w:top w:val="single" w:color="auto" w:sz="4" w:space="0"/>
                    <w:left w:val="single" w:color="auto" w:sz="4" w:space="0"/>
                    <w:bottom w:val="single" w:color="auto" w:sz="4" w:space="0"/>
                    <w:right w:val="nil"/>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0.015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301" w:type="dxa"/>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eastAsia="宋体"/>
                      <w:color w:val="auto"/>
                      <w:sz w:val="21"/>
                      <w:szCs w:val="21"/>
                    </w:rPr>
                  </w:pPr>
                </w:p>
              </w:tc>
              <w:tc>
                <w:tcPr>
                  <w:tcW w:w="15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&gt;2</w:t>
                  </w:r>
                </w:p>
              </w:tc>
              <w:tc>
                <w:tcPr>
                  <w:tcW w:w="213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0.021*</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0.036</w:t>
                  </w:r>
                </w:p>
              </w:tc>
              <w:tc>
                <w:tcPr>
                  <w:tcW w:w="2109" w:type="dxa"/>
                  <w:gridSpan w:val="3"/>
                  <w:tcBorders>
                    <w:top w:val="single" w:color="auto" w:sz="4" w:space="0"/>
                    <w:left w:val="single" w:color="auto" w:sz="4" w:space="0"/>
                    <w:bottom w:val="single" w:color="auto" w:sz="4" w:space="0"/>
                    <w:right w:val="nil"/>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0.036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301" w:type="dxa"/>
                  <w:vMerge w:val="restart"/>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C</w:t>
                  </w:r>
                </w:p>
              </w:tc>
              <w:tc>
                <w:tcPr>
                  <w:tcW w:w="15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&lt;2</w:t>
                  </w:r>
                </w:p>
              </w:tc>
              <w:tc>
                <w:tcPr>
                  <w:tcW w:w="213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1.85</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1.79</w:t>
                  </w:r>
                </w:p>
              </w:tc>
              <w:tc>
                <w:tcPr>
                  <w:tcW w:w="2109" w:type="dxa"/>
                  <w:gridSpan w:val="3"/>
                  <w:tcBorders>
                    <w:top w:val="single" w:color="auto" w:sz="4" w:space="0"/>
                    <w:left w:val="single" w:color="auto" w:sz="4" w:space="0"/>
                    <w:bottom w:val="single" w:color="auto" w:sz="4" w:space="0"/>
                    <w:right w:val="nil"/>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1.79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301" w:type="dxa"/>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eastAsia="宋体"/>
                      <w:color w:val="auto"/>
                      <w:sz w:val="21"/>
                      <w:szCs w:val="21"/>
                    </w:rPr>
                  </w:pPr>
                </w:p>
              </w:tc>
              <w:tc>
                <w:tcPr>
                  <w:tcW w:w="15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&gt;2</w:t>
                  </w:r>
                </w:p>
              </w:tc>
              <w:tc>
                <w:tcPr>
                  <w:tcW w:w="213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1.85*</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1.77</w:t>
                  </w:r>
                </w:p>
              </w:tc>
              <w:tc>
                <w:tcPr>
                  <w:tcW w:w="2109" w:type="dxa"/>
                  <w:gridSpan w:val="3"/>
                  <w:tcBorders>
                    <w:top w:val="single" w:color="auto" w:sz="4" w:space="0"/>
                    <w:left w:val="single" w:color="auto" w:sz="4" w:space="0"/>
                    <w:bottom w:val="single" w:color="auto" w:sz="4" w:space="0"/>
                    <w:right w:val="nil"/>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1.77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301" w:type="dxa"/>
                  <w:vMerge w:val="restart"/>
                  <w:tcBorders>
                    <w:top w:val="single" w:color="auto" w:sz="4" w:space="0"/>
                    <w:left w:val="nil"/>
                    <w:bottom w:val="single" w:color="auto" w:sz="12"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D</w:t>
                  </w:r>
                </w:p>
              </w:tc>
              <w:tc>
                <w:tcPr>
                  <w:tcW w:w="15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&lt;2</w:t>
                  </w:r>
                </w:p>
              </w:tc>
              <w:tc>
                <w:tcPr>
                  <w:tcW w:w="213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0.78</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0.78</w:t>
                  </w:r>
                </w:p>
              </w:tc>
              <w:tc>
                <w:tcPr>
                  <w:tcW w:w="2109" w:type="dxa"/>
                  <w:gridSpan w:val="3"/>
                  <w:tcBorders>
                    <w:top w:val="single" w:color="auto" w:sz="4" w:space="0"/>
                    <w:left w:val="single" w:color="auto" w:sz="4" w:space="0"/>
                    <w:bottom w:val="single" w:color="auto" w:sz="4" w:space="0"/>
                    <w:right w:val="nil"/>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0.57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301" w:type="dxa"/>
                  <w:vMerge w:val="continue"/>
                  <w:tcBorders>
                    <w:top w:val="single" w:color="auto" w:sz="4" w:space="0"/>
                    <w:left w:val="nil"/>
                    <w:bottom w:val="single" w:color="auto" w:sz="12" w:space="0"/>
                    <w:right w:val="single" w:color="auto" w:sz="4" w:space="0"/>
                  </w:tcBorders>
                  <w:vAlign w:val="center"/>
                </w:tcPr>
                <w:p>
                  <w:pPr>
                    <w:widowControl/>
                    <w:spacing w:line="240" w:lineRule="auto"/>
                    <w:ind w:firstLine="0" w:firstLineChars="0"/>
                    <w:jc w:val="left"/>
                    <w:rPr>
                      <w:rFonts w:ascii="Times New Roman" w:hAnsi="Times New Roman" w:eastAsia="宋体"/>
                      <w:color w:val="auto"/>
                      <w:sz w:val="21"/>
                      <w:szCs w:val="21"/>
                    </w:rPr>
                  </w:pPr>
                </w:p>
              </w:tc>
              <w:tc>
                <w:tcPr>
                  <w:tcW w:w="1553" w:type="dxa"/>
                  <w:tcBorders>
                    <w:top w:val="single" w:color="auto" w:sz="4" w:space="0"/>
                    <w:left w:val="single" w:color="auto" w:sz="4" w:space="0"/>
                    <w:bottom w:val="single" w:color="auto" w:sz="12"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&gt;2</w:t>
                  </w:r>
                </w:p>
              </w:tc>
              <w:tc>
                <w:tcPr>
                  <w:tcW w:w="2138" w:type="dxa"/>
                  <w:gridSpan w:val="3"/>
                  <w:tcBorders>
                    <w:top w:val="single" w:color="auto" w:sz="4" w:space="0"/>
                    <w:left w:val="single" w:color="auto" w:sz="4" w:space="0"/>
                    <w:bottom w:val="single" w:color="auto" w:sz="12"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0.84*</w:t>
                  </w:r>
                </w:p>
              </w:tc>
              <w:tc>
                <w:tcPr>
                  <w:tcW w:w="2118" w:type="dxa"/>
                  <w:gridSpan w:val="3"/>
                  <w:tcBorders>
                    <w:top w:val="single" w:color="auto" w:sz="4" w:space="0"/>
                    <w:left w:val="single" w:color="auto" w:sz="4" w:space="0"/>
                    <w:bottom w:val="single" w:color="auto" w:sz="12" w:space="0"/>
                    <w:right w:val="single" w:color="auto" w:sz="4" w:space="0"/>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0.84</w:t>
                  </w:r>
                </w:p>
              </w:tc>
              <w:tc>
                <w:tcPr>
                  <w:tcW w:w="2109" w:type="dxa"/>
                  <w:gridSpan w:val="3"/>
                  <w:tcBorders>
                    <w:top w:val="single" w:color="auto" w:sz="4" w:space="0"/>
                    <w:left w:val="single" w:color="auto" w:sz="4" w:space="0"/>
                    <w:bottom w:val="single" w:color="auto" w:sz="12" w:space="0"/>
                    <w:right w:val="nil"/>
                  </w:tcBorders>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0.76</w:t>
                  </w:r>
                </w:p>
              </w:tc>
            </w:tr>
          </w:tbl>
          <w:p>
            <w:pPr>
              <w:ind w:firstLine="360"/>
              <w:rPr>
                <w:rFonts w:ascii="Times New Roman" w:hAnsi="Times New Roman" w:eastAsia="宋体"/>
                <w:color w:val="auto"/>
                <w:sz w:val="28"/>
                <w:szCs w:val="28"/>
              </w:rPr>
            </w:pPr>
            <w:r>
              <w:rPr>
                <w:rFonts w:hint="eastAsia" w:ascii="Times New Roman" w:hAnsi="Times New Roman" w:eastAsia="宋体"/>
                <w:color w:val="auto"/>
                <w:sz w:val="18"/>
                <w:szCs w:val="18"/>
              </w:rPr>
              <w:t>注：</w:t>
            </w:r>
            <w:r>
              <w:rPr>
                <w:rFonts w:ascii="Times New Roman" w:hAnsi="Times New Roman" w:eastAsia="宋体"/>
                <w:color w:val="auto"/>
                <w:sz w:val="18"/>
                <w:szCs w:val="18"/>
              </w:rPr>
              <w:t>*</w:t>
            </w:r>
            <w:r>
              <w:rPr>
                <w:rFonts w:hint="eastAsia" w:ascii="Times New Roman" w:hAnsi="Times New Roman" w:eastAsia="宋体"/>
                <w:color w:val="auto"/>
                <w:sz w:val="18"/>
                <w:szCs w:val="18"/>
              </w:rPr>
              <w:t>为建设项目计算取值。</w:t>
            </w:r>
          </w:p>
          <w:p>
            <w:pPr>
              <w:ind w:firstLine="480"/>
              <w:rPr>
                <w:rFonts w:ascii="Times New Roman" w:hAnsi="Times New Roman" w:eastAsia="宋体"/>
                <w:color w:val="auto"/>
                <w:sz w:val="24"/>
                <w:szCs w:val="24"/>
              </w:rPr>
            </w:pPr>
            <w:r>
              <w:rPr>
                <w:rFonts w:hint="eastAsia" w:ascii="Times New Roman" w:hAnsi="Times New Roman" w:eastAsia="宋体"/>
                <w:color w:val="auto"/>
                <w:sz w:val="24"/>
                <w:szCs w:val="24"/>
              </w:rPr>
              <w:t>源强以及计算结果见表</w:t>
            </w:r>
            <w:r>
              <w:rPr>
                <w:rFonts w:ascii="Times New Roman" w:hAnsi="Times New Roman" w:eastAsia="宋体"/>
                <w:color w:val="auto"/>
                <w:sz w:val="24"/>
                <w:szCs w:val="24"/>
              </w:rPr>
              <w:t>7</w:t>
            </w:r>
            <w:r>
              <w:rPr>
                <w:rFonts w:hint="eastAsia"/>
                <w:color w:val="auto"/>
                <w:sz w:val="24"/>
                <w:szCs w:val="24"/>
                <w:lang w:val="en-US" w:eastAsia="zh-CN"/>
              </w:rPr>
              <w:t>.6</w:t>
            </w:r>
            <w:r>
              <w:rPr>
                <w:rFonts w:ascii="Times New Roman" w:hAnsi="Times New Roman" w:eastAsia="宋体"/>
                <w:color w:val="auto"/>
                <w:sz w:val="24"/>
                <w:szCs w:val="24"/>
              </w:rPr>
              <w:t>-1</w:t>
            </w:r>
            <w:r>
              <w:rPr>
                <w:rFonts w:hint="eastAsia"/>
                <w:color w:val="auto"/>
                <w:sz w:val="24"/>
                <w:szCs w:val="24"/>
                <w:lang w:val="en-US" w:eastAsia="zh-CN"/>
              </w:rPr>
              <w:t>4</w:t>
            </w:r>
            <w:r>
              <w:rPr>
                <w:rFonts w:hint="eastAsia" w:ascii="Times New Roman" w:hAnsi="Times New Roman" w:eastAsia="宋体"/>
                <w:color w:val="auto"/>
                <w:sz w:val="24"/>
                <w:szCs w:val="24"/>
              </w:rPr>
              <w:t>。</w:t>
            </w:r>
          </w:p>
          <w:p>
            <w:pPr>
              <w:adjustRightInd w:val="0"/>
              <w:snapToGrid w:val="0"/>
              <w:spacing w:line="240" w:lineRule="auto"/>
              <w:ind w:firstLine="422"/>
              <w:jc w:val="center"/>
              <w:rPr>
                <w:rFonts w:ascii="Times New Roman" w:hAnsi="Times New Roman" w:eastAsia="宋体"/>
                <w:b/>
                <w:color w:val="auto"/>
                <w:sz w:val="21"/>
                <w:szCs w:val="21"/>
              </w:rPr>
            </w:pPr>
            <w:r>
              <w:rPr>
                <w:rFonts w:hint="eastAsia" w:ascii="Times New Roman" w:hAnsi="Times New Roman" w:eastAsia="宋体"/>
                <w:b/>
                <w:color w:val="auto"/>
                <w:sz w:val="21"/>
                <w:szCs w:val="21"/>
              </w:rPr>
              <w:t>表7</w:t>
            </w:r>
            <w:r>
              <w:rPr>
                <w:rFonts w:hint="eastAsia"/>
                <w:b/>
                <w:color w:val="auto"/>
                <w:sz w:val="21"/>
                <w:szCs w:val="21"/>
                <w:lang w:val="en-US" w:eastAsia="zh-CN"/>
              </w:rPr>
              <w:t>.6</w:t>
            </w:r>
            <w:r>
              <w:rPr>
                <w:rFonts w:hint="eastAsia" w:ascii="Times New Roman" w:hAnsi="Times New Roman" w:eastAsia="宋体"/>
                <w:b/>
                <w:color w:val="auto"/>
                <w:sz w:val="21"/>
                <w:szCs w:val="21"/>
              </w:rPr>
              <w:t>-1</w:t>
            </w:r>
            <w:r>
              <w:rPr>
                <w:rFonts w:hint="eastAsia"/>
                <w:b/>
                <w:color w:val="auto"/>
                <w:sz w:val="21"/>
                <w:szCs w:val="21"/>
                <w:lang w:val="en-US" w:eastAsia="zh-CN"/>
              </w:rPr>
              <w:t>4</w:t>
            </w:r>
            <w:r>
              <w:rPr>
                <w:rFonts w:hint="eastAsia" w:ascii="Times New Roman" w:hAnsi="Times New Roman" w:eastAsia="宋体"/>
                <w:b/>
                <w:color w:val="auto"/>
                <w:sz w:val="21"/>
                <w:szCs w:val="21"/>
              </w:rPr>
              <w:t xml:space="preserve">  环境防护距离及卫生防护距离计算结果</w:t>
            </w:r>
          </w:p>
          <w:tbl>
            <w:tblPr>
              <w:tblStyle w:val="43"/>
              <w:tblW w:w="9303"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79"/>
              <w:gridCol w:w="1361"/>
              <w:gridCol w:w="869"/>
              <w:gridCol w:w="819"/>
              <w:gridCol w:w="894"/>
              <w:gridCol w:w="895"/>
              <w:gridCol w:w="1398"/>
              <w:gridCol w:w="996"/>
              <w:gridCol w:w="99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079" w:type="dxa"/>
                  <w:tcBorders>
                    <w:tl2br w:val="nil"/>
                    <w:tr2bl w:val="nil"/>
                  </w:tcBorders>
                  <w:noWrap/>
                  <w:vAlign w:val="center"/>
                </w:tcPr>
                <w:p>
                  <w:pPr>
                    <w:widowControl/>
                    <w:spacing w:line="240" w:lineRule="auto"/>
                    <w:ind w:firstLine="0" w:firstLineChars="0"/>
                    <w:jc w:val="center"/>
                    <w:rPr>
                      <w:rFonts w:ascii="Times New Roman" w:hAnsi="Times New Roman" w:eastAsia="宋体"/>
                      <w:b/>
                      <w:color w:val="auto"/>
                      <w:kern w:val="0"/>
                      <w:sz w:val="21"/>
                      <w:szCs w:val="21"/>
                    </w:rPr>
                  </w:pPr>
                  <w:r>
                    <w:rPr>
                      <w:rFonts w:hint="eastAsia" w:ascii="Times New Roman" w:hAnsi="Times New Roman" w:eastAsia="宋体"/>
                      <w:b/>
                      <w:color w:val="auto"/>
                      <w:kern w:val="0"/>
                      <w:sz w:val="21"/>
                      <w:szCs w:val="21"/>
                    </w:rPr>
                    <w:t>污染源</w:t>
                  </w:r>
                </w:p>
                <w:p>
                  <w:pPr>
                    <w:widowControl/>
                    <w:spacing w:line="240" w:lineRule="auto"/>
                    <w:ind w:firstLine="0" w:firstLineChars="0"/>
                    <w:jc w:val="center"/>
                    <w:rPr>
                      <w:rFonts w:ascii="Times New Roman" w:hAnsi="Times New Roman" w:eastAsia="宋体"/>
                      <w:b/>
                      <w:color w:val="auto"/>
                      <w:kern w:val="0"/>
                      <w:sz w:val="21"/>
                      <w:szCs w:val="21"/>
                    </w:rPr>
                  </w:pPr>
                  <w:r>
                    <w:rPr>
                      <w:rFonts w:hint="eastAsia" w:ascii="Times New Roman" w:hAnsi="Times New Roman" w:eastAsia="宋体"/>
                      <w:b/>
                      <w:color w:val="auto"/>
                      <w:kern w:val="0"/>
                      <w:sz w:val="21"/>
                      <w:szCs w:val="21"/>
                    </w:rPr>
                    <w:t>类型</w:t>
                  </w:r>
                </w:p>
              </w:tc>
              <w:tc>
                <w:tcPr>
                  <w:tcW w:w="1361" w:type="dxa"/>
                  <w:tcBorders>
                    <w:tl2br w:val="nil"/>
                    <w:tr2bl w:val="nil"/>
                  </w:tcBorders>
                  <w:noWrap/>
                  <w:vAlign w:val="center"/>
                </w:tcPr>
                <w:p>
                  <w:pPr>
                    <w:widowControl/>
                    <w:spacing w:line="240" w:lineRule="auto"/>
                    <w:ind w:firstLine="0" w:firstLineChars="0"/>
                    <w:jc w:val="center"/>
                    <w:rPr>
                      <w:rFonts w:ascii="Times New Roman" w:hAnsi="Times New Roman" w:eastAsia="宋体"/>
                      <w:b/>
                      <w:color w:val="auto"/>
                      <w:kern w:val="0"/>
                      <w:sz w:val="21"/>
                      <w:szCs w:val="21"/>
                    </w:rPr>
                  </w:pPr>
                  <w:r>
                    <w:rPr>
                      <w:rFonts w:hint="eastAsia" w:ascii="Times New Roman" w:hAnsi="Times New Roman" w:eastAsia="宋体"/>
                      <w:b/>
                      <w:color w:val="auto"/>
                      <w:kern w:val="0"/>
                      <w:sz w:val="21"/>
                      <w:szCs w:val="21"/>
                    </w:rPr>
                    <w:t>污染物</w:t>
                  </w:r>
                </w:p>
              </w:tc>
              <w:tc>
                <w:tcPr>
                  <w:tcW w:w="869" w:type="dxa"/>
                  <w:tcBorders>
                    <w:tl2br w:val="nil"/>
                    <w:tr2bl w:val="nil"/>
                  </w:tcBorders>
                  <w:noWrap/>
                  <w:vAlign w:val="center"/>
                </w:tcPr>
                <w:p>
                  <w:pPr>
                    <w:widowControl/>
                    <w:spacing w:line="240" w:lineRule="auto"/>
                    <w:ind w:firstLine="0" w:firstLineChars="0"/>
                    <w:jc w:val="center"/>
                    <w:rPr>
                      <w:rFonts w:ascii="Times New Roman" w:hAnsi="Times New Roman" w:eastAsia="宋体"/>
                      <w:b/>
                      <w:color w:val="auto"/>
                      <w:kern w:val="0"/>
                      <w:sz w:val="21"/>
                      <w:szCs w:val="21"/>
                    </w:rPr>
                  </w:pPr>
                  <w:r>
                    <w:rPr>
                      <w:rFonts w:hint="eastAsia" w:ascii="Times New Roman" w:hAnsi="Times New Roman" w:eastAsia="宋体"/>
                      <w:b/>
                      <w:color w:val="auto"/>
                      <w:kern w:val="0"/>
                      <w:sz w:val="21"/>
                      <w:szCs w:val="21"/>
                    </w:rPr>
                    <w:t>参数</w:t>
                  </w:r>
                  <w:r>
                    <w:rPr>
                      <w:rFonts w:ascii="Times New Roman" w:hAnsi="Times New Roman" w:eastAsia="宋体"/>
                      <w:b/>
                      <w:color w:val="auto"/>
                      <w:kern w:val="0"/>
                      <w:sz w:val="21"/>
                      <w:szCs w:val="21"/>
                    </w:rPr>
                    <w:t>A</w:t>
                  </w:r>
                </w:p>
              </w:tc>
              <w:tc>
                <w:tcPr>
                  <w:tcW w:w="819" w:type="dxa"/>
                  <w:tcBorders>
                    <w:tl2br w:val="nil"/>
                    <w:tr2bl w:val="nil"/>
                  </w:tcBorders>
                  <w:noWrap/>
                  <w:vAlign w:val="center"/>
                </w:tcPr>
                <w:p>
                  <w:pPr>
                    <w:widowControl/>
                    <w:spacing w:line="240" w:lineRule="auto"/>
                    <w:ind w:firstLine="0" w:firstLineChars="0"/>
                    <w:jc w:val="center"/>
                    <w:rPr>
                      <w:rFonts w:ascii="Times New Roman" w:hAnsi="Times New Roman" w:eastAsia="宋体"/>
                      <w:b/>
                      <w:color w:val="auto"/>
                      <w:kern w:val="0"/>
                      <w:sz w:val="21"/>
                      <w:szCs w:val="21"/>
                    </w:rPr>
                  </w:pPr>
                  <w:r>
                    <w:rPr>
                      <w:rFonts w:hint="eastAsia" w:ascii="Times New Roman" w:hAnsi="Times New Roman" w:eastAsia="宋体"/>
                      <w:b/>
                      <w:color w:val="auto"/>
                      <w:kern w:val="0"/>
                      <w:sz w:val="21"/>
                      <w:szCs w:val="21"/>
                    </w:rPr>
                    <w:t>参数</w:t>
                  </w:r>
                  <w:r>
                    <w:rPr>
                      <w:rFonts w:ascii="Times New Roman" w:hAnsi="Times New Roman" w:eastAsia="宋体"/>
                      <w:b/>
                      <w:color w:val="auto"/>
                      <w:kern w:val="0"/>
                      <w:sz w:val="21"/>
                      <w:szCs w:val="21"/>
                    </w:rPr>
                    <w:t>B</w:t>
                  </w:r>
                </w:p>
              </w:tc>
              <w:tc>
                <w:tcPr>
                  <w:tcW w:w="894" w:type="dxa"/>
                  <w:tcBorders>
                    <w:tl2br w:val="nil"/>
                    <w:tr2bl w:val="nil"/>
                  </w:tcBorders>
                  <w:noWrap/>
                  <w:vAlign w:val="center"/>
                </w:tcPr>
                <w:p>
                  <w:pPr>
                    <w:widowControl/>
                    <w:spacing w:line="240" w:lineRule="auto"/>
                    <w:ind w:firstLine="0" w:firstLineChars="0"/>
                    <w:jc w:val="center"/>
                    <w:rPr>
                      <w:rFonts w:ascii="Times New Roman" w:hAnsi="Times New Roman" w:eastAsia="宋体"/>
                      <w:b/>
                      <w:color w:val="auto"/>
                      <w:kern w:val="0"/>
                      <w:sz w:val="21"/>
                      <w:szCs w:val="21"/>
                    </w:rPr>
                  </w:pPr>
                  <w:r>
                    <w:rPr>
                      <w:rFonts w:hint="eastAsia" w:ascii="Times New Roman" w:hAnsi="Times New Roman" w:eastAsia="宋体"/>
                      <w:b/>
                      <w:color w:val="auto"/>
                      <w:kern w:val="0"/>
                      <w:sz w:val="21"/>
                      <w:szCs w:val="21"/>
                    </w:rPr>
                    <w:t>参数</w:t>
                  </w:r>
                  <w:r>
                    <w:rPr>
                      <w:rFonts w:ascii="Times New Roman" w:hAnsi="Times New Roman" w:eastAsia="宋体"/>
                      <w:b/>
                      <w:color w:val="auto"/>
                      <w:kern w:val="0"/>
                      <w:sz w:val="21"/>
                      <w:szCs w:val="21"/>
                    </w:rPr>
                    <w:t>C</w:t>
                  </w:r>
                </w:p>
              </w:tc>
              <w:tc>
                <w:tcPr>
                  <w:tcW w:w="895" w:type="dxa"/>
                  <w:tcBorders>
                    <w:tl2br w:val="nil"/>
                    <w:tr2bl w:val="nil"/>
                  </w:tcBorders>
                  <w:noWrap/>
                  <w:vAlign w:val="center"/>
                </w:tcPr>
                <w:p>
                  <w:pPr>
                    <w:widowControl/>
                    <w:spacing w:line="240" w:lineRule="auto"/>
                    <w:ind w:firstLine="0" w:firstLineChars="0"/>
                    <w:jc w:val="center"/>
                    <w:rPr>
                      <w:rFonts w:ascii="Times New Roman" w:hAnsi="Times New Roman" w:eastAsia="宋体"/>
                      <w:b/>
                      <w:color w:val="auto"/>
                      <w:kern w:val="0"/>
                      <w:sz w:val="21"/>
                      <w:szCs w:val="21"/>
                    </w:rPr>
                  </w:pPr>
                  <w:r>
                    <w:rPr>
                      <w:rFonts w:hint="eastAsia" w:ascii="Times New Roman" w:hAnsi="Times New Roman" w:eastAsia="宋体"/>
                      <w:b/>
                      <w:color w:val="auto"/>
                      <w:kern w:val="0"/>
                      <w:sz w:val="21"/>
                      <w:szCs w:val="21"/>
                    </w:rPr>
                    <w:t>参数</w:t>
                  </w:r>
                  <w:r>
                    <w:rPr>
                      <w:rFonts w:ascii="Times New Roman" w:hAnsi="Times New Roman" w:eastAsia="宋体"/>
                      <w:b/>
                      <w:color w:val="auto"/>
                      <w:kern w:val="0"/>
                      <w:sz w:val="21"/>
                      <w:szCs w:val="21"/>
                    </w:rPr>
                    <w:t>D</w:t>
                  </w:r>
                </w:p>
              </w:tc>
              <w:tc>
                <w:tcPr>
                  <w:tcW w:w="1398" w:type="dxa"/>
                  <w:tcBorders>
                    <w:tl2br w:val="nil"/>
                    <w:tr2bl w:val="nil"/>
                  </w:tcBorders>
                  <w:noWrap/>
                  <w:vAlign w:val="center"/>
                </w:tcPr>
                <w:p>
                  <w:pPr>
                    <w:widowControl/>
                    <w:spacing w:line="240" w:lineRule="auto"/>
                    <w:ind w:firstLine="0" w:firstLineChars="0"/>
                    <w:jc w:val="center"/>
                    <w:rPr>
                      <w:rFonts w:ascii="Times New Roman" w:hAnsi="Times New Roman" w:eastAsia="宋体"/>
                      <w:b/>
                      <w:color w:val="auto"/>
                      <w:kern w:val="0"/>
                      <w:sz w:val="21"/>
                      <w:szCs w:val="21"/>
                    </w:rPr>
                  </w:pPr>
                  <w:r>
                    <w:rPr>
                      <w:rFonts w:hint="eastAsia" w:ascii="Times New Roman" w:hAnsi="Times New Roman" w:eastAsia="宋体"/>
                      <w:b/>
                      <w:color w:val="auto"/>
                      <w:kern w:val="0"/>
                      <w:sz w:val="21"/>
                      <w:szCs w:val="21"/>
                    </w:rPr>
                    <w:t>卫生防护距离计算值</w:t>
                  </w:r>
                  <w:r>
                    <w:rPr>
                      <w:rFonts w:ascii="Times New Roman" w:hAnsi="Times New Roman" w:eastAsia="宋体"/>
                      <w:b/>
                      <w:color w:val="auto"/>
                      <w:kern w:val="0"/>
                      <w:sz w:val="21"/>
                      <w:szCs w:val="21"/>
                    </w:rPr>
                    <w:t>(m)</w:t>
                  </w:r>
                </w:p>
              </w:tc>
              <w:tc>
                <w:tcPr>
                  <w:tcW w:w="996" w:type="dxa"/>
                  <w:tcBorders>
                    <w:tl2br w:val="nil"/>
                    <w:tr2bl w:val="nil"/>
                  </w:tcBorders>
                  <w:vAlign w:val="center"/>
                </w:tcPr>
                <w:p>
                  <w:pPr>
                    <w:widowControl/>
                    <w:spacing w:line="240" w:lineRule="auto"/>
                    <w:ind w:firstLine="0" w:firstLineChars="0"/>
                    <w:jc w:val="center"/>
                    <w:rPr>
                      <w:rFonts w:ascii="Times New Roman" w:hAnsi="Times New Roman" w:eastAsia="宋体"/>
                      <w:b/>
                      <w:color w:val="auto"/>
                      <w:kern w:val="0"/>
                      <w:sz w:val="21"/>
                      <w:szCs w:val="21"/>
                    </w:rPr>
                  </w:pPr>
                  <w:r>
                    <w:rPr>
                      <w:rFonts w:hint="eastAsia" w:ascii="Times New Roman" w:hAnsi="Times New Roman" w:eastAsia="宋体"/>
                      <w:b/>
                      <w:color w:val="auto"/>
                      <w:kern w:val="0"/>
                      <w:sz w:val="21"/>
                      <w:szCs w:val="21"/>
                    </w:rPr>
                    <w:t>卫生防护距离</w:t>
                  </w:r>
                  <w:r>
                    <w:rPr>
                      <w:rFonts w:ascii="Times New Roman" w:hAnsi="Times New Roman" w:eastAsia="宋体"/>
                      <w:b/>
                      <w:color w:val="auto"/>
                      <w:kern w:val="0"/>
                      <w:sz w:val="21"/>
                      <w:szCs w:val="21"/>
                    </w:rPr>
                    <w:t>(m)</w:t>
                  </w:r>
                </w:p>
              </w:tc>
              <w:tc>
                <w:tcPr>
                  <w:tcW w:w="992" w:type="dxa"/>
                  <w:tcBorders>
                    <w:tl2br w:val="nil"/>
                    <w:tr2bl w:val="nil"/>
                  </w:tcBorders>
                  <w:vAlign w:val="center"/>
                </w:tcPr>
                <w:p>
                  <w:pPr>
                    <w:widowControl/>
                    <w:spacing w:line="240" w:lineRule="auto"/>
                    <w:ind w:firstLine="0" w:firstLineChars="0"/>
                    <w:jc w:val="center"/>
                    <w:rPr>
                      <w:rFonts w:hint="eastAsia" w:ascii="Times New Roman" w:hAnsi="Times New Roman" w:eastAsia="宋体"/>
                      <w:b/>
                      <w:color w:val="auto"/>
                      <w:kern w:val="0"/>
                      <w:sz w:val="21"/>
                      <w:szCs w:val="21"/>
                    </w:rPr>
                  </w:pPr>
                  <w:r>
                    <w:rPr>
                      <w:rFonts w:ascii="Times New Roman" w:hAnsi="Times New Roman" w:eastAsia="宋体"/>
                      <w:b/>
                      <w:color w:val="auto"/>
                      <w:kern w:val="0"/>
                      <w:sz w:val="21"/>
                      <w:szCs w:val="21"/>
                    </w:rPr>
                    <w:t>最终取值（m）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079" w:type="dxa"/>
                  <w:vMerge w:val="restart"/>
                  <w:tcBorders>
                    <w:tl2br w:val="nil"/>
                    <w:tr2bl w:val="nil"/>
                  </w:tcBorders>
                  <w:noWrap/>
                  <w:vAlign w:val="center"/>
                </w:tcPr>
                <w:p>
                  <w:pPr>
                    <w:pStyle w:val="151"/>
                    <w:ind w:left="0" w:leftChars="0" w:firstLine="0" w:firstLineChars="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生产区</w:t>
                  </w:r>
                </w:p>
              </w:tc>
              <w:tc>
                <w:tcPr>
                  <w:tcW w:w="1361" w:type="dxa"/>
                  <w:tcBorders>
                    <w:tl2br w:val="nil"/>
                    <w:tr2bl w:val="nil"/>
                  </w:tcBorders>
                  <w:noWrap/>
                  <w:vAlign w:val="center"/>
                </w:tcPr>
                <w:p>
                  <w:pPr>
                    <w:pStyle w:val="155"/>
                    <w:spacing w:line="240" w:lineRule="auto"/>
                    <w:ind w:firstLine="0" w:firstLineChars="0"/>
                    <w:rPr>
                      <w:rFonts w:ascii="Times New Roman" w:hAnsi="Times New Roman" w:eastAsia="宋体"/>
                      <w:color w:val="auto"/>
                      <w:kern w:val="2"/>
                      <w:sz w:val="21"/>
                      <w:szCs w:val="21"/>
                      <w:lang w:eastAsia="zh-CN"/>
                    </w:rPr>
                  </w:pPr>
                  <w:r>
                    <w:rPr>
                      <w:rFonts w:hint="eastAsia" w:ascii="Times New Roman" w:hAnsi="Times New Roman" w:eastAsia="宋体"/>
                      <w:color w:val="auto"/>
                      <w:kern w:val="2"/>
                      <w:sz w:val="21"/>
                      <w:szCs w:val="21"/>
                      <w:lang w:eastAsia="zh-CN"/>
                    </w:rPr>
                    <w:t>颗粒物</w:t>
                  </w:r>
                </w:p>
              </w:tc>
              <w:tc>
                <w:tcPr>
                  <w:tcW w:w="869" w:type="dxa"/>
                  <w:vMerge w:val="restart"/>
                  <w:tcBorders>
                    <w:tl2br w:val="nil"/>
                    <w:tr2bl w:val="nil"/>
                  </w:tcBorders>
                  <w:noWrap/>
                  <w:vAlign w:val="center"/>
                </w:tcPr>
                <w:p>
                  <w:pPr>
                    <w:widowControl/>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470</w:t>
                  </w:r>
                </w:p>
              </w:tc>
              <w:tc>
                <w:tcPr>
                  <w:tcW w:w="819" w:type="dxa"/>
                  <w:vMerge w:val="restart"/>
                  <w:tcBorders>
                    <w:tl2br w:val="nil"/>
                    <w:tr2bl w:val="nil"/>
                  </w:tcBorders>
                  <w:noWrap/>
                  <w:vAlign w:val="center"/>
                </w:tcPr>
                <w:p>
                  <w:pPr>
                    <w:widowControl/>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0.021</w:t>
                  </w:r>
                </w:p>
              </w:tc>
              <w:tc>
                <w:tcPr>
                  <w:tcW w:w="894" w:type="dxa"/>
                  <w:vMerge w:val="restart"/>
                  <w:tcBorders>
                    <w:tl2br w:val="nil"/>
                    <w:tr2bl w:val="nil"/>
                  </w:tcBorders>
                  <w:noWrap/>
                  <w:vAlign w:val="center"/>
                </w:tcPr>
                <w:p>
                  <w:pPr>
                    <w:widowControl/>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1.85</w:t>
                  </w:r>
                </w:p>
              </w:tc>
              <w:tc>
                <w:tcPr>
                  <w:tcW w:w="895" w:type="dxa"/>
                  <w:vMerge w:val="restart"/>
                  <w:tcBorders>
                    <w:tl2br w:val="nil"/>
                    <w:tr2bl w:val="nil"/>
                  </w:tcBorders>
                  <w:noWrap/>
                  <w:vAlign w:val="center"/>
                </w:tcPr>
                <w:p>
                  <w:pPr>
                    <w:widowControl/>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0.84</w:t>
                  </w:r>
                </w:p>
              </w:tc>
              <w:tc>
                <w:tcPr>
                  <w:tcW w:w="1398" w:type="dxa"/>
                  <w:tcBorders>
                    <w:tl2br w:val="nil"/>
                    <w:tr2bl w:val="nil"/>
                  </w:tcBorders>
                  <w:noWrap/>
                  <w:vAlign w:val="center"/>
                </w:tcPr>
                <w:p>
                  <w:pPr>
                    <w:widowControl/>
                    <w:spacing w:line="240" w:lineRule="auto"/>
                    <w:ind w:firstLine="0" w:firstLineChars="0"/>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4.098</w:t>
                  </w:r>
                </w:p>
              </w:tc>
              <w:tc>
                <w:tcPr>
                  <w:tcW w:w="996" w:type="dxa"/>
                  <w:tcBorders>
                    <w:tl2br w:val="nil"/>
                    <w:tr2bl w:val="nil"/>
                  </w:tcBorders>
                  <w:vAlign w:val="center"/>
                </w:tcPr>
                <w:p>
                  <w:pPr>
                    <w:widowControl/>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50</w:t>
                  </w:r>
                </w:p>
              </w:tc>
              <w:tc>
                <w:tcPr>
                  <w:tcW w:w="992" w:type="dxa"/>
                  <w:vMerge w:val="restart"/>
                  <w:tcBorders>
                    <w:tl2br w:val="nil"/>
                    <w:tr2bl w:val="nil"/>
                  </w:tcBorders>
                  <w:vAlign w:val="center"/>
                </w:tcPr>
                <w:p>
                  <w:pPr>
                    <w:widowControl/>
                    <w:spacing w:line="240" w:lineRule="auto"/>
                    <w:ind w:firstLine="0" w:firstLineChars="0"/>
                    <w:jc w:val="center"/>
                    <w:rPr>
                      <w:rFonts w:hint="default" w:ascii="Times New Roman" w:hAnsi="Times New Roman" w:eastAsia="宋体"/>
                      <w:color w:val="auto"/>
                      <w:kern w:val="0"/>
                      <w:sz w:val="21"/>
                      <w:szCs w:val="21"/>
                      <w:lang w:val="en-US" w:eastAsia="zh-CN"/>
                    </w:rPr>
                  </w:pPr>
                  <w:r>
                    <w:rPr>
                      <w:rFonts w:hint="eastAsia" w:ascii="Times New Roman" w:hAnsi="Times New Roman"/>
                      <w:color w:val="auto"/>
                      <w:kern w:val="0"/>
                      <w:sz w:val="21"/>
                      <w:szCs w:val="21"/>
                      <w:lang w:val="en-US" w:eastAsia="zh-CN"/>
                    </w:rPr>
                    <w:t>25</w:t>
                  </w:r>
                  <w:r>
                    <w:rPr>
                      <w:rFonts w:hint="eastAsia" w:ascii="Times New Roman" w:hAnsi="Times New Roman" w:eastAsia="宋体"/>
                      <w:color w:val="auto"/>
                      <w:kern w:val="0"/>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079" w:type="dxa"/>
                  <w:vMerge w:val="continue"/>
                  <w:tcBorders>
                    <w:tl2br w:val="nil"/>
                    <w:tr2bl w:val="nil"/>
                  </w:tcBorders>
                  <w:noWrap/>
                  <w:vAlign w:val="center"/>
                </w:tcPr>
                <w:p>
                  <w:pPr>
                    <w:pStyle w:val="151"/>
                    <w:rPr>
                      <w:rFonts w:hint="eastAsia" w:ascii="Times New Roman" w:hAnsi="Times New Roman" w:eastAsia="宋体"/>
                      <w:color w:val="auto"/>
                      <w:kern w:val="2"/>
                      <w:sz w:val="21"/>
                      <w:szCs w:val="21"/>
                    </w:rPr>
                  </w:pPr>
                </w:p>
              </w:tc>
              <w:tc>
                <w:tcPr>
                  <w:tcW w:w="1361" w:type="dxa"/>
                  <w:tcBorders>
                    <w:tl2br w:val="nil"/>
                    <w:tr2bl w:val="nil"/>
                  </w:tcBorders>
                  <w:noWrap/>
                  <w:vAlign w:val="center"/>
                </w:tcPr>
                <w:p>
                  <w:pPr>
                    <w:pStyle w:val="220"/>
                    <w:spacing w:line="320" w:lineRule="exact"/>
                    <w:ind w:firstLine="0" w:firstLineChars="0"/>
                    <w:rPr>
                      <w:rFonts w:hint="eastAsia" w:ascii="Times New Roman" w:hAnsi="Times New Roman" w:eastAsia="宋体"/>
                      <w:color w:val="auto"/>
                      <w:kern w:val="2"/>
                      <w:sz w:val="21"/>
                      <w:szCs w:val="21"/>
                      <w:lang w:eastAsia="zh-CN"/>
                    </w:rPr>
                  </w:pPr>
                  <w:r>
                    <w:rPr>
                      <w:rFonts w:ascii="Times New Roman" w:hAnsi="Times New Roman" w:eastAsia="宋体"/>
                      <w:color w:val="auto"/>
                    </w:rPr>
                    <w:t>SO</w:t>
                  </w:r>
                  <w:r>
                    <w:rPr>
                      <w:rFonts w:ascii="Times New Roman" w:hAnsi="Times New Roman" w:eastAsia="宋体"/>
                      <w:color w:val="auto"/>
                      <w:vertAlign w:val="subscript"/>
                    </w:rPr>
                    <w:t>2</w:t>
                  </w:r>
                </w:p>
              </w:tc>
              <w:tc>
                <w:tcPr>
                  <w:tcW w:w="869" w:type="dxa"/>
                  <w:vMerge w:val="continue"/>
                  <w:tcBorders>
                    <w:tl2br w:val="nil"/>
                    <w:tr2bl w:val="nil"/>
                  </w:tcBorders>
                  <w:noWrap/>
                  <w:vAlign w:val="center"/>
                </w:tcPr>
                <w:p>
                  <w:pPr>
                    <w:widowControl/>
                    <w:spacing w:line="240" w:lineRule="auto"/>
                    <w:ind w:firstLine="0" w:firstLineChars="0"/>
                    <w:jc w:val="center"/>
                    <w:rPr>
                      <w:rFonts w:ascii="Times New Roman" w:hAnsi="Times New Roman" w:eastAsia="宋体"/>
                      <w:color w:val="auto"/>
                      <w:kern w:val="0"/>
                      <w:sz w:val="21"/>
                      <w:szCs w:val="21"/>
                    </w:rPr>
                  </w:pPr>
                </w:p>
              </w:tc>
              <w:tc>
                <w:tcPr>
                  <w:tcW w:w="819" w:type="dxa"/>
                  <w:vMerge w:val="continue"/>
                  <w:tcBorders>
                    <w:tl2br w:val="nil"/>
                    <w:tr2bl w:val="nil"/>
                  </w:tcBorders>
                  <w:noWrap/>
                  <w:vAlign w:val="center"/>
                </w:tcPr>
                <w:p>
                  <w:pPr>
                    <w:widowControl/>
                    <w:spacing w:line="240" w:lineRule="auto"/>
                    <w:ind w:firstLine="0" w:firstLineChars="0"/>
                    <w:jc w:val="center"/>
                    <w:rPr>
                      <w:rFonts w:ascii="Times New Roman" w:hAnsi="Times New Roman" w:eastAsia="宋体"/>
                      <w:color w:val="auto"/>
                      <w:kern w:val="0"/>
                      <w:sz w:val="21"/>
                      <w:szCs w:val="21"/>
                    </w:rPr>
                  </w:pPr>
                </w:p>
              </w:tc>
              <w:tc>
                <w:tcPr>
                  <w:tcW w:w="894" w:type="dxa"/>
                  <w:vMerge w:val="continue"/>
                  <w:tcBorders>
                    <w:tl2br w:val="nil"/>
                    <w:tr2bl w:val="nil"/>
                  </w:tcBorders>
                  <w:noWrap/>
                  <w:vAlign w:val="center"/>
                </w:tcPr>
                <w:p>
                  <w:pPr>
                    <w:widowControl/>
                    <w:spacing w:line="240" w:lineRule="auto"/>
                    <w:ind w:firstLine="0" w:firstLineChars="0"/>
                    <w:jc w:val="center"/>
                    <w:rPr>
                      <w:rFonts w:ascii="Times New Roman" w:hAnsi="Times New Roman" w:eastAsia="宋体"/>
                      <w:color w:val="auto"/>
                      <w:kern w:val="0"/>
                      <w:sz w:val="21"/>
                      <w:szCs w:val="21"/>
                    </w:rPr>
                  </w:pPr>
                </w:p>
              </w:tc>
              <w:tc>
                <w:tcPr>
                  <w:tcW w:w="895" w:type="dxa"/>
                  <w:vMerge w:val="continue"/>
                  <w:tcBorders>
                    <w:tl2br w:val="nil"/>
                    <w:tr2bl w:val="nil"/>
                  </w:tcBorders>
                  <w:noWrap/>
                  <w:vAlign w:val="center"/>
                </w:tcPr>
                <w:p>
                  <w:pPr>
                    <w:widowControl/>
                    <w:spacing w:line="240" w:lineRule="auto"/>
                    <w:ind w:firstLine="0" w:firstLineChars="0"/>
                    <w:jc w:val="center"/>
                    <w:rPr>
                      <w:rFonts w:ascii="Times New Roman" w:hAnsi="Times New Roman" w:eastAsia="宋体"/>
                      <w:color w:val="auto"/>
                      <w:kern w:val="0"/>
                      <w:sz w:val="21"/>
                      <w:szCs w:val="21"/>
                    </w:rPr>
                  </w:pPr>
                </w:p>
              </w:tc>
              <w:tc>
                <w:tcPr>
                  <w:tcW w:w="1398" w:type="dxa"/>
                  <w:tcBorders>
                    <w:tl2br w:val="nil"/>
                    <w:tr2bl w:val="nil"/>
                  </w:tcBorders>
                  <w:noWrap/>
                  <w:vAlign w:val="center"/>
                </w:tcPr>
                <w:p>
                  <w:pPr>
                    <w:widowControl/>
                    <w:spacing w:line="240" w:lineRule="auto"/>
                    <w:ind w:firstLine="0" w:firstLineChars="0"/>
                    <w:jc w:val="center"/>
                    <w:rPr>
                      <w:rFonts w:hint="default" w:ascii="Times New Roman" w:hAnsi="Times New Roman" w:eastAsia="宋体"/>
                      <w:color w:val="auto"/>
                      <w:kern w:val="0"/>
                      <w:sz w:val="21"/>
                      <w:szCs w:val="21"/>
                      <w:lang w:val="en-US" w:eastAsia="zh-CN"/>
                    </w:rPr>
                  </w:pPr>
                  <w:r>
                    <w:rPr>
                      <w:rFonts w:hint="eastAsia"/>
                      <w:color w:val="auto"/>
                      <w:kern w:val="0"/>
                      <w:sz w:val="21"/>
                      <w:szCs w:val="21"/>
                      <w:lang w:val="en-US" w:eastAsia="zh-CN"/>
                    </w:rPr>
                    <w:t>3.356</w:t>
                  </w:r>
                </w:p>
              </w:tc>
              <w:tc>
                <w:tcPr>
                  <w:tcW w:w="996" w:type="dxa"/>
                  <w:tcBorders>
                    <w:tl2br w:val="nil"/>
                    <w:tr2bl w:val="nil"/>
                  </w:tcBorders>
                  <w:vAlign w:val="center"/>
                </w:tcPr>
                <w:p>
                  <w:pPr>
                    <w:widowControl/>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50</w:t>
                  </w:r>
                </w:p>
              </w:tc>
              <w:tc>
                <w:tcPr>
                  <w:tcW w:w="992" w:type="dxa"/>
                  <w:vMerge w:val="continue"/>
                  <w:tcBorders>
                    <w:tl2br w:val="nil"/>
                    <w:tr2bl w:val="nil"/>
                  </w:tcBorders>
                  <w:vAlign w:val="center"/>
                </w:tcPr>
                <w:p>
                  <w:pPr>
                    <w:widowControl/>
                    <w:spacing w:line="240" w:lineRule="auto"/>
                    <w:ind w:firstLine="0" w:firstLineChars="0"/>
                    <w:jc w:val="center"/>
                    <w:rPr>
                      <w:rFonts w:hint="eastAsia" w:ascii="Times New Roman" w:hAnsi="Times New Roman" w:eastAsia="宋体"/>
                      <w:color w:val="auto"/>
                      <w:kern w:val="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079" w:type="dxa"/>
                  <w:vMerge w:val="continue"/>
                  <w:tcBorders>
                    <w:tl2br w:val="nil"/>
                    <w:tr2bl w:val="nil"/>
                  </w:tcBorders>
                  <w:noWrap/>
                  <w:vAlign w:val="center"/>
                </w:tcPr>
                <w:p>
                  <w:pPr>
                    <w:pStyle w:val="151"/>
                    <w:rPr>
                      <w:rFonts w:hint="eastAsia" w:ascii="Times New Roman" w:hAnsi="Times New Roman" w:eastAsia="宋体"/>
                      <w:color w:val="auto"/>
                      <w:kern w:val="2"/>
                      <w:sz w:val="21"/>
                      <w:szCs w:val="21"/>
                    </w:rPr>
                  </w:pPr>
                </w:p>
              </w:tc>
              <w:tc>
                <w:tcPr>
                  <w:tcW w:w="1361" w:type="dxa"/>
                  <w:tcBorders>
                    <w:tl2br w:val="nil"/>
                    <w:tr2bl w:val="nil"/>
                  </w:tcBorders>
                  <w:noWrap/>
                  <w:vAlign w:val="center"/>
                </w:tcPr>
                <w:p>
                  <w:pPr>
                    <w:pStyle w:val="220"/>
                    <w:spacing w:line="320" w:lineRule="exact"/>
                    <w:ind w:firstLine="0" w:firstLineChars="0"/>
                    <w:rPr>
                      <w:rFonts w:hint="eastAsia" w:ascii="Times New Roman" w:hAnsi="Times New Roman" w:eastAsia="宋体"/>
                      <w:color w:val="auto"/>
                      <w:kern w:val="2"/>
                      <w:sz w:val="21"/>
                      <w:szCs w:val="21"/>
                      <w:lang w:eastAsia="zh-CN"/>
                    </w:rPr>
                  </w:pPr>
                  <w:r>
                    <w:rPr>
                      <w:rFonts w:ascii="Times New Roman" w:hAnsi="Times New Roman" w:eastAsia="宋体"/>
                      <w:color w:val="auto"/>
                    </w:rPr>
                    <w:t>NO</w:t>
                  </w:r>
                  <w:r>
                    <w:rPr>
                      <w:rFonts w:ascii="Times New Roman" w:hAnsi="Times New Roman" w:eastAsia="宋体"/>
                      <w:color w:val="auto"/>
                      <w:vertAlign w:val="subscript"/>
                    </w:rPr>
                    <w:t>X</w:t>
                  </w:r>
                </w:p>
              </w:tc>
              <w:tc>
                <w:tcPr>
                  <w:tcW w:w="869" w:type="dxa"/>
                  <w:vMerge w:val="continue"/>
                  <w:tcBorders>
                    <w:tl2br w:val="nil"/>
                    <w:tr2bl w:val="nil"/>
                  </w:tcBorders>
                  <w:noWrap/>
                  <w:vAlign w:val="center"/>
                </w:tcPr>
                <w:p>
                  <w:pPr>
                    <w:widowControl/>
                    <w:spacing w:line="240" w:lineRule="auto"/>
                    <w:ind w:firstLine="0" w:firstLineChars="0"/>
                    <w:jc w:val="center"/>
                    <w:rPr>
                      <w:rFonts w:ascii="Times New Roman" w:hAnsi="Times New Roman" w:eastAsia="宋体"/>
                      <w:color w:val="auto"/>
                      <w:kern w:val="0"/>
                      <w:sz w:val="21"/>
                      <w:szCs w:val="21"/>
                    </w:rPr>
                  </w:pPr>
                </w:p>
              </w:tc>
              <w:tc>
                <w:tcPr>
                  <w:tcW w:w="819" w:type="dxa"/>
                  <w:vMerge w:val="continue"/>
                  <w:tcBorders>
                    <w:tl2br w:val="nil"/>
                    <w:tr2bl w:val="nil"/>
                  </w:tcBorders>
                  <w:noWrap/>
                  <w:vAlign w:val="center"/>
                </w:tcPr>
                <w:p>
                  <w:pPr>
                    <w:widowControl/>
                    <w:spacing w:line="240" w:lineRule="auto"/>
                    <w:ind w:firstLine="0" w:firstLineChars="0"/>
                    <w:jc w:val="center"/>
                    <w:rPr>
                      <w:rFonts w:ascii="Times New Roman" w:hAnsi="Times New Roman" w:eastAsia="宋体"/>
                      <w:color w:val="auto"/>
                      <w:kern w:val="0"/>
                      <w:sz w:val="21"/>
                      <w:szCs w:val="21"/>
                    </w:rPr>
                  </w:pPr>
                </w:p>
              </w:tc>
              <w:tc>
                <w:tcPr>
                  <w:tcW w:w="894" w:type="dxa"/>
                  <w:vMerge w:val="continue"/>
                  <w:tcBorders>
                    <w:tl2br w:val="nil"/>
                    <w:tr2bl w:val="nil"/>
                  </w:tcBorders>
                  <w:noWrap/>
                  <w:vAlign w:val="center"/>
                </w:tcPr>
                <w:p>
                  <w:pPr>
                    <w:widowControl/>
                    <w:spacing w:line="240" w:lineRule="auto"/>
                    <w:ind w:firstLine="0" w:firstLineChars="0"/>
                    <w:jc w:val="center"/>
                    <w:rPr>
                      <w:rFonts w:ascii="Times New Roman" w:hAnsi="Times New Roman" w:eastAsia="宋体"/>
                      <w:color w:val="auto"/>
                      <w:kern w:val="0"/>
                      <w:sz w:val="21"/>
                      <w:szCs w:val="21"/>
                    </w:rPr>
                  </w:pPr>
                </w:p>
              </w:tc>
              <w:tc>
                <w:tcPr>
                  <w:tcW w:w="895" w:type="dxa"/>
                  <w:vMerge w:val="continue"/>
                  <w:tcBorders>
                    <w:tl2br w:val="nil"/>
                    <w:tr2bl w:val="nil"/>
                  </w:tcBorders>
                  <w:noWrap/>
                  <w:vAlign w:val="center"/>
                </w:tcPr>
                <w:p>
                  <w:pPr>
                    <w:widowControl/>
                    <w:spacing w:line="240" w:lineRule="auto"/>
                    <w:ind w:firstLine="0" w:firstLineChars="0"/>
                    <w:jc w:val="center"/>
                    <w:rPr>
                      <w:rFonts w:ascii="Times New Roman" w:hAnsi="Times New Roman" w:eastAsia="宋体"/>
                      <w:color w:val="auto"/>
                      <w:kern w:val="0"/>
                      <w:sz w:val="21"/>
                      <w:szCs w:val="21"/>
                    </w:rPr>
                  </w:pPr>
                </w:p>
              </w:tc>
              <w:tc>
                <w:tcPr>
                  <w:tcW w:w="1398" w:type="dxa"/>
                  <w:tcBorders>
                    <w:tl2br w:val="nil"/>
                    <w:tr2bl w:val="nil"/>
                  </w:tcBorders>
                  <w:noWrap/>
                  <w:vAlign w:val="center"/>
                </w:tcPr>
                <w:p>
                  <w:pPr>
                    <w:widowControl/>
                    <w:spacing w:line="240" w:lineRule="auto"/>
                    <w:ind w:firstLine="0" w:firstLineChars="0"/>
                    <w:jc w:val="center"/>
                    <w:rPr>
                      <w:rFonts w:hint="default" w:ascii="Times New Roman" w:hAnsi="Times New Roman" w:eastAsia="宋体"/>
                      <w:color w:val="auto"/>
                      <w:kern w:val="0"/>
                      <w:sz w:val="21"/>
                      <w:szCs w:val="21"/>
                      <w:lang w:val="en-US" w:eastAsia="zh-CN"/>
                    </w:rPr>
                  </w:pPr>
                  <w:r>
                    <w:rPr>
                      <w:rFonts w:hint="eastAsia"/>
                      <w:color w:val="auto"/>
                      <w:kern w:val="0"/>
                      <w:sz w:val="21"/>
                      <w:szCs w:val="21"/>
                      <w:lang w:val="en-US" w:eastAsia="zh-CN"/>
                    </w:rPr>
                    <w:t>1.585</w:t>
                  </w:r>
                </w:p>
              </w:tc>
              <w:tc>
                <w:tcPr>
                  <w:tcW w:w="996" w:type="dxa"/>
                  <w:tcBorders>
                    <w:tl2br w:val="nil"/>
                    <w:tr2bl w:val="nil"/>
                  </w:tcBorders>
                  <w:vAlign w:val="center"/>
                </w:tcPr>
                <w:p>
                  <w:pPr>
                    <w:widowControl/>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50</w:t>
                  </w:r>
                </w:p>
              </w:tc>
              <w:tc>
                <w:tcPr>
                  <w:tcW w:w="992" w:type="dxa"/>
                  <w:vMerge w:val="continue"/>
                  <w:tcBorders>
                    <w:tl2br w:val="nil"/>
                    <w:tr2bl w:val="nil"/>
                  </w:tcBorders>
                  <w:vAlign w:val="center"/>
                </w:tcPr>
                <w:p>
                  <w:pPr>
                    <w:widowControl/>
                    <w:spacing w:line="240" w:lineRule="auto"/>
                    <w:ind w:firstLine="0" w:firstLineChars="0"/>
                    <w:jc w:val="center"/>
                    <w:rPr>
                      <w:rFonts w:hint="eastAsia" w:ascii="Times New Roman" w:hAnsi="Times New Roman" w:eastAsia="宋体"/>
                      <w:color w:val="auto"/>
                      <w:kern w:val="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079" w:type="dxa"/>
                  <w:vMerge w:val="continue"/>
                  <w:tcBorders>
                    <w:tl2br w:val="nil"/>
                    <w:tr2bl w:val="nil"/>
                  </w:tcBorders>
                  <w:noWrap/>
                  <w:vAlign w:val="center"/>
                </w:tcPr>
                <w:p>
                  <w:pPr>
                    <w:pStyle w:val="151"/>
                    <w:rPr>
                      <w:rFonts w:hint="eastAsia" w:ascii="Times New Roman" w:hAnsi="Times New Roman" w:eastAsia="宋体"/>
                      <w:color w:val="auto"/>
                      <w:kern w:val="2"/>
                      <w:sz w:val="21"/>
                      <w:szCs w:val="21"/>
                    </w:rPr>
                  </w:pPr>
                </w:p>
              </w:tc>
              <w:tc>
                <w:tcPr>
                  <w:tcW w:w="1361"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olor w:val="auto"/>
                      <w:kern w:val="2"/>
                      <w:sz w:val="21"/>
                      <w:szCs w:val="21"/>
                      <w:lang w:eastAsia="zh-CN"/>
                    </w:rPr>
                  </w:pPr>
                  <w:r>
                    <w:rPr>
                      <w:rFonts w:hint="eastAsia" w:ascii="Times New Roman" w:hAnsi="Times New Roman" w:eastAsia="宋体"/>
                      <w:color w:val="auto"/>
                      <w:kern w:val="0"/>
                      <w:sz w:val="21"/>
                      <w:szCs w:val="21"/>
                    </w:rPr>
                    <w:t>苯并[a]芘</w:t>
                  </w:r>
                </w:p>
              </w:tc>
              <w:tc>
                <w:tcPr>
                  <w:tcW w:w="869" w:type="dxa"/>
                  <w:vMerge w:val="continue"/>
                  <w:tcBorders>
                    <w:tl2br w:val="nil"/>
                    <w:tr2bl w:val="nil"/>
                  </w:tcBorders>
                  <w:noWrap/>
                  <w:vAlign w:val="center"/>
                </w:tcPr>
                <w:p>
                  <w:pPr>
                    <w:widowControl/>
                    <w:spacing w:line="240" w:lineRule="auto"/>
                    <w:ind w:firstLine="0" w:firstLineChars="0"/>
                    <w:jc w:val="center"/>
                    <w:rPr>
                      <w:rFonts w:ascii="Times New Roman" w:hAnsi="Times New Roman" w:eastAsia="宋体"/>
                      <w:color w:val="auto"/>
                      <w:kern w:val="0"/>
                      <w:sz w:val="21"/>
                      <w:szCs w:val="21"/>
                    </w:rPr>
                  </w:pPr>
                </w:p>
              </w:tc>
              <w:tc>
                <w:tcPr>
                  <w:tcW w:w="819" w:type="dxa"/>
                  <w:vMerge w:val="continue"/>
                  <w:tcBorders>
                    <w:tl2br w:val="nil"/>
                    <w:tr2bl w:val="nil"/>
                  </w:tcBorders>
                  <w:noWrap/>
                  <w:vAlign w:val="center"/>
                </w:tcPr>
                <w:p>
                  <w:pPr>
                    <w:widowControl/>
                    <w:spacing w:line="240" w:lineRule="auto"/>
                    <w:ind w:firstLine="0" w:firstLineChars="0"/>
                    <w:jc w:val="center"/>
                    <w:rPr>
                      <w:rFonts w:ascii="Times New Roman" w:hAnsi="Times New Roman" w:eastAsia="宋体"/>
                      <w:color w:val="auto"/>
                      <w:kern w:val="0"/>
                      <w:sz w:val="21"/>
                      <w:szCs w:val="21"/>
                    </w:rPr>
                  </w:pPr>
                </w:p>
              </w:tc>
              <w:tc>
                <w:tcPr>
                  <w:tcW w:w="894" w:type="dxa"/>
                  <w:vMerge w:val="continue"/>
                  <w:tcBorders>
                    <w:tl2br w:val="nil"/>
                    <w:tr2bl w:val="nil"/>
                  </w:tcBorders>
                  <w:noWrap/>
                  <w:vAlign w:val="center"/>
                </w:tcPr>
                <w:p>
                  <w:pPr>
                    <w:widowControl/>
                    <w:spacing w:line="240" w:lineRule="auto"/>
                    <w:ind w:firstLine="0" w:firstLineChars="0"/>
                    <w:jc w:val="center"/>
                    <w:rPr>
                      <w:rFonts w:ascii="Times New Roman" w:hAnsi="Times New Roman" w:eastAsia="宋体"/>
                      <w:color w:val="auto"/>
                      <w:kern w:val="0"/>
                      <w:sz w:val="21"/>
                      <w:szCs w:val="21"/>
                    </w:rPr>
                  </w:pPr>
                </w:p>
              </w:tc>
              <w:tc>
                <w:tcPr>
                  <w:tcW w:w="895" w:type="dxa"/>
                  <w:vMerge w:val="continue"/>
                  <w:tcBorders>
                    <w:tl2br w:val="nil"/>
                    <w:tr2bl w:val="nil"/>
                  </w:tcBorders>
                  <w:noWrap/>
                  <w:vAlign w:val="center"/>
                </w:tcPr>
                <w:p>
                  <w:pPr>
                    <w:widowControl/>
                    <w:spacing w:line="240" w:lineRule="auto"/>
                    <w:ind w:firstLine="0" w:firstLineChars="0"/>
                    <w:jc w:val="center"/>
                    <w:rPr>
                      <w:rFonts w:ascii="Times New Roman" w:hAnsi="Times New Roman" w:eastAsia="宋体"/>
                      <w:color w:val="auto"/>
                      <w:kern w:val="0"/>
                      <w:sz w:val="21"/>
                      <w:szCs w:val="21"/>
                    </w:rPr>
                  </w:pPr>
                </w:p>
              </w:tc>
              <w:tc>
                <w:tcPr>
                  <w:tcW w:w="1398" w:type="dxa"/>
                  <w:tcBorders>
                    <w:tl2br w:val="nil"/>
                    <w:tr2bl w:val="nil"/>
                  </w:tcBorders>
                  <w:noWrap/>
                  <w:vAlign w:val="center"/>
                </w:tcPr>
                <w:p>
                  <w:pPr>
                    <w:widowControl/>
                    <w:spacing w:line="240" w:lineRule="auto"/>
                    <w:ind w:firstLine="0" w:firstLineChars="0"/>
                    <w:jc w:val="center"/>
                    <w:rPr>
                      <w:rFonts w:hint="default"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0.000</w:t>
                  </w:r>
                </w:p>
              </w:tc>
              <w:tc>
                <w:tcPr>
                  <w:tcW w:w="996" w:type="dxa"/>
                  <w:tcBorders>
                    <w:tl2br w:val="nil"/>
                    <w:tr2bl w:val="nil"/>
                  </w:tcBorders>
                  <w:vAlign w:val="center"/>
                </w:tcPr>
                <w:p>
                  <w:pPr>
                    <w:widowControl/>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50</w:t>
                  </w:r>
                </w:p>
              </w:tc>
              <w:tc>
                <w:tcPr>
                  <w:tcW w:w="992" w:type="dxa"/>
                  <w:vMerge w:val="continue"/>
                  <w:tcBorders>
                    <w:tl2br w:val="nil"/>
                    <w:tr2bl w:val="nil"/>
                  </w:tcBorders>
                  <w:vAlign w:val="center"/>
                </w:tcPr>
                <w:p>
                  <w:pPr>
                    <w:widowControl/>
                    <w:spacing w:line="240" w:lineRule="auto"/>
                    <w:ind w:firstLine="0" w:firstLineChars="0"/>
                    <w:jc w:val="center"/>
                    <w:rPr>
                      <w:rFonts w:ascii="Times New Roman" w:hAnsi="Times New Roman" w:eastAsia="宋体"/>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079" w:type="dxa"/>
                  <w:vMerge w:val="continue"/>
                  <w:tcBorders>
                    <w:tl2br w:val="nil"/>
                    <w:tr2bl w:val="nil"/>
                  </w:tcBorders>
                  <w:noWrap/>
                  <w:vAlign w:val="center"/>
                </w:tcPr>
                <w:p>
                  <w:pPr>
                    <w:pStyle w:val="151"/>
                    <w:rPr>
                      <w:rFonts w:hint="eastAsia" w:ascii="Times New Roman" w:hAnsi="Times New Roman" w:eastAsia="宋体"/>
                      <w:color w:val="auto"/>
                      <w:kern w:val="2"/>
                      <w:sz w:val="21"/>
                      <w:szCs w:val="21"/>
                    </w:rPr>
                  </w:pPr>
                </w:p>
              </w:tc>
              <w:tc>
                <w:tcPr>
                  <w:tcW w:w="1361" w:type="dxa"/>
                  <w:tcBorders>
                    <w:tl2br w:val="nil"/>
                    <w:tr2bl w:val="nil"/>
                  </w:tcBorders>
                  <w:noWrap/>
                  <w:vAlign w:val="center"/>
                </w:tcPr>
                <w:p>
                  <w:pPr>
                    <w:widowControl/>
                    <w:spacing w:line="240" w:lineRule="auto"/>
                    <w:ind w:firstLine="0" w:firstLineChars="0"/>
                    <w:jc w:val="center"/>
                    <w:rPr>
                      <w:rFonts w:hint="eastAsia" w:ascii="Times New Roman" w:hAnsi="Times New Roman" w:eastAsia="宋体"/>
                      <w:color w:val="auto"/>
                      <w:kern w:val="2"/>
                      <w:sz w:val="21"/>
                      <w:szCs w:val="21"/>
                      <w:lang w:eastAsia="zh-CN"/>
                    </w:rPr>
                  </w:pPr>
                  <w:r>
                    <w:rPr>
                      <w:rFonts w:hint="eastAsia" w:ascii="Times New Roman" w:hAnsi="Times New Roman" w:eastAsia="宋体"/>
                      <w:color w:val="auto"/>
                      <w:kern w:val="0"/>
                      <w:sz w:val="21"/>
                      <w:szCs w:val="21"/>
                      <w:lang w:eastAsia="zh-CN"/>
                    </w:rPr>
                    <w:t>沥青烟</w:t>
                  </w:r>
                </w:p>
              </w:tc>
              <w:tc>
                <w:tcPr>
                  <w:tcW w:w="869" w:type="dxa"/>
                  <w:vMerge w:val="continue"/>
                  <w:tcBorders>
                    <w:tl2br w:val="nil"/>
                    <w:tr2bl w:val="nil"/>
                  </w:tcBorders>
                  <w:noWrap/>
                  <w:vAlign w:val="center"/>
                </w:tcPr>
                <w:p>
                  <w:pPr>
                    <w:widowControl/>
                    <w:spacing w:line="240" w:lineRule="auto"/>
                    <w:ind w:firstLine="0" w:firstLineChars="0"/>
                    <w:jc w:val="center"/>
                    <w:rPr>
                      <w:rFonts w:ascii="Times New Roman" w:hAnsi="Times New Roman" w:eastAsia="宋体"/>
                      <w:color w:val="auto"/>
                      <w:kern w:val="0"/>
                      <w:sz w:val="21"/>
                      <w:szCs w:val="21"/>
                    </w:rPr>
                  </w:pPr>
                </w:p>
              </w:tc>
              <w:tc>
                <w:tcPr>
                  <w:tcW w:w="819" w:type="dxa"/>
                  <w:vMerge w:val="continue"/>
                  <w:tcBorders>
                    <w:tl2br w:val="nil"/>
                    <w:tr2bl w:val="nil"/>
                  </w:tcBorders>
                  <w:noWrap/>
                  <w:vAlign w:val="center"/>
                </w:tcPr>
                <w:p>
                  <w:pPr>
                    <w:widowControl/>
                    <w:spacing w:line="240" w:lineRule="auto"/>
                    <w:ind w:firstLine="0" w:firstLineChars="0"/>
                    <w:jc w:val="center"/>
                    <w:rPr>
                      <w:rFonts w:ascii="Times New Roman" w:hAnsi="Times New Roman" w:eastAsia="宋体"/>
                      <w:color w:val="auto"/>
                      <w:kern w:val="0"/>
                      <w:sz w:val="21"/>
                      <w:szCs w:val="21"/>
                    </w:rPr>
                  </w:pPr>
                </w:p>
              </w:tc>
              <w:tc>
                <w:tcPr>
                  <w:tcW w:w="894" w:type="dxa"/>
                  <w:vMerge w:val="continue"/>
                  <w:tcBorders>
                    <w:tl2br w:val="nil"/>
                    <w:tr2bl w:val="nil"/>
                  </w:tcBorders>
                  <w:noWrap/>
                  <w:vAlign w:val="center"/>
                </w:tcPr>
                <w:p>
                  <w:pPr>
                    <w:widowControl/>
                    <w:spacing w:line="240" w:lineRule="auto"/>
                    <w:ind w:firstLine="0" w:firstLineChars="0"/>
                    <w:jc w:val="center"/>
                    <w:rPr>
                      <w:rFonts w:ascii="Times New Roman" w:hAnsi="Times New Roman" w:eastAsia="宋体"/>
                      <w:color w:val="auto"/>
                      <w:kern w:val="0"/>
                      <w:sz w:val="21"/>
                      <w:szCs w:val="21"/>
                    </w:rPr>
                  </w:pPr>
                </w:p>
              </w:tc>
              <w:tc>
                <w:tcPr>
                  <w:tcW w:w="895" w:type="dxa"/>
                  <w:vMerge w:val="continue"/>
                  <w:tcBorders>
                    <w:tl2br w:val="nil"/>
                    <w:tr2bl w:val="nil"/>
                  </w:tcBorders>
                  <w:noWrap/>
                  <w:vAlign w:val="center"/>
                </w:tcPr>
                <w:p>
                  <w:pPr>
                    <w:widowControl/>
                    <w:spacing w:line="240" w:lineRule="auto"/>
                    <w:ind w:firstLine="0" w:firstLineChars="0"/>
                    <w:jc w:val="center"/>
                    <w:rPr>
                      <w:rFonts w:ascii="Times New Roman" w:hAnsi="Times New Roman" w:eastAsia="宋体"/>
                      <w:color w:val="auto"/>
                      <w:kern w:val="0"/>
                      <w:sz w:val="21"/>
                      <w:szCs w:val="21"/>
                    </w:rPr>
                  </w:pPr>
                </w:p>
              </w:tc>
              <w:tc>
                <w:tcPr>
                  <w:tcW w:w="1398" w:type="dxa"/>
                  <w:tcBorders>
                    <w:tl2br w:val="nil"/>
                    <w:tr2bl w:val="nil"/>
                  </w:tcBorders>
                  <w:noWrap/>
                  <w:vAlign w:val="center"/>
                </w:tcPr>
                <w:p>
                  <w:pPr>
                    <w:widowControl/>
                    <w:spacing w:line="240" w:lineRule="auto"/>
                    <w:ind w:firstLine="0" w:firstLineChars="0"/>
                    <w:jc w:val="center"/>
                    <w:rPr>
                      <w:rFonts w:hint="default"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0.081</w:t>
                  </w:r>
                </w:p>
              </w:tc>
              <w:tc>
                <w:tcPr>
                  <w:tcW w:w="996" w:type="dxa"/>
                  <w:tcBorders>
                    <w:tl2br w:val="nil"/>
                    <w:tr2bl w:val="nil"/>
                  </w:tcBorders>
                  <w:vAlign w:val="center"/>
                </w:tcPr>
                <w:p>
                  <w:pPr>
                    <w:widowControl/>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50</w:t>
                  </w:r>
                </w:p>
              </w:tc>
              <w:tc>
                <w:tcPr>
                  <w:tcW w:w="992" w:type="dxa"/>
                  <w:vMerge w:val="continue"/>
                  <w:tcBorders>
                    <w:tl2br w:val="nil"/>
                    <w:tr2bl w:val="nil"/>
                  </w:tcBorders>
                  <w:vAlign w:val="center"/>
                </w:tcPr>
                <w:p>
                  <w:pPr>
                    <w:widowControl/>
                    <w:spacing w:line="240" w:lineRule="auto"/>
                    <w:ind w:firstLine="0" w:firstLineChars="0"/>
                    <w:jc w:val="center"/>
                    <w:rPr>
                      <w:rFonts w:ascii="Times New Roman" w:hAnsi="Times New Roman" w:eastAsia="宋体"/>
                      <w:color w:val="auto"/>
                      <w:kern w:val="0"/>
                      <w:sz w:val="21"/>
                      <w:szCs w:val="21"/>
                    </w:rPr>
                  </w:pPr>
                </w:p>
              </w:tc>
            </w:tr>
          </w:tbl>
          <w:p>
            <w:pPr>
              <w:snapToGrid w:val="0"/>
              <w:ind w:firstLine="480"/>
              <w:rPr>
                <w:rFonts w:ascii="Times New Roman" w:hAnsi="Times New Roman" w:eastAsia="宋体"/>
                <w:color w:val="auto"/>
                <w:sz w:val="24"/>
                <w:szCs w:val="24"/>
              </w:rPr>
            </w:pPr>
            <w:r>
              <w:rPr>
                <w:rFonts w:hint="eastAsia" w:ascii="Times New Roman" w:hAnsi="Times New Roman" w:eastAsia="宋体"/>
                <w:color w:val="auto"/>
                <w:sz w:val="24"/>
                <w:szCs w:val="24"/>
              </w:rPr>
              <w:t>根据卫生防护距离估算结果，结合《制定地方大气污染物排放标准的技术方法》，本项目需设置以生产区为执行边界</w:t>
            </w:r>
            <w:r>
              <w:rPr>
                <w:rFonts w:hint="eastAsia" w:ascii="Times New Roman" w:hAnsi="Times New Roman"/>
                <w:color w:val="auto"/>
                <w:sz w:val="24"/>
                <w:szCs w:val="24"/>
                <w:lang w:val="en-US" w:eastAsia="zh-CN"/>
              </w:rPr>
              <w:t>25</w:t>
            </w:r>
            <w:r>
              <w:rPr>
                <w:rFonts w:hint="eastAsia" w:ascii="Times New Roman" w:hAnsi="Times New Roman" w:eastAsia="宋体"/>
                <w:color w:val="auto"/>
                <w:sz w:val="24"/>
                <w:szCs w:val="24"/>
                <w:lang w:val="en-US" w:eastAsia="zh-CN"/>
              </w:rPr>
              <w:t>0</w:t>
            </w:r>
            <w:r>
              <w:rPr>
                <w:rFonts w:hint="eastAsia" w:ascii="Times New Roman" w:hAnsi="Times New Roman" w:eastAsia="宋体"/>
                <w:color w:val="auto"/>
                <w:sz w:val="24"/>
                <w:szCs w:val="24"/>
              </w:rPr>
              <w:t>m的卫生防护距离。经现场勘察，项目卫生防护距离内无居民、学校、医院等敏感目标，满足卫生防护距离要求。项目建成后，防护距离范围内不得新建居民、学校、医院等环境敏感目标。</w:t>
            </w:r>
          </w:p>
          <w:p>
            <w:pPr>
              <w:ind w:firstLine="480"/>
              <w:rPr>
                <w:rFonts w:ascii="Times New Roman" w:hAnsi="Times New Roman" w:eastAsia="宋体"/>
                <w:color w:val="auto"/>
                <w:sz w:val="24"/>
                <w:szCs w:val="24"/>
              </w:rPr>
            </w:pPr>
            <w:r>
              <w:rPr>
                <w:rFonts w:hint="eastAsia" w:ascii="Times New Roman" w:hAnsi="Times New Roman" w:eastAsia="宋体"/>
                <w:color w:val="auto"/>
                <w:sz w:val="24"/>
                <w:szCs w:val="24"/>
              </w:rPr>
              <w:t>（1</w:t>
            </w:r>
            <w:r>
              <w:rPr>
                <w:rFonts w:hint="eastAsia" w:ascii="Times New Roman" w:hAnsi="Times New Roman" w:eastAsia="宋体"/>
                <w:color w:val="auto"/>
                <w:sz w:val="24"/>
                <w:szCs w:val="24"/>
                <w:lang w:val="en-US" w:eastAsia="zh-CN"/>
              </w:rPr>
              <w:t>4</w:t>
            </w:r>
            <w:r>
              <w:rPr>
                <w:rFonts w:hint="eastAsia" w:ascii="Times New Roman" w:hAnsi="Times New Roman" w:eastAsia="宋体"/>
                <w:color w:val="auto"/>
                <w:sz w:val="24"/>
                <w:szCs w:val="24"/>
              </w:rPr>
              <w:t>）大气影响评价自查</w:t>
            </w:r>
          </w:p>
          <w:p>
            <w:pPr>
              <w:adjustRightInd w:val="0"/>
              <w:snapToGrid w:val="0"/>
              <w:spacing w:line="240" w:lineRule="auto"/>
              <w:ind w:firstLine="422"/>
              <w:jc w:val="center"/>
              <w:rPr>
                <w:rFonts w:ascii="Times New Roman" w:hAnsi="Times New Roman" w:eastAsia="宋体"/>
                <w:b/>
                <w:color w:val="auto"/>
                <w:sz w:val="21"/>
                <w:szCs w:val="21"/>
              </w:rPr>
            </w:pPr>
            <w:r>
              <w:rPr>
                <w:rFonts w:hint="eastAsia" w:ascii="Times New Roman" w:hAnsi="Times New Roman" w:eastAsia="宋体"/>
                <w:b/>
                <w:color w:val="auto"/>
                <w:sz w:val="21"/>
                <w:szCs w:val="21"/>
              </w:rPr>
              <w:t>表7</w:t>
            </w:r>
            <w:r>
              <w:rPr>
                <w:rFonts w:hint="eastAsia"/>
                <w:b/>
                <w:color w:val="auto"/>
                <w:sz w:val="21"/>
                <w:szCs w:val="21"/>
                <w:lang w:val="en-US" w:eastAsia="zh-CN"/>
              </w:rPr>
              <w:t>.6</w:t>
            </w:r>
            <w:r>
              <w:rPr>
                <w:rFonts w:hint="eastAsia" w:ascii="Times New Roman" w:hAnsi="Times New Roman" w:eastAsia="宋体"/>
                <w:b/>
                <w:color w:val="auto"/>
                <w:sz w:val="21"/>
                <w:szCs w:val="21"/>
              </w:rPr>
              <w:t>-1</w:t>
            </w:r>
            <w:r>
              <w:rPr>
                <w:rFonts w:hint="eastAsia"/>
                <w:b/>
                <w:color w:val="auto"/>
                <w:sz w:val="21"/>
                <w:szCs w:val="21"/>
                <w:lang w:val="en-US" w:eastAsia="zh-CN"/>
              </w:rPr>
              <w:t>5</w:t>
            </w:r>
            <w:r>
              <w:rPr>
                <w:rFonts w:hint="eastAsia" w:ascii="Times New Roman" w:hAnsi="Times New Roman" w:eastAsia="宋体"/>
                <w:b/>
                <w:color w:val="auto"/>
                <w:sz w:val="21"/>
                <w:szCs w:val="21"/>
                <w:lang w:val="en-US" w:eastAsia="zh-CN"/>
              </w:rPr>
              <w:t xml:space="preserve"> </w:t>
            </w:r>
            <w:r>
              <w:rPr>
                <w:rFonts w:hint="eastAsia" w:ascii="Times New Roman" w:hAnsi="Times New Roman" w:eastAsia="宋体"/>
                <w:b/>
                <w:color w:val="auto"/>
                <w:sz w:val="21"/>
                <w:szCs w:val="21"/>
              </w:rPr>
              <w:t xml:space="preserve"> 建设项目大气环境影响评价自查表</w:t>
            </w:r>
          </w:p>
          <w:tbl>
            <w:tblPr>
              <w:tblStyle w:val="43"/>
              <w:tblW w:w="9219"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957"/>
              <w:gridCol w:w="1624"/>
              <w:gridCol w:w="975"/>
              <w:gridCol w:w="367"/>
              <w:gridCol w:w="18"/>
              <w:gridCol w:w="94"/>
              <w:gridCol w:w="376"/>
              <w:gridCol w:w="118"/>
              <w:gridCol w:w="221"/>
              <w:gridCol w:w="691"/>
              <w:gridCol w:w="135"/>
              <w:gridCol w:w="1138"/>
              <w:gridCol w:w="205"/>
              <w:gridCol w:w="144"/>
              <w:gridCol w:w="380"/>
              <w:gridCol w:w="159"/>
              <w:gridCol w:w="284"/>
              <w:gridCol w:w="688"/>
              <w:gridCol w:w="6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2581" w:type="dxa"/>
                  <w:gridSpan w:val="2"/>
                  <w:vAlign w:val="center"/>
                </w:tcPr>
                <w:p>
                  <w:pPr>
                    <w:pStyle w:val="109"/>
                    <w:spacing w:line="240" w:lineRule="auto"/>
                    <w:ind w:firstLine="0" w:firstLineChars="0"/>
                    <w:jc w:val="both"/>
                    <w:rPr>
                      <w:rFonts w:ascii="Times New Roman" w:hAnsi="Times New Roman" w:eastAsia="宋体"/>
                      <w:b/>
                      <w:bCs/>
                      <w:color w:val="auto"/>
                      <w:kern w:val="2"/>
                      <w:sz w:val="18"/>
                      <w:szCs w:val="18"/>
                    </w:rPr>
                  </w:pPr>
                  <w:r>
                    <w:rPr>
                      <w:rFonts w:hint="eastAsia" w:ascii="Times New Roman" w:hAnsi="Times New Roman" w:eastAsia="宋体"/>
                      <w:b/>
                      <w:bCs/>
                      <w:color w:val="auto"/>
                      <w:kern w:val="2"/>
                      <w:sz w:val="18"/>
                      <w:szCs w:val="18"/>
                    </w:rPr>
                    <w:t>工作内容</w:t>
                  </w:r>
                </w:p>
              </w:tc>
              <w:tc>
                <w:tcPr>
                  <w:tcW w:w="6638" w:type="dxa"/>
                  <w:gridSpan w:val="17"/>
                  <w:vAlign w:val="center"/>
                </w:tcPr>
                <w:p>
                  <w:pPr>
                    <w:pStyle w:val="109"/>
                    <w:spacing w:line="240" w:lineRule="auto"/>
                    <w:ind w:firstLine="0" w:firstLineChars="0"/>
                    <w:jc w:val="both"/>
                    <w:rPr>
                      <w:rFonts w:ascii="Times New Roman" w:hAnsi="Times New Roman" w:eastAsia="宋体"/>
                      <w:b/>
                      <w:bCs/>
                      <w:color w:val="auto"/>
                      <w:kern w:val="2"/>
                      <w:sz w:val="18"/>
                      <w:szCs w:val="18"/>
                    </w:rPr>
                  </w:pPr>
                  <w:r>
                    <w:rPr>
                      <w:rFonts w:hint="eastAsia" w:ascii="Times New Roman" w:hAnsi="Times New Roman" w:eastAsia="宋体"/>
                      <w:b/>
                      <w:bCs/>
                      <w:color w:val="auto"/>
                      <w:kern w:val="2"/>
                      <w:sz w:val="18"/>
                      <w:szCs w:val="18"/>
                    </w:rPr>
                    <w:t>自查项目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957" w:type="dxa"/>
                  <w:vMerge w:val="restart"/>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评价等级与范围</w:t>
                  </w:r>
                </w:p>
              </w:tc>
              <w:tc>
                <w:tcPr>
                  <w:tcW w:w="1624" w:type="dxa"/>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评价等级</w:t>
                  </w:r>
                </w:p>
              </w:tc>
              <w:tc>
                <w:tcPr>
                  <w:tcW w:w="2169" w:type="dxa"/>
                  <w:gridSpan w:val="7"/>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一级□</w:t>
                  </w:r>
                </w:p>
              </w:tc>
              <w:tc>
                <w:tcPr>
                  <w:tcW w:w="2852" w:type="dxa"/>
                  <w:gridSpan w:val="7"/>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rPr>
                    <w:t>二级</w:t>
                  </w:r>
                  <w:r>
                    <w:rPr>
                      <w:rFonts w:hint="eastAsia" w:ascii="Times New Roman" w:hAnsi="Times New Roman" w:eastAsia="宋体" w:cs="MS Mincho"/>
                      <w:color w:val="auto"/>
                      <w:kern w:val="2"/>
                      <w:sz w:val="18"/>
                      <w:szCs w:val="18"/>
                      <w:lang w:eastAsia="zh-CN"/>
                    </w:rPr>
                    <w:t>☑</w:t>
                  </w:r>
                </w:p>
              </w:tc>
              <w:tc>
                <w:tcPr>
                  <w:tcW w:w="1617" w:type="dxa"/>
                  <w:gridSpan w:val="3"/>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三级</w:t>
                  </w:r>
                  <w:r>
                    <w:rPr>
                      <w:rFonts w:hint="eastAsia" w:ascii="Times New Roman" w:hAnsi="Times New Roman" w:eastAsia="宋体"/>
                      <w:color w:val="auto"/>
                      <w:kern w:val="2"/>
                      <w:sz w:val="18"/>
                      <w:szCs w:val="18"/>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957" w:type="dxa"/>
                  <w:vMerge w:val="continue"/>
                  <w:vAlign w:val="center"/>
                </w:tcPr>
                <w:p>
                  <w:pPr>
                    <w:pStyle w:val="109"/>
                    <w:spacing w:line="240" w:lineRule="auto"/>
                    <w:ind w:firstLine="360"/>
                    <w:rPr>
                      <w:rFonts w:ascii="Times New Roman" w:hAnsi="Times New Roman" w:eastAsia="宋体"/>
                      <w:color w:val="auto"/>
                      <w:kern w:val="2"/>
                      <w:sz w:val="18"/>
                      <w:szCs w:val="18"/>
                    </w:rPr>
                  </w:pPr>
                </w:p>
              </w:tc>
              <w:tc>
                <w:tcPr>
                  <w:tcW w:w="1624" w:type="dxa"/>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评价范围</w:t>
                  </w:r>
                </w:p>
              </w:tc>
              <w:tc>
                <w:tcPr>
                  <w:tcW w:w="2169" w:type="dxa"/>
                  <w:gridSpan w:val="7"/>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边长=50km□</w:t>
                  </w:r>
                </w:p>
              </w:tc>
              <w:tc>
                <w:tcPr>
                  <w:tcW w:w="2852" w:type="dxa"/>
                  <w:gridSpan w:val="7"/>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边长5～50km□</w:t>
                  </w:r>
                </w:p>
              </w:tc>
              <w:tc>
                <w:tcPr>
                  <w:tcW w:w="1617" w:type="dxa"/>
                  <w:gridSpan w:val="3"/>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边长=5 km</w:t>
                  </w:r>
                  <w:r>
                    <w:rPr>
                      <w:rFonts w:hint="eastAsia" w:ascii="Times New Roman" w:hAnsi="Times New Roman" w:eastAsia="宋体" w:cs="MS Mincho"/>
                      <w:color w:val="auto"/>
                      <w:kern w:val="2"/>
                      <w:sz w:val="18"/>
                      <w:szCs w:val="18"/>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957" w:type="dxa"/>
                  <w:vMerge w:val="restart"/>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评价因子</w:t>
                  </w:r>
                </w:p>
              </w:tc>
              <w:tc>
                <w:tcPr>
                  <w:tcW w:w="1624" w:type="dxa"/>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SO</w:t>
                  </w:r>
                  <w:r>
                    <w:rPr>
                      <w:rFonts w:hint="eastAsia" w:ascii="Times New Roman" w:hAnsi="Times New Roman" w:eastAsia="宋体"/>
                      <w:color w:val="auto"/>
                      <w:kern w:val="2"/>
                      <w:sz w:val="18"/>
                      <w:szCs w:val="18"/>
                      <w:vertAlign w:val="subscript"/>
                    </w:rPr>
                    <w:t>2</w:t>
                  </w:r>
                  <w:r>
                    <w:rPr>
                      <w:rFonts w:hint="eastAsia" w:ascii="Times New Roman" w:hAnsi="Times New Roman" w:eastAsia="宋体"/>
                      <w:color w:val="auto"/>
                      <w:kern w:val="2"/>
                      <w:sz w:val="18"/>
                      <w:szCs w:val="18"/>
                    </w:rPr>
                    <w:t xml:space="preserve"> +NOx排放量</w:t>
                  </w:r>
                </w:p>
              </w:tc>
              <w:tc>
                <w:tcPr>
                  <w:tcW w:w="1342" w:type="dxa"/>
                  <w:gridSpan w:val="2"/>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 2000t/a□</w:t>
                  </w:r>
                </w:p>
              </w:tc>
              <w:tc>
                <w:tcPr>
                  <w:tcW w:w="3679" w:type="dxa"/>
                  <w:gridSpan w:val="12"/>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500 ~ 2000t/a□</w:t>
                  </w:r>
                </w:p>
              </w:tc>
              <w:tc>
                <w:tcPr>
                  <w:tcW w:w="1617" w:type="dxa"/>
                  <w:gridSpan w:val="3"/>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＜500 t/a</w:t>
                  </w:r>
                  <w:r>
                    <w:rPr>
                      <w:rFonts w:hint="eastAsia" w:ascii="Times New Roman" w:hAnsi="Times New Roman" w:eastAsia="宋体" w:cs="MS Mincho"/>
                      <w:color w:val="auto"/>
                      <w:kern w:val="2"/>
                      <w:sz w:val="18"/>
                      <w:szCs w:val="18"/>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957" w:type="dxa"/>
                  <w:vMerge w:val="continue"/>
                  <w:vAlign w:val="center"/>
                </w:tcPr>
                <w:p>
                  <w:pPr>
                    <w:pStyle w:val="109"/>
                    <w:spacing w:line="240" w:lineRule="auto"/>
                    <w:ind w:firstLine="360"/>
                    <w:rPr>
                      <w:rFonts w:ascii="Times New Roman" w:hAnsi="Times New Roman" w:eastAsia="宋体"/>
                      <w:color w:val="auto"/>
                      <w:kern w:val="2"/>
                      <w:sz w:val="18"/>
                      <w:szCs w:val="18"/>
                    </w:rPr>
                  </w:pPr>
                </w:p>
              </w:tc>
              <w:tc>
                <w:tcPr>
                  <w:tcW w:w="1624" w:type="dxa"/>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评价因子</w:t>
                  </w:r>
                </w:p>
              </w:tc>
              <w:tc>
                <w:tcPr>
                  <w:tcW w:w="2860" w:type="dxa"/>
                  <w:gridSpan w:val="8"/>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lang w:eastAsia="zh-CN"/>
                    </w:rPr>
                    <w:t>基本污染物 (  PM</w:t>
                  </w:r>
                  <w:r>
                    <w:rPr>
                      <w:rFonts w:hint="eastAsia" w:ascii="Times New Roman" w:hAnsi="Times New Roman" w:eastAsia="宋体"/>
                      <w:color w:val="auto"/>
                      <w:kern w:val="2"/>
                      <w:sz w:val="18"/>
                      <w:szCs w:val="18"/>
                      <w:vertAlign w:val="subscript"/>
                      <w:lang w:eastAsia="zh-CN"/>
                    </w:rPr>
                    <w:t>10</w:t>
                  </w:r>
                  <w:r>
                    <w:rPr>
                      <w:rFonts w:hint="eastAsia" w:ascii="Times New Roman" w:hAnsi="Times New Roman" w:eastAsia="宋体"/>
                      <w:color w:val="auto"/>
                      <w:kern w:val="2"/>
                      <w:sz w:val="18"/>
                      <w:szCs w:val="18"/>
                      <w:lang w:eastAsia="zh-CN"/>
                    </w:rPr>
                    <w:t>、</w:t>
                  </w:r>
                  <w:r>
                    <w:rPr>
                      <w:rFonts w:hint="eastAsia" w:ascii="Times New Roman" w:hAnsi="Times New Roman" w:eastAsia="宋体"/>
                      <w:color w:val="auto"/>
                      <w:sz w:val="18"/>
                      <w:szCs w:val="18"/>
                    </w:rPr>
                    <w:t>SO</w:t>
                  </w:r>
                  <w:r>
                    <w:rPr>
                      <w:rFonts w:hint="eastAsia" w:ascii="Times New Roman" w:hAnsi="Times New Roman" w:eastAsia="宋体"/>
                      <w:color w:val="auto"/>
                      <w:sz w:val="18"/>
                      <w:szCs w:val="18"/>
                      <w:vertAlign w:val="subscript"/>
                    </w:rPr>
                    <w:t>2</w:t>
                  </w:r>
                  <w:r>
                    <w:rPr>
                      <w:rFonts w:hint="eastAsia" w:ascii="Times New Roman" w:hAnsi="Times New Roman" w:eastAsia="宋体"/>
                      <w:color w:val="auto"/>
                      <w:sz w:val="18"/>
                      <w:szCs w:val="18"/>
                    </w:rPr>
                    <w:t>、NO</w:t>
                  </w:r>
                  <w:r>
                    <w:rPr>
                      <w:rFonts w:hint="eastAsia" w:ascii="Times New Roman" w:hAnsi="Times New Roman" w:eastAsia="宋体"/>
                      <w:color w:val="auto"/>
                      <w:sz w:val="18"/>
                      <w:szCs w:val="18"/>
                      <w:vertAlign w:val="subscript"/>
                    </w:rPr>
                    <w:t>X</w:t>
                  </w:r>
                  <w:r>
                    <w:rPr>
                      <w:rFonts w:hint="eastAsia" w:ascii="Times New Roman" w:hAnsi="Times New Roman" w:eastAsia="宋体"/>
                      <w:color w:val="auto"/>
                      <w:kern w:val="2"/>
                      <w:sz w:val="18"/>
                      <w:szCs w:val="18"/>
                      <w:lang w:eastAsia="zh-CN"/>
                    </w:rPr>
                    <w:t xml:space="preserve"> )</w:t>
                  </w:r>
                </w:p>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lang w:eastAsia="zh-CN"/>
                    </w:rPr>
                    <w:t>其他污染物 ( 沥青烟、苯并[a]芘  )</w:t>
                  </w:r>
                </w:p>
              </w:tc>
              <w:tc>
                <w:tcPr>
                  <w:tcW w:w="3778" w:type="dxa"/>
                  <w:gridSpan w:val="9"/>
                  <w:vAlign w:val="center"/>
                </w:tcPr>
                <w:p>
                  <w:pPr>
                    <w:pStyle w:val="109"/>
                    <w:spacing w:line="240" w:lineRule="auto"/>
                    <w:ind w:right="627" w:rightChars="196"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包括二次PM</w:t>
                  </w:r>
                  <w:r>
                    <w:rPr>
                      <w:rFonts w:hint="eastAsia" w:ascii="Times New Roman" w:hAnsi="Times New Roman" w:eastAsia="宋体"/>
                      <w:color w:val="auto"/>
                      <w:kern w:val="2"/>
                      <w:sz w:val="18"/>
                      <w:szCs w:val="18"/>
                      <w:vertAlign w:val="subscript"/>
                    </w:rPr>
                    <w:t>2.5</w:t>
                  </w:r>
                  <w:r>
                    <w:rPr>
                      <w:rFonts w:hint="eastAsia" w:ascii="Times New Roman" w:hAnsi="Times New Roman" w:eastAsia="宋体"/>
                      <w:color w:val="auto"/>
                      <w:kern w:val="2"/>
                      <w:sz w:val="18"/>
                      <w:szCs w:val="18"/>
                    </w:rPr>
                    <w:t>□</w:t>
                  </w:r>
                </w:p>
                <w:p>
                  <w:pPr>
                    <w:pStyle w:val="109"/>
                    <w:spacing w:line="240" w:lineRule="auto"/>
                    <w:ind w:right="627" w:rightChars="196"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不包括二次PM</w:t>
                  </w:r>
                  <w:r>
                    <w:rPr>
                      <w:rFonts w:hint="eastAsia" w:ascii="Times New Roman" w:hAnsi="Times New Roman" w:eastAsia="宋体"/>
                      <w:color w:val="auto"/>
                      <w:kern w:val="2"/>
                      <w:sz w:val="18"/>
                      <w:szCs w:val="18"/>
                      <w:vertAlign w:val="subscript"/>
                    </w:rPr>
                    <w:t>2.5</w:t>
                  </w:r>
                  <w:r>
                    <w:rPr>
                      <w:rFonts w:hint="eastAsia" w:ascii="Times New Roman" w:hAnsi="Times New Roman" w:eastAsia="宋体" w:cs="MS Mincho"/>
                      <w:color w:val="auto"/>
                      <w:kern w:val="2"/>
                      <w:sz w:val="18"/>
                      <w:szCs w:val="18"/>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957" w:type="dxa"/>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评价标准</w:t>
                  </w:r>
                </w:p>
              </w:tc>
              <w:tc>
                <w:tcPr>
                  <w:tcW w:w="1624" w:type="dxa"/>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评价标准</w:t>
                  </w:r>
                </w:p>
              </w:tc>
              <w:tc>
                <w:tcPr>
                  <w:tcW w:w="1948" w:type="dxa"/>
                  <w:gridSpan w:val="6"/>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rPr>
                    <w:t>国家标准</w:t>
                  </w:r>
                  <w:r>
                    <w:rPr>
                      <w:rFonts w:hint="eastAsia" w:ascii="Times New Roman" w:hAnsi="Times New Roman" w:eastAsia="宋体" w:cs="MS Mincho"/>
                      <w:color w:val="auto"/>
                      <w:kern w:val="2"/>
                      <w:sz w:val="18"/>
                      <w:szCs w:val="18"/>
                      <w:lang w:eastAsia="zh-CN"/>
                    </w:rPr>
                    <w:t>☑</w:t>
                  </w:r>
                </w:p>
              </w:tc>
              <w:tc>
                <w:tcPr>
                  <w:tcW w:w="912" w:type="dxa"/>
                  <w:gridSpan w:val="2"/>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地方标准□</w:t>
                  </w:r>
                </w:p>
              </w:tc>
              <w:tc>
                <w:tcPr>
                  <w:tcW w:w="2445" w:type="dxa"/>
                  <w:gridSpan w:val="7"/>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附录D□</w:t>
                  </w:r>
                </w:p>
              </w:tc>
              <w:tc>
                <w:tcPr>
                  <w:tcW w:w="1333" w:type="dxa"/>
                  <w:gridSpan w:val="2"/>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其他标准□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957" w:type="dxa"/>
                  <w:vMerge w:val="restart"/>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现状评价</w:t>
                  </w:r>
                </w:p>
              </w:tc>
              <w:tc>
                <w:tcPr>
                  <w:tcW w:w="1624" w:type="dxa"/>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环境功能区</w:t>
                  </w:r>
                </w:p>
              </w:tc>
              <w:tc>
                <w:tcPr>
                  <w:tcW w:w="2169" w:type="dxa"/>
                  <w:gridSpan w:val="7"/>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一类区□</w:t>
                  </w:r>
                </w:p>
              </w:tc>
              <w:tc>
                <w:tcPr>
                  <w:tcW w:w="2313" w:type="dxa"/>
                  <w:gridSpan w:val="5"/>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二类区</w:t>
                  </w:r>
                  <w:r>
                    <w:rPr>
                      <w:rFonts w:hint="eastAsia" w:ascii="Times New Roman" w:hAnsi="Times New Roman" w:eastAsia="宋体" w:cs="MS Mincho"/>
                      <w:color w:val="auto"/>
                      <w:kern w:val="2"/>
                      <w:sz w:val="18"/>
                      <w:szCs w:val="18"/>
                      <w:lang w:eastAsia="zh-CN"/>
                    </w:rPr>
                    <w:t>☑</w:t>
                  </w:r>
                </w:p>
              </w:tc>
              <w:tc>
                <w:tcPr>
                  <w:tcW w:w="2156" w:type="dxa"/>
                  <w:gridSpan w:val="5"/>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一类区和二类区□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957" w:type="dxa"/>
                  <w:vMerge w:val="continue"/>
                  <w:vAlign w:val="center"/>
                </w:tcPr>
                <w:p>
                  <w:pPr>
                    <w:pStyle w:val="109"/>
                    <w:spacing w:line="240" w:lineRule="auto"/>
                    <w:ind w:firstLine="360"/>
                    <w:rPr>
                      <w:rFonts w:ascii="Times New Roman" w:hAnsi="Times New Roman" w:eastAsia="宋体"/>
                      <w:color w:val="auto"/>
                      <w:kern w:val="2"/>
                      <w:sz w:val="18"/>
                      <w:szCs w:val="18"/>
                    </w:rPr>
                  </w:pPr>
                </w:p>
              </w:tc>
              <w:tc>
                <w:tcPr>
                  <w:tcW w:w="1624" w:type="dxa"/>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评价基准年</w:t>
                  </w:r>
                </w:p>
              </w:tc>
              <w:tc>
                <w:tcPr>
                  <w:tcW w:w="6638" w:type="dxa"/>
                  <w:gridSpan w:val="17"/>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 201</w:t>
                  </w:r>
                  <w:r>
                    <w:rPr>
                      <w:rFonts w:hint="eastAsia" w:ascii="Times New Roman" w:hAnsi="Times New Roman" w:eastAsia="宋体"/>
                      <w:color w:val="auto"/>
                      <w:kern w:val="2"/>
                      <w:sz w:val="18"/>
                      <w:szCs w:val="18"/>
                      <w:lang w:eastAsia="zh-CN"/>
                    </w:rPr>
                    <w:t>8</w:t>
                  </w:r>
                  <w:r>
                    <w:rPr>
                      <w:rFonts w:hint="eastAsia" w:ascii="Times New Roman" w:hAnsi="Times New Roman" w:eastAsia="宋体"/>
                      <w:color w:val="auto"/>
                      <w:kern w:val="2"/>
                      <w:sz w:val="18"/>
                      <w:szCs w:val="18"/>
                    </w:rPr>
                    <w:t>）年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957" w:type="dxa"/>
                  <w:vMerge w:val="continue"/>
                  <w:vAlign w:val="center"/>
                </w:tcPr>
                <w:p>
                  <w:pPr>
                    <w:pStyle w:val="109"/>
                    <w:spacing w:line="240" w:lineRule="auto"/>
                    <w:ind w:firstLine="360"/>
                    <w:rPr>
                      <w:rFonts w:ascii="Times New Roman" w:hAnsi="Times New Roman" w:eastAsia="宋体"/>
                      <w:color w:val="auto"/>
                      <w:kern w:val="2"/>
                      <w:sz w:val="18"/>
                      <w:szCs w:val="18"/>
                    </w:rPr>
                  </w:pPr>
                </w:p>
              </w:tc>
              <w:tc>
                <w:tcPr>
                  <w:tcW w:w="1624" w:type="dxa"/>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lang w:eastAsia="zh-CN"/>
                    </w:rPr>
                    <w:t>环境空气质量</w:t>
                  </w:r>
                  <w:r>
                    <w:rPr>
                      <w:rFonts w:hint="eastAsia" w:ascii="Times New Roman" w:hAnsi="Times New Roman" w:eastAsia="宋体"/>
                      <w:color w:val="auto"/>
                      <w:kern w:val="2"/>
                      <w:sz w:val="18"/>
                      <w:szCs w:val="18"/>
                      <w:lang w:eastAsia="zh-CN"/>
                    </w:rPr>
                    <w:br w:type="textWrapping"/>
                  </w:r>
                  <w:r>
                    <w:rPr>
                      <w:rFonts w:hint="eastAsia" w:ascii="Times New Roman" w:hAnsi="Times New Roman" w:eastAsia="宋体"/>
                      <w:color w:val="auto"/>
                      <w:kern w:val="2"/>
                      <w:sz w:val="18"/>
                      <w:szCs w:val="18"/>
                      <w:lang w:eastAsia="zh-CN"/>
                    </w:rPr>
                    <w:t>现状调查数据来源</w:t>
                  </w:r>
                </w:p>
              </w:tc>
              <w:tc>
                <w:tcPr>
                  <w:tcW w:w="2169" w:type="dxa"/>
                  <w:gridSpan w:val="7"/>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rPr>
                    <w:t>长期例行监测数据</w:t>
                  </w:r>
                  <w:r>
                    <w:rPr>
                      <w:rFonts w:hint="eastAsia" w:ascii="Times New Roman" w:hAnsi="Times New Roman" w:eastAsia="宋体"/>
                      <w:color w:val="auto"/>
                      <w:kern w:val="2"/>
                      <w:sz w:val="18"/>
                      <w:szCs w:val="18"/>
                      <w:lang w:eastAsia="zh-CN"/>
                    </w:rPr>
                    <w:t>□</w:t>
                  </w:r>
                </w:p>
              </w:tc>
              <w:tc>
                <w:tcPr>
                  <w:tcW w:w="2852" w:type="dxa"/>
                  <w:gridSpan w:val="7"/>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rPr>
                    <w:t>主管部门发布的数据</w:t>
                  </w:r>
                  <w:r>
                    <w:rPr>
                      <w:rFonts w:hint="eastAsia" w:ascii="Times New Roman" w:hAnsi="Times New Roman" w:eastAsia="宋体" w:cs="MS Mincho"/>
                      <w:color w:val="auto"/>
                      <w:kern w:val="2"/>
                      <w:sz w:val="18"/>
                      <w:szCs w:val="18"/>
                      <w:lang w:eastAsia="zh-CN"/>
                    </w:rPr>
                    <w:t>☑</w:t>
                  </w:r>
                </w:p>
              </w:tc>
              <w:tc>
                <w:tcPr>
                  <w:tcW w:w="1617" w:type="dxa"/>
                  <w:gridSpan w:val="3"/>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现状补充监测□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957" w:type="dxa"/>
                  <w:vMerge w:val="continue"/>
                  <w:vAlign w:val="center"/>
                </w:tcPr>
                <w:p>
                  <w:pPr>
                    <w:pStyle w:val="109"/>
                    <w:spacing w:line="240" w:lineRule="auto"/>
                    <w:ind w:firstLine="360"/>
                    <w:rPr>
                      <w:rFonts w:ascii="Times New Roman" w:hAnsi="Times New Roman" w:eastAsia="宋体"/>
                      <w:color w:val="auto"/>
                      <w:kern w:val="2"/>
                      <w:sz w:val="18"/>
                      <w:szCs w:val="18"/>
                    </w:rPr>
                  </w:pPr>
                </w:p>
              </w:tc>
              <w:tc>
                <w:tcPr>
                  <w:tcW w:w="1624" w:type="dxa"/>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现状评价</w:t>
                  </w:r>
                </w:p>
              </w:tc>
              <w:tc>
                <w:tcPr>
                  <w:tcW w:w="2860" w:type="dxa"/>
                  <w:gridSpan w:val="8"/>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达标区□</w:t>
                  </w:r>
                </w:p>
              </w:tc>
              <w:tc>
                <w:tcPr>
                  <w:tcW w:w="3778" w:type="dxa"/>
                  <w:gridSpan w:val="9"/>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rPr>
                    <w:t>不达标区</w:t>
                  </w:r>
                  <w:r>
                    <w:rPr>
                      <w:rFonts w:hint="eastAsia" w:ascii="Times New Roman" w:hAnsi="Times New Roman" w:eastAsia="宋体" w:cs="MS Mincho"/>
                      <w:color w:val="auto"/>
                      <w:kern w:val="2"/>
                      <w:sz w:val="18"/>
                      <w:szCs w:val="18"/>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957" w:type="dxa"/>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污染源</w:t>
                  </w:r>
                  <w:r>
                    <w:rPr>
                      <w:rFonts w:hint="eastAsia" w:ascii="Times New Roman" w:hAnsi="Times New Roman" w:eastAsia="宋体"/>
                      <w:color w:val="auto"/>
                      <w:kern w:val="2"/>
                      <w:sz w:val="18"/>
                      <w:szCs w:val="18"/>
                    </w:rPr>
                    <w:br w:type="textWrapping"/>
                  </w:r>
                  <w:r>
                    <w:rPr>
                      <w:rFonts w:hint="eastAsia" w:ascii="Times New Roman" w:hAnsi="Times New Roman" w:eastAsia="宋体"/>
                      <w:color w:val="auto"/>
                      <w:kern w:val="2"/>
                      <w:sz w:val="18"/>
                      <w:szCs w:val="18"/>
                    </w:rPr>
                    <w:t>调查</w:t>
                  </w:r>
                </w:p>
              </w:tc>
              <w:tc>
                <w:tcPr>
                  <w:tcW w:w="1624" w:type="dxa"/>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调查内容</w:t>
                  </w:r>
                </w:p>
              </w:tc>
              <w:tc>
                <w:tcPr>
                  <w:tcW w:w="1948" w:type="dxa"/>
                  <w:gridSpan w:val="6"/>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lang w:eastAsia="zh-CN"/>
                    </w:rPr>
                    <w:t>本项目正常排放源</w:t>
                  </w:r>
                  <w:r>
                    <w:rPr>
                      <w:rFonts w:hint="eastAsia" w:ascii="Times New Roman" w:hAnsi="Times New Roman" w:eastAsia="宋体" w:cs="MS Mincho"/>
                      <w:color w:val="auto"/>
                      <w:kern w:val="2"/>
                      <w:sz w:val="18"/>
                      <w:szCs w:val="18"/>
                      <w:lang w:eastAsia="zh-CN"/>
                    </w:rPr>
                    <w:t>☑</w:t>
                  </w:r>
                </w:p>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lang w:eastAsia="zh-CN"/>
                    </w:rPr>
                    <w:t>本项目非正常排放源□</w:t>
                  </w:r>
                </w:p>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现有污染源□</w:t>
                  </w:r>
                </w:p>
              </w:tc>
              <w:tc>
                <w:tcPr>
                  <w:tcW w:w="912" w:type="dxa"/>
                  <w:gridSpan w:val="2"/>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拟替代的污染源□</w:t>
                  </w:r>
                </w:p>
              </w:tc>
              <w:tc>
                <w:tcPr>
                  <w:tcW w:w="2445" w:type="dxa"/>
                  <w:gridSpan w:val="7"/>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lang w:eastAsia="zh-CN"/>
                    </w:rPr>
                    <w:t>其他在建、拟建项目污染源□</w:t>
                  </w:r>
                </w:p>
              </w:tc>
              <w:tc>
                <w:tcPr>
                  <w:tcW w:w="1333" w:type="dxa"/>
                  <w:gridSpan w:val="2"/>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区域污染源□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957" w:type="dxa"/>
                  <w:vMerge w:val="restart"/>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lang w:eastAsia="zh-CN"/>
                    </w:rPr>
                    <w:t>大气环境影响预测与评价</w:t>
                  </w:r>
                </w:p>
              </w:tc>
              <w:tc>
                <w:tcPr>
                  <w:tcW w:w="1624" w:type="dxa"/>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预测模型</w:t>
                  </w:r>
                </w:p>
              </w:tc>
              <w:tc>
                <w:tcPr>
                  <w:tcW w:w="975" w:type="dxa"/>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AERMOD</w:t>
                  </w:r>
                  <w:r>
                    <w:rPr>
                      <w:rFonts w:hint="eastAsia" w:ascii="Times New Roman" w:hAnsi="Times New Roman" w:eastAsia="宋体"/>
                      <w:color w:val="auto"/>
                      <w:kern w:val="2"/>
                      <w:sz w:val="18"/>
                      <w:szCs w:val="18"/>
                    </w:rPr>
                    <w:br w:type="textWrapping"/>
                  </w:r>
                  <w:r>
                    <w:rPr>
                      <w:rFonts w:hint="eastAsia" w:ascii="Times New Roman" w:hAnsi="Times New Roman" w:eastAsia="宋体"/>
                      <w:color w:val="auto"/>
                      <w:kern w:val="2"/>
                      <w:sz w:val="18"/>
                      <w:szCs w:val="18"/>
                    </w:rPr>
                    <w:t>□</w:t>
                  </w:r>
                </w:p>
              </w:tc>
              <w:tc>
                <w:tcPr>
                  <w:tcW w:w="855" w:type="dxa"/>
                  <w:gridSpan w:val="4"/>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ADMS</w:t>
                  </w:r>
                  <w:r>
                    <w:rPr>
                      <w:rFonts w:hint="eastAsia" w:ascii="Times New Roman" w:hAnsi="Times New Roman" w:eastAsia="宋体"/>
                      <w:color w:val="auto"/>
                      <w:kern w:val="2"/>
                      <w:sz w:val="18"/>
                      <w:szCs w:val="18"/>
                    </w:rPr>
                    <w:br w:type="textWrapping"/>
                  </w:r>
                  <w:r>
                    <w:rPr>
                      <w:rFonts w:hint="eastAsia" w:ascii="Times New Roman" w:hAnsi="Times New Roman" w:eastAsia="宋体"/>
                      <w:color w:val="auto"/>
                      <w:kern w:val="2"/>
                      <w:sz w:val="18"/>
                      <w:szCs w:val="18"/>
                    </w:rPr>
                    <w:t>□</w:t>
                  </w:r>
                </w:p>
              </w:tc>
              <w:tc>
                <w:tcPr>
                  <w:tcW w:w="1165" w:type="dxa"/>
                  <w:gridSpan w:val="4"/>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AUSTAL2000</w:t>
                  </w:r>
                  <w:r>
                    <w:rPr>
                      <w:rFonts w:hint="eastAsia" w:ascii="Times New Roman" w:hAnsi="Times New Roman" w:eastAsia="宋体"/>
                      <w:color w:val="auto"/>
                      <w:kern w:val="2"/>
                      <w:sz w:val="18"/>
                      <w:szCs w:val="18"/>
                    </w:rPr>
                    <w:br w:type="textWrapping"/>
                  </w:r>
                  <w:r>
                    <w:rPr>
                      <w:rFonts w:hint="eastAsia" w:ascii="Times New Roman" w:hAnsi="Times New Roman" w:eastAsia="宋体"/>
                      <w:color w:val="auto"/>
                      <w:kern w:val="2"/>
                      <w:sz w:val="18"/>
                      <w:szCs w:val="18"/>
                    </w:rPr>
                    <w:t>□</w:t>
                  </w:r>
                </w:p>
              </w:tc>
              <w:tc>
                <w:tcPr>
                  <w:tcW w:w="1138" w:type="dxa"/>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EDMS/AEDT</w:t>
                  </w:r>
                  <w:r>
                    <w:rPr>
                      <w:rFonts w:hint="eastAsia" w:ascii="Times New Roman" w:hAnsi="Times New Roman" w:eastAsia="宋体"/>
                      <w:color w:val="auto"/>
                      <w:kern w:val="2"/>
                      <w:sz w:val="18"/>
                      <w:szCs w:val="18"/>
                    </w:rPr>
                    <w:br w:type="textWrapping"/>
                  </w:r>
                  <w:r>
                    <w:rPr>
                      <w:rFonts w:hint="eastAsia" w:ascii="Times New Roman" w:hAnsi="Times New Roman" w:eastAsia="宋体"/>
                      <w:color w:val="auto"/>
                      <w:kern w:val="2"/>
                      <w:sz w:val="18"/>
                      <w:szCs w:val="18"/>
                    </w:rPr>
                    <w:t>□</w:t>
                  </w:r>
                </w:p>
              </w:tc>
              <w:tc>
                <w:tcPr>
                  <w:tcW w:w="888" w:type="dxa"/>
                  <w:gridSpan w:val="4"/>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CALPUFF</w:t>
                  </w:r>
                  <w:r>
                    <w:rPr>
                      <w:rFonts w:hint="eastAsia" w:ascii="Times New Roman" w:hAnsi="Times New Roman" w:eastAsia="宋体"/>
                      <w:color w:val="auto"/>
                      <w:kern w:val="2"/>
                      <w:sz w:val="18"/>
                      <w:szCs w:val="18"/>
                    </w:rPr>
                    <w:br w:type="textWrapping"/>
                  </w:r>
                  <w:r>
                    <w:rPr>
                      <w:rFonts w:hint="eastAsia" w:ascii="Times New Roman" w:hAnsi="Times New Roman" w:eastAsia="宋体"/>
                      <w:color w:val="auto"/>
                      <w:kern w:val="2"/>
                      <w:sz w:val="18"/>
                      <w:szCs w:val="18"/>
                    </w:rPr>
                    <w:t>□</w:t>
                  </w:r>
                </w:p>
              </w:tc>
              <w:tc>
                <w:tcPr>
                  <w:tcW w:w="972" w:type="dxa"/>
                  <w:gridSpan w:val="2"/>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网格模型</w:t>
                  </w:r>
                  <w:r>
                    <w:rPr>
                      <w:rFonts w:hint="eastAsia" w:ascii="Times New Roman" w:hAnsi="Times New Roman" w:eastAsia="宋体"/>
                      <w:color w:val="auto"/>
                      <w:kern w:val="2"/>
                      <w:sz w:val="18"/>
                      <w:szCs w:val="18"/>
                    </w:rPr>
                    <w:br w:type="textWrapping"/>
                  </w:r>
                  <w:r>
                    <w:rPr>
                      <w:rFonts w:hint="eastAsia" w:ascii="Times New Roman" w:hAnsi="Times New Roman" w:eastAsia="宋体"/>
                      <w:color w:val="auto"/>
                      <w:kern w:val="2"/>
                      <w:sz w:val="18"/>
                      <w:szCs w:val="18"/>
                    </w:rPr>
                    <w:t>□</w:t>
                  </w:r>
                </w:p>
              </w:tc>
              <w:tc>
                <w:tcPr>
                  <w:tcW w:w="645" w:type="dxa"/>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rPr>
                    <w:t>其他</w:t>
                  </w:r>
                  <w:r>
                    <w:rPr>
                      <w:rFonts w:hint="eastAsia" w:ascii="Times New Roman" w:hAnsi="Times New Roman" w:eastAsia="宋体"/>
                      <w:color w:val="auto"/>
                      <w:kern w:val="2"/>
                      <w:sz w:val="18"/>
                      <w:szCs w:val="18"/>
                    </w:rPr>
                    <w:br w:type="textWrapping"/>
                  </w:r>
                  <w:r>
                    <w:rPr>
                      <w:rFonts w:hint="eastAsia" w:ascii="Times New Roman" w:hAnsi="Times New Roman" w:eastAsia="宋体" w:cs="MS Mincho"/>
                      <w:color w:val="auto"/>
                      <w:kern w:val="2"/>
                      <w:sz w:val="18"/>
                      <w:szCs w:val="18"/>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957" w:type="dxa"/>
                  <w:vMerge w:val="continue"/>
                  <w:vAlign w:val="center"/>
                </w:tcPr>
                <w:p>
                  <w:pPr>
                    <w:pStyle w:val="109"/>
                    <w:spacing w:line="240" w:lineRule="auto"/>
                    <w:ind w:firstLine="360"/>
                    <w:rPr>
                      <w:rFonts w:ascii="Times New Roman" w:hAnsi="Times New Roman" w:eastAsia="宋体"/>
                      <w:color w:val="auto"/>
                      <w:kern w:val="2"/>
                      <w:sz w:val="18"/>
                      <w:szCs w:val="18"/>
                    </w:rPr>
                  </w:pPr>
                </w:p>
              </w:tc>
              <w:tc>
                <w:tcPr>
                  <w:tcW w:w="1624" w:type="dxa"/>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预测范围</w:t>
                  </w:r>
                </w:p>
              </w:tc>
              <w:tc>
                <w:tcPr>
                  <w:tcW w:w="1830" w:type="dxa"/>
                  <w:gridSpan w:val="5"/>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边长≥ 50km□</w:t>
                  </w:r>
                </w:p>
              </w:tc>
              <w:tc>
                <w:tcPr>
                  <w:tcW w:w="3191" w:type="dxa"/>
                  <w:gridSpan w:val="9"/>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rPr>
                    <w:t>边长5～50km</w:t>
                  </w:r>
                  <w:r>
                    <w:rPr>
                      <w:rFonts w:hint="eastAsia" w:ascii="Times New Roman" w:hAnsi="Times New Roman" w:eastAsia="宋体"/>
                      <w:color w:val="auto"/>
                      <w:kern w:val="2"/>
                      <w:sz w:val="18"/>
                      <w:szCs w:val="18"/>
                      <w:lang w:eastAsia="zh-CN"/>
                    </w:rPr>
                    <w:t>□</w:t>
                  </w:r>
                </w:p>
              </w:tc>
              <w:tc>
                <w:tcPr>
                  <w:tcW w:w="1617" w:type="dxa"/>
                  <w:gridSpan w:val="3"/>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rPr>
                    <w:t xml:space="preserve">边长 = 5 km </w:t>
                  </w:r>
                  <w:r>
                    <w:rPr>
                      <w:rFonts w:hint="eastAsia" w:ascii="Times New Roman" w:hAnsi="Times New Roman" w:eastAsia="宋体" w:cs="MS Mincho"/>
                      <w:color w:val="auto"/>
                      <w:kern w:val="2"/>
                      <w:sz w:val="18"/>
                      <w:szCs w:val="18"/>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957" w:type="dxa"/>
                  <w:vMerge w:val="continue"/>
                  <w:vAlign w:val="center"/>
                </w:tcPr>
                <w:p>
                  <w:pPr>
                    <w:pStyle w:val="109"/>
                    <w:spacing w:line="240" w:lineRule="auto"/>
                    <w:ind w:firstLine="360"/>
                    <w:rPr>
                      <w:rFonts w:ascii="Times New Roman" w:hAnsi="Times New Roman" w:eastAsia="宋体"/>
                      <w:color w:val="auto"/>
                      <w:kern w:val="2"/>
                      <w:sz w:val="18"/>
                      <w:szCs w:val="18"/>
                    </w:rPr>
                  </w:pPr>
                </w:p>
              </w:tc>
              <w:tc>
                <w:tcPr>
                  <w:tcW w:w="1624" w:type="dxa"/>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预测因子</w:t>
                  </w:r>
                </w:p>
              </w:tc>
              <w:tc>
                <w:tcPr>
                  <w:tcW w:w="2860" w:type="dxa"/>
                  <w:gridSpan w:val="8"/>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预测因子( PM</w:t>
                  </w:r>
                  <w:r>
                    <w:rPr>
                      <w:rFonts w:hint="eastAsia" w:ascii="Times New Roman" w:hAnsi="Times New Roman" w:eastAsia="宋体"/>
                      <w:color w:val="auto"/>
                      <w:kern w:val="2"/>
                      <w:sz w:val="18"/>
                      <w:szCs w:val="18"/>
                      <w:vertAlign w:val="subscript"/>
                    </w:rPr>
                    <w:t>10</w:t>
                  </w:r>
                  <w:r>
                    <w:rPr>
                      <w:rFonts w:hint="eastAsia" w:ascii="Times New Roman" w:hAnsi="Times New Roman" w:eastAsia="宋体"/>
                      <w:color w:val="auto"/>
                      <w:kern w:val="2"/>
                      <w:sz w:val="18"/>
                      <w:szCs w:val="18"/>
                      <w:lang w:eastAsia="zh-CN"/>
                    </w:rPr>
                    <w:t>、</w:t>
                  </w:r>
                  <w:r>
                    <w:rPr>
                      <w:rFonts w:hint="eastAsia" w:ascii="Times New Roman" w:hAnsi="Times New Roman" w:eastAsia="宋体"/>
                      <w:color w:val="auto"/>
                      <w:sz w:val="18"/>
                      <w:szCs w:val="18"/>
                    </w:rPr>
                    <w:t>SO</w:t>
                  </w:r>
                  <w:r>
                    <w:rPr>
                      <w:rFonts w:hint="eastAsia" w:ascii="Times New Roman" w:hAnsi="Times New Roman" w:eastAsia="宋体"/>
                      <w:color w:val="auto"/>
                      <w:sz w:val="18"/>
                      <w:szCs w:val="18"/>
                      <w:vertAlign w:val="subscript"/>
                    </w:rPr>
                    <w:t>2</w:t>
                  </w:r>
                  <w:r>
                    <w:rPr>
                      <w:rFonts w:hint="eastAsia" w:ascii="Times New Roman" w:hAnsi="Times New Roman" w:eastAsia="宋体"/>
                      <w:color w:val="auto"/>
                      <w:sz w:val="18"/>
                      <w:szCs w:val="18"/>
                    </w:rPr>
                    <w:t>、NO</w:t>
                  </w:r>
                  <w:r>
                    <w:rPr>
                      <w:rFonts w:hint="eastAsia" w:ascii="Times New Roman" w:hAnsi="Times New Roman" w:eastAsia="宋体"/>
                      <w:color w:val="auto"/>
                      <w:sz w:val="18"/>
                      <w:szCs w:val="18"/>
                      <w:vertAlign w:val="subscript"/>
                    </w:rPr>
                    <w:t>X</w:t>
                  </w:r>
                  <w:r>
                    <w:rPr>
                      <w:rFonts w:hint="eastAsia" w:ascii="Times New Roman" w:hAnsi="Times New Roman" w:eastAsia="宋体"/>
                      <w:color w:val="auto"/>
                      <w:kern w:val="2"/>
                      <w:sz w:val="18"/>
                      <w:szCs w:val="18"/>
                      <w:lang w:eastAsia="zh-CN"/>
                    </w:rPr>
                    <w:t>、沥青烟、苯并[a]芘</w:t>
                  </w:r>
                  <w:r>
                    <w:rPr>
                      <w:rFonts w:hint="eastAsia" w:ascii="Times New Roman" w:hAnsi="Times New Roman" w:eastAsia="宋体"/>
                      <w:color w:val="auto"/>
                      <w:kern w:val="2"/>
                      <w:sz w:val="18"/>
                      <w:szCs w:val="18"/>
                    </w:rPr>
                    <w:t xml:space="preserve"> )</w:t>
                  </w:r>
                </w:p>
              </w:tc>
              <w:tc>
                <w:tcPr>
                  <w:tcW w:w="3778" w:type="dxa"/>
                  <w:gridSpan w:val="9"/>
                  <w:vAlign w:val="center"/>
                </w:tcPr>
                <w:p>
                  <w:pPr>
                    <w:pStyle w:val="109"/>
                    <w:spacing w:line="240" w:lineRule="auto"/>
                    <w:ind w:right="842" w:rightChars="263"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包括二次PM</w:t>
                  </w:r>
                  <w:r>
                    <w:rPr>
                      <w:rFonts w:hint="eastAsia" w:ascii="Times New Roman" w:hAnsi="Times New Roman" w:eastAsia="宋体"/>
                      <w:color w:val="auto"/>
                      <w:kern w:val="2"/>
                      <w:sz w:val="18"/>
                      <w:szCs w:val="18"/>
                      <w:vertAlign w:val="subscript"/>
                    </w:rPr>
                    <w:t>2.5</w:t>
                  </w:r>
                  <w:r>
                    <w:rPr>
                      <w:rFonts w:hint="eastAsia" w:ascii="Times New Roman" w:hAnsi="Times New Roman" w:eastAsia="宋体"/>
                      <w:color w:val="auto"/>
                      <w:kern w:val="2"/>
                      <w:sz w:val="18"/>
                      <w:szCs w:val="18"/>
                    </w:rPr>
                    <w:t>□</w:t>
                  </w:r>
                </w:p>
                <w:p>
                  <w:pPr>
                    <w:pStyle w:val="109"/>
                    <w:spacing w:line="240" w:lineRule="auto"/>
                    <w:ind w:right="842" w:rightChars="263"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rPr>
                    <w:t>不包括二次PM</w:t>
                  </w:r>
                  <w:r>
                    <w:rPr>
                      <w:rFonts w:hint="eastAsia" w:ascii="Times New Roman" w:hAnsi="Times New Roman" w:eastAsia="宋体"/>
                      <w:color w:val="auto"/>
                      <w:kern w:val="2"/>
                      <w:sz w:val="18"/>
                      <w:szCs w:val="18"/>
                      <w:vertAlign w:val="subscript"/>
                    </w:rPr>
                    <w:t>2.5</w:t>
                  </w:r>
                  <w:r>
                    <w:rPr>
                      <w:rFonts w:hint="eastAsia" w:ascii="Times New Roman" w:hAnsi="Times New Roman" w:eastAsia="宋体" w:cs="MS Mincho"/>
                      <w:color w:val="auto"/>
                      <w:kern w:val="2"/>
                      <w:sz w:val="18"/>
                      <w:szCs w:val="18"/>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957" w:type="dxa"/>
                  <w:vMerge w:val="continue"/>
                  <w:vAlign w:val="center"/>
                </w:tcPr>
                <w:p>
                  <w:pPr>
                    <w:pStyle w:val="109"/>
                    <w:spacing w:line="240" w:lineRule="auto"/>
                    <w:ind w:firstLine="360"/>
                    <w:rPr>
                      <w:rFonts w:ascii="Times New Roman" w:hAnsi="Times New Roman" w:eastAsia="宋体"/>
                      <w:color w:val="auto"/>
                      <w:kern w:val="2"/>
                      <w:sz w:val="18"/>
                      <w:szCs w:val="18"/>
                    </w:rPr>
                  </w:pPr>
                </w:p>
              </w:tc>
              <w:tc>
                <w:tcPr>
                  <w:tcW w:w="1624" w:type="dxa"/>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lang w:eastAsia="zh-CN"/>
                    </w:rPr>
                    <w:t>正常排放短期浓度贡献值</w:t>
                  </w:r>
                </w:p>
              </w:tc>
              <w:tc>
                <w:tcPr>
                  <w:tcW w:w="2860" w:type="dxa"/>
                  <w:gridSpan w:val="8"/>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lang w:eastAsia="zh-CN"/>
                    </w:rPr>
                    <w:t>C</w:t>
                  </w:r>
                  <w:r>
                    <w:rPr>
                      <w:rFonts w:hint="eastAsia" w:ascii="Times New Roman" w:hAnsi="Times New Roman" w:eastAsia="宋体"/>
                      <w:color w:val="auto"/>
                      <w:kern w:val="2"/>
                      <w:sz w:val="18"/>
                      <w:szCs w:val="18"/>
                      <w:vertAlign w:val="subscript"/>
                      <w:lang w:eastAsia="zh-CN"/>
                    </w:rPr>
                    <w:t>本项目</w:t>
                  </w:r>
                  <w:r>
                    <w:rPr>
                      <w:rFonts w:hint="eastAsia" w:ascii="Times New Roman" w:hAnsi="Times New Roman" w:eastAsia="宋体"/>
                      <w:color w:val="auto"/>
                      <w:kern w:val="2"/>
                      <w:sz w:val="18"/>
                      <w:szCs w:val="18"/>
                      <w:lang w:eastAsia="zh-CN"/>
                    </w:rPr>
                    <w:t>最大占标率≤100%</w:t>
                  </w:r>
                  <w:r>
                    <w:rPr>
                      <w:rFonts w:hint="eastAsia" w:ascii="Times New Roman" w:hAnsi="Times New Roman" w:eastAsia="宋体" w:cs="MS Mincho"/>
                      <w:color w:val="auto"/>
                      <w:kern w:val="2"/>
                      <w:sz w:val="18"/>
                      <w:szCs w:val="18"/>
                      <w:lang w:eastAsia="zh-CN"/>
                    </w:rPr>
                    <w:t>☑</w:t>
                  </w:r>
                </w:p>
              </w:tc>
              <w:tc>
                <w:tcPr>
                  <w:tcW w:w="3778" w:type="dxa"/>
                  <w:gridSpan w:val="9"/>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lang w:eastAsia="zh-CN"/>
                    </w:rPr>
                    <w:t>C</w:t>
                  </w:r>
                  <w:r>
                    <w:rPr>
                      <w:rFonts w:hint="eastAsia" w:ascii="Times New Roman" w:hAnsi="Times New Roman" w:eastAsia="宋体"/>
                      <w:color w:val="auto"/>
                      <w:kern w:val="2"/>
                      <w:sz w:val="18"/>
                      <w:szCs w:val="18"/>
                      <w:vertAlign w:val="subscript"/>
                      <w:lang w:eastAsia="zh-CN"/>
                    </w:rPr>
                    <w:t>本项目</w:t>
                  </w:r>
                  <w:r>
                    <w:rPr>
                      <w:rFonts w:hint="eastAsia" w:ascii="Times New Roman" w:hAnsi="Times New Roman" w:eastAsia="宋体"/>
                      <w:color w:val="auto"/>
                      <w:kern w:val="2"/>
                      <w:sz w:val="18"/>
                      <w:szCs w:val="18"/>
                      <w:lang w:eastAsia="zh-CN"/>
                    </w:rPr>
                    <w:t>最大占标率＞100%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957" w:type="dxa"/>
                  <w:vMerge w:val="continue"/>
                  <w:vAlign w:val="center"/>
                </w:tcPr>
                <w:p>
                  <w:pPr>
                    <w:pStyle w:val="109"/>
                    <w:spacing w:line="240" w:lineRule="auto"/>
                    <w:ind w:firstLine="360"/>
                    <w:rPr>
                      <w:rFonts w:ascii="Times New Roman" w:hAnsi="Times New Roman" w:eastAsia="宋体"/>
                      <w:color w:val="auto"/>
                      <w:kern w:val="2"/>
                      <w:sz w:val="18"/>
                      <w:szCs w:val="18"/>
                      <w:lang w:eastAsia="zh-CN"/>
                    </w:rPr>
                  </w:pPr>
                </w:p>
              </w:tc>
              <w:tc>
                <w:tcPr>
                  <w:tcW w:w="1624" w:type="dxa"/>
                  <w:vMerge w:val="restart"/>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lang w:eastAsia="zh-CN"/>
                    </w:rPr>
                    <w:t>正常排放年均浓度贡献值</w:t>
                  </w:r>
                </w:p>
              </w:tc>
              <w:tc>
                <w:tcPr>
                  <w:tcW w:w="975" w:type="dxa"/>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一类区</w:t>
                  </w:r>
                </w:p>
              </w:tc>
              <w:tc>
                <w:tcPr>
                  <w:tcW w:w="1885" w:type="dxa"/>
                  <w:gridSpan w:val="7"/>
                  <w:vAlign w:val="center"/>
                </w:tcPr>
                <w:p>
                  <w:pPr>
                    <w:pStyle w:val="109"/>
                    <w:spacing w:before="31" w:after="31"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lang w:eastAsia="zh-CN"/>
                    </w:rPr>
                    <w:t>C</w:t>
                  </w:r>
                  <w:r>
                    <w:rPr>
                      <w:rFonts w:hint="eastAsia" w:ascii="Times New Roman" w:hAnsi="Times New Roman" w:eastAsia="宋体"/>
                      <w:color w:val="auto"/>
                      <w:kern w:val="2"/>
                      <w:sz w:val="18"/>
                      <w:szCs w:val="18"/>
                      <w:vertAlign w:val="subscript"/>
                      <w:lang w:eastAsia="zh-CN"/>
                    </w:rPr>
                    <w:t>本项目</w:t>
                  </w:r>
                  <w:r>
                    <w:rPr>
                      <w:rFonts w:hint="eastAsia" w:ascii="Times New Roman" w:hAnsi="Times New Roman" w:eastAsia="宋体"/>
                      <w:color w:val="auto"/>
                      <w:kern w:val="2"/>
                      <w:sz w:val="18"/>
                      <w:szCs w:val="18"/>
                      <w:lang w:eastAsia="zh-CN"/>
                    </w:rPr>
                    <w:t>最大占标率≤10%□</w:t>
                  </w:r>
                </w:p>
              </w:tc>
              <w:tc>
                <w:tcPr>
                  <w:tcW w:w="3778" w:type="dxa"/>
                  <w:gridSpan w:val="9"/>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lang w:eastAsia="zh-CN"/>
                    </w:rPr>
                    <w:t>C</w:t>
                  </w:r>
                  <w:r>
                    <w:rPr>
                      <w:rFonts w:hint="eastAsia" w:ascii="Times New Roman" w:hAnsi="Times New Roman" w:eastAsia="宋体"/>
                      <w:color w:val="auto"/>
                      <w:kern w:val="2"/>
                      <w:sz w:val="18"/>
                      <w:szCs w:val="18"/>
                      <w:vertAlign w:val="subscript"/>
                      <w:lang w:eastAsia="zh-CN"/>
                    </w:rPr>
                    <w:t>本项目</w:t>
                  </w:r>
                  <w:r>
                    <w:rPr>
                      <w:rFonts w:hint="eastAsia" w:ascii="Times New Roman" w:hAnsi="Times New Roman" w:eastAsia="宋体"/>
                      <w:color w:val="auto"/>
                      <w:kern w:val="2"/>
                      <w:sz w:val="18"/>
                      <w:szCs w:val="18"/>
                      <w:lang w:eastAsia="zh-CN"/>
                    </w:rPr>
                    <w:t>最大标率＞10%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957" w:type="dxa"/>
                  <w:vMerge w:val="continue"/>
                  <w:vAlign w:val="center"/>
                </w:tcPr>
                <w:p>
                  <w:pPr>
                    <w:pStyle w:val="109"/>
                    <w:spacing w:line="240" w:lineRule="auto"/>
                    <w:ind w:firstLine="360"/>
                    <w:rPr>
                      <w:rFonts w:ascii="Times New Roman" w:hAnsi="Times New Roman" w:eastAsia="宋体"/>
                      <w:color w:val="auto"/>
                      <w:kern w:val="2"/>
                      <w:sz w:val="18"/>
                      <w:szCs w:val="18"/>
                      <w:lang w:eastAsia="zh-CN"/>
                    </w:rPr>
                  </w:pPr>
                </w:p>
              </w:tc>
              <w:tc>
                <w:tcPr>
                  <w:tcW w:w="1624" w:type="dxa"/>
                  <w:vMerge w:val="continue"/>
                  <w:vAlign w:val="center"/>
                </w:tcPr>
                <w:p>
                  <w:pPr>
                    <w:pStyle w:val="109"/>
                    <w:spacing w:line="240" w:lineRule="auto"/>
                    <w:ind w:firstLine="360"/>
                    <w:rPr>
                      <w:rFonts w:ascii="Times New Roman" w:hAnsi="Times New Roman" w:eastAsia="宋体"/>
                      <w:color w:val="auto"/>
                      <w:kern w:val="2"/>
                      <w:sz w:val="18"/>
                      <w:szCs w:val="18"/>
                      <w:lang w:eastAsia="zh-CN"/>
                    </w:rPr>
                  </w:pPr>
                </w:p>
              </w:tc>
              <w:tc>
                <w:tcPr>
                  <w:tcW w:w="975" w:type="dxa"/>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二类区</w:t>
                  </w:r>
                </w:p>
              </w:tc>
              <w:tc>
                <w:tcPr>
                  <w:tcW w:w="1885" w:type="dxa"/>
                  <w:gridSpan w:val="7"/>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lang w:eastAsia="zh-CN"/>
                    </w:rPr>
                    <w:t>C</w:t>
                  </w:r>
                  <w:r>
                    <w:rPr>
                      <w:rFonts w:hint="eastAsia" w:ascii="Times New Roman" w:hAnsi="Times New Roman" w:eastAsia="宋体"/>
                      <w:color w:val="auto"/>
                      <w:kern w:val="2"/>
                      <w:sz w:val="18"/>
                      <w:szCs w:val="18"/>
                      <w:vertAlign w:val="subscript"/>
                      <w:lang w:eastAsia="zh-CN"/>
                    </w:rPr>
                    <w:t>本项目</w:t>
                  </w:r>
                  <w:r>
                    <w:rPr>
                      <w:rFonts w:hint="eastAsia" w:ascii="Times New Roman" w:hAnsi="Times New Roman" w:eastAsia="宋体"/>
                      <w:color w:val="auto"/>
                      <w:kern w:val="2"/>
                      <w:sz w:val="18"/>
                      <w:szCs w:val="18"/>
                      <w:lang w:eastAsia="zh-CN"/>
                    </w:rPr>
                    <w:t>最大占标率≤30%□</w:t>
                  </w:r>
                </w:p>
              </w:tc>
              <w:tc>
                <w:tcPr>
                  <w:tcW w:w="3778" w:type="dxa"/>
                  <w:gridSpan w:val="9"/>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lang w:eastAsia="zh-CN"/>
                    </w:rPr>
                    <w:t>C</w:t>
                  </w:r>
                  <w:r>
                    <w:rPr>
                      <w:rFonts w:hint="eastAsia" w:ascii="Times New Roman" w:hAnsi="Times New Roman" w:eastAsia="宋体"/>
                      <w:color w:val="auto"/>
                      <w:kern w:val="2"/>
                      <w:sz w:val="18"/>
                      <w:szCs w:val="18"/>
                      <w:vertAlign w:val="subscript"/>
                      <w:lang w:eastAsia="zh-CN"/>
                    </w:rPr>
                    <w:t>本项目</w:t>
                  </w:r>
                  <w:r>
                    <w:rPr>
                      <w:rFonts w:hint="eastAsia" w:ascii="Times New Roman" w:hAnsi="Times New Roman" w:eastAsia="宋体"/>
                      <w:color w:val="auto"/>
                      <w:kern w:val="2"/>
                      <w:sz w:val="18"/>
                      <w:szCs w:val="18"/>
                      <w:lang w:eastAsia="zh-CN"/>
                    </w:rPr>
                    <w:t>最大标率＞30%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957" w:type="dxa"/>
                  <w:vMerge w:val="continue"/>
                  <w:vAlign w:val="center"/>
                </w:tcPr>
                <w:p>
                  <w:pPr>
                    <w:pStyle w:val="109"/>
                    <w:spacing w:line="240" w:lineRule="auto"/>
                    <w:ind w:firstLine="360"/>
                    <w:rPr>
                      <w:rFonts w:ascii="Times New Roman" w:hAnsi="Times New Roman" w:eastAsia="宋体"/>
                      <w:color w:val="auto"/>
                      <w:kern w:val="2"/>
                      <w:sz w:val="18"/>
                      <w:szCs w:val="18"/>
                      <w:lang w:eastAsia="zh-CN"/>
                    </w:rPr>
                  </w:pPr>
                </w:p>
              </w:tc>
              <w:tc>
                <w:tcPr>
                  <w:tcW w:w="1624" w:type="dxa"/>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lang w:eastAsia="zh-CN"/>
                    </w:rPr>
                    <w:t>非正常排放1h浓度贡献值</w:t>
                  </w:r>
                </w:p>
              </w:tc>
              <w:tc>
                <w:tcPr>
                  <w:tcW w:w="1454" w:type="dxa"/>
                  <w:gridSpan w:val="4"/>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lang w:eastAsia="zh-CN"/>
                    </w:rPr>
                    <w:t>非正常持续时长（）h</w:t>
                  </w:r>
                </w:p>
              </w:tc>
              <w:tc>
                <w:tcPr>
                  <w:tcW w:w="2884" w:type="dxa"/>
                  <w:gridSpan w:val="7"/>
                  <w:vAlign w:val="center"/>
                </w:tcPr>
                <w:p>
                  <w:pPr>
                    <w:pStyle w:val="109"/>
                    <w:spacing w:before="31" w:after="31"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C</w:t>
                  </w:r>
                  <w:r>
                    <w:rPr>
                      <w:rFonts w:hint="eastAsia" w:ascii="Times New Roman" w:hAnsi="Times New Roman" w:eastAsia="宋体"/>
                      <w:color w:val="auto"/>
                      <w:kern w:val="2"/>
                      <w:sz w:val="18"/>
                      <w:szCs w:val="18"/>
                      <w:vertAlign w:val="subscript"/>
                    </w:rPr>
                    <w:t>非正常</w:t>
                  </w:r>
                  <w:r>
                    <w:rPr>
                      <w:rFonts w:hint="eastAsia" w:ascii="Times New Roman" w:hAnsi="Times New Roman" w:eastAsia="宋体"/>
                      <w:color w:val="auto"/>
                      <w:kern w:val="2"/>
                      <w:sz w:val="18"/>
                      <w:szCs w:val="18"/>
                    </w:rPr>
                    <w:t>占标率≤100% □</w:t>
                  </w:r>
                </w:p>
              </w:tc>
              <w:tc>
                <w:tcPr>
                  <w:tcW w:w="2300" w:type="dxa"/>
                  <w:gridSpan w:val="6"/>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C</w:t>
                  </w:r>
                  <w:r>
                    <w:rPr>
                      <w:rFonts w:hint="eastAsia" w:ascii="Times New Roman" w:hAnsi="Times New Roman" w:eastAsia="宋体"/>
                      <w:color w:val="auto"/>
                      <w:kern w:val="2"/>
                      <w:sz w:val="18"/>
                      <w:szCs w:val="18"/>
                      <w:vertAlign w:val="subscript"/>
                    </w:rPr>
                    <w:t>非正常</w:t>
                  </w:r>
                  <w:r>
                    <w:rPr>
                      <w:rFonts w:hint="eastAsia" w:ascii="Times New Roman" w:hAnsi="Times New Roman" w:eastAsia="宋体"/>
                      <w:color w:val="auto"/>
                      <w:kern w:val="2"/>
                      <w:sz w:val="18"/>
                      <w:szCs w:val="18"/>
                    </w:rPr>
                    <w:t>占标率＞100%□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957" w:type="dxa"/>
                  <w:vMerge w:val="continue"/>
                  <w:vAlign w:val="center"/>
                </w:tcPr>
                <w:p>
                  <w:pPr>
                    <w:pStyle w:val="109"/>
                    <w:spacing w:line="240" w:lineRule="auto"/>
                    <w:ind w:firstLine="360"/>
                    <w:rPr>
                      <w:rFonts w:ascii="Times New Roman" w:hAnsi="Times New Roman" w:eastAsia="宋体"/>
                      <w:color w:val="auto"/>
                      <w:kern w:val="2"/>
                      <w:sz w:val="18"/>
                      <w:szCs w:val="18"/>
                    </w:rPr>
                  </w:pPr>
                </w:p>
              </w:tc>
              <w:tc>
                <w:tcPr>
                  <w:tcW w:w="1624" w:type="dxa"/>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lang w:eastAsia="zh-CN"/>
                    </w:rPr>
                    <w:t>保证率日平均浓度和年平均浓度叠加值</w:t>
                  </w:r>
                </w:p>
              </w:tc>
              <w:tc>
                <w:tcPr>
                  <w:tcW w:w="2860" w:type="dxa"/>
                  <w:gridSpan w:val="8"/>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C</w:t>
                  </w:r>
                  <w:r>
                    <w:rPr>
                      <w:rFonts w:hint="eastAsia" w:ascii="Times New Roman" w:hAnsi="Times New Roman" w:eastAsia="宋体"/>
                      <w:color w:val="auto"/>
                      <w:kern w:val="2"/>
                      <w:sz w:val="18"/>
                      <w:szCs w:val="18"/>
                      <w:vertAlign w:val="subscript"/>
                    </w:rPr>
                    <w:t>叠加</w:t>
                  </w:r>
                  <w:r>
                    <w:rPr>
                      <w:rFonts w:hint="eastAsia" w:ascii="Times New Roman" w:hAnsi="Times New Roman" w:eastAsia="宋体"/>
                      <w:color w:val="auto"/>
                      <w:kern w:val="2"/>
                      <w:sz w:val="18"/>
                      <w:szCs w:val="18"/>
                    </w:rPr>
                    <w:t>达标□</w:t>
                  </w:r>
                </w:p>
              </w:tc>
              <w:tc>
                <w:tcPr>
                  <w:tcW w:w="3778" w:type="dxa"/>
                  <w:gridSpan w:val="9"/>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C</w:t>
                  </w:r>
                  <w:r>
                    <w:rPr>
                      <w:rFonts w:hint="eastAsia" w:ascii="Times New Roman" w:hAnsi="Times New Roman" w:eastAsia="宋体"/>
                      <w:color w:val="auto"/>
                      <w:kern w:val="2"/>
                      <w:sz w:val="18"/>
                      <w:szCs w:val="18"/>
                      <w:vertAlign w:val="subscript"/>
                    </w:rPr>
                    <w:t>叠加</w:t>
                  </w:r>
                  <w:r>
                    <w:rPr>
                      <w:rFonts w:hint="eastAsia" w:ascii="Times New Roman" w:hAnsi="Times New Roman" w:eastAsia="宋体"/>
                      <w:color w:val="auto"/>
                      <w:kern w:val="2"/>
                      <w:sz w:val="18"/>
                      <w:szCs w:val="18"/>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957" w:type="dxa"/>
                  <w:vMerge w:val="continue"/>
                  <w:vAlign w:val="center"/>
                </w:tcPr>
                <w:p>
                  <w:pPr>
                    <w:pStyle w:val="109"/>
                    <w:spacing w:line="240" w:lineRule="auto"/>
                    <w:ind w:firstLine="360"/>
                    <w:rPr>
                      <w:rFonts w:ascii="Times New Roman" w:hAnsi="Times New Roman" w:eastAsia="宋体"/>
                      <w:color w:val="auto"/>
                      <w:kern w:val="2"/>
                      <w:sz w:val="18"/>
                      <w:szCs w:val="18"/>
                    </w:rPr>
                  </w:pPr>
                </w:p>
              </w:tc>
              <w:tc>
                <w:tcPr>
                  <w:tcW w:w="1624" w:type="dxa"/>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lang w:eastAsia="zh-CN"/>
                    </w:rPr>
                    <w:t>区域环境质量的整体变化情况</w:t>
                  </w:r>
                </w:p>
              </w:tc>
              <w:tc>
                <w:tcPr>
                  <w:tcW w:w="2860" w:type="dxa"/>
                  <w:gridSpan w:val="8"/>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k ≤-20% □</w:t>
                  </w:r>
                </w:p>
              </w:tc>
              <w:tc>
                <w:tcPr>
                  <w:tcW w:w="3778" w:type="dxa"/>
                  <w:gridSpan w:val="9"/>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k ＞-20%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957" w:type="dxa"/>
                  <w:vMerge w:val="restart"/>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环境监测</w:t>
                  </w:r>
                  <w:r>
                    <w:rPr>
                      <w:rFonts w:hint="eastAsia" w:ascii="Times New Roman" w:hAnsi="Times New Roman" w:eastAsia="宋体"/>
                      <w:color w:val="auto"/>
                      <w:kern w:val="2"/>
                      <w:sz w:val="18"/>
                      <w:szCs w:val="18"/>
                    </w:rPr>
                    <w:br w:type="textWrapping"/>
                  </w:r>
                  <w:r>
                    <w:rPr>
                      <w:rFonts w:hint="eastAsia" w:ascii="Times New Roman" w:hAnsi="Times New Roman" w:eastAsia="宋体"/>
                      <w:color w:val="auto"/>
                      <w:kern w:val="2"/>
                      <w:sz w:val="18"/>
                      <w:szCs w:val="18"/>
                    </w:rPr>
                    <w:t>计划</w:t>
                  </w:r>
                </w:p>
              </w:tc>
              <w:tc>
                <w:tcPr>
                  <w:tcW w:w="1624" w:type="dxa"/>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污染源监测</w:t>
                  </w:r>
                </w:p>
              </w:tc>
              <w:tc>
                <w:tcPr>
                  <w:tcW w:w="2860" w:type="dxa"/>
                  <w:gridSpan w:val="8"/>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lang w:eastAsia="zh-CN"/>
                    </w:rPr>
                    <w:t>监测因子：（  PM</w:t>
                  </w:r>
                  <w:r>
                    <w:rPr>
                      <w:rFonts w:hint="eastAsia" w:ascii="Times New Roman" w:hAnsi="Times New Roman" w:eastAsia="宋体"/>
                      <w:color w:val="auto"/>
                      <w:kern w:val="2"/>
                      <w:sz w:val="18"/>
                      <w:szCs w:val="18"/>
                      <w:vertAlign w:val="subscript"/>
                      <w:lang w:eastAsia="zh-CN"/>
                    </w:rPr>
                    <w:t>10</w:t>
                  </w:r>
                  <w:r>
                    <w:rPr>
                      <w:rFonts w:hint="eastAsia" w:ascii="Times New Roman" w:hAnsi="Times New Roman" w:eastAsia="宋体"/>
                      <w:color w:val="auto"/>
                      <w:kern w:val="2"/>
                      <w:sz w:val="18"/>
                      <w:szCs w:val="18"/>
                      <w:lang w:eastAsia="zh-CN"/>
                    </w:rPr>
                    <w:t>、</w:t>
                  </w:r>
                  <w:r>
                    <w:rPr>
                      <w:rFonts w:hint="eastAsia" w:ascii="Times New Roman" w:hAnsi="Times New Roman" w:eastAsia="宋体"/>
                      <w:color w:val="auto"/>
                      <w:sz w:val="18"/>
                      <w:szCs w:val="18"/>
                    </w:rPr>
                    <w:t>SO</w:t>
                  </w:r>
                  <w:r>
                    <w:rPr>
                      <w:rFonts w:hint="eastAsia" w:ascii="Times New Roman" w:hAnsi="Times New Roman" w:eastAsia="宋体"/>
                      <w:color w:val="auto"/>
                      <w:sz w:val="18"/>
                      <w:szCs w:val="18"/>
                      <w:vertAlign w:val="subscript"/>
                    </w:rPr>
                    <w:t>2</w:t>
                  </w:r>
                  <w:r>
                    <w:rPr>
                      <w:rFonts w:hint="eastAsia" w:ascii="Times New Roman" w:hAnsi="Times New Roman" w:eastAsia="宋体"/>
                      <w:color w:val="auto"/>
                      <w:sz w:val="18"/>
                      <w:szCs w:val="18"/>
                    </w:rPr>
                    <w:t>、NO</w:t>
                  </w:r>
                  <w:r>
                    <w:rPr>
                      <w:rFonts w:hint="eastAsia" w:ascii="Times New Roman" w:hAnsi="Times New Roman" w:eastAsia="宋体"/>
                      <w:color w:val="auto"/>
                      <w:sz w:val="18"/>
                      <w:szCs w:val="18"/>
                      <w:vertAlign w:val="subscript"/>
                    </w:rPr>
                    <w:t>X</w:t>
                  </w:r>
                  <w:r>
                    <w:rPr>
                      <w:rFonts w:hint="eastAsia" w:ascii="Times New Roman" w:hAnsi="Times New Roman" w:eastAsia="宋体"/>
                      <w:color w:val="auto"/>
                      <w:kern w:val="2"/>
                      <w:sz w:val="18"/>
                      <w:szCs w:val="18"/>
                      <w:lang w:eastAsia="zh-CN"/>
                    </w:rPr>
                    <w:t>、沥青烟、苯并[a]芘）</w:t>
                  </w:r>
                </w:p>
              </w:tc>
              <w:tc>
                <w:tcPr>
                  <w:tcW w:w="2445" w:type="dxa"/>
                  <w:gridSpan w:val="7"/>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lang w:eastAsia="zh-CN"/>
                    </w:rPr>
                    <w:t>有组织废气监测</w:t>
                  </w:r>
                  <w:r>
                    <w:rPr>
                      <w:rFonts w:hint="eastAsia" w:ascii="Times New Roman" w:hAnsi="Times New Roman" w:eastAsia="宋体" w:cs="MS Mincho"/>
                      <w:color w:val="auto"/>
                      <w:kern w:val="2"/>
                      <w:sz w:val="18"/>
                      <w:szCs w:val="18"/>
                      <w:lang w:eastAsia="zh-CN"/>
                    </w:rPr>
                    <w:t>☑</w:t>
                  </w:r>
                  <w:r>
                    <w:rPr>
                      <w:rFonts w:hint="eastAsia" w:ascii="Times New Roman" w:hAnsi="Times New Roman" w:eastAsia="宋体"/>
                      <w:color w:val="auto"/>
                      <w:kern w:val="2"/>
                      <w:sz w:val="18"/>
                      <w:szCs w:val="18"/>
                      <w:lang w:eastAsia="zh-CN"/>
                    </w:rPr>
                    <w:br w:type="textWrapping"/>
                  </w:r>
                  <w:r>
                    <w:rPr>
                      <w:rFonts w:hint="eastAsia" w:ascii="Times New Roman" w:hAnsi="Times New Roman" w:eastAsia="宋体"/>
                      <w:color w:val="auto"/>
                      <w:kern w:val="2"/>
                      <w:sz w:val="18"/>
                      <w:szCs w:val="18"/>
                      <w:lang w:eastAsia="zh-CN"/>
                    </w:rPr>
                    <w:t>无组织废气监测</w:t>
                  </w:r>
                  <w:r>
                    <w:rPr>
                      <w:rFonts w:hint="eastAsia" w:ascii="Times New Roman" w:hAnsi="Times New Roman" w:eastAsia="宋体" w:cs="MS Mincho"/>
                      <w:color w:val="auto"/>
                      <w:kern w:val="2"/>
                      <w:sz w:val="18"/>
                      <w:szCs w:val="18"/>
                      <w:lang w:eastAsia="zh-CN"/>
                    </w:rPr>
                    <w:t>☑</w:t>
                  </w:r>
                </w:p>
              </w:tc>
              <w:tc>
                <w:tcPr>
                  <w:tcW w:w="1333" w:type="dxa"/>
                  <w:gridSpan w:val="2"/>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rPr>
                    <w:t>无监测</w:t>
                  </w:r>
                  <w:r>
                    <w:rPr>
                      <w:rFonts w:hint="eastAsia" w:ascii="Times New Roman" w:hAnsi="Times New Roman" w:eastAsia="宋体"/>
                      <w:color w:val="auto"/>
                      <w:kern w:val="2"/>
                      <w:sz w:val="18"/>
                      <w:szCs w:val="18"/>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957" w:type="dxa"/>
                  <w:vMerge w:val="continue"/>
                  <w:vAlign w:val="center"/>
                </w:tcPr>
                <w:p>
                  <w:pPr>
                    <w:pStyle w:val="109"/>
                    <w:spacing w:line="240" w:lineRule="auto"/>
                    <w:ind w:firstLine="360"/>
                    <w:rPr>
                      <w:rFonts w:ascii="Times New Roman" w:hAnsi="Times New Roman" w:eastAsia="宋体"/>
                      <w:color w:val="auto"/>
                      <w:kern w:val="2"/>
                      <w:sz w:val="18"/>
                      <w:szCs w:val="18"/>
                    </w:rPr>
                  </w:pPr>
                </w:p>
              </w:tc>
              <w:tc>
                <w:tcPr>
                  <w:tcW w:w="1624" w:type="dxa"/>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环境质量监测</w:t>
                  </w:r>
                </w:p>
              </w:tc>
              <w:tc>
                <w:tcPr>
                  <w:tcW w:w="2860" w:type="dxa"/>
                  <w:gridSpan w:val="8"/>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监测因子：（）</w:t>
                  </w:r>
                </w:p>
              </w:tc>
              <w:tc>
                <w:tcPr>
                  <w:tcW w:w="2445" w:type="dxa"/>
                  <w:gridSpan w:val="7"/>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监测点位数（）</w:t>
                  </w:r>
                </w:p>
              </w:tc>
              <w:tc>
                <w:tcPr>
                  <w:tcW w:w="1333" w:type="dxa"/>
                  <w:gridSpan w:val="2"/>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rPr>
                    <w:t>无监测</w:t>
                  </w:r>
                  <w:r>
                    <w:rPr>
                      <w:rFonts w:hint="eastAsia" w:ascii="Times New Roman" w:hAnsi="Times New Roman" w:eastAsia="宋体" w:cs="MS Mincho"/>
                      <w:color w:val="auto"/>
                      <w:kern w:val="2"/>
                      <w:sz w:val="18"/>
                      <w:szCs w:val="18"/>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957" w:type="dxa"/>
                  <w:vMerge w:val="restart"/>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评价结论</w:t>
                  </w:r>
                </w:p>
              </w:tc>
              <w:tc>
                <w:tcPr>
                  <w:tcW w:w="1624" w:type="dxa"/>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环境影响</w:t>
                  </w:r>
                </w:p>
              </w:tc>
              <w:tc>
                <w:tcPr>
                  <w:tcW w:w="6638" w:type="dxa"/>
                  <w:gridSpan w:val="17"/>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可以接受</w:t>
                  </w:r>
                  <w:r>
                    <w:rPr>
                      <w:rFonts w:hint="eastAsia" w:ascii="Times New Roman" w:hAnsi="Times New Roman" w:eastAsia="宋体" w:cs="MS Mincho"/>
                      <w:color w:val="auto"/>
                      <w:kern w:val="2"/>
                      <w:sz w:val="18"/>
                      <w:szCs w:val="18"/>
                      <w:lang w:eastAsia="zh-CN"/>
                    </w:rPr>
                    <w:t>☑</w:t>
                  </w:r>
                  <w:r>
                    <w:rPr>
                      <w:rFonts w:hint="eastAsia" w:ascii="Times New Roman" w:hAnsi="Times New Roman" w:eastAsia="宋体"/>
                      <w:color w:val="auto"/>
                      <w:kern w:val="2"/>
                      <w:sz w:val="18"/>
                      <w:szCs w:val="18"/>
                    </w:rPr>
                    <w:t>不可以接受□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957" w:type="dxa"/>
                  <w:vMerge w:val="continue"/>
                  <w:vAlign w:val="center"/>
                </w:tcPr>
                <w:p>
                  <w:pPr>
                    <w:pStyle w:val="109"/>
                    <w:spacing w:line="240" w:lineRule="auto"/>
                    <w:ind w:firstLine="360"/>
                    <w:rPr>
                      <w:rFonts w:ascii="Times New Roman" w:hAnsi="Times New Roman" w:eastAsia="宋体"/>
                      <w:color w:val="auto"/>
                      <w:kern w:val="2"/>
                      <w:sz w:val="18"/>
                      <w:szCs w:val="18"/>
                    </w:rPr>
                  </w:pPr>
                </w:p>
              </w:tc>
              <w:tc>
                <w:tcPr>
                  <w:tcW w:w="1624" w:type="dxa"/>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大气环境防护距离</w:t>
                  </w:r>
                </w:p>
              </w:tc>
              <w:tc>
                <w:tcPr>
                  <w:tcW w:w="6638" w:type="dxa"/>
                  <w:gridSpan w:val="17"/>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lang w:eastAsia="zh-CN"/>
                    </w:rPr>
                    <w:t>距（   /  ）厂界最远（   /  ）m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957" w:type="dxa"/>
                  <w:vMerge w:val="continue"/>
                  <w:vAlign w:val="center"/>
                </w:tcPr>
                <w:p>
                  <w:pPr>
                    <w:pStyle w:val="109"/>
                    <w:spacing w:line="240" w:lineRule="auto"/>
                    <w:ind w:firstLine="360"/>
                    <w:rPr>
                      <w:rFonts w:ascii="Times New Roman" w:hAnsi="Times New Roman" w:eastAsia="宋体"/>
                      <w:color w:val="auto"/>
                      <w:kern w:val="2"/>
                      <w:sz w:val="18"/>
                      <w:szCs w:val="18"/>
                      <w:lang w:eastAsia="zh-CN"/>
                    </w:rPr>
                  </w:pPr>
                </w:p>
              </w:tc>
              <w:tc>
                <w:tcPr>
                  <w:tcW w:w="1624" w:type="dxa"/>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污染源年排放量</w:t>
                  </w:r>
                </w:p>
              </w:tc>
              <w:tc>
                <w:tcPr>
                  <w:tcW w:w="1360" w:type="dxa"/>
                  <w:gridSpan w:val="3"/>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SO</w:t>
                  </w:r>
                  <w:r>
                    <w:rPr>
                      <w:rFonts w:hint="eastAsia" w:ascii="Times New Roman" w:hAnsi="Times New Roman" w:eastAsia="宋体"/>
                      <w:color w:val="auto"/>
                      <w:kern w:val="2"/>
                      <w:sz w:val="18"/>
                      <w:szCs w:val="18"/>
                      <w:vertAlign w:val="subscript"/>
                    </w:rPr>
                    <w:t>2</w:t>
                  </w:r>
                  <w:r>
                    <w:rPr>
                      <w:rFonts w:hint="eastAsia" w:ascii="Times New Roman" w:hAnsi="Times New Roman" w:eastAsia="宋体"/>
                      <w:color w:val="auto"/>
                      <w:kern w:val="2"/>
                      <w:sz w:val="18"/>
                      <w:szCs w:val="18"/>
                    </w:rPr>
                    <w:t>:（</w:t>
                  </w:r>
                  <w:r>
                    <w:rPr>
                      <w:rFonts w:hint="eastAsia" w:ascii="Times New Roman" w:hAnsi="Times New Roman" w:eastAsia="宋体"/>
                      <w:color w:val="auto"/>
                      <w:kern w:val="2"/>
                      <w:sz w:val="18"/>
                      <w:szCs w:val="18"/>
                      <w:lang w:eastAsia="zh-CN"/>
                    </w:rPr>
                    <w:t>0.</w:t>
                  </w:r>
                  <w:r>
                    <w:rPr>
                      <w:rFonts w:hint="eastAsia" w:ascii="Times New Roman" w:hAnsi="Times New Roman" w:eastAsia="宋体"/>
                      <w:color w:val="auto"/>
                      <w:kern w:val="2"/>
                      <w:sz w:val="18"/>
                      <w:szCs w:val="18"/>
                      <w:lang w:val="en-US" w:eastAsia="zh-CN"/>
                    </w:rPr>
                    <w:t>57</w:t>
                  </w:r>
                  <w:r>
                    <w:rPr>
                      <w:rFonts w:hint="eastAsia" w:ascii="Times New Roman" w:hAnsi="Times New Roman" w:eastAsia="宋体"/>
                      <w:color w:val="auto"/>
                      <w:kern w:val="2"/>
                      <w:sz w:val="18"/>
                      <w:szCs w:val="18"/>
                    </w:rPr>
                    <w:t>）t/a</w:t>
                  </w:r>
                </w:p>
              </w:tc>
              <w:tc>
                <w:tcPr>
                  <w:tcW w:w="1500" w:type="dxa"/>
                  <w:gridSpan w:val="5"/>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NOx:（</w:t>
                  </w:r>
                  <w:r>
                    <w:rPr>
                      <w:rFonts w:hint="eastAsia" w:ascii="Times New Roman" w:hAnsi="Times New Roman" w:eastAsia="宋体"/>
                      <w:color w:val="auto"/>
                      <w:kern w:val="2"/>
                      <w:sz w:val="18"/>
                      <w:szCs w:val="18"/>
                      <w:lang w:eastAsia="zh-CN"/>
                    </w:rPr>
                    <w:t>1.</w:t>
                  </w:r>
                  <w:r>
                    <w:rPr>
                      <w:rFonts w:hint="eastAsia" w:ascii="Times New Roman" w:hAnsi="Times New Roman" w:eastAsia="宋体"/>
                      <w:color w:val="auto"/>
                      <w:kern w:val="2"/>
                      <w:sz w:val="18"/>
                      <w:szCs w:val="18"/>
                      <w:lang w:val="en-US" w:eastAsia="zh-CN"/>
                    </w:rPr>
                    <w:t>08</w:t>
                  </w:r>
                  <w:r>
                    <w:rPr>
                      <w:rFonts w:hint="eastAsia" w:ascii="Times New Roman" w:hAnsi="Times New Roman" w:eastAsia="宋体"/>
                      <w:color w:val="auto"/>
                      <w:kern w:val="2"/>
                      <w:sz w:val="18"/>
                      <w:szCs w:val="18"/>
                    </w:rPr>
                    <w:t>）t/a</w:t>
                  </w:r>
                </w:p>
              </w:tc>
              <w:tc>
                <w:tcPr>
                  <w:tcW w:w="2002" w:type="dxa"/>
                  <w:gridSpan w:val="5"/>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rPr>
                    <w:t>颗粒物:（</w:t>
                  </w:r>
                  <w:r>
                    <w:rPr>
                      <w:rFonts w:hint="eastAsia" w:ascii="Times New Roman" w:hAnsi="Times New Roman" w:eastAsia="宋体"/>
                      <w:color w:val="auto"/>
                      <w:kern w:val="2"/>
                      <w:sz w:val="18"/>
                      <w:szCs w:val="18"/>
                      <w:lang w:val="en-US" w:eastAsia="zh-CN"/>
                    </w:rPr>
                    <w:t>0.745</w:t>
                  </w:r>
                  <w:r>
                    <w:rPr>
                      <w:rFonts w:hint="eastAsia" w:ascii="Times New Roman" w:hAnsi="Times New Roman" w:eastAsia="宋体"/>
                      <w:color w:val="auto"/>
                      <w:kern w:val="2"/>
                      <w:sz w:val="18"/>
                      <w:szCs w:val="18"/>
                    </w:rPr>
                    <w:t>）t/a</w:t>
                  </w:r>
                </w:p>
              </w:tc>
              <w:tc>
                <w:tcPr>
                  <w:tcW w:w="1776" w:type="dxa"/>
                  <w:gridSpan w:val="4"/>
                  <w:vAlign w:val="center"/>
                </w:tcPr>
                <w:p>
                  <w:pPr>
                    <w:pStyle w:val="109"/>
                    <w:spacing w:line="240" w:lineRule="auto"/>
                    <w:ind w:firstLine="0" w:firstLineChars="0"/>
                    <w:jc w:val="both"/>
                    <w:rPr>
                      <w:rFonts w:ascii="Times New Roman" w:hAnsi="Times New Roman" w:eastAsia="宋体"/>
                      <w:color w:val="auto"/>
                      <w:kern w:val="2"/>
                      <w:sz w:val="18"/>
                      <w:szCs w:val="18"/>
                    </w:rPr>
                  </w:pPr>
                  <w:r>
                    <w:rPr>
                      <w:rFonts w:hint="eastAsia" w:ascii="Times New Roman" w:hAnsi="Times New Roman" w:eastAsia="宋体"/>
                      <w:color w:val="auto"/>
                      <w:kern w:val="2"/>
                      <w:sz w:val="18"/>
                      <w:szCs w:val="18"/>
                      <w:lang w:eastAsia="zh-CN"/>
                    </w:rPr>
                    <w:t>非甲烷总烃</w:t>
                  </w:r>
                  <w:r>
                    <w:rPr>
                      <w:rFonts w:hint="eastAsia" w:ascii="Times New Roman" w:hAnsi="Times New Roman" w:eastAsia="宋体"/>
                      <w:color w:val="auto"/>
                      <w:kern w:val="2"/>
                      <w:sz w:val="18"/>
                      <w:szCs w:val="18"/>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9219" w:type="dxa"/>
                  <w:gridSpan w:val="19"/>
                  <w:vAlign w:val="center"/>
                </w:tcPr>
                <w:p>
                  <w:pPr>
                    <w:pStyle w:val="109"/>
                    <w:spacing w:line="240" w:lineRule="auto"/>
                    <w:ind w:firstLine="0" w:firstLineChars="0"/>
                    <w:jc w:val="both"/>
                    <w:rPr>
                      <w:rFonts w:ascii="Times New Roman" w:hAnsi="Times New Roman" w:eastAsia="宋体"/>
                      <w:color w:val="auto"/>
                      <w:kern w:val="2"/>
                      <w:sz w:val="18"/>
                      <w:szCs w:val="18"/>
                      <w:lang w:eastAsia="zh-CN"/>
                    </w:rPr>
                  </w:pPr>
                  <w:r>
                    <w:rPr>
                      <w:rFonts w:hint="eastAsia" w:ascii="Times New Roman" w:hAnsi="Times New Roman" w:eastAsia="宋体"/>
                      <w:color w:val="auto"/>
                      <w:kern w:val="2"/>
                      <w:sz w:val="18"/>
                      <w:szCs w:val="18"/>
                      <w:lang w:eastAsia="zh-CN"/>
                    </w:rPr>
                    <w:t>注：“□”为勾选项，填“√”；“（）”为内容填写项</w:t>
                  </w:r>
                </w:p>
              </w:tc>
            </w:tr>
          </w:tbl>
          <w:p>
            <w:pPr>
              <w:ind w:firstLine="472" w:firstLineChars="196"/>
              <w:rPr>
                <w:rFonts w:ascii="Times New Roman" w:hAnsi="Times New Roman" w:eastAsia="宋体"/>
                <w:b/>
                <w:color w:val="auto"/>
                <w:kern w:val="0"/>
                <w:sz w:val="24"/>
                <w:szCs w:val="21"/>
              </w:rPr>
            </w:pPr>
            <w:r>
              <w:rPr>
                <w:rFonts w:hint="eastAsia" w:ascii="Times New Roman" w:hAnsi="Times New Roman" w:eastAsia="宋体"/>
                <w:b/>
                <w:color w:val="auto"/>
                <w:kern w:val="0"/>
                <w:sz w:val="24"/>
                <w:szCs w:val="21"/>
              </w:rPr>
              <w:t>2.</w:t>
            </w:r>
            <w:r>
              <w:rPr>
                <w:rFonts w:ascii="Times New Roman" w:hAnsi="Times New Roman" w:eastAsia="宋体"/>
                <w:b/>
                <w:color w:val="auto"/>
                <w:kern w:val="0"/>
                <w:sz w:val="24"/>
                <w:szCs w:val="21"/>
              </w:rPr>
              <w:t>水环境影响分析</w:t>
            </w:r>
          </w:p>
          <w:p>
            <w:pPr>
              <w:pStyle w:val="24"/>
              <w:ind w:firstLine="470" w:firstLineChars="196"/>
              <w:rPr>
                <w:rFonts w:ascii="Times New Roman" w:hAnsi="Times New Roman" w:eastAsia="宋体"/>
                <w:color w:val="auto"/>
                <w:sz w:val="24"/>
              </w:rPr>
            </w:pPr>
            <w:r>
              <w:rPr>
                <w:rFonts w:hint="eastAsia" w:ascii="Times New Roman" w:hAnsi="Times New Roman" w:eastAsia="宋体"/>
                <w:color w:val="auto"/>
                <w:sz w:val="24"/>
              </w:rPr>
              <w:t>（1）本项目废水排放情况</w:t>
            </w:r>
          </w:p>
          <w:p>
            <w:pPr>
              <w:adjustRightInd w:val="0"/>
              <w:ind w:firstLine="480"/>
              <w:rPr>
                <w:rFonts w:ascii="Times New Roman" w:hAnsi="Times New Roman" w:eastAsia="宋体"/>
                <w:color w:val="auto"/>
                <w:sz w:val="24"/>
                <w:szCs w:val="24"/>
              </w:rPr>
            </w:pPr>
            <w:r>
              <w:rPr>
                <w:rFonts w:hint="eastAsia" w:ascii="Times New Roman" w:hAnsi="Times New Roman" w:eastAsia="宋体"/>
                <w:color w:val="auto"/>
                <w:sz w:val="24"/>
                <w:szCs w:val="24"/>
              </w:rPr>
              <w:t>本项目实行“雨污分流”制，</w:t>
            </w:r>
            <w:r>
              <w:rPr>
                <w:rFonts w:hint="eastAsia" w:ascii="Times New Roman" w:hAnsi="Times New Roman" w:eastAsia="宋体"/>
                <w:color w:val="auto"/>
                <w:sz w:val="24"/>
                <w:szCs w:val="24"/>
                <w:lang w:eastAsia="zh-CN"/>
              </w:rPr>
              <w:t>后期雨水排入雨水管网，最终汇入</w:t>
            </w:r>
            <w:r>
              <w:rPr>
                <w:rFonts w:hint="eastAsia" w:ascii="Times New Roman" w:hAnsi="Times New Roman"/>
                <w:color w:val="auto"/>
                <w:sz w:val="24"/>
                <w:szCs w:val="24"/>
                <w:lang w:val="en-US" w:eastAsia="zh-CN"/>
              </w:rPr>
              <w:t>湘江</w:t>
            </w:r>
            <w:r>
              <w:rPr>
                <w:rFonts w:hint="eastAsia"/>
                <w:color w:val="auto"/>
                <w:sz w:val="24"/>
                <w:szCs w:val="24"/>
                <w:lang w:eastAsia="zh-CN"/>
              </w:rPr>
              <w:t>，</w:t>
            </w:r>
            <w:r>
              <w:rPr>
                <w:rFonts w:hint="eastAsia" w:ascii="Times New Roman" w:hAnsi="Times New Roman" w:eastAsia="宋体"/>
                <w:color w:val="auto"/>
                <w:sz w:val="24"/>
                <w:szCs w:val="24"/>
              </w:rPr>
              <w:t>生产用水进入产品中，不排放。初期雨水与</w:t>
            </w:r>
            <w:r>
              <w:rPr>
                <w:rFonts w:hint="eastAsia"/>
                <w:color w:val="auto"/>
                <w:sz w:val="24"/>
                <w:szCs w:val="24"/>
                <w:lang w:eastAsia="zh-CN"/>
              </w:rPr>
              <w:t>通过</w:t>
            </w:r>
            <w:r>
              <w:rPr>
                <w:rFonts w:hint="eastAsia" w:ascii="Times New Roman" w:hAnsi="Times New Roman" w:eastAsia="宋体"/>
                <w:color w:val="auto"/>
                <w:sz w:val="24"/>
                <w:szCs w:val="24"/>
              </w:rPr>
              <w:t>经化粪池预处理后的生活污水一起接管至</w:t>
            </w:r>
            <w:r>
              <w:rPr>
                <w:rFonts w:hint="eastAsia" w:ascii="Times New Roman" w:hAnsi="Times New Roman"/>
                <w:color w:val="auto"/>
                <w:sz w:val="24"/>
                <w:szCs w:val="24"/>
                <w:lang w:val="en-US" w:eastAsia="zh-CN"/>
              </w:rPr>
              <w:t>霞湾</w:t>
            </w:r>
            <w:r>
              <w:rPr>
                <w:rFonts w:hint="eastAsia" w:ascii="Times New Roman" w:hAnsi="Times New Roman" w:eastAsia="宋体"/>
                <w:color w:val="auto"/>
                <w:sz w:val="24"/>
                <w:szCs w:val="24"/>
              </w:rPr>
              <w:t>污水处理厂，尾水排入</w:t>
            </w:r>
            <w:r>
              <w:rPr>
                <w:rFonts w:hint="eastAsia" w:ascii="Times New Roman" w:hAnsi="Times New Roman"/>
                <w:color w:val="auto"/>
                <w:sz w:val="24"/>
                <w:szCs w:val="24"/>
                <w:lang w:val="en-US" w:eastAsia="zh-CN"/>
              </w:rPr>
              <w:t>湘江</w:t>
            </w:r>
            <w:r>
              <w:rPr>
                <w:rFonts w:hint="eastAsia" w:ascii="Times New Roman" w:hAnsi="Times New Roman" w:eastAsia="宋体"/>
                <w:color w:val="auto"/>
                <w:sz w:val="24"/>
                <w:szCs w:val="24"/>
              </w:rPr>
              <w:t>。</w:t>
            </w:r>
          </w:p>
          <w:p>
            <w:pPr>
              <w:tabs>
                <w:tab w:val="center" w:pos="4816"/>
                <w:tab w:val="left" w:pos="8100"/>
              </w:tabs>
              <w:adjustRightInd w:val="0"/>
              <w:snapToGrid w:val="0"/>
              <w:spacing w:line="240" w:lineRule="auto"/>
              <w:ind w:firstLine="422"/>
              <w:jc w:val="center"/>
              <w:rPr>
                <w:rFonts w:ascii="Times New Roman" w:hAnsi="Times New Roman" w:eastAsia="宋体"/>
                <w:b/>
                <w:bCs/>
                <w:color w:val="auto"/>
                <w:sz w:val="21"/>
                <w:szCs w:val="21"/>
              </w:rPr>
            </w:pPr>
            <w:r>
              <w:rPr>
                <w:rFonts w:hint="eastAsia" w:ascii="Times New Roman" w:hAnsi="Times New Roman" w:eastAsia="宋体"/>
                <w:b/>
                <w:bCs/>
                <w:color w:val="auto"/>
                <w:sz w:val="21"/>
                <w:szCs w:val="21"/>
              </w:rPr>
              <w:t>表7</w:t>
            </w:r>
            <w:r>
              <w:rPr>
                <w:rFonts w:hint="eastAsia"/>
                <w:b/>
                <w:bCs/>
                <w:color w:val="auto"/>
                <w:sz w:val="21"/>
                <w:szCs w:val="21"/>
                <w:lang w:val="en-US" w:eastAsia="zh-CN"/>
              </w:rPr>
              <w:t>.6</w:t>
            </w:r>
            <w:r>
              <w:rPr>
                <w:rFonts w:hint="eastAsia" w:ascii="Times New Roman" w:hAnsi="Times New Roman" w:eastAsia="宋体"/>
                <w:b/>
                <w:bCs/>
                <w:color w:val="auto"/>
                <w:sz w:val="21"/>
                <w:szCs w:val="21"/>
              </w:rPr>
              <w:t>-1</w:t>
            </w:r>
            <w:r>
              <w:rPr>
                <w:rFonts w:hint="eastAsia"/>
                <w:b/>
                <w:bCs/>
                <w:color w:val="auto"/>
                <w:sz w:val="21"/>
                <w:szCs w:val="21"/>
                <w:lang w:val="en-US" w:eastAsia="zh-CN"/>
              </w:rPr>
              <w:t>6</w:t>
            </w:r>
            <w:r>
              <w:rPr>
                <w:rFonts w:hint="eastAsia" w:ascii="Times New Roman" w:hAnsi="Times New Roman" w:eastAsia="宋体"/>
                <w:b/>
                <w:bCs/>
                <w:color w:val="auto"/>
                <w:sz w:val="21"/>
                <w:szCs w:val="21"/>
              </w:rPr>
              <w:t xml:space="preserve"> </w:t>
            </w:r>
            <w:r>
              <w:rPr>
                <w:rFonts w:ascii="Times New Roman" w:hAnsi="Times New Roman" w:eastAsia="宋体" w:cs="宋体"/>
                <w:b/>
                <w:bCs/>
                <w:color w:val="auto"/>
                <w:sz w:val="21"/>
                <w:szCs w:val="21"/>
              </w:rPr>
              <w:t>废水类别、污染物及污染治理设施信息表</w:t>
            </w:r>
          </w:p>
          <w:tbl>
            <w:tblPr>
              <w:tblStyle w:val="43"/>
              <w:tblW w:w="9022" w:type="dxa"/>
              <w:jc w:val="center"/>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Layout w:type="fixed"/>
              <w:tblCellMar>
                <w:top w:w="0" w:type="dxa"/>
                <w:left w:w="108" w:type="dxa"/>
                <w:bottom w:w="0" w:type="dxa"/>
                <w:right w:w="108" w:type="dxa"/>
              </w:tblCellMar>
            </w:tblPr>
            <w:tblGrid>
              <w:gridCol w:w="468"/>
              <w:gridCol w:w="645"/>
              <w:gridCol w:w="1181"/>
              <w:gridCol w:w="976"/>
              <w:gridCol w:w="769"/>
              <w:gridCol w:w="784"/>
              <w:gridCol w:w="842"/>
              <w:gridCol w:w="878"/>
              <w:gridCol w:w="910"/>
              <w:gridCol w:w="843"/>
              <w:gridCol w:w="72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Layout w:type="fixed"/>
                <w:tblCellMar>
                  <w:top w:w="0" w:type="dxa"/>
                  <w:left w:w="108" w:type="dxa"/>
                  <w:bottom w:w="0" w:type="dxa"/>
                  <w:right w:w="108" w:type="dxa"/>
                </w:tblCellMar>
              </w:tblPrEx>
              <w:trPr>
                <w:jc w:val="center"/>
              </w:trPr>
              <w:tc>
                <w:tcPr>
                  <w:tcW w:w="468" w:type="dxa"/>
                  <w:vMerge w:val="restart"/>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序号</w:t>
                  </w:r>
                </w:p>
              </w:tc>
              <w:tc>
                <w:tcPr>
                  <w:tcW w:w="645" w:type="dxa"/>
                  <w:vMerge w:val="restart"/>
                  <w:tcBorders>
                    <w:right w:val="single" w:color="000000" w:sz="4" w:space="0"/>
                  </w:tcBorders>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废水类别</w:t>
                  </w:r>
                </w:p>
              </w:tc>
              <w:tc>
                <w:tcPr>
                  <w:tcW w:w="1181" w:type="dxa"/>
                  <w:vMerge w:val="restart"/>
                  <w:tcBorders>
                    <w:left w:val="single" w:color="000000" w:sz="4" w:space="0"/>
                  </w:tcBorders>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污染物种类</w:t>
                  </w:r>
                </w:p>
              </w:tc>
              <w:tc>
                <w:tcPr>
                  <w:tcW w:w="976" w:type="dxa"/>
                  <w:vMerge w:val="restart"/>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排放去向</w:t>
                  </w:r>
                </w:p>
              </w:tc>
              <w:tc>
                <w:tcPr>
                  <w:tcW w:w="769" w:type="dxa"/>
                  <w:vMerge w:val="restart"/>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排放规律</w:t>
                  </w:r>
                </w:p>
              </w:tc>
              <w:tc>
                <w:tcPr>
                  <w:tcW w:w="2504" w:type="dxa"/>
                  <w:gridSpan w:val="3"/>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污染治理设施</w:t>
                  </w:r>
                </w:p>
              </w:tc>
              <w:tc>
                <w:tcPr>
                  <w:tcW w:w="910" w:type="dxa"/>
                  <w:vMerge w:val="restart"/>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排放口编号</w:t>
                  </w:r>
                </w:p>
              </w:tc>
              <w:tc>
                <w:tcPr>
                  <w:tcW w:w="843" w:type="dxa"/>
                  <w:vMerge w:val="restart"/>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排放口设置否符合要求</w:t>
                  </w:r>
                </w:p>
              </w:tc>
              <w:tc>
                <w:tcPr>
                  <w:tcW w:w="726" w:type="dxa"/>
                  <w:vMerge w:val="restart"/>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排放口类型</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Layout w:type="fixed"/>
                <w:tblCellMar>
                  <w:top w:w="0" w:type="dxa"/>
                  <w:left w:w="108" w:type="dxa"/>
                  <w:bottom w:w="0" w:type="dxa"/>
                  <w:right w:w="108" w:type="dxa"/>
                </w:tblCellMar>
              </w:tblPrEx>
              <w:trPr>
                <w:jc w:val="center"/>
              </w:trPr>
              <w:tc>
                <w:tcPr>
                  <w:tcW w:w="468" w:type="dxa"/>
                  <w:vMerge w:val="continue"/>
                  <w:vAlign w:val="center"/>
                </w:tcPr>
                <w:p>
                  <w:pPr>
                    <w:widowControl/>
                    <w:adjustRightInd w:val="0"/>
                    <w:snapToGrid w:val="0"/>
                    <w:spacing w:line="240" w:lineRule="auto"/>
                    <w:ind w:firstLine="0" w:firstLineChars="0"/>
                    <w:jc w:val="center"/>
                    <w:rPr>
                      <w:rFonts w:ascii="Times New Roman" w:hAnsi="Times New Roman" w:eastAsia="宋体"/>
                      <w:color w:val="auto"/>
                      <w:sz w:val="21"/>
                      <w:szCs w:val="21"/>
                    </w:rPr>
                  </w:pPr>
                </w:p>
              </w:tc>
              <w:tc>
                <w:tcPr>
                  <w:tcW w:w="645" w:type="dxa"/>
                  <w:vMerge w:val="continue"/>
                  <w:tcBorders>
                    <w:right w:val="single" w:color="000000" w:sz="4" w:space="0"/>
                  </w:tcBorders>
                  <w:vAlign w:val="center"/>
                </w:tcPr>
                <w:p>
                  <w:pPr>
                    <w:widowControl/>
                    <w:adjustRightInd w:val="0"/>
                    <w:snapToGrid w:val="0"/>
                    <w:spacing w:line="240" w:lineRule="auto"/>
                    <w:ind w:firstLine="0" w:firstLineChars="0"/>
                    <w:jc w:val="center"/>
                    <w:rPr>
                      <w:rFonts w:ascii="Times New Roman" w:hAnsi="Times New Roman" w:eastAsia="宋体"/>
                      <w:color w:val="auto"/>
                      <w:sz w:val="21"/>
                      <w:szCs w:val="21"/>
                    </w:rPr>
                  </w:pPr>
                </w:p>
              </w:tc>
              <w:tc>
                <w:tcPr>
                  <w:tcW w:w="1181" w:type="dxa"/>
                  <w:vMerge w:val="continue"/>
                  <w:tcBorders>
                    <w:left w:val="single" w:color="000000" w:sz="4" w:space="0"/>
                  </w:tcBorders>
                  <w:vAlign w:val="center"/>
                </w:tcPr>
                <w:p>
                  <w:pPr>
                    <w:widowControl/>
                    <w:adjustRightInd w:val="0"/>
                    <w:snapToGrid w:val="0"/>
                    <w:spacing w:line="240" w:lineRule="auto"/>
                    <w:ind w:firstLine="0" w:firstLineChars="0"/>
                    <w:jc w:val="center"/>
                    <w:rPr>
                      <w:rFonts w:ascii="Times New Roman" w:hAnsi="Times New Roman" w:eastAsia="宋体"/>
                      <w:color w:val="auto"/>
                      <w:sz w:val="21"/>
                      <w:szCs w:val="21"/>
                    </w:rPr>
                  </w:pPr>
                </w:p>
              </w:tc>
              <w:tc>
                <w:tcPr>
                  <w:tcW w:w="976" w:type="dxa"/>
                  <w:vMerge w:val="continue"/>
                  <w:vAlign w:val="center"/>
                </w:tcPr>
                <w:p>
                  <w:pPr>
                    <w:widowControl/>
                    <w:adjustRightInd w:val="0"/>
                    <w:snapToGrid w:val="0"/>
                    <w:spacing w:line="240" w:lineRule="auto"/>
                    <w:ind w:firstLine="0" w:firstLineChars="0"/>
                    <w:jc w:val="center"/>
                    <w:rPr>
                      <w:rFonts w:ascii="Times New Roman" w:hAnsi="Times New Roman" w:eastAsia="宋体"/>
                      <w:color w:val="auto"/>
                      <w:sz w:val="21"/>
                      <w:szCs w:val="21"/>
                    </w:rPr>
                  </w:pPr>
                </w:p>
              </w:tc>
              <w:tc>
                <w:tcPr>
                  <w:tcW w:w="769" w:type="dxa"/>
                  <w:vMerge w:val="continue"/>
                  <w:vAlign w:val="center"/>
                </w:tcPr>
                <w:p>
                  <w:pPr>
                    <w:widowControl/>
                    <w:adjustRightInd w:val="0"/>
                    <w:snapToGrid w:val="0"/>
                    <w:spacing w:line="240" w:lineRule="auto"/>
                    <w:ind w:firstLine="0" w:firstLineChars="0"/>
                    <w:jc w:val="center"/>
                    <w:rPr>
                      <w:rFonts w:ascii="Times New Roman" w:hAnsi="Times New Roman" w:eastAsia="宋体"/>
                      <w:color w:val="auto"/>
                      <w:sz w:val="21"/>
                      <w:szCs w:val="21"/>
                    </w:rPr>
                  </w:pPr>
                </w:p>
              </w:tc>
              <w:tc>
                <w:tcPr>
                  <w:tcW w:w="784" w:type="dxa"/>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污染治理设施编号</w:t>
                  </w:r>
                </w:p>
              </w:tc>
              <w:tc>
                <w:tcPr>
                  <w:tcW w:w="842" w:type="dxa"/>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污染治理设施名称</w:t>
                  </w:r>
                </w:p>
              </w:tc>
              <w:tc>
                <w:tcPr>
                  <w:tcW w:w="878" w:type="dxa"/>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污染治理设施工艺</w:t>
                  </w:r>
                </w:p>
              </w:tc>
              <w:tc>
                <w:tcPr>
                  <w:tcW w:w="910" w:type="dxa"/>
                  <w:vMerge w:val="continue"/>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p>
              </w:tc>
              <w:tc>
                <w:tcPr>
                  <w:tcW w:w="843" w:type="dxa"/>
                  <w:vMerge w:val="continue"/>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p>
              </w:tc>
              <w:tc>
                <w:tcPr>
                  <w:tcW w:w="726" w:type="dxa"/>
                  <w:vMerge w:val="continue"/>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Layout w:type="fixed"/>
                <w:tblCellMar>
                  <w:top w:w="0" w:type="dxa"/>
                  <w:left w:w="108" w:type="dxa"/>
                  <w:bottom w:w="0" w:type="dxa"/>
                  <w:right w:w="108" w:type="dxa"/>
                </w:tblCellMar>
              </w:tblPrEx>
              <w:trPr>
                <w:jc w:val="center"/>
              </w:trPr>
              <w:tc>
                <w:tcPr>
                  <w:tcW w:w="468" w:type="dxa"/>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1</w:t>
                  </w:r>
                </w:p>
              </w:tc>
              <w:tc>
                <w:tcPr>
                  <w:tcW w:w="645" w:type="dxa"/>
                  <w:tcBorders>
                    <w:right w:val="single" w:color="000000" w:sz="4" w:space="0"/>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生活污水</w:t>
                  </w:r>
                </w:p>
              </w:tc>
              <w:tc>
                <w:tcPr>
                  <w:tcW w:w="1181" w:type="dxa"/>
                  <w:tcBorders>
                    <w:left w:val="single" w:color="000000" w:sz="4" w:space="0"/>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sz w:val="21"/>
                      <w:szCs w:val="21"/>
                    </w:rPr>
                    <w:t>pH、COD</w:t>
                  </w:r>
                  <w:r>
                    <w:rPr>
                      <w:rFonts w:ascii="Times New Roman" w:hAnsi="Times New Roman" w:eastAsia="宋体"/>
                      <w:color w:val="auto"/>
                      <w:sz w:val="21"/>
                      <w:szCs w:val="21"/>
                      <w:vertAlign w:val="subscript"/>
                    </w:rPr>
                    <w:t>cr</w:t>
                  </w:r>
                  <w:r>
                    <w:rPr>
                      <w:rFonts w:ascii="Times New Roman" w:hAnsi="Times New Roman" w:eastAsia="宋体"/>
                      <w:color w:val="auto"/>
                      <w:sz w:val="21"/>
                      <w:szCs w:val="21"/>
                    </w:rPr>
                    <w:t xml:space="preserve"> SS、NH</w:t>
                  </w:r>
                  <w:r>
                    <w:rPr>
                      <w:rFonts w:ascii="Times New Roman" w:hAnsi="Times New Roman" w:eastAsia="宋体"/>
                      <w:color w:val="auto"/>
                      <w:sz w:val="21"/>
                      <w:szCs w:val="21"/>
                      <w:vertAlign w:val="subscript"/>
                    </w:rPr>
                    <w:t>3</w:t>
                  </w:r>
                  <w:r>
                    <w:rPr>
                      <w:rFonts w:ascii="Times New Roman" w:hAnsi="Times New Roman" w:eastAsia="宋体"/>
                      <w:color w:val="auto"/>
                      <w:sz w:val="21"/>
                      <w:szCs w:val="21"/>
                    </w:rPr>
                    <w:t>-N TP</w:t>
                  </w:r>
                  <w:r>
                    <w:rPr>
                      <w:rFonts w:hint="eastAsia" w:ascii="Times New Roman" w:hAnsi="Times New Roman" w:eastAsia="宋体"/>
                      <w:color w:val="auto"/>
                      <w:sz w:val="21"/>
                      <w:szCs w:val="21"/>
                    </w:rPr>
                    <w:t>、动植物油</w:t>
                  </w:r>
                </w:p>
              </w:tc>
              <w:tc>
                <w:tcPr>
                  <w:tcW w:w="976" w:type="dxa"/>
                  <w:vMerge w:val="restart"/>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hint="eastAsia" w:ascii="Times New Roman" w:hAnsi="Times New Roman"/>
                      <w:color w:val="auto"/>
                      <w:sz w:val="21"/>
                      <w:szCs w:val="21"/>
                      <w:lang w:val="en-US" w:eastAsia="zh-CN"/>
                    </w:rPr>
                    <w:t>霞湾</w:t>
                  </w:r>
                  <w:r>
                    <w:rPr>
                      <w:rFonts w:hint="eastAsia" w:ascii="Times New Roman" w:hAnsi="Times New Roman" w:eastAsia="宋体"/>
                      <w:color w:val="auto"/>
                      <w:sz w:val="21"/>
                      <w:szCs w:val="21"/>
                    </w:rPr>
                    <w:t>污水处理厂</w:t>
                  </w:r>
                </w:p>
              </w:tc>
              <w:tc>
                <w:tcPr>
                  <w:tcW w:w="769" w:type="dxa"/>
                  <w:vMerge w:val="restart"/>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连续排放</w:t>
                  </w:r>
                </w:p>
              </w:tc>
              <w:tc>
                <w:tcPr>
                  <w:tcW w:w="784" w:type="dxa"/>
                  <w:vMerge w:val="restart"/>
                  <w:vAlign w:val="center"/>
                </w:tcPr>
                <w:p>
                  <w:pPr>
                    <w:spacing w:line="240" w:lineRule="auto"/>
                    <w:ind w:firstLine="0" w:firstLineChars="0"/>
                    <w:jc w:val="center"/>
                    <w:rPr>
                      <w:rFonts w:ascii="Times New Roman" w:hAnsi="Times New Roman" w:eastAsia="宋体"/>
                      <w:color w:val="auto"/>
                      <w:sz w:val="21"/>
                      <w:szCs w:val="21"/>
                      <w:highlight w:val="green"/>
                    </w:rPr>
                  </w:pPr>
                  <w:r>
                    <w:rPr>
                      <w:rFonts w:hint="eastAsia" w:ascii="Times New Roman" w:hAnsi="Times New Roman" w:eastAsia="宋体"/>
                      <w:color w:val="auto"/>
                      <w:sz w:val="21"/>
                      <w:szCs w:val="21"/>
                    </w:rPr>
                    <w:t>T</w:t>
                  </w:r>
                  <w:r>
                    <w:rPr>
                      <w:rFonts w:ascii="Times New Roman" w:hAnsi="Times New Roman" w:eastAsia="宋体"/>
                      <w:color w:val="auto"/>
                      <w:sz w:val="21"/>
                      <w:szCs w:val="21"/>
                    </w:rPr>
                    <w:t>W-1</w:t>
                  </w:r>
                </w:p>
              </w:tc>
              <w:tc>
                <w:tcPr>
                  <w:tcW w:w="842" w:type="dxa"/>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化粪池</w:t>
                  </w:r>
                  <w:r>
                    <w:rPr>
                      <w:rFonts w:hint="eastAsia" w:ascii="Times New Roman" w:hAnsi="Times New Roman" w:eastAsia="宋体"/>
                      <w:color w:val="auto"/>
                      <w:kern w:val="0"/>
                      <w:sz w:val="21"/>
                      <w:szCs w:val="21"/>
                    </w:rPr>
                    <w:t>、隔油池</w:t>
                  </w:r>
                </w:p>
              </w:tc>
              <w:tc>
                <w:tcPr>
                  <w:tcW w:w="878" w:type="dxa"/>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w:t>
                  </w:r>
                </w:p>
              </w:tc>
              <w:tc>
                <w:tcPr>
                  <w:tcW w:w="910" w:type="dxa"/>
                  <w:vMerge w:val="restart"/>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DW-1</w:t>
                  </w:r>
                </w:p>
              </w:tc>
              <w:tc>
                <w:tcPr>
                  <w:tcW w:w="843" w:type="dxa"/>
                  <w:vMerge w:val="restart"/>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是</w:t>
                  </w:r>
                </w:p>
              </w:tc>
              <w:tc>
                <w:tcPr>
                  <w:tcW w:w="726" w:type="dxa"/>
                  <w:vMerge w:val="restart"/>
                  <w:vAlign w:val="center"/>
                </w:tcPr>
                <w:p>
                  <w:pPr>
                    <w:spacing w:line="240" w:lineRule="auto"/>
                    <w:ind w:firstLine="0" w:firstLineChars="0"/>
                    <w:jc w:val="center"/>
                    <w:rPr>
                      <w:rFonts w:ascii="Times New Roman" w:hAnsi="Times New Roman" w:eastAsia="宋体"/>
                      <w:bCs/>
                      <w:color w:val="auto"/>
                      <w:sz w:val="21"/>
                      <w:szCs w:val="21"/>
                    </w:rPr>
                  </w:pPr>
                  <w:r>
                    <w:rPr>
                      <w:rFonts w:ascii="Times New Roman" w:hAnsi="Times New Roman" w:eastAsia="宋体"/>
                      <w:color w:val="auto"/>
                      <w:sz w:val="21"/>
                      <w:szCs w:val="21"/>
                    </w:rPr>
                    <w:t>企业总排</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Layout w:type="fixed"/>
                <w:tblCellMar>
                  <w:top w:w="0" w:type="dxa"/>
                  <w:left w:w="108" w:type="dxa"/>
                  <w:bottom w:w="0" w:type="dxa"/>
                  <w:right w:w="108" w:type="dxa"/>
                </w:tblCellMar>
              </w:tblPrEx>
              <w:trPr>
                <w:jc w:val="center"/>
              </w:trPr>
              <w:tc>
                <w:tcPr>
                  <w:tcW w:w="468" w:type="dxa"/>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2</w:t>
                  </w:r>
                </w:p>
              </w:tc>
              <w:tc>
                <w:tcPr>
                  <w:tcW w:w="645" w:type="dxa"/>
                  <w:tcBorders>
                    <w:right w:val="single" w:color="000000" w:sz="4" w:space="0"/>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hint="eastAsia" w:ascii="Times New Roman" w:hAnsi="Times New Roman"/>
                      <w:color w:val="auto"/>
                      <w:kern w:val="0"/>
                      <w:sz w:val="21"/>
                      <w:szCs w:val="21"/>
                      <w:lang w:val="en-US" w:eastAsia="zh-CN"/>
                    </w:rPr>
                    <w:t>废弃</w:t>
                  </w:r>
                  <w:r>
                    <w:rPr>
                      <w:rFonts w:hint="eastAsia" w:ascii="Times New Roman" w:hAnsi="Times New Roman" w:eastAsia="宋体"/>
                      <w:color w:val="auto"/>
                      <w:kern w:val="0"/>
                      <w:sz w:val="21"/>
                      <w:szCs w:val="21"/>
                    </w:rPr>
                    <w:t>喷淋水、初期雨水</w:t>
                  </w:r>
                </w:p>
              </w:tc>
              <w:tc>
                <w:tcPr>
                  <w:tcW w:w="1181" w:type="dxa"/>
                  <w:tcBorders>
                    <w:left w:val="single" w:color="000000" w:sz="4" w:space="0"/>
                  </w:tcBorders>
                  <w:vAlign w:val="center"/>
                </w:tcPr>
                <w:p>
                  <w:pPr>
                    <w:widowControl/>
                    <w:adjustRightInd w:val="0"/>
                    <w:snapToGrid w:val="0"/>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COD</w:t>
                  </w:r>
                  <w:r>
                    <w:rPr>
                      <w:rFonts w:ascii="Times New Roman" w:hAnsi="Times New Roman" w:eastAsia="宋体"/>
                      <w:color w:val="auto"/>
                      <w:sz w:val="21"/>
                      <w:szCs w:val="21"/>
                      <w:vertAlign w:val="subscript"/>
                    </w:rPr>
                    <w:t>cr</w:t>
                  </w:r>
                  <w:r>
                    <w:rPr>
                      <w:rFonts w:hint="eastAsia" w:ascii="Times New Roman" w:hAnsi="Times New Roman" w:eastAsia="宋体"/>
                      <w:color w:val="auto"/>
                      <w:sz w:val="21"/>
                      <w:szCs w:val="21"/>
                    </w:rPr>
                    <w:t>、</w:t>
                  </w:r>
                  <w:r>
                    <w:rPr>
                      <w:rFonts w:ascii="Times New Roman" w:hAnsi="Times New Roman" w:eastAsia="宋体"/>
                      <w:color w:val="auto"/>
                      <w:sz w:val="21"/>
                      <w:szCs w:val="21"/>
                    </w:rPr>
                    <w:t>SS、NH</w:t>
                  </w:r>
                  <w:r>
                    <w:rPr>
                      <w:rFonts w:ascii="Times New Roman" w:hAnsi="Times New Roman" w:eastAsia="宋体"/>
                      <w:color w:val="auto"/>
                      <w:sz w:val="21"/>
                      <w:szCs w:val="21"/>
                      <w:vertAlign w:val="subscript"/>
                    </w:rPr>
                    <w:t>3</w:t>
                  </w:r>
                  <w:r>
                    <w:rPr>
                      <w:rFonts w:ascii="Times New Roman" w:hAnsi="Times New Roman" w:eastAsia="宋体"/>
                      <w:color w:val="auto"/>
                      <w:sz w:val="21"/>
                      <w:szCs w:val="21"/>
                    </w:rPr>
                    <w:t>-N</w:t>
                  </w:r>
                  <w:r>
                    <w:rPr>
                      <w:rFonts w:hint="eastAsia" w:ascii="Times New Roman" w:hAnsi="Times New Roman" w:eastAsia="宋体"/>
                      <w:color w:val="auto"/>
                      <w:sz w:val="21"/>
                      <w:szCs w:val="21"/>
                    </w:rPr>
                    <w:t>、石油类</w:t>
                  </w:r>
                </w:p>
              </w:tc>
              <w:tc>
                <w:tcPr>
                  <w:tcW w:w="976" w:type="dxa"/>
                  <w:vMerge w:val="continue"/>
                  <w:vAlign w:val="center"/>
                </w:tcPr>
                <w:p>
                  <w:pPr>
                    <w:widowControl/>
                    <w:adjustRightInd w:val="0"/>
                    <w:snapToGrid w:val="0"/>
                    <w:spacing w:line="240" w:lineRule="auto"/>
                    <w:ind w:firstLine="0" w:firstLineChars="0"/>
                    <w:jc w:val="center"/>
                    <w:rPr>
                      <w:rFonts w:ascii="Times New Roman" w:hAnsi="Times New Roman" w:eastAsia="宋体"/>
                      <w:color w:val="auto"/>
                      <w:sz w:val="21"/>
                      <w:szCs w:val="21"/>
                    </w:rPr>
                  </w:pPr>
                </w:p>
              </w:tc>
              <w:tc>
                <w:tcPr>
                  <w:tcW w:w="769" w:type="dxa"/>
                  <w:vMerge w:val="continue"/>
                  <w:vAlign w:val="center"/>
                </w:tcPr>
                <w:p>
                  <w:pPr>
                    <w:spacing w:line="240" w:lineRule="auto"/>
                    <w:ind w:firstLine="0" w:firstLineChars="0"/>
                    <w:jc w:val="center"/>
                    <w:rPr>
                      <w:rFonts w:ascii="Times New Roman" w:hAnsi="Times New Roman" w:eastAsia="宋体"/>
                      <w:color w:val="auto"/>
                      <w:sz w:val="21"/>
                      <w:szCs w:val="21"/>
                    </w:rPr>
                  </w:pPr>
                </w:p>
              </w:tc>
              <w:tc>
                <w:tcPr>
                  <w:tcW w:w="784" w:type="dxa"/>
                  <w:vMerge w:val="continue"/>
                  <w:vAlign w:val="center"/>
                </w:tcPr>
                <w:p>
                  <w:pPr>
                    <w:spacing w:line="240" w:lineRule="auto"/>
                    <w:ind w:firstLine="0" w:firstLineChars="0"/>
                    <w:jc w:val="center"/>
                    <w:rPr>
                      <w:rFonts w:ascii="Times New Roman" w:hAnsi="Times New Roman" w:eastAsia="宋体"/>
                      <w:color w:val="auto"/>
                      <w:sz w:val="21"/>
                      <w:szCs w:val="21"/>
                    </w:rPr>
                  </w:pPr>
                </w:p>
              </w:tc>
              <w:tc>
                <w:tcPr>
                  <w:tcW w:w="842" w:type="dxa"/>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废水处理装置</w:t>
                  </w:r>
                </w:p>
              </w:tc>
              <w:tc>
                <w:tcPr>
                  <w:tcW w:w="878" w:type="dxa"/>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w:t>
                  </w:r>
                </w:p>
              </w:tc>
              <w:tc>
                <w:tcPr>
                  <w:tcW w:w="910" w:type="dxa"/>
                  <w:vMerge w:val="continue"/>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p>
              </w:tc>
              <w:tc>
                <w:tcPr>
                  <w:tcW w:w="843"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726" w:type="dxa"/>
                  <w:vMerge w:val="continue"/>
                  <w:vAlign w:val="center"/>
                </w:tcPr>
                <w:p>
                  <w:pPr>
                    <w:spacing w:line="240" w:lineRule="auto"/>
                    <w:ind w:firstLine="0" w:firstLineChars="0"/>
                    <w:jc w:val="center"/>
                    <w:rPr>
                      <w:rFonts w:ascii="Times New Roman" w:hAnsi="Times New Roman" w:eastAsia="宋体"/>
                      <w:color w:val="auto"/>
                      <w:sz w:val="21"/>
                      <w:szCs w:val="21"/>
                    </w:rPr>
                  </w:pPr>
                </w:p>
              </w:tc>
            </w:tr>
          </w:tbl>
          <w:p>
            <w:pPr>
              <w:tabs>
                <w:tab w:val="center" w:pos="4816"/>
                <w:tab w:val="left" w:pos="8100"/>
              </w:tabs>
              <w:adjustRightInd w:val="0"/>
              <w:snapToGrid w:val="0"/>
              <w:spacing w:line="240" w:lineRule="auto"/>
              <w:ind w:firstLine="422"/>
              <w:jc w:val="center"/>
              <w:rPr>
                <w:rFonts w:ascii="Times New Roman" w:hAnsi="Times New Roman" w:eastAsia="宋体"/>
                <w:b/>
                <w:color w:val="auto"/>
                <w:sz w:val="21"/>
                <w:szCs w:val="21"/>
              </w:rPr>
            </w:pPr>
            <w:r>
              <w:rPr>
                <w:rFonts w:hint="eastAsia" w:ascii="Times New Roman" w:hAnsi="Times New Roman" w:eastAsia="宋体"/>
                <w:b/>
                <w:color w:val="auto"/>
                <w:sz w:val="21"/>
                <w:szCs w:val="21"/>
              </w:rPr>
              <w:t>表</w:t>
            </w:r>
            <w:r>
              <w:rPr>
                <w:rFonts w:hint="eastAsia" w:ascii="Times New Roman" w:hAnsi="Times New Roman" w:eastAsia="宋体"/>
                <w:b/>
                <w:bCs/>
                <w:color w:val="auto"/>
                <w:sz w:val="21"/>
                <w:szCs w:val="21"/>
              </w:rPr>
              <w:t>7</w:t>
            </w:r>
            <w:r>
              <w:rPr>
                <w:rFonts w:hint="eastAsia"/>
                <w:b/>
                <w:bCs/>
                <w:color w:val="auto"/>
                <w:sz w:val="21"/>
                <w:szCs w:val="21"/>
                <w:lang w:val="en-US" w:eastAsia="zh-CN"/>
              </w:rPr>
              <w:t>.6</w:t>
            </w:r>
            <w:r>
              <w:rPr>
                <w:rFonts w:hint="eastAsia" w:ascii="Times New Roman" w:hAnsi="Times New Roman" w:eastAsia="宋体"/>
                <w:b/>
                <w:bCs/>
                <w:color w:val="auto"/>
                <w:sz w:val="21"/>
                <w:szCs w:val="21"/>
              </w:rPr>
              <w:t>-1</w:t>
            </w:r>
            <w:r>
              <w:rPr>
                <w:rFonts w:hint="eastAsia"/>
                <w:b/>
                <w:bCs/>
                <w:color w:val="auto"/>
                <w:sz w:val="21"/>
                <w:szCs w:val="21"/>
                <w:lang w:val="en-US" w:eastAsia="zh-CN"/>
              </w:rPr>
              <w:t>7</w:t>
            </w:r>
            <w:r>
              <w:rPr>
                <w:rFonts w:ascii="Times New Roman" w:hAnsi="Times New Roman" w:eastAsia="宋体" w:cs="宋体"/>
                <w:b/>
                <w:color w:val="auto"/>
                <w:sz w:val="21"/>
                <w:szCs w:val="21"/>
              </w:rPr>
              <w:t>废水间接排放口基本情况表</w:t>
            </w:r>
          </w:p>
          <w:tbl>
            <w:tblPr>
              <w:tblStyle w:val="43"/>
              <w:tblW w:w="9022"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399"/>
              <w:gridCol w:w="652"/>
              <w:gridCol w:w="573"/>
              <w:gridCol w:w="614"/>
              <w:gridCol w:w="903"/>
              <w:gridCol w:w="705"/>
              <w:gridCol w:w="690"/>
              <w:gridCol w:w="838"/>
              <w:gridCol w:w="1191"/>
              <w:gridCol w:w="1215"/>
              <w:gridCol w:w="1242"/>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399" w:type="dxa"/>
                  <w:vMerge w:val="restart"/>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hint="eastAsia" w:ascii="Times New Roman" w:hAnsi="Times New Roman" w:eastAsia="宋体"/>
                      <w:b/>
                      <w:bCs/>
                      <w:color w:val="auto"/>
                      <w:kern w:val="0"/>
                      <w:sz w:val="21"/>
                      <w:szCs w:val="21"/>
                    </w:rPr>
                    <w:t>序号</w:t>
                  </w:r>
                </w:p>
              </w:tc>
              <w:tc>
                <w:tcPr>
                  <w:tcW w:w="652" w:type="dxa"/>
                  <w:vMerge w:val="restart"/>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hint="eastAsia" w:ascii="Times New Roman" w:hAnsi="Times New Roman" w:eastAsia="宋体"/>
                      <w:b/>
                      <w:bCs/>
                      <w:color w:val="auto"/>
                      <w:kern w:val="0"/>
                      <w:sz w:val="21"/>
                      <w:szCs w:val="21"/>
                    </w:rPr>
                    <w:t>排放口编号</w:t>
                  </w:r>
                </w:p>
              </w:tc>
              <w:tc>
                <w:tcPr>
                  <w:tcW w:w="1187" w:type="dxa"/>
                  <w:gridSpan w:val="2"/>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hint="eastAsia" w:ascii="Times New Roman" w:hAnsi="Times New Roman" w:eastAsia="宋体"/>
                      <w:b/>
                      <w:bCs/>
                      <w:color w:val="auto"/>
                      <w:kern w:val="0"/>
                      <w:sz w:val="21"/>
                      <w:szCs w:val="21"/>
                    </w:rPr>
                    <w:t>排放口地理位置</w:t>
                  </w:r>
                </w:p>
              </w:tc>
              <w:tc>
                <w:tcPr>
                  <w:tcW w:w="903" w:type="dxa"/>
                  <w:vMerge w:val="restart"/>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hint="eastAsia" w:ascii="Times New Roman" w:hAnsi="Times New Roman" w:eastAsia="宋体"/>
                      <w:b/>
                      <w:bCs/>
                      <w:color w:val="auto"/>
                      <w:kern w:val="0"/>
                      <w:sz w:val="21"/>
                      <w:szCs w:val="21"/>
                    </w:rPr>
                    <w:t>废水排放量（万t/a）</w:t>
                  </w:r>
                </w:p>
              </w:tc>
              <w:tc>
                <w:tcPr>
                  <w:tcW w:w="705" w:type="dxa"/>
                  <w:vMerge w:val="restart"/>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hint="eastAsia" w:ascii="Times New Roman" w:hAnsi="Times New Roman" w:eastAsia="宋体"/>
                      <w:b/>
                      <w:bCs/>
                      <w:color w:val="auto"/>
                      <w:kern w:val="0"/>
                      <w:sz w:val="21"/>
                      <w:szCs w:val="21"/>
                    </w:rPr>
                    <w:t>排放去向</w:t>
                  </w:r>
                </w:p>
              </w:tc>
              <w:tc>
                <w:tcPr>
                  <w:tcW w:w="690" w:type="dxa"/>
                  <w:vMerge w:val="restart"/>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hint="eastAsia" w:ascii="Times New Roman" w:hAnsi="Times New Roman" w:eastAsia="宋体"/>
                      <w:b/>
                      <w:bCs/>
                      <w:color w:val="auto"/>
                      <w:kern w:val="0"/>
                      <w:sz w:val="21"/>
                      <w:szCs w:val="21"/>
                    </w:rPr>
                    <w:t>排放规律</w:t>
                  </w:r>
                </w:p>
              </w:tc>
              <w:tc>
                <w:tcPr>
                  <w:tcW w:w="838" w:type="dxa"/>
                  <w:vMerge w:val="restart"/>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hint="eastAsia" w:ascii="Times New Roman" w:hAnsi="Times New Roman" w:eastAsia="宋体"/>
                      <w:b/>
                      <w:bCs/>
                      <w:color w:val="auto"/>
                      <w:kern w:val="0"/>
                      <w:sz w:val="21"/>
                      <w:szCs w:val="21"/>
                    </w:rPr>
                    <w:t>间歇排放时段</w:t>
                  </w:r>
                </w:p>
              </w:tc>
              <w:tc>
                <w:tcPr>
                  <w:tcW w:w="3648" w:type="dxa"/>
                  <w:gridSpan w:val="3"/>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hint="eastAsia" w:ascii="Times New Roman" w:hAnsi="Times New Roman" w:eastAsia="宋体"/>
                      <w:b/>
                      <w:bCs/>
                      <w:color w:val="auto"/>
                      <w:kern w:val="0"/>
                      <w:sz w:val="21"/>
                      <w:szCs w:val="21"/>
                    </w:rPr>
                    <w:t>受纳污水处理厂信息</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399" w:type="dxa"/>
                  <w:vMerge w:val="continue"/>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p>
              </w:tc>
              <w:tc>
                <w:tcPr>
                  <w:tcW w:w="652" w:type="dxa"/>
                  <w:vMerge w:val="continue"/>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p>
              </w:tc>
              <w:tc>
                <w:tcPr>
                  <w:tcW w:w="573" w:type="dxa"/>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X</w:t>
                  </w:r>
                </w:p>
              </w:tc>
              <w:tc>
                <w:tcPr>
                  <w:tcW w:w="614" w:type="dxa"/>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Y</w:t>
                  </w:r>
                </w:p>
              </w:tc>
              <w:tc>
                <w:tcPr>
                  <w:tcW w:w="903" w:type="dxa"/>
                  <w:vMerge w:val="continue"/>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p>
              </w:tc>
              <w:tc>
                <w:tcPr>
                  <w:tcW w:w="705" w:type="dxa"/>
                  <w:vMerge w:val="continue"/>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p>
              </w:tc>
              <w:tc>
                <w:tcPr>
                  <w:tcW w:w="690" w:type="dxa"/>
                  <w:vMerge w:val="continue"/>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p>
              </w:tc>
              <w:tc>
                <w:tcPr>
                  <w:tcW w:w="838" w:type="dxa"/>
                  <w:vMerge w:val="continue"/>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p>
              </w:tc>
              <w:tc>
                <w:tcPr>
                  <w:tcW w:w="1191" w:type="dxa"/>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hint="eastAsia" w:ascii="Times New Roman" w:hAnsi="Times New Roman" w:eastAsia="宋体"/>
                      <w:b/>
                      <w:bCs/>
                      <w:color w:val="auto"/>
                      <w:kern w:val="0"/>
                      <w:sz w:val="21"/>
                      <w:szCs w:val="21"/>
                    </w:rPr>
                    <w:t>名称</w:t>
                  </w:r>
                </w:p>
              </w:tc>
              <w:tc>
                <w:tcPr>
                  <w:tcW w:w="1215" w:type="dxa"/>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hint="eastAsia" w:ascii="Times New Roman" w:hAnsi="Times New Roman" w:eastAsia="宋体"/>
                      <w:b/>
                      <w:bCs/>
                      <w:color w:val="auto"/>
                      <w:kern w:val="0"/>
                      <w:sz w:val="21"/>
                      <w:szCs w:val="21"/>
                    </w:rPr>
                    <w:t>污染物</w:t>
                  </w:r>
                </w:p>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hint="eastAsia" w:ascii="Times New Roman" w:hAnsi="Times New Roman" w:eastAsia="宋体"/>
                      <w:b/>
                      <w:bCs/>
                      <w:color w:val="auto"/>
                      <w:kern w:val="0"/>
                      <w:sz w:val="21"/>
                      <w:szCs w:val="21"/>
                    </w:rPr>
                    <w:t>种类</w:t>
                  </w:r>
                </w:p>
              </w:tc>
              <w:tc>
                <w:tcPr>
                  <w:tcW w:w="1242" w:type="dxa"/>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hint="eastAsia" w:ascii="Times New Roman" w:hAnsi="Times New Roman" w:eastAsia="宋体"/>
                      <w:b/>
                      <w:bCs/>
                      <w:color w:val="auto"/>
                      <w:kern w:val="0"/>
                      <w:sz w:val="21"/>
                      <w:szCs w:val="21"/>
                    </w:rPr>
                    <w:t>排放限值</w:t>
                  </w:r>
                </w:p>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hint="eastAsia" w:ascii="Times New Roman" w:hAnsi="Times New Roman" w:eastAsia="宋体"/>
                      <w:b/>
                      <w:bCs/>
                      <w:color w:val="auto"/>
                      <w:kern w:val="0"/>
                      <w:sz w:val="21"/>
                      <w:szCs w:val="21"/>
                    </w:rPr>
                    <w:t>mg/L</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36" w:hRule="atLeast"/>
                <w:jc w:val="center"/>
              </w:trPr>
              <w:tc>
                <w:tcPr>
                  <w:tcW w:w="399" w:type="dxa"/>
                  <w:vMerge w:val="restart"/>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w:t>
                  </w:r>
                </w:p>
              </w:tc>
              <w:tc>
                <w:tcPr>
                  <w:tcW w:w="652" w:type="dxa"/>
                  <w:vMerge w:val="restart"/>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DW-1</w:t>
                  </w:r>
                </w:p>
              </w:tc>
              <w:tc>
                <w:tcPr>
                  <w:tcW w:w="573" w:type="dxa"/>
                  <w:vMerge w:val="restart"/>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120</w:t>
                  </w:r>
                </w:p>
              </w:tc>
              <w:tc>
                <w:tcPr>
                  <w:tcW w:w="614" w:type="dxa"/>
                  <w:vMerge w:val="restart"/>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50</w:t>
                  </w:r>
                </w:p>
              </w:tc>
              <w:tc>
                <w:tcPr>
                  <w:tcW w:w="903" w:type="dxa"/>
                  <w:vMerge w:val="restart"/>
                  <w:vAlign w:val="center"/>
                </w:tcPr>
                <w:p>
                  <w:pPr>
                    <w:widowControl/>
                    <w:adjustRightInd w:val="0"/>
                    <w:snapToGrid w:val="0"/>
                    <w:spacing w:line="240" w:lineRule="auto"/>
                    <w:ind w:firstLine="0" w:firstLineChars="0"/>
                    <w:jc w:val="center"/>
                    <w:rPr>
                      <w:rFonts w:hint="default"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rPr>
                    <w:t>0.1</w:t>
                  </w:r>
                  <w:r>
                    <w:rPr>
                      <w:rFonts w:hint="eastAsia"/>
                      <w:color w:val="auto"/>
                      <w:kern w:val="0"/>
                      <w:sz w:val="21"/>
                      <w:szCs w:val="21"/>
                      <w:lang w:val="en-US" w:eastAsia="zh-CN"/>
                    </w:rPr>
                    <w:t>2283</w:t>
                  </w:r>
                </w:p>
              </w:tc>
              <w:tc>
                <w:tcPr>
                  <w:tcW w:w="705" w:type="dxa"/>
                  <w:vMerge w:val="restart"/>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污水处理厂</w:t>
                  </w:r>
                </w:p>
              </w:tc>
              <w:tc>
                <w:tcPr>
                  <w:tcW w:w="690" w:type="dxa"/>
                  <w:vMerge w:val="restart"/>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连续</w:t>
                  </w:r>
                </w:p>
              </w:tc>
              <w:tc>
                <w:tcPr>
                  <w:tcW w:w="838" w:type="dxa"/>
                  <w:vMerge w:val="restart"/>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w:t>
                  </w:r>
                </w:p>
              </w:tc>
              <w:tc>
                <w:tcPr>
                  <w:tcW w:w="1191" w:type="dxa"/>
                  <w:vMerge w:val="restart"/>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color w:val="auto"/>
                      <w:sz w:val="21"/>
                      <w:szCs w:val="21"/>
                      <w:lang w:val="en-US" w:eastAsia="zh-CN"/>
                    </w:rPr>
                    <w:t>霞湾</w:t>
                  </w:r>
                  <w:r>
                    <w:rPr>
                      <w:rFonts w:hint="eastAsia" w:ascii="Times New Roman" w:hAnsi="Times New Roman" w:eastAsia="宋体"/>
                      <w:color w:val="auto"/>
                      <w:sz w:val="21"/>
                      <w:szCs w:val="21"/>
                    </w:rPr>
                    <w:t>污水处理厂</w:t>
                  </w:r>
                </w:p>
              </w:tc>
              <w:tc>
                <w:tcPr>
                  <w:tcW w:w="1215" w:type="dxa"/>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COD</w:t>
                  </w:r>
                  <w:r>
                    <w:rPr>
                      <w:rFonts w:ascii="Times New Roman" w:hAnsi="Times New Roman" w:eastAsia="宋体"/>
                      <w:color w:val="auto"/>
                      <w:sz w:val="21"/>
                      <w:szCs w:val="21"/>
                      <w:vertAlign w:val="subscript"/>
                    </w:rPr>
                    <w:t>cr</w:t>
                  </w:r>
                </w:p>
              </w:tc>
              <w:tc>
                <w:tcPr>
                  <w:tcW w:w="1242" w:type="dxa"/>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50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36" w:hRule="atLeast"/>
                <w:jc w:val="center"/>
              </w:trPr>
              <w:tc>
                <w:tcPr>
                  <w:tcW w:w="399"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652"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573"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614"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903"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705"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690"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838"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1191"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1215" w:type="dxa"/>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SS</w:t>
                  </w:r>
                </w:p>
              </w:tc>
              <w:tc>
                <w:tcPr>
                  <w:tcW w:w="1242" w:type="dxa"/>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36" w:hRule="atLeast"/>
                <w:jc w:val="center"/>
              </w:trPr>
              <w:tc>
                <w:tcPr>
                  <w:tcW w:w="399"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652"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573"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614"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903"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705"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690"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838"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1191"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1215" w:type="dxa"/>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NH</w:t>
                  </w:r>
                  <w:r>
                    <w:rPr>
                      <w:rFonts w:hint="eastAsia" w:ascii="Times New Roman" w:hAnsi="Times New Roman" w:eastAsia="宋体"/>
                      <w:color w:val="auto"/>
                      <w:sz w:val="21"/>
                      <w:szCs w:val="21"/>
                      <w:vertAlign w:val="subscript"/>
                    </w:rPr>
                    <w:t>3</w:t>
                  </w:r>
                  <w:r>
                    <w:rPr>
                      <w:rFonts w:hint="eastAsia" w:ascii="Times New Roman" w:hAnsi="Times New Roman" w:eastAsia="宋体"/>
                      <w:color w:val="auto"/>
                      <w:sz w:val="21"/>
                      <w:szCs w:val="21"/>
                    </w:rPr>
                    <w:t>-N</w:t>
                  </w:r>
                </w:p>
              </w:tc>
              <w:tc>
                <w:tcPr>
                  <w:tcW w:w="1242" w:type="dxa"/>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5</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36" w:hRule="atLeast"/>
                <w:jc w:val="center"/>
              </w:trPr>
              <w:tc>
                <w:tcPr>
                  <w:tcW w:w="399"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652"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573"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614"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903"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705"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690"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838"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1191"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1215" w:type="dxa"/>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TP</w:t>
                  </w:r>
                </w:p>
              </w:tc>
              <w:tc>
                <w:tcPr>
                  <w:tcW w:w="1242" w:type="dxa"/>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0.5</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36" w:hRule="atLeast"/>
                <w:jc w:val="center"/>
              </w:trPr>
              <w:tc>
                <w:tcPr>
                  <w:tcW w:w="399"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652"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573"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614"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903"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705"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690"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838"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1191"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1215" w:type="dxa"/>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动植物油</w:t>
                  </w:r>
                </w:p>
              </w:tc>
              <w:tc>
                <w:tcPr>
                  <w:tcW w:w="1242" w:type="dxa"/>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36" w:hRule="atLeast"/>
                <w:jc w:val="center"/>
              </w:trPr>
              <w:tc>
                <w:tcPr>
                  <w:tcW w:w="399"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652"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573"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614"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903"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705"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690"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838"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1191" w:type="dxa"/>
                  <w:vMerge w:val="continue"/>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1215" w:type="dxa"/>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石油类</w:t>
                  </w:r>
                </w:p>
              </w:tc>
              <w:tc>
                <w:tcPr>
                  <w:tcW w:w="1242" w:type="dxa"/>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w:t>
                  </w:r>
                </w:p>
              </w:tc>
            </w:tr>
          </w:tbl>
          <w:p>
            <w:pPr>
              <w:tabs>
                <w:tab w:val="center" w:pos="4816"/>
                <w:tab w:val="left" w:pos="8100"/>
              </w:tabs>
              <w:adjustRightInd w:val="0"/>
              <w:snapToGrid w:val="0"/>
              <w:spacing w:line="240" w:lineRule="auto"/>
              <w:ind w:firstLine="422"/>
              <w:jc w:val="center"/>
              <w:rPr>
                <w:rFonts w:ascii="Times New Roman" w:hAnsi="Times New Roman" w:eastAsia="宋体"/>
                <w:b/>
                <w:color w:val="auto"/>
                <w:sz w:val="21"/>
                <w:szCs w:val="21"/>
              </w:rPr>
            </w:pPr>
            <w:r>
              <w:rPr>
                <w:rFonts w:hint="eastAsia" w:ascii="Times New Roman" w:hAnsi="Times New Roman" w:eastAsia="宋体"/>
                <w:b/>
                <w:color w:val="auto"/>
                <w:sz w:val="21"/>
                <w:szCs w:val="21"/>
              </w:rPr>
              <w:t>表</w:t>
            </w:r>
            <w:r>
              <w:rPr>
                <w:rFonts w:hint="eastAsia" w:ascii="Times New Roman" w:hAnsi="Times New Roman" w:eastAsia="宋体"/>
                <w:b/>
                <w:bCs/>
                <w:color w:val="auto"/>
                <w:sz w:val="21"/>
                <w:szCs w:val="21"/>
              </w:rPr>
              <w:t>7</w:t>
            </w:r>
            <w:r>
              <w:rPr>
                <w:rFonts w:hint="eastAsia"/>
                <w:b/>
                <w:bCs/>
                <w:color w:val="auto"/>
                <w:sz w:val="21"/>
                <w:szCs w:val="21"/>
                <w:lang w:val="en-US" w:eastAsia="zh-CN"/>
              </w:rPr>
              <w:t>.6</w:t>
            </w:r>
            <w:r>
              <w:rPr>
                <w:rFonts w:hint="eastAsia" w:ascii="Times New Roman" w:hAnsi="Times New Roman" w:eastAsia="宋体"/>
                <w:b/>
                <w:bCs/>
                <w:color w:val="auto"/>
                <w:sz w:val="21"/>
                <w:szCs w:val="21"/>
              </w:rPr>
              <w:t>-1</w:t>
            </w:r>
            <w:r>
              <w:rPr>
                <w:rFonts w:hint="eastAsia"/>
                <w:b/>
                <w:bCs/>
                <w:color w:val="auto"/>
                <w:sz w:val="21"/>
                <w:szCs w:val="21"/>
                <w:lang w:val="en-US" w:eastAsia="zh-CN"/>
              </w:rPr>
              <w:t>8</w:t>
            </w:r>
            <w:r>
              <w:rPr>
                <w:rFonts w:hint="eastAsia" w:ascii="Times New Roman" w:hAnsi="Times New Roman" w:eastAsia="宋体"/>
                <w:b/>
                <w:color w:val="auto"/>
                <w:sz w:val="21"/>
                <w:szCs w:val="21"/>
              </w:rPr>
              <w:t>废水污染物排放执行标准表</w:t>
            </w:r>
          </w:p>
          <w:tbl>
            <w:tblPr>
              <w:tblStyle w:val="44"/>
              <w:tblW w:w="9022"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364"/>
              <w:gridCol w:w="1064"/>
              <w:gridCol w:w="3109"/>
              <w:gridCol w:w="25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913" w:type="dxa"/>
                  <w:vMerge w:val="restart"/>
                  <w:tcBorders>
                    <w:tl2br w:val="nil"/>
                    <w:tr2bl w:val="nil"/>
                  </w:tcBorders>
                  <w:vAlign w:val="center"/>
                </w:tcPr>
                <w:p>
                  <w:pPr>
                    <w:pStyle w:val="2"/>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序号</w:t>
                  </w:r>
                </w:p>
              </w:tc>
              <w:tc>
                <w:tcPr>
                  <w:tcW w:w="1364" w:type="dxa"/>
                  <w:vMerge w:val="restart"/>
                  <w:tcBorders>
                    <w:tl2br w:val="nil"/>
                    <w:tr2bl w:val="nil"/>
                  </w:tcBorders>
                  <w:vAlign w:val="center"/>
                </w:tcPr>
                <w:p>
                  <w:pPr>
                    <w:pStyle w:val="2"/>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排放口编号</w:t>
                  </w:r>
                </w:p>
              </w:tc>
              <w:tc>
                <w:tcPr>
                  <w:tcW w:w="1064" w:type="dxa"/>
                  <w:vMerge w:val="restart"/>
                  <w:tcBorders>
                    <w:tl2br w:val="nil"/>
                    <w:tr2bl w:val="nil"/>
                  </w:tcBorders>
                  <w:vAlign w:val="center"/>
                </w:tcPr>
                <w:p>
                  <w:pPr>
                    <w:pStyle w:val="2"/>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污染物种类</w:t>
                  </w:r>
                </w:p>
              </w:tc>
              <w:tc>
                <w:tcPr>
                  <w:tcW w:w="5681" w:type="dxa"/>
                  <w:gridSpan w:val="2"/>
                  <w:tcBorders>
                    <w:tl2br w:val="nil"/>
                    <w:tr2bl w:val="nil"/>
                  </w:tcBorders>
                  <w:vAlign w:val="center"/>
                </w:tcPr>
                <w:p>
                  <w:pPr>
                    <w:pStyle w:val="2"/>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国家或地方污染物排放标准及其他按规定商定的排放协议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913" w:type="dxa"/>
                  <w:vMerge w:val="continue"/>
                  <w:tcBorders>
                    <w:tl2br w:val="nil"/>
                    <w:tr2bl w:val="nil"/>
                  </w:tcBorders>
                  <w:vAlign w:val="center"/>
                </w:tcPr>
                <w:p>
                  <w:pPr>
                    <w:pStyle w:val="2"/>
                    <w:spacing w:line="240" w:lineRule="auto"/>
                    <w:ind w:firstLine="0" w:firstLineChars="0"/>
                    <w:jc w:val="center"/>
                    <w:rPr>
                      <w:rFonts w:ascii="Times New Roman" w:hAnsi="Times New Roman" w:eastAsia="宋体"/>
                      <w:b/>
                      <w:bCs/>
                      <w:color w:val="auto"/>
                      <w:kern w:val="0"/>
                      <w:sz w:val="21"/>
                      <w:szCs w:val="21"/>
                    </w:rPr>
                  </w:pPr>
                </w:p>
              </w:tc>
              <w:tc>
                <w:tcPr>
                  <w:tcW w:w="1364" w:type="dxa"/>
                  <w:vMerge w:val="continue"/>
                  <w:tcBorders>
                    <w:tl2br w:val="nil"/>
                    <w:tr2bl w:val="nil"/>
                  </w:tcBorders>
                  <w:vAlign w:val="center"/>
                </w:tcPr>
                <w:p>
                  <w:pPr>
                    <w:pStyle w:val="2"/>
                    <w:spacing w:line="240" w:lineRule="auto"/>
                    <w:ind w:firstLine="0" w:firstLineChars="0"/>
                    <w:jc w:val="center"/>
                    <w:rPr>
                      <w:rFonts w:ascii="Times New Roman" w:hAnsi="Times New Roman" w:eastAsia="宋体"/>
                      <w:b/>
                      <w:bCs/>
                      <w:color w:val="auto"/>
                      <w:kern w:val="0"/>
                      <w:sz w:val="21"/>
                      <w:szCs w:val="21"/>
                    </w:rPr>
                  </w:pPr>
                </w:p>
              </w:tc>
              <w:tc>
                <w:tcPr>
                  <w:tcW w:w="1064" w:type="dxa"/>
                  <w:vMerge w:val="continue"/>
                  <w:tcBorders>
                    <w:tl2br w:val="nil"/>
                    <w:tr2bl w:val="nil"/>
                  </w:tcBorders>
                  <w:vAlign w:val="center"/>
                </w:tcPr>
                <w:p>
                  <w:pPr>
                    <w:pStyle w:val="2"/>
                    <w:spacing w:line="240" w:lineRule="auto"/>
                    <w:ind w:firstLine="0" w:firstLineChars="0"/>
                    <w:jc w:val="center"/>
                    <w:rPr>
                      <w:rFonts w:ascii="Times New Roman" w:hAnsi="Times New Roman" w:eastAsia="宋体"/>
                      <w:b/>
                      <w:bCs/>
                      <w:color w:val="auto"/>
                      <w:kern w:val="0"/>
                      <w:sz w:val="21"/>
                      <w:szCs w:val="21"/>
                    </w:rPr>
                  </w:pPr>
                </w:p>
              </w:tc>
              <w:tc>
                <w:tcPr>
                  <w:tcW w:w="3109" w:type="dxa"/>
                  <w:tcBorders>
                    <w:tl2br w:val="nil"/>
                    <w:tr2bl w:val="nil"/>
                  </w:tcBorders>
                  <w:vAlign w:val="center"/>
                </w:tcPr>
                <w:p>
                  <w:pPr>
                    <w:pStyle w:val="2"/>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名称</w:t>
                  </w:r>
                </w:p>
              </w:tc>
              <w:tc>
                <w:tcPr>
                  <w:tcW w:w="2572" w:type="dxa"/>
                  <w:tcBorders>
                    <w:tl2br w:val="nil"/>
                    <w:tr2bl w:val="nil"/>
                  </w:tcBorders>
                  <w:vAlign w:val="center"/>
                </w:tcPr>
                <w:p>
                  <w:pPr>
                    <w:pStyle w:val="2"/>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浓度限制（mg/l）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3"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w:t>
                  </w:r>
                </w:p>
              </w:tc>
              <w:tc>
                <w:tcPr>
                  <w:tcW w:w="1364" w:type="dxa"/>
                  <w:vMerge w:val="restart"/>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DW-1</w:t>
                  </w:r>
                </w:p>
              </w:tc>
              <w:tc>
                <w:tcPr>
                  <w:tcW w:w="1064"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COD</w:t>
                  </w:r>
                  <w:r>
                    <w:rPr>
                      <w:rFonts w:ascii="Times New Roman" w:hAnsi="Times New Roman" w:eastAsia="宋体"/>
                      <w:color w:val="auto"/>
                      <w:sz w:val="21"/>
                      <w:szCs w:val="21"/>
                      <w:vertAlign w:val="subscript"/>
                    </w:rPr>
                    <w:t>cr</w:t>
                  </w:r>
                </w:p>
              </w:tc>
              <w:tc>
                <w:tcPr>
                  <w:tcW w:w="3109" w:type="dxa"/>
                  <w:vMerge w:val="restart"/>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《污水综合排放标准》（GB8978 1996）表 4 三级标准</w:t>
                  </w:r>
                </w:p>
              </w:tc>
              <w:tc>
                <w:tcPr>
                  <w:tcW w:w="2572"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3"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2</w:t>
                  </w:r>
                </w:p>
              </w:tc>
              <w:tc>
                <w:tcPr>
                  <w:tcW w:w="1364" w:type="dxa"/>
                  <w:vMerge w:val="continue"/>
                  <w:tcBorders>
                    <w:tl2br w:val="nil"/>
                    <w:tr2bl w:val="nil"/>
                  </w:tcBorders>
                  <w:vAlign w:val="center"/>
                </w:tcPr>
                <w:p>
                  <w:pPr>
                    <w:pStyle w:val="2"/>
                    <w:spacing w:line="240" w:lineRule="auto"/>
                    <w:ind w:firstLine="0" w:firstLineChars="0"/>
                    <w:rPr>
                      <w:rFonts w:ascii="Times New Roman" w:hAnsi="Times New Roman" w:eastAsia="宋体"/>
                      <w:color w:val="auto"/>
                      <w:sz w:val="21"/>
                      <w:szCs w:val="21"/>
                    </w:rPr>
                  </w:pPr>
                </w:p>
              </w:tc>
              <w:tc>
                <w:tcPr>
                  <w:tcW w:w="1064"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SS</w:t>
                  </w:r>
                </w:p>
              </w:tc>
              <w:tc>
                <w:tcPr>
                  <w:tcW w:w="3109" w:type="dxa"/>
                  <w:vMerge w:val="continue"/>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2572"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3"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3</w:t>
                  </w:r>
                </w:p>
              </w:tc>
              <w:tc>
                <w:tcPr>
                  <w:tcW w:w="1364" w:type="dxa"/>
                  <w:vMerge w:val="continue"/>
                  <w:tcBorders>
                    <w:tl2br w:val="nil"/>
                    <w:tr2bl w:val="nil"/>
                  </w:tcBorders>
                  <w:vAlign w:val="center"/>
                </w:tcPr>
                <w:p>
                  <w:pPr>
                    <w:pStyle w:val="2"/>
                    <w:spacing w:line="240" w:lineRule="auto"/>
                    <w:ind w:firstLine="0" w:firstLineChars="0"/>
                    <w:rPr>
                      <w:rFonts w:ascii="Times New Roman" w:hAnsi="Times New Roman" w:eastAsia="宋体"/>
                      <w:color w:val="auto"/>
                      <w:sz w:val="21"/>
                      <w:szCs w:val="21"/>
                    </w:rPr>
                  </w:pPr>
                </w:p>
              </w:tc>
              <w:tc>
                <w:tcPr>
                  <w:tcW w:w="1064"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石油类</w:t>
                  </w:r>
                </w:p>
              </w:tc>
              <w:tc>
                <w:tcPr>
                  <w:tcW w:w="3109" w:type="dxa"/>
                  <w:vMerge w:val="continue"/>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2572"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3"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4</w:t>
                  </w:r>
                </w:p>
              </w:tc>
              <w:tc>
                <w:tcPr>
                  <w:tcW w:w="1364" w:type="dxa"/>
                  <w:vMerge w:val="continue"/>
                  <w:tcBorders>
                    <w:tl2br w:val="nil"/>
                    <w:tr2bl w:val="nil"/>
                  </w:tcBorders>
                  <w:vAlign w:val="center"/>
                </w:tcPr>
                <w:p>
                  <w:pPr>
                    <w:pStyle w:val="2"/>
                    <w:spacing w:line="240" w:lineRule="auto"/>
                    <w:ind w:firstLine="0" w:firstLineChars="0"/>
                    <w:rPr>
                      <w:rFonts w:ascii="Times New Roman" w:hAnsi="Times New Roman" w:eastAsia="宋体"/>
                      <w:color w:val="auto"/>
                      <w:sz w:val="21"/>
                      <w:szCs w:val="21"/>
                    </w:rPr>
                  </w:pPr>
                </w:p>
              </w:tc>
              <w:tc>
                <w:tcPr>
                  <w:tcW w:w="1064"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动植物油</w:t>
                  </w:r>
                </w:p>
              </w:tc>
              <w:tc>
                <w:tcPr>
                  <w:tcW w:w="3109" w:type="dxa"/>
                  <w:vMerge w:val="continue"/>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p>
              </w:tc>
              <w:tc>
                <w:tcPr>
                  <w:tcW w:w="2572"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3"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5</w:t>
                  </w:r>
                </w:p>
              </w:tc>
              <w:tc>
                <w:tcPr>
                  <w:tcW w:w="1364" w:type="dxa"/>
                  <w:vMerge w:val="continue"/>
                  <w:tcBorders>
                    <w:tl2br w:val="nil"/>
                    <w:tr2bl w:val="nil"/>
                  </w:tcBorders>
                  <w:vAlign w:val="center"/>
                </w:tcPr>
                <w:p>
                  <w:pPr>
                    <w:pStyle w:val="2"/>
                    <w:spacing w:line="240" w:lineRule="auto"/>
                    <w:ind w:firstLine="0" w:firstLineChars="0"/>
                    <w:rPr>
                      <w:rFonts w:ascii="Times New Roman" w:hAnsi="Times New Roman" w:eastAsia="宋体"/>
                      <w:color w:val="auto"/>
                      <w:sz w:val="21"/>
                      <w:szCs w:val="21"/>
                    </w:rPr>
                  </w:pPr>
                </w:p>
              </w:tc>
              <w:tc>
                <w:tcPr>
                  <w:tcW w:w="1064"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NH</w:t>
                  </w:r>
                  <w:r>
                    <w:rPr>
                      <w:rFonts w:hint="eastAsia" w:ascii="Times New Roman" w:hAnsi="Times New Roman" w:eastAsia="宋体"/>
                      <w:color w:val="auto"/>
                      <w:sz w:val="21"/>
                      <w:szCs w:val="21"/>
                      <w:vertAlign w:val="subscript"/>
                    </w:rPr>
                    <w:t>3</w:t>
                  </w:r>
                  <w:r>
                    <w:rPr>
                      <w:rFonts w:hint="eastAsia" w:ascii="Times New Roman" w:hAnsi="Times New Roman" w:eastAsia="宋体"/>
                      <w:color w:val="auto"/>
                      <w:sz w:val="21"/>
                      <w:szCs w:val="21"/>
                    </w:rPr>
                    <w:t>-N</w:t>
                  </w:r>
                </w:p>
              </w:tc>
              <w:tc>
                <w:tcPr>
                  <w:tcW w:w="3109"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《污水排入城市下水道水质标准》（GB/T31962-2015）B 标准</w:t>
                  </w:r>
                </w:p>
              </w:tc>
              <w:tc>
                <w:tcPr>
                  <w:tcW w:w="2572" w:type="dxa"/>
                  <w:tcBorders>
                    <w:tl2br w:val="nil"/>
                    <w:tr2bl w:val="nil"/>
                  </w:tcBorders>
                  <w:vAlign w:val="center"/>
                </w:tcPr>
                <w:p>
                  <w:pPr>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45</w:t>
                  </w:r>
                </w:p>
              </w:tc>
            </w:tr>
          </w:tbl>
          <w:p>
            <w:pPr>
              <w:pStyle w:val="2"/>
              <w:spacing w:after="0" w:line="240" w:lineRule="auto"/>
              <w:ind w:firstLine="422"/>
              <w:jc w:val="center"/>
              <w:rPr>
                <w:rFonts w:ascii="Times New Roman" w:hAnsi="Times New Roman" w:eastAsia="宋体"/>
                <w:b/>
                <w:color w:val="auto"/>
                <w:sz w:val="21"/>
                <w:szCs w:val="21"/>
              </w:rPr>
            </w:pPr>
            <w:r>
              <w:rPr>
                <w:rFonts w:hint="eastAsia" w:ascii="Times New Roman" w:hAnsi="Times New Roman" w:eastAsia="宋体"/>
                <w:b/>
                <w:color w:val="auto"/>
                <w:sz w:val="21"/>
                <w:szCs w:val="21"/>
              </w:rPr>
              <w:t>表7</w:t>
            </w:r>
            <w:r>
              <w:rPr>
                <w:rFonts w:hint="eastAsia"/>
                <w:b/>
                <w:color w:val="auto"/>
                <w:sz w:val="21"/>
                <w:szCs w:val="21"/>
                <w:lang w:val="en-US" w:eastAsia="zh-CN"/>
              </w:rPr>
              <w:t>.6</w:t>
            </w:r>
            <w:r>
              <w:rPr>
                <w:rFonts w:hint="eastAsia" w:ascii="Times New Roman" w:hAnsi="Times New Roman" w:eastAsia="宋体"/>
                <w:b/>
                <w:color w:val="auto"/>
                <w:sz w:val="21"/>
                <w:szCs w:val="21"/>
              </w:rPr>
              <w:t>-</w:t>
            </w:r>
            <w:r>
              <w:rPr>
                <w:rFonts w:hint="eastAsia"/>
                <w:b/>
                <w:color w:val="auto"/>
                <w:sz w:val="21"/>
                <w:szCs w:val="21"/>
                <w:lang w:val="en-US" w:eastAsia="zh-CN"/>
              </w:rPr>
              <w:t>19</w:t>
            </w:r>
            <w:r>
              <w:rPr>
                <w:rFonts w:hint="eastAsia" w:ascii="Times New Roman" w:hAnsi="Times New Roman" w:eastAsia="宋体"/>
                <w:b/>
                <w:color w:val="auto"/>
                <w:sz w:val="21"/>
                <w:szCs w:val="21"/>
              </w:rPr>
              <w:t xml:space="preserve">  废水污染物排放信息表</w:t>
            </w:r>
          </w:p>
          <w:tbl>
            <w:tblPr>
              <w:tblStyle w:val="44"/>
              <w:tblW w:w="9022" w:type="dxa"/>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79"/>
              <w:gridCol w:w="1459"/>
              <w:gridCol w:w="1431"/>
              <w:gridCol w:w="1950"/>
              <w:gridCol w:w="1799"/>
              <w:gridCol w:w="150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879"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序号</w:t>
                  </w:r>
                </w:p>
              </w:tc>
              <w:tc>
                <w:tcPr>
                  <w:tcW w:w="1459"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排放口编号</w:t>
                  </w:r>
                </w:p>
              </w:tc>
              <w:tc>
                <w:tcPr>
                  <w:tcW w:w="1431"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污染物种类</w:t>
                  </w:r>
                </w:p>
              </w:tc>
              <w:tc>
                <w:tcPr>
                  <w:tcW w:w="1950"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排放浓度（mg/l）</w:t>
                  </w:r>
                </w:p>
              </w:tc>
              <w:tc>
                <w:tcPr>
                  <w:tcW w:w="1799"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日排放量（t/d）</w:t>
                  </w:r>
                </w:p>
              </w:tc>
              <w:tc>
                <w:tcPr>
                  <w:tcW w:w="1504"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b/>
                      <w:bCs/>
                      <w:color w:val="auto"/>
                      <w:kern w:val="0"/>
                      <w:sz w:val="21"/>
                      <w:szCs w:val="21"/>
                    </w:rPr>
                  </w:pPr>
                  <w:r>
                    <w:rPr>
                      <w:rFonts w:ascii="Times New Roman" w:hAnsi="Times New Roman" w:eastAsia="宋体"/>
                      <w:b/>
                      <w:bCs/>
                      <w:color w:val="auto"/>
                      <w:kern w:val="0"/>
                      <w:sz w:val="21"/>
                      <w:szCs w:val="21"/>
                    </w:rPr>
                    <w:t>年排放量（t/a）</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49" w:hRule="atLeast"/>
              </w:trPr>
              <w:tc>
                <w:tcPr>
                  <w:tcW w:w="879"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1</w:t>
                  </w:r>
                </w:p>
              </w:tc>
              <w:tc>
                <w:tcPr>
                  <w:tcW w:w="1459" w:type="dxa"/>
                  <w:vMerge w:val="restart"/>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DW-1</w:t>
                  </w:r>
                </w:p>
              </w:tc>
              <w:tc>
                <w:tcPr>
                  <w:tcW w:w="1431" w:type="dxa"/>
                  <w:tcBorders>
                    <w:tl2br w:val="nil"/>
                    <w:tr2bl w:val="nil"/>
                  </w:tcBorders>
                  <w:vAlign w:val="center"/>
                </w:tcPr>
                <w:p>
                  <w:pPr>
                    <w:pStyle w:val="151"/>
                    <w:spacing w:line="320" w:lineRule="exact"/>
                    <w:rPr>
                      <w:rFonts w:ascii="Times New Roman" w:hAnsi="Times New Roman" w:eastAsia="宋体"/>
                      <w:bCs w:val="0"/>
                      <w:color w:val="auto"/>
                      <w:sz w:val="21"/>
                      <w:szCs w:val="21"/>
                    </w:rPr>
                  </w:pPr>
                  <w:r>
                    <w:rPr>
                      <w:rFonts w:ascii="Times New Roman" w:hAnsi="Times New Roman" w:eastAsia="宋体"/>
                      <w:color w:val="auto"/>
                      <w:sz w:val="21"/>
                      <w:szCs w:val="21"/>
                    </w:rPr>
                    <w:t>COD</w:t>
                  </w:r>
                  <w:r>
                    <w:rPr>
                      <w:rFonts w:ascii="Times New Roman" w:hAnsi="Times New Roman" w:eastAsia="宋体"/>
                      <w:color w:val="auto"/>
                      <w:sz w:val="21"/>
                      <w:szCs w:val="21"/>
                      <w:vertAlign w:val="subscript"/>
                    </w:rPr>
                    <w:t>cr</w:t>
                  </w:r>
                </w:p>
              </w:tc>
              <w:tc>
                <w:tcPr>
                  <w:tcW w:w="1950" w:type="dxa"/>
                  <w:tcBorders>
                    <w:tl2br w:val="nil"/>
                    <w:tr2bl w:val="nil"/>
                  </w:tcBorders>
                  <w:vAlign w:val="center"/>
                </w:tcPr>
                <w:p>
                  <w:pPr>
                    <w:pStyle w:val="220"/>
                    <w:rPr>
                      <w:rFonts w:ascii="Times New Roman" w:hAnsi="Times New Roman" w:eastAsia="宋体"/>
                      <w:color w:val="auto"/>
                    </w:rPr>
                  </w:pPr>
                  <w:r>
                    <w:rPr>
                      <w:rFonts w:hint="eastAsia" w:ascii="Times New Roman" w:hAnsi="Times New Roman" w:eastAsia="宋体"/>
                      <w:color w:val="auto"/>
                      <w:kern w:val="2"/>
                    </w:rPr>
                    <w:t>500</w:t>
                  </w:r>
                </w:p>
              </w:tc>
              <w:tc>
                <w:tcPr>
                  <w:tcW w:w="1799"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hint="eastAsia"/>
                      <w:color w:val="auto"/>
                      <w:kern w:val="0"/>
                      <w:sz w:val="21"/>
                      <w:szCs w:val="21"/>
                      <w:lang w:val="en-US" w:eastAsia="zh-CN"/>
                    </w:rPr>
                    <w:t>2.05</w:t>
                  </w:r>
                  <w:r>
                    <w:rPr>
                      <w:rFonts w:hint="eastAsia" w:ascii="Times New Roman" w:hAnsi="Times New Roman" w:eastAsia="宋体"/>
                      <w:color w:val="auto"/>
                      <w:kern w:val="0"/>
                      <w:sz w:val="21"/>
                      <w:szCs w:val="21"/>
                    </w:rPr>
                    <w:t>*10</w:t>
                  </w:r>
                  <w:r>
                    <w:rPr>
                      <w:rFonts w:hint="eastAsia" w:ascii="Times New Roman" w:hAnsi="Times New Roman" w:eastAsia="宋体"/>
                      <w:color w:val="auto"/>
                      <w:kern w:val="0"/>
                      <w:sz w:val="21"/>
                      <w:szCs w:val="21"/>
                      <w:vertAlign w:val="superscript"/>
                    </w:rPr>
                    <w:t>-3</w:t>
                  </w:r>
                </w:p>
              </w:tc>
              <w:tc>
                <w:tcPr>
                  <w:tcW w:w="150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2"/>
                    </w:rPr>
                  </w:pPr>
                  <w:r>
                    <w:rPr>
                      <w:rFonts w:hint="default" w:ascii="Times New Roman" w:hAnsi="Times New Roman" w:eastAsia="宋体" w:cs="Times New Roman"/>
                      <w:i w:val="0"/>
                      <w:color w:val="auto"/>
                      <w:kern w:val="0"/>
                      <w:sz w:val="21"/>
                      <w:szCs w:val="21"/>
                      <w:u w:val="none"/>
                      <w:lang w:val="en-US" w:eastAsia="zh-CN" w:bidi="ar"/>
                    </w:rPr>
                    <w:t>0.614</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879"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2</w:t>
                  </w:r>
                </w:p>
              </w:tc>
              <w:tc>
                <w:tcPr>
                  <w:tcW w:w="1459" w:type="dxa"/>
                  <w:vMerge w:val="continue"/>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p>
              </w:tc>
              <w:tc>
                <w:tcPr>
                  <w:tcW w:w="1431" w:type="dxa"/>
                  <w:tcBorders>
                    <w:tl2br w:val="nil"/>
                    <w:tr2bl w:val="nil"/>
                  </w:tcBorders>
                  <w:vAlign w:val="center"/>
                </w:tcPr>
                <w:p>
                  <w:pPr>
                    <w:pStyle w:val="151"/>
                    <w:spacing w:line="320" w:lineRule="exact"/>
                    <w:rPr>
                      <w:rFonts w:ascii="Times New Roman" w:hAnsi="Times New Roman" w:eastAsia="宋体"/>
                      <w:bCs w:val="0"/>
                      <w:color w:val="auto"/>
                      <w:sz w:val="21"/>
                      <w:szCs w:val="21"/>
                    </w:rPr>
                  </w:pPr>
                  <w:r>
                    <w:rPr>
                      <w:rFonts w:ascii="Times New Roman" w:hAnsi="Times New Roman" w:eastAsia="宋体"/>
                      <w:color w:val="auto"/>
                      <w:sz w:val="21"/>
                      <w:szCs w:val="21"/>
                    </w:rPr>
                    <w:t>NH</w:t>
                  </w:r>
                  <w:r>
                    <w:rPr>
                      <w:rFonts w:ascii="Times New Roman" w:hAnsi="Times New Roman" w:eastAsia="宋体"/>
                      <w:color w:val="auto"/>
                      <w:sz w:val="21"/>
                      <w:szCs w:val="21"/>
                      <w:vertAlign w:val="subscript"/>
                    </w:rPr>
                    <w:t>3</w:t>
                  </w:r>
                  <w:r>
                    <w:rPr>
                      <w:rFonts w:ascii="Times New Roman" w:hAnsi="Times New Roman" w:eastAsia="宋体"/>
                      <w:color w:val="auto"/>
                      <w:sz w:val="21"/>
                      <w:szCs w:val="21"/>
                    </w:rPr>
                    <w:t>-N</w:t>
                  </w:r>
                </w:p>
              </w:tc>
              <w:tc>
                <w:tcPr>
                  <w:tcW w:w="1950" w:type="dxa"/>
                  <w:tcBorders>
                    <w:tl2br w:val="nil"/>
                    <w:tr2bl w:val="nil"/>
                  </w:tcBorders>
                  <w:vAlign w:val="center"/>
                </w:tcPr>
                <w:p>
                  <w:pPr>
                    <w:pStyle w:val="220"/>
                    <w:rPr>
                      <w:rFonts w:ascii="Times New Roman" w:hAnsi="Times New Roman" w:eastAsia="宋体"/>
                      <w:color w:val="auto"/>
                    </w:rPr>
                  </w:pPr>
                  <w:r>
                    <w:rPr>
                      <w:rFonts w:hint="eastAsia" w:ascii="Times New Roman" w:hAnsi="Times New Roman" w:eastAsia="宋体"/>
                      <w:color w:val="auto"/>
                      <w:kern w:val="2"/>
                    </w:rPr>
                    <w:t>45</w:t>
                  </w:r>
                </w:p>
              </w:tc>
              <w:tc>
                <w:tcPr>
                  <w:tcW w:w="1799"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hint="eastAsia"/>
                      <w:color w:val="auto"/>
                      <w:kern w:val="0"/>
                      <w:sz w:val="21"/>
                      <w:szCs w:val="21"/>
                      <w:lang w:val="en-US" w:eastAsia="zh-CN"/>
                    </w:rPr>
                    <w:t>1.84</w:t>
                  </w:r>
                  <w:r>
                    <w:rPr>
                      <w:rFonts w:hint="eastAsia" w:ascii="Times New Roman" w:hAnsi="Times New Roman" w:eastAsia="宋体"/>
                      <w:color w:val="auto"/>
                      <w:kern w:val="0"/>
                      <w:sz w:val="21"/>
                      <w:szCs w:val="21"/>
                    </w:rPr>
                    <w:t>*10</w:t>
                  </w:r>
                  <w:r>
                    <w:rPr>
                      <w:rFonts w:hint="eastAsia" w:ascii="Times New Roman" w:hAnsi="Times New Roman" w:eastAsia="宋体"/>
                      <w:color w:val="auto"/>
                      <w:kern w:val="0"/>
                      <w:sz w:val="21"/>
                      <w:szCs w:val="21"/>
                      <w:vertAlign w:val="superscript"/>
                    </w:rPr>
                    <w:t>-4</w:t>
                  </w:r>
                </w:p>
              </w:tc>
              <w:tc>
                <w:tcPr>
                  <w:tcW w:w="150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2"/>
                    </w:rPr>
                  </w:pPr>
                  <w:r>
                    <w:rPr>
                      <w:rFonts w:hint="default" w:ascii="Times New Roman" w:hAnsi="Times New Roman" w:eastAsia="宋体" w:cs="Times New Roman"/>
                      <w:i w:val="0"/>
                      <w:color w:val="auto"/>
                      <w:kern w:val="0"/>
                      <w:sz w:val="21"/>
                      <w:szCs w:val="21"/>
                      <w:u w:val="none"/>
                      <w:lang w:val="en-US" w:eastAsia="zh-CN" w:bidi="ar"/>
                    </w:rPr>
                    <w:t>0.055</w:t>
                  </w:r>
                  <w:r>
                    <w:rPr>
                      <w:rFonts w:hint="default" w:ascii="Times New Roman" w:hAnsi="Times New Roman" w:cs="Times New Roman"/>
                      <w:i w:val="0"/>
                      <w:color w:val="auto"/>
                      <w:kern w:val="0"/>
                      <w:sz w:val="21"/>
                      <w:szCs w:val="21"/>
                      <w:u w:val="none"/>
                      <w:lang w:val="en-US" w:eastAsia="zh-CN" w:bidi="ar"/>
                    </w:rPr>
                    <w:t>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879"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3</w:t>
                  </w:r>
                </w:p>
              </w:tc>
              <w:tc>
                <w:tcPr>
                  <w:tcW w:w="1459" w:type="dxa"/>
                  <w:vMerge w:val="continue"/>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p>
              </w:tc>
              <w:tc>
                <w:tcPr>
                  <w:tcW w:w="1431" w:type="dxa"/>
                  <w:tcBorders>
                    <w:tl2br w:val="nil"/>
                    <w:tr2bl w:val="nil"/>
                  </w:tcBorders>
                  <w:vAlign w:val="center"/>
                </w:tcPr>
                <w:p>
                  <w:pPr>
                    <w:pStyle w:val="151"/>
                    <w:spacing w:line="320" w:lineRule="exact"/>
                    <w:rPr>
                      <w:rFonts w:ascii="Times New Roman" w:hAnsi="Times New Roman" w:eastAsia="宋体"/>
                      <w:bCs w:val="0"/>
                      <w:color w:val="auto"/>
                      <w:sz w:val="21"/>
                      <w:szCs w:val="21"/>
                    </w:rPr>
                  </w:pPr>
                  <w:r>
                    <w:rPr>
                      <w:rFonts w:ascii="Times New Roman" w:hAnsi="Times New Roman" w:eastAsia="宋体"/>
                      <w:color w:val="auto"/>
                      <w:sz w:val="21"/>
                      <w:szCs w:val="21"/>
                    </w:rPr>
                    <w:t>SS</w:t>
                  </w:r>
                </w:p>
              </w:tc>
              <w:tc>
                <w:tcPr>
                  <w:tcW w:w="1950" w:type="dxa"/>
                  <w:tcBorders>
                    <w:tl2br w:val="nil"/>
                    <w:tr2bl w:val="nil"/>
                  </w:tcBorders>
                  <w:vAlign w:val="center"/>
                </w:tcPr>
                <w:p>
                  <w:pPr>
                    <w:pStyle w:val="220"/>
                    <w:rPr>
                      <w:rFonts w:ascii="Times New Roman" w:hAnsi="Times New Roman" w:eastAsia="宋体"/>
                      <w:color w:val="auto"/>
                    </w:rPr>
                  </w:pPr>
                  <w:r>
                    <w:rPr>
                      <w:rFonts w:hint="eastAsia" w:ascii="Times New Roman" w:hAnsi="Times New Roman" w:eastAsia="宋体"/>
                      <w:color w:val="auto"/>
                      <w:kern w:val="2"/>
                    </w:rPr>
                    <w:t>400</w:t>
                  </w:r>
                </w:p>
              </w:tc>
              <w:tc>
                <w:tcPr>
                  <w:tcW w:w="1799"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1.</w:t>
                  </w:r>
                  <w:r>
                    <w:rPr>
                      <w:rFonts w:hint="eastAsia"/>
                      <w:color w:val="auto"/>
                      <w:kern w:val="0"/>
                      <w:sz w:val="21"/>
                      <w:szCs w:val="21"/>
                      <w:lang w:val="en-US" w:eastAsia="zh-CN"/>
                    </w:rPr>
                    <w:t>64</w:t>
                  </w:r>
                  <w:r>
                    <w:rPr>
                      <w:rFonts w:hint="eastAsia" w:ascii="Times New Roman" w:hAnsi="Times New Roman" w:eastAsia="宋体"/>
                      <w:color w:val="auto"/>
                      <w:kern w:val="0"/>
                      <w:sz w:val="21"/>
                      <w:szCs w:val="21"/>
                    </w:rPr>
                    <w:t>*10</w:t>
                  </w:r>
                  <w:r>
                    <w:rPr>
                      <w:rFonts w:hint="eastAsia" w:ascii="Times New Roman" w:hAnsi="Times New Roman" w:eastAsia="宋体"/>
                      <w:color w:val="auto"/>
                      <w:kern w:val="0"/>
                      <w:sz w:val="21"/>
                      <w:szCs w:val="21"/>
                      <w:vertAlign w:val="superscript"/>
                    </w:rPr>
                    <w:t>-3</w:t>
                  </w:r>
                </w:p>
              </w:tc>
              <w:tc>
                <w:tcPr>
                  <w:tcW w:w="150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2"/>
                    </w:rPr>
                  </w:pPr>
                  <w:r>
                    <w:rPr>
                      <w:rFonts w:hint="default" w:ascii="Times New Roman" w:hAnsi="Times New Roman" w:eastAsia="宋体" w:cs="Times New Roman"/>
                      <w:i w:val="0"/>
                      <w:color w:val="auto"/>
                      <w:kern w:val="0"/>
                      <w:sz w:val="21"/>
                      <w:szCs w:val="21"/>
                      <w:u w:val="none"/>
                      <w:lang w:val="en-US" w:eastAsia="zh-CN" w:bidi="ar"/>
                    </w:rPr>
                    <w:t>0.491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879" w:type="dxa"/>
                  <w:tcBorders>
                    <w:tl2br w:val="nil"/>
                    <w:tr2bl w:val="nil"/>
                  </w:tcBorders>
                  <w:vAlign w:val="center"/>
                </w:tcPr>
                <w:p>
                  <w:pPr>
                    <w:widowControl/>
                    <w:adjustRightInd w:val="0"/>
                    <w:snapToGrid w:val="0"/>
                    <w:spacing w:line="240" w:lineRule="auto"/>
                    <w:ind w:firstLine="0" w:firstLineChars="0"/>
                    <w:jc w:val="center"/>
                    <w:rPr>
                      <w:rFonts w:hint="eastAsia" w:ascii="Times New Roman" w:hAnsi="Times New Roman" w:eastAsia="宋体"/>
                      <w:color w:val="auto"/>
                      <w:kern w:val="0"/>
                      <w:sz w:val="21"/>
                      <w:szCs w:val="21"/>
                      <w:lang w:eastAsia="zh-CN"/>
                    </w:rPr>
                  </w:pPr>
                  <w:r>
                    <w:rPr>
                      <w:rFonts w:hint="eastAsia"/>
                      <w:color w:val="auto"/>
                      <w:kern w:val="0"/>
                      <w:sz w:val="21"/>
                      <w:szCs w:val="21"/>
                      <w:lang w:val="en-US" w:eastAsia="zh-CN"/>
                    </w:rPr>
                    <w:t>4</w:t>
                  </w:r>
                </w:p>
              </w:tc>
              <w:tc>
                <w:tcPr>
                  <w:tcW w:w="1459" w:type="dxa"/>
                  <w:vMerge w:val="continue"/>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p>
              </w:tc>
              <w:tc>
                <w:tcPr>
                  <w:tcW w:w="1431" w:type="dxa"/>
                  <w:tcBorders>
                    <w:tl2br w:val="nil"/>
                    <w:tr2bl w:val="nil"/>
                  </w:tcBorders>
                  <w:vAlign w:val="center"/>
                </w:tcPr>
                <w:p>
                  <w:pPr>
                    <w:pStyle w:val="151"/>
                    <w:spacing w:line="320" w:lineRule="exact"/>
                    <w:ind w:left="0" w:leftChars="0"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动植物油</w:t>
                  </w:r>
                </w:p>
              </w:tc>
              <w:tc>
                <w:tcPr>
                  <w:tcW w:w="1950" w:type="dxa"/>
                  <w:tcBorders>
                    <w:tl2br w:val="nil"/>
                    <w:tr2bl w:val="nil"/>
                  </w:tcBorders>
                  <w:vAlign w:val="center"/>
                </w:tcPr>
                <w:p>
                  <w:pPr>
                    <w:pStyle w:val="220"/>
                    <w:rPr>
                      <w:rFonts w:ascii="Times New Roman" w:hAnsi="Times New Roman" w:eastAsia="宋体"/>
                      <w:color w:val="auto"/>
                      <w:kern w:val="2"/>
                    </w:rPr>
                  </w:pPr>
                  <w:r>
                    <w:rPr>
                      <w:rFonts w:hint="eastAsia" w:ascii="Times New Roman" w:hAnsi="Times New Roman" w:eastAsia="宋体"/>
                      <w:color w:val="auto"/>
                      <w:kern w:val="2"/>
                    </w:rPr>
                    <w:t>100</w:t>
                  </w:r>
                </w:p>
              </w:tc>
              <w:tc>
                <w:tcPr>
                  <w:tcW w:w="1799"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hint="eastAsia"/>
                      <w:color w:val="auto"/>
                      <w:kern w:val="0"/>
                      <w:sz w:val="21"/>
                      <w:szCs w:val="21"/>
                      <w:lang w:val="en-US" w:eastAsia="zh-CN"/>
                    </w:rPr>
                    <w:t>4.09</w:t>
                  </w:r>
                  <w:r>
                    <w:rPr>
                      <w:rFonts w:hint="eastAsia" w:ascii="Times New Roman" w:hAnsi="Times New Roman" w:eastAsia="宋体"/>
                      <w:color w:val="auto"/>
                      <w:kern w:val="0"/>
                      <w:sz w:val="21"/>
                      <w:szCs w:val="21"/>
                    </w:rPr>
                    <w:t>*10</w:t>
                  </w:r>
                  <w:r>
                    <w:rPr>
                      <w:rFonts w:hint="eastAsia" w:ascii="Times New Roman" w:hAnsi="Times New Roman" w:eastAsia="宋体"/>
                      <w:color w:val="auto"/>
                      <w:kern w:val="0"/>
                      <w:sz w:val="21"/>
                      <w:szCs w:val="21"/>
                      <w:vertAlign w:val="superscript"/>
                    </w:rPr>
                    <w:t>-4</w:t>
                  </w:r>
                </w:p>
              </w:tc>
              <w:tc>
                <w:tcPr>
                  <w:tcW w:w="150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2"/>
                    </w:rPr>
                  </w:pPr>
                  <w:r>
                    <w:rPr>
                      <w:rFonts w:hint="default" w:ascii="Times New Roman" w:hAnsi="Times New Roman" w:eastAsia="宋体" w:cs="Times New Roman"/>
                      <w:i w:val="0"/>
                      <w:color w:val="auto"/>
                      <w:kern w:val="0"/>
                      <w:sz w:val="21"/>
                      <w:szCs w:val="21"/>
                      <w:u w:val="none"/>
                      <w:lang w:val="en-US" w:eastAsia="zh-CN" w:bidi="ar"/>
                    </w:rPr>
                    <w:t>0.12</w:t>
                  </w:r>
                  <w:r>
                    <w:rPr>
                      <w:rFonts w:hint="default" w:ascii="Times New Roman" w:hAnsi="Times New Roman" w:cs="Times New Roman"/>
                      <w:i w:val="0"/>
                      <w:color w:val="auto"/>
                      <w:kern w:val="0"/>
                      <w:sz w:val="21"/>
                      <w:szCs w:val="21"/>
                      <w:u w:val="none"/>
                      <w:lang w:val="en-US" w:eastAsia="zh-CN" w:bidi="ar"/>
                    </w:rPr>
                    <w:t>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879" w:type="dxa"/>
                  <w:tcBorders>
                    <w:tl2br w:val="nil"/>
                    <w:tr2bl w:val="nil"/>
                  </w:tcBorders>
                  <w:vAlign w:val="center"/>
                </w:tcPr>
                <w:p>
                  <w:pPr>
                    <w:widowControl/>
                    <w:adjustRightInd w:val="0"/>
                    <w:snapToGrid w:val="0"/>
                    <w:spacing w:line="240" w:lineRule="auto"/>
                    <w:ind w:firstLine="0" w:firstLineChars="0"/>
                    <w:jc w:val="center"/>
                    <w:rPr>
                      <w:rFonts w:hint="eastAsia" w:ascii="Times New Roman" w:hAnsi="Times New Roman" w:eastAsia="宋体"/>
                      <w:color w:val="auto"/>
                      <w:kern w:val="0"/>
                      <w:sz w:val="21"/>
                      <w:szCs w:val="21"/>
                      <w:lang w:eastAsia="zh-CN"/>
                    </w:rPr>
                  </w:pPr>
                  <w:r>
                    <w:rPr>
                      <w:rFonts w:hint="eastAsia"/>
                      <w:color w:val="auto"/>
                      <w:kern w:val="0"/>
                      <w:sz w:val="21"/>
                      <w:szCs w:val="21"/>
                      <w:lang w:val="en-US" w:eastAsia="zh-CN"/>
                    </w:rPr>
                    <w:t>5</w:t>
                  </w:r>
                </w:p>
              </w:tc>
              <w:tc>
                <w:tcPr>
                  <w:tcW w:w="1459" w:type="dxa"/>
                  <w:vMerge w:val="continue"/>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p>
              </w:tc>
              <w:tc>
                <w:tcPr>
                  <w:tcW w:w="1431" w:type="dxa"/>
                  <w:tcBorders>
                    <w:tl2br w:val="nil"/>
                    <w:tr2bl w:val="nil"/>
                  </w:tcBorders>
                  <w:vAlign w:val="center"/>
                </w:tcPr>
                <w:p>
                  <w:pPr>
                    <w:pStyle w:val="151"/>
                    <w:spacing w:line="320" w:lineRule="exact"/>
                    <w:ind w:left="0" w:leftChars="0"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石油类</w:t>
                  </w:r>
                </w:p>
              </w:tc>
              <w:tc>
                <w:tcPr>
                  <w:tcW w:w="1950" w:type="dxa"/>
                  <w:tcBorders>
                    <w:tl2br w:val="nil"/>
                    <w:tr2bl w:val="nil"/>
                  </w:tcBorders>
                  <w:vAlign w:val="center"/>
                </w:tcPr>
                <w:p>
                  <w:pPr>
                    <w:pStyle w:val="220"/>
                    <w:rPr>
                      <w:rFonts w:ascii="Times New Roman" w:hAnsi="Times New Roman" w:eastAsia="宋体"/>
                      <w:color w:val="auto"/>
                      <w:kern w:val="2"/>
                    </w:rPr>
                  </w:pPr>
                  <w:r>
                    <w:rPr>
                      <w:rFonts w:hint="eastAsia" w:ascii="Times New Roman" w:hAnsi="Times New Roman" w:eastAsia="宋体"/>
                      <w:color w:val="auto"/>
                      <w:kern w:val="2"/>
                    </w:rPr>
                    <w:t>20</w:t>
                  </w:r>
                </w:p>
              </w:tc>
              <w:tc>
                <w:tcPr>
                  <w:tcW w:w="1799" w:type="dxa"/>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hint="eastAsia"/>
                      <w:color w:val="auto"/>
                      <w:kern w:val="0"/>
                      <w:sz w:val="21"/>
                      <w:szCs w:val="21"/>
                      <w:lang w:val="en-US" w:eastAsia="zh-CN"/>
                    </w:rPr>
                    <w:t>8.19</w:t>
                  </w:r>
                  <w:r>
                    <w:rPr>
                      <w:rFonts w:hint="eastAsia" w:ascii="Times New Roman" w:hAnsi="Times New Roman" w:eastAsia="宋体"/>
                      <w:color w:val="auto"/>
                      <w:kern w:val="0"/>
                      <w:sz w:val="21"/>
                      <w:szCs w:val="21"/>
                    </w:rPr>
                    <w:t>*10</w:t>
                  </w:r>
                  <w:r>
                    <w:rPr>
                      <w:rFonts w:hint="eastAsia" w:ascii="Times New Roman" w:hAnsi="Times New Roman" w:eastAsia="宋体"/>
                      <w:color w:val="auto"/>
                      <w:kern w:val="0"/>
                      <w:sz w:val="21"/>
                      <w:szCs w:val="21"/>
                      <w:vertAlign w:val="superscript"/>
                    </w:rPr>
                    <w:t>-5</w:t>
                  </w:r>
                </w:p>
              </w:tc>
              <w:tc>
                <w:tcPr>
                  <w:tcW w:w="150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2"/>
                    </w:rPr>
                  </w:pPr>
                  <w:r>
                    <w:rPr>
                      <w:rFonts w:hint="default" w:ascii="Times New Roman" w:hAnsi="Times New Roman" w:eastAsia="宋体" w:cs="Times New Roman"/>
                      <w:i w:val="0"/>
                      <w:color w:val="auto"/>
                      <w:kern w:val="0"/>
                      <w:sz w:val="21"/>
                      <w:szCs w:val="21"/>
                      <w:u w:val="none"/>
                      <w:lang w:val="en-US" w:eastAsia="zh-CN" w:bidi="ar"/>
                    </w:rPr>
                    <w:t>0.024</w:t>
                  </w:r>
                  <w:r>
                    <w:rPr>
                      <w:rFonts w:hint="default" w:ascii="Times New Roman" w:hAnsi="Times New Roman" w:cs="Times New Roman"/>
                      <w:i w:val="0"/>
                      <w:color w:val="auto"/>
                      <w:kern w:val="0"/>
                      <w:sz w:val="21"/>
                      <w:szCs w:val="21"/>
                      <w:u w:val="none"/>
                      <w:lang w:val="en-US" w:eastAsia="zh-CN" w:bidi="ar"/>
                    </w:rPr>
                    <w:t>6</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2338" w:type="dxa"/>
                  <w:gridSpan w:val="2"/>
                  <w:vMerge w:val="restart"/>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hint="eastAsia" w:ascii="Times New Roman" w:hAnsi="Times New Roman"/>
                      <w:color w:val="auto"/>
                      <w:kern w:val="0"/>
                      <w:sz w:val="21"/>
                      <w:szCs w:val="21"/>
                      <w:lang w:val="en-US" w:eastAsia="zh-CN"/>
                    </w:rPr>
                    <w:t>生产车间</w:t>
                  </w:r>
                  <w:r>
                    <w:rPr>
                      <w:rFonts w:ascii="Times New Roman" w:hAnsi="Times New Roman" w:eastAsia="宋体"/>
                      <w:color w:val="auto"/>
                      <w:kern w:val="0"/>
                      <w:sz w:val="21"/>
                      <w:szCs w:val="21"/>
                    </w:rPr>
                    <w:t>排放口合计</w:t>
                  </w:r>
                </w:p>
              </w:tc>
              <w:tc>
                <w:tcPr>
                  <w:tcW w:w="5180" w:type="dxa"/>
                  <w:gridSpan w:val="3"/>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COD</w:t>
                  </w:r>
                  <w:r>
                    <w:rPr>
                      <w:rFonts w:ascii="Times New Roman" w:hAnsi="Times New Roman" w:eastAsia="宋体"/>
                      <w:color w:val="auto"/>
                      <w:sz w:val="21"/>
                      <w:szCs w:val="21"/>
                      <w:vertAlign w:val="subscript"/>
                    </w:rPr>
                    <w:t>cr</w:t>
                  </w:r>
                </w:p>
              </w:tc>
              <w:tc>
                <w:tcPr>
                  <w:tcW w:w="150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imes New Roman" w:hAnsi="Times New Roman" w:eastAsia="宋体"/>
                      <w:color w:val="auto"/>
                      <w:kern w:val="2"/>
                    </w:rPr>
                  </w:pPr>
                  <w:r>
                    <w:rPr>
                      <w:rFonts w:hint="default" w:ascii="Times New Roman" w:hAnsi="Times New Roman" w:eastAsia="宋体" w:cs="Times New Roman"/>
                      <w:i w:val="0"/>
                      <w:color w:val="auto"/>
                      <w:kern w:val="0"/>
                      <w:sz w:val="21"/>
                      <w:szCs w:val="21"/>
                      <w:u w:val="none"/>
                      <w:lang w:val="en-US" w:eastAsia="zh-CN" w:bidi="ar"/>
                    </w:rPr>
                    <w:t>0.614</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2" w:hRule="atLeast"/>
              </w:trPr>
              <w:tc>
                <w:tcPr>
                  <w:tcW w:w="2338" w:type="dxa"/>
                  <w:gridSpan w:val="2"/>
                  <w:vMerge w:val="continue"/>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p>
              </w:tc>
              <w:tc>
                <w:tcPr>
                  <w:tcW w:w="5180" w:type="dxa"/>
                  <w:gridSpan w:val="3"/>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NH</w:t>
                  </w:r>
                  <w:r>
                    <w:rPr>
                      <w:rFonts w:ascii="Times New Roman" w:hAnsi="Times New Roman" w:eastAsia="宋体"/>
                      <w:color w:val="auto"/>
                      <w:kern w:val="0"/>
                      <w:sz w:val="21"/>
                      <w:szCs w:val="21"/>
                      <w:vertAlign w:val="subscript"/>
                    </w:rPr>
                    <w:t>3</w:t>
                  </w:r>
                  <w:r>
                    <w:rPr>
                      <w:rFonts w:ascii="Times New Roman" w:hAnsi="Times New Roman" w:eastAsia="宋体"/>
                      <w:color w:val="auto"/>
                      <w:kern w:val="0"/>
                      <w:sz w:val="21"/>
                      <w:szCs w:val="21"/>
                    </w:rPr>
                    <w:t>-N</w:t>
                  </w:r>
                </w:p>
              </w:tc>
              <w:tc>
                <w:tcPr>
                  <w:tcW w:w="150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imes New Roman" w:hAnsi="Times New Roman" w:eastAsia="宋体"/>
                      <w:color w:val="auto"/>
                      <w:kern w:val="2"/>
                    </w:rPr>
                  </w:pPr>
                  <w:r>
                    <w:rPr>
                      <w:rFonts w:hint="default" w:ascii="Times New Roman" w:hAnsi="Times New Roman" w:eastAsia="宋体" w:cs="Times New Roman"/>
                      <w:i w:val="0"/>
                      <w:color w:val="auto"/>
                      <w:kern w:val="0"/>
                      <w:sz w:val="21"/>
                      <w:szCs w:val="21"/>
                      <w:u w:val="none"/>
                      <w:lang w:val="en-US" w:eastAsia="zh-CN" w:bidi="ar"/>
                    </w:rPr>
                    <w:t>0.055</w:t>
                  </w:r>
                  <w:r>
                    <w:rPr>
                      <w:rFonts w:hint="default" w:ascii="Times New Roman" w:hAnsi="Times New Roman" w:cs="Times New Roman"/>
                      <w:i w:val="0"/>
                      <w:color w:val="auto"/>
                      <w:kern w:val="0"/>
                      <w:sz w:val="21"/>
                      <w:szCs w:val="21"/>
                      <w:u w:val="none"/>
                      <w:lang w:val="en-US" w:eastAsia="zh-CN" w:bidi="ar"/>
                    </w:rPr>
                    <w:t>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21" w:hRule="atLeast"/>
              </w:trPr>
              <w:tc>
                <w:tcPr>
                  <w:tcW w:w="2338" w:type="dxa"/>
                  <w:gridSpan w:val="2"/>
                  <w:vMerge w:val="continue"/>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p>
              </w:tc>
              <w:tc>
                <w:tcPr>
                  <w:tcW w:w="5180" w:type="dxa"/>
                  <w:gridSpan w:val="3"/>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SS</w:t>
                  </w:r>
                </w:p>
              </w:tc>
              <w:tc>
                <w:tcPr>
                  <w:tcW w:w="150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imes New Roman" w:hAnsi="Times New Roman" w:eastAsia="宋体"/>
                      <w:color w:val="auto"/>
                      <w:kern w:val="2"/>
                    </w:rPr>
                  </w:pPr>
                  <w:r>
                    <w:rPr>
                      <w:rFonts w:hint="default" w:ascii="Times New Roman" w:hAnsi="Times New Roman" w:eastAsia="宋体" w:cs="Times New Roman"/>
                      <w:i w:val="0"/>
                      <w:color w:val="auto"/>
                      <w:kern w:val="0"/>
                      <w:sz w:val="21"/>
                      <w:szCs w:val="21"/>
                      <w:u w:val="none"/>
                      <w:lang w:val="en-US" w:eastAsia="zh-CN" w:bidi="ar"/>
                    </w:rPr>
                    <w:t>0.491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24" w:hRule="atLeast"/>
              </w:trPr>
              <w:tc>
                <w:tcPr>
                  <w:tcW w:w="2338" w:type="dxa"/>
                  <w:gridSpan w:val="2"/>
                  <w:vMerge w:val="continue"/>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p>
              </w:tc>
              <w:tc>
                <w:tcPr>
                  <w:tcW w:w="5180" w:type="dxa"/>
                  <w:gridSpan w:val="3"/>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r>
                    <w:rPr>
                      <w:rFonts w:hint="eastAsia" w:ascii="Times New Roman" w:hAnsi="Times New Roman" w:eastAsia="宋体"/>
                      <w:color w:val="auto"/>
                      <w:sz w:val="21"/>
                      <w:szCs w:val="21"/>
                    </w:rPr>
                    <w:t>动植物油</w:t>
                  </w:r>
                </w:p>
              </w:tc>
              <w:tc>
                <w:tcPr>
                  <w:tcW w:w="150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imes New Roman" w:hAnsi="Times New Roman" w:eastAsia="宋体"/>
                      <w:color w:val="auto"/>
                      <w:kern w:val="2"/>
                    </w:rPr>
                  </w:pPr>
                  <w:r>
                    <w:rPr>
                      <w:rFonts w:hint="default" w:ascii="Times New Roman" w:hAnsi="Times New Roman" w:eastAsia="宋体" w:cs="Times New Roman"/>
                      <w:i w:val="0"/>
                      <w:color w:val="auto"/>
                      <w:kern w:val="0"/>
                      <w:sz w:val="21"/>
                      <w:szCs w:val="21"/>
                      <w:u w:val="none"/>
                      <w:lang w:val="en-US" w:eastAsia="zh-CN" w:bidi="ar"/>
                    </w:rPr>
                    <w:t>0.12</w:t>
                  </w:r>
                  <w:r>
                    <w:rPr>
                      <w:rFonts w:hint="default" w:ascii="Times New Roman" w:hAnsi="Times New Roman" w:cs="Times New Roman"/>
                      <w:i w:val="0"/>
                      <w:color w:val="auto"/>
                      <w:kern w:val="0"/>
                      <w:sz w:val="21"/>
                      <w:szCs w:val="21"/>
                      <w:u w:val="none"/>
                      <w:lang w:val="en-US" w:eastAsia="zh-CN" w:bidi="ar"/>
                    </w:rPr>
                    <w:t>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24" w:hRule="atLeast"/>
              </w:trPr>
              <w:tc>
                <w:tcPr>
                  <w:tcW w:w="2338" w:type="dxa"/>
                  <w:gridSpan w:val="2"/>
                  <w:vMerge w:val="continue"/>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kern w:val="0"/>
                      <w:sz w:val="21"/>
                      <w:szCs w:val="21"/>
                    </w:rPr>
                  </w:pPr>
                </w:p>
              </w:tc>
              <w:tc>
                <w:tcPr>
                  <w:tcW w:w="5180" w:type="dxa"/>
                  <w:gridSpan w:val="3"/>
                  <w:tcBorders>
                    <w:tl2br w:val="nil"/>
                    <w:tr2bl w:val="nil"/>
                  </w:tcBorders>
                  <w:vAlign w:val="center"/>
                </w:tcPr>
                <w:p>
                  <w:pPr>
                    <w:widowControl/>
                    <w:adjustRightInd w:val="0"/>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石油类</w:t>
                  </w:r>
                </w:p>
              </w:tc>
              <w:tc>
                <w:tcPr>
                  <w:tcW w:w="150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Times New Roman" w:hAnsi="Times New Roman" w:eastAsia="宋体"/>
                      <w:color w:val="auto"/>
                      <w:kern w:val="2"/>
                    </w:rPr>
                  </w:pPr>
                  <w:r>
                    <w:rPr>
                      <w:rFonts w:hint="default" w:ascii="Times New Roman" w:hAnsi="Times New Roman" w:eastAsia="宋体" w:cs="Times New Roman"/>
                      <w:i w:val="0"/>
                      <w:color w:val="auto"/>
                      <w:kern w:val="0"/>
                      <w:sz w:val="21"/>
                      <w:szCs w:val="21"/>
                      <w:u w:val="none"/>
                      <w:lang w:val="en-US" w:eastAsia="zh-CN" w:bidi="ar"/>
                    </w:rPr>
                    <w:t>0.024</w:t>
                  </w:r>
                  <w:r>
                    <w:rPr>
                      <w:rFonts w:hint="default" w:ascii="Times New Roman" w:hAnsi="Times New Roman" w:cs="Times New Roman"/>
                      <w:i w:val="0"/>
                      <w:color w:val="auto"/>
                      <w:kern w:val="0"/>
                      <w:sz w:val="21"/>
                      <w:szCs w:val="21"/>
                      <w:u w:val="none"/>
                      <w:lang w:val="en-US" w:eastAsia="zh-CN" w:bidi="ar"/>
                    </w:rPr>
                    <w:t>6</w:t>
                  </w:r>
                </w:p>
              </w:tc>
            </w:tr>
          </w:tbl>
          <w:p>
            <w:pPr>
              <w:pStyle w:val="21"/>
              <w:bidi w:val="0"/>
              <w:rPr>
                <w:sz w:val="24"/>
                <w:szCs w:val="22"/>
              </w:rPr>
            </w:pPr>
            <w:r>
              <w:rPr>
                <w:sz w:val="24"/>
                <w:szCs w:val="22"/>
              </w:rPr>
              <w:t>（2）</w:t>
            </w:r>
            <w:r>
              <w:rPr>
                <w:rFonts w:hint="eastAsia"/>
                <w:sz w:val="24"/>
                <w:szCs w:val="22"/>
              </w:rPr>
              <w:t>评价等级</w:t>
            </w:r>
          </w:p>
          <w:p>
            <w:pPr>
              <w:pStyle w:val="21"/>
              <w:bidi w:val="0"/>
              <w:rPr>
                <w:sz w:val="24"/>
                <w:szCs w:val="22"/>
              </w:rPr>
            </w:pPr>
            <w:r>
              <w:rPr>
                <w:rFonts w:hint="eastAsia"/>
                <w:sz w:val="24"/>
                <w:szCs w:val="22"/>
              </w:rPr>
              <w:t>对照《环境影响评价技术导则地表水环境》（HJ2.3-2018），本项目污水评价等级为三级B，可不进行水环境影响预测，主要对水污染控制和水环境影响减缓措施的有效性和依托污水处理设施的环境的可行性进行评价。</w:t>
            </w:r>
          </w:p>
          <w:p>
            <w:pPr>
              <w:pStyle w:val="21"/>
              <w:bidi w:val="0"/>
              <w:rPr>
                <w:sz w:val="24"/>
                <w:szCs w:val="22"/>
              </w:rPr>
            </w:pPr>
            <w:r>
              <w:rPr>
                <w:rFonts w:hint="eastAsia"/>
                <w:sz w:val="24"/>
                <w:szCs w:val="22"/>
              </w:rPr>
              <w:t>生活污水经处理后可达到《污水综合排放标准》（GB8978-1996）表4中的三级标准要求。</w:t>
            </w:r>
          </w:p>
          <w:p>
            <w:pPr>
              <w:pStyle w:val="2"/>
              <w:adjustRightInd w:val="0"/>
              <w:spacing w:after="0"/>
              <w:ind w:firstLine="480"/>
              <w:rPr>
                <w:rFonts w:ascii="Times New Roman" w:hAnsi="Times New Roman" w:eastAsia="宋体"/>
                <w:color w:val="auto"/>
                <w:sz w:val="24"/>
                <w:szCs w:val="24"/>
              </w:rPr>
            </w:pPr>
            <w:r>
              <w:rPr>
                <w:rFonts w:hint="eastAsia" w:ascii="Times New Roman" w:hAnsi="Times New Roman" w:eastAsia="宋体"/>
                <w:color w:val="auto"/>
                <w:sz w:val="24"/>
                <w:szCs w:val="24"/>
              </w:rPr>
              <w:t>化粪池：化粪池是处理粪便并加以过滤沉淀的设备，其原理是：经分解和澄清后的上层的水化物进入管道流走，下层沉淀的固化物（粪便等垃圾）进一步水解，最后作为污泥被清掏。一般情况下，化粪池对于COD及SS的去除率为20%左右，对其他污染物去除能力较差。</w:t>
            </w:r>
          </w:p>
          <w:p>
            <w:pPr>
              <w:pStyle w:val="2"/>
              <w:adjustRightInd w:val="0"/>
              <w:spacing w:after="0"/>
              <w:ind w:firstLine="480"/>
              <w:rPr>
                <w:rFonts w:ascii="Times New Roman" w:hAnsi="Times New Roman" w:eastAsia="宋体"/>
                <w:color w:val="auto"/>
                <w:sz w:val="24"/>
                <w:szCs w:val="24"/>
              </w:rPr>
            </w:pPr>
            <w:r>
              <w:rPr>
                <w:rFonts w:hint="eastAsia" w:ascii="Times New Roman" w:hAnsi="Times New Roman" w:eastAsia="宋体"/>
                <w:color w:val="auto"/>
                <w:sz w:val="24"/>
                <w:szCs w:val="24"/>
              </w:rPr>
              <w:t>本项目新增废水量</w:t>
            </w:r>
            <w:r>
              <w:rPr>
                <w:rFonts w:hint="eastAsia"/>
                <w:color w:val="auto"/>
                <w:sz w:val="24"/>
                <w:szCs w:val="24"/>
                <w:lang w:val="en-US" w:eastAsia="zh-CN"/>
              </w:rPr>
              <w:t>4.09</w:t>
            </w:r>
            <w:r>
              <w:rPr>
                <w:rFonts w:hint="eastAsia" w:ascii="Times New Roman" w:hAnsi="Times New Roman" w:eastAsia="宋体"/>
                <w:color w:val="auto"/>
                <w:sz w:val="24"/>
                <w:szCs w:val="24"/>
              </w:rPr>
              <w:t>m</w:t>
            </w:r>
            <w:r>
              <w:rPr>
                <w:rFonts w:hint="eastAsia" w:ascii="Times New Roman" w:hAnsi="Times New Roman" w:eastAsia="宋体"/>
                <w:color w:val="auto"/>
                <w:sz w:val="24"/>
                <w:szCs w:val="24"/>
                <w:vertAlign w:val="superscript"/>
              </w:rPr>
              <w:t>3</w:t>
            </w:r>
            <w:r>
              <w:rPr>
                <w:rFonts w:hint="eastAsia" w:ascii="Times New Roman" w:hAnsi="Times New Roman" w:eastAsia="宋体"/>
                <w:color w:val="auto"/>
                <w:sz w:val="24"/>
                <w:szCs w:val="24"/>
              </w:rPr>
              <w:t>/d（</w:t>
            </w:r>
            <w:r>
              <w:rPr>
                <w:rFonts w:hint="eastAsia"/>
                <w:color w:val="auto"/>
                <w:sz w:val="24"/>
                <w:szCs w:val="24"/>
                <w:lang w:val="en-US" w:eastAsia="zh-CN"/>
              </w:rPr>
              <w:t>1228.3</w:t>
            </w:r>
            <w:r>
              <w:rPr>
                <w:rFonts w:hint="eastAsia" w:ascii="Times New Roman" w:hAnsi="Times New Roman" w:eastAsia="宋体"/>
                <w:color w:val="auto"/>
                <w:sz w:val="24"/>
                <w:szCs w:val="24"/>
              </w:rPr>
              <w:t>m</w:t>
            </w:r>
            <w:r>
              <w:rPr>
                <w:rFonts w:hint="eastAsia" w:ascii="Times New Roman" w:hAnsi="Times New Roman" w:eastAsia="宋体"/>
                <w:color w:val="auto"/>
                <w:sz w:val="24"/>
                <w:szCs w:val="24"/>
                <w:vertAlign w:val="superscript"/>
              </w:rPr>
              <w:t>3</w:t>
            </w:r>
            <w:r>
              <w:rPr>
                <w:rFonts w:hint="eastAsia" w:ascii="Times New Roman" w:hAnsi="Times New Roman" w:eastAsia="宋体"/>
                <w:color w:val="auto"/>
                <w:sz w:val="24"/>
                <w:szCs w:val="24"/>
              </w:rPr>
              <w:t>/a），废水量较小，不会对污水处理厂运行造成冲击，因此，从水量上分析，本项目废水接管也是可行的。</w:t>
            </w:r>
          </w:p>
          <w:p>
            <w:pPr>
              <w:autoSpaceDE w:val="0"/>
              <w:autoSpaceDN w:val="0"/>
              <w:adjustRightInd w:val="0"/>
              <w:ind w:firstLine="480"/>
              <w:jc w:val="left"/>
              <w:rPr>
                <w:rFonts w:ascii="Times New Roman" w:hAnsi="Times New Roman" w:eastAsia="宋体"/>
                <w:color w:val="auto"/>
                <w:sz w:val="24"/>
                <w:szCs w:val="24"/>
              </w:rPr>
            </w:pPr>
            <w:r>
              <w:rPr>
                <w:rFonts w:hint="eastAsia" w:ascii="Times New Roman" w:hAnsi="Times New Roman" w:eastAsia="宋体"/>
                <w:color w:val="auto"/>
                <w:sz w:val="24"/>
                <w:szCs w:val="24"/>
              </w:rPr>
              <w:t>综上所述，</w:t>
            </w:r>
            <w:r>
              <w:rPr>
                <w:rFonts w:hint="eastAsia" w:ascii="Times New Roman" w:hAnsi="Times New Roman"/>
                <w:color w:val="auto"/>
                <w:sz w:val="24"/>
                <w:szCs w:val="24"/>
                <w:lang w:val="en-US" w:eastAsia="zh-CN"/>
              </w:rPr>
              <w:t>霞湾</w:t>
            </w:r>
            <w:r>
              <w:rPr>
                <w:rFonts w:hint="eastAsia" w:ascii="Times New Roman" w:hAnsi="Times New Roman" w:eastAsia="宋体"/>
                <w:color w:val="auto"/>
                <w:sz w:val="24"/>
                <w:szCs w:val="24"/>
              </w:rPr>
              <w:t>污水处理厂能够并有能力接管处理本项目的废水。</w:t>
            </w:r>
          </w:p>
          <w:p>
            <w:pPr>
              <w:tabs>
                <w:tab w:val="center" w:pos="4816"/>
                <w:tab w:val="left" w:pos="8100"/>
              </w:tabs>
              <w:adjustRightInd w:val="0"/>
              <w:snapToGrid w:val="0"/>
              <w:spacing w:line="240" w:lineRule="auto"/>
              <w:ind w:firstLine="422"/>
              <w:jc w:val="center"/>
              <w:rPr>
                <w:rFonts w:ascii="Times New Roman" w:hAnsi="Times New Roman" w:eastAsia="宋体"/>
                <w:color w:val="auto"/>
                <w:kern w:val="0"/>
                <w:sz w:val="21"/>
                <w:szCs w:val="21"/>
              </w:rPr>
            </w:pPr>
            <w:r>
              <w:rPr>
                <w:rFonts w:hint="eastAsia" w:ascii="Times New Roman" w:hAnsi="Times New Roman" w:eastAsia="宋体"/>
                <w:b/>
                <w:color w:val="auto"/>
                <w:sz w:val="21"/>
                <w:szCs w:val="21"/>
              </w:rPr>
              <w:t>表7</w:t>
            </w:r>
            <w:r>
              <w:rPr>
                <w:rFonts w:hint="eastAsia"/>
                <w:b/>
                <w:color w:val="auto"/>
                <w:sz w:val="21"/>
                <w:szCs w:val="21"/>
                <w:lang w:val="en-US" w:eastAsia="zh-CN"/>
              </w:rPr>
              <w:t>.6</w:t>
            </w:r>
            <w:r>
              <w:rPr>
                <w:rFonts w:hint="eastAsia" w:ascii="Times New Roman" w:hAnsi="Times New Roman" w:eastAsia="宋体"/>
                <w:b/>
                <w:color w:val="auto"/>
                <w:sz w:val="21"/>
                <w:szCs w:val="21"/>
              </w:rPr>
              <w:t>-</w:t>
            </w:r>
            <w:r>
              <w:rPr>
                <w:rFonts w:hint="eastAsia" w:ascii="Times New Roman" w:hAnsi="Times New Roman" w:eastAsia="宋体"/>
                <w:b/>
                <w:color w:val="auto"/>
                <w:sz w:val="21"/>
                <w:szCs w:val="21"/>
                <w:lang w:val="en-US" w:eastAsia="zh-CN"/>
              </w:rPr>
              <w:t>2</w:t>
            </w:r>
            <w:r>
              <w:rPr>
                <w:rFonts w:hint="eastAsia"/>
                <w:b/>
                <w:color w:val="auto"/>
                <w:sz w:val="21"/>
                <w:szCs w:val="21"/>
                <w:lang w:val="en-US" w:eastAsia="zh-CN"/>
              </w:rPr>
              <w:t>0</w:t>
            </w:r>
            <w:r>
              <w:rPr>
                <w:rFonts w:hint="eastAsia" w:ascii="Times New Roman" w:hAnsi="Times New Roman" w:eastAsia="宋体"/>
                <w:b/>
                <w:color w:val="auto"/>
                <w:sz w:val="21"/>
                <w:szCs w:val="21"/>
              </w:rPr>
              <w:t xml:space="preserve"> 建设项目地表水环境影响评价自查表</w:t>
            </w:r>
          </w:p>
          <w:tbl>
            <w:tblPr>
              <w:tblStyle w:val="43"/>
              <w:tblW w:w="8801" w:type="dxa"/>
              <w:tblInd w:w="17"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343"/>
              <w:gridCol w:w="992"/>
              <w:gridCol w:w="2374"/>
              <w:gridCol w:w="325"/>
              <w:gridCol w:w="348"/>
              <w:gridCol w:w="599"/>
              <w:gridCol w:w="638"/>
              <w:gridCol w:w="13"/>
              <w:gridCol w:w="621"/>
              <w:gridCol w:w="309"/>
              <w:gridCol w:w="654"/>
              <w:gridCol w:w="309"/>
              <w:gridCol w:w="156"/>
              <w:gridCol w:w="381"/>
              <w:gridCol w:w="7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1335" w:type="dxa"/>
                  <w:gridSpan w:val="2"/>
                  <w:vAlign w:val="center"/>
                </w:tcPr>
                <w:p>
                  <w:pPr>
                    <w:pStyle w:val="109"/>
                    <w:spacing w:line="240" w:lineRule="auto"/>
                    <w:ind w:firstLine="0" w:firstLineChars="0"/>
                    <w:rPr>
                      <w:rFonts w:ascii="Times New Roman" w:hAnsi="Times New Roman" w:eastAsia="宋体" w:cs="宋体"/>
                      <w:b/>
                      <w:bCs/>
                      <w:color w:val="auto"/>
                      <w:kern w:val="2"/>
                      <w:sz w:val="18"/>
                      <w:szCs w:val="18"/>
                    </w:rPr>
                  </w:pPr>
                  <w:r>
                    <w:rPr>
                      <w:rFonts w:hint="eastAsia" w:ascii="Times New Roman" w:hAnsi="Times New Roman" w:eastAsia="宋体" w:cs="宋体"/>
                      <w:b/>
                      <w:bCs/>
                      <w:color w:val="auto"/>
                      <w:kern w:val="2"/>
                      <w:sz w:val="18"/>
                      <w:szCs w:val="18"/>
                    </w:rPr>
                    <w:t>工作内容</w:t>
                  </w:r>
                </w:p>
              </w:tc>
              <w:tc>
                <w:tcPr>
                  <w:tcW w:w="7466" w:type="dxa"/>
                  <w:gridSpan w:val="13"/>
                  <w:vAlign w:val="center"/>
                </w:tcPr>
                <w:p>
                  <w:pPr>
                    <w:pStyle w:val="109"/>
                    <w:spacing w:line="240" w:lineRule="auto"/>
                    <w:ind w:firstLine="0" w:firstLineChars="0"/>
                    <w:rPr>
                      <w:rFonts w:ascii="Times New Roman" w:hAnsi="Times New Roman" w:eastAsia="宋体" w:cs="宋体"/>
                      <w:b/>
                      <w:bCs/>
                      <w:color w:val="auto"/>
                      <w:kern w:val="2"/>
                      <w:sz w:val="18"/>
                      <w:szCs w:val="18"/>
                      <w:lang w:eastAsia="zh-CN"/>
                    </w:rPr>
                  </w:pPr>
                  <w:r>
                    <w:rPr>
                      <w:rFonts w:hint="eastAsia" w:ascii="Times New Roman" w:hAnsi="Times New Roman" w:eastAsia="宋体" w:cs="宋体"/>
                      <w:b/>
                      <w:bCs/>
                      <w:color w:val="auto"/>
                      <w:kern w:val="2"/>
                      <w:sz w:val="18"/>
                      <w:szCs w:val="18"/>
                      <w:lang w:eastAsia="zh-CN"/>
                    </w:rPr>
                    <w:t>自查项目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343" w:type="dxa"/>
                  <w:vMerge w:val="restart"/>
                  <w:vAlign w:val="center"/>
                </w:tcPr>
                <w:p>
                  <w:pPr>
                    <w:pStyle w:val="109"/>
                    <w:spacing w:line="240" w:lineRule="auto"/>
                    <w:ind w:firstLine="0" w:firstLineChars="0"/>
                    <w:rPr>
                      <w:rFonts w:ascii="Times New Roman" w:hAnsi="Times New Roman" w:eastAsia="宋体" w:cs="宋体"/>
                      <w:color w:val="auto"/>
                      <w:kern w:val="2"/>
                      <w:sz w:val="18"/>
                      <w:szCs w:val="18"/>
                      <w:lang w:eastAsia="zh-CN"/>
                    </w:rPr>
                  </w:pPr>
                  <w:r>
                    <w:rPr>
                      <w:rFonts w:hint="eastAsia" w:ascii="Times New Roman" w:hAnsi="Times New Roman" w:eastAsia="宋体" w:cs="宋体"/>
                      <w:color w:val="auto"/>
                      <w:kern w:val="2"/>
                      <w:sz w:val="18"/>
                      <w:szCs w:val="18"/>
                      <w:lang w:eastAsia="zh-CN"/>
                    </w:rPr>
                    <w:t>影响识别</w:t>
                  </w:r>
                </w:p>
              </w:tc>
              <w:tc>
                <w:tcPr>
                  <w:tcW w:w="992" w:type="dxa"/>
                  <w:vAlign w:val="center"/>
                </w:tcPr>
                <w:p>
                  <w:pPr>
                    <w:pStyle w:val="109"/>
                    <w:spacing w:line="240" w:lineRule="auto"/>
                    <w:ind w:firstLine="0" w:firstLineChars="0"/>
                    <w:rPr>
                      <w:rFonts w:ascii="Times New Roman" w:hAnsi="Times New Roman" w:eastAsia="宋体" w:cs="宋体"/>
                      <w:color w:val="auto"/>
                      <w:kern w:val="2"/>
                      <w:sz w:val="18"/>
                      <w:szCs w:val="18"/>
                    </w:rPr>
                  </w:pPr>
                  <w:r>
                    <w:rPr>
                      <w:rFonts w:hint="eastAsia" w:ascii="Times New Roman" w:hAnsi="Times New Roman" w:eastAsia="宋体" w:cs="宋体"/>
                      <w:color w:val="auto"/>
                      <w:sz w:val="18"/>
                      <w:szCs w:val="18"/>
                    </w:rPr>
                    <w:t>影响类型</w:t>
                  </w:r>
                </w:p>
              </w:tc>
              <w:tc>
                <w:tcPr>
                  <w:tcW w:w="4297" w:type="dxa"/>
                  <w:gridSpan w:val="6"/>
                  <w:vAlign w:val="center"/>
                </w:tcPr>
                <w:p>
                  <w:pPr>
                    <w:pStyle w:val="109"/>
                    <w:spacing w:line="240" w:lineRule="auto"/>
                    <w:ind w:firstLine="0" w:firstLineChars="0"/>
                    <w:rPr>
                      <w:rFonts w:ascii="Times New Roman" w:hAnsi="Times New Roman" w:eastAsia="宋体" w:cs="宋体"/>
                      <w:color w:val="auto"/>
                      <w:kern w:val="2"/>
                      <w:sz w:val="18"/>
                      <w:szCs w:val="18"/>
                    </w:rPr>
                  </w:pPr>
                  <w:r>
                    <w:rPr>
                      <w:rFonts w:hint="eastAsia" w:ascii="Times New Roman" w:hAnsi="Times New Roman" w:eastAsia="宋体" w:cs="宋体"/>
                      <w:color w:val="auto"/>
                      <w:sz w:val="18"/>
                      <w:szCs w:val="18"/>
                    </w:rPr>
                    <w:t>水污染影响型</w:t>
                  </w:r>
                  <w:r>
                    <w:rPr>
                      <w:rFonts w:hint="eastAsia" w:ascii="Times New Roman" w:hAnsi="Times New Roman" w:eastAsia="宋体" w:cs="宋体"/>
                      <w:color w:val="auto"/>
                      <w:sz w:val="18"/>
                      <w:szCs w:val="18"/>
                      <w:lang w:eastAsia="zh-CN"/>
                    </w:rPr>
                    <w:t>☑</w:t>
                  </w:r>
                </w:p>
              </w:tc>
              <w:tc>
                <w:tcPr>
                  <w:tcW w:w="3169" w:type="dxa"/>
                  <w:gridSpan w:val="7"/>
                  <w:vAlign w:val="center"/>
                </w:tcPr>
                <w:p>
                  <w:pPr>
                    <w:pStyle w:val="109"/>
                    <w:spacing w:line="240" w:lineRule="auto"/>
                    <w:ind w:firstLine="0" w:firstLineChars="0"/>
                    <w:rPr>
                      <w:rFonts w:ascii="Times New Roman" w:hAnsi="Times New Roman" w:eastAsia="宋体" w:cs="宋体"/>
                      <w:color w:val="auto"/>
                      <w:kern w:val="2"/>
                      <w:sz w:val="18"/>
                      <w:szCs w:val="18"/>
                    </w:rPr>
                  </w:pPr>
                  <w:r>
                    <w:rPr>
                      <w:rFonts w:hint="eastAsia" w:ascii="Times New Roman" w:hAnsi="Times New Roman" w:eastAsia="宋体" w:cs="宋体"/>
                      <w:color w:val="auto"/>
                      <w:sz w:val="18"/>
                      <w:szCs w:val="18"/>
                    </w:rPr>
                    <w:t>水文要素影响型</w:t>
                  </w:r>
                  <w:r>
                    <w:rPr>
                      <w:rFonts w:hint="eastAsia" w:ascii="Times New Roman" w:hAnsi="Times New Roman" w:eastAsia="宋体" w:cs="宋体"/>
                      <w:color w:val="auto"/>
                      <w:sz w:val="18"/>
                      <w:szCs w:val="18"/>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kern w:val="2"/>
                      <w:sz w:val="18"/>
                      <w:szCs w:val="18"/>
                      <w:lang w:eastAsia="zh-CN"/>
                    </w:rPr>
                  </w:pPr>
                </w:p>
              </w:tc>
              <w:tc>
                <w:tcPr>
                  <w:tcW w:w="992" w:type="dxa"/>
                  <w:vAlign w:val="center"/>
                </w:tcPr>
                <w:p>
                  <w:pPr>
                    <w:pStyle w:val="109"/>
                    <w:spacing w:line="240" w:lineRule="auto"/>
                    <w:ind w:firstLine="0" w:firstLineChars="0"/>
                    <w:rPr>
                      <w:rFonts w:ascii="Times New Roman" w:hAnsi="Times New Roman" w:eastAsia="宋体" w:cs="宋体"/>
                      <w:color w:val="auto"/>
                      <w:kern w:val="2"/>
                      <w:sz w:val="18"/>
                      <w:szCs w:val="18"/>
                    </w:rPr>
                  </w:pPr>
                  <w:r>
                    <w:rPr>
                      <w:rFonts w:hint="eastAsia" w:ascii="Times New Roman" w:hAnsi="Times New Roman" w:eastAsia="宋体" w:cs="宋体"/>
                      <w:color w:val="auto"/>
                      <w:sz w:val="18"/>
                      <w:szCs w:val="18"/>
                    </w:rPr>
                    <w:t>水环境保护目标</w:t>
                  </w:r>
                </w:p>
              </w:tc>
              <w:tc>
                <w:tcPr>
                  <w:tcW w:w="7466" w:type="dxa"/>
                  <w:gridSpan w:val="13"/>
                  <w:vAlign w:val="center"/>
                </w:tcPr>
                <w:p>
                  <w:pPr>
                    <w:pStyle w:val="109"/>
                    <w:spacing w:line="240" w:lineRule="auto"/>
                    <w:ind w:firstLine="0" w:firstLineChars="0"/>
                    <w:rPr>
                      <w:rFonts w:ascii="Times New Roman" w:hAnsi="Times New Roman" w:eastAsia="宋体" w:cs="宋体"/>
                      <w:color w:val="auto"/>
                      <w:kern w:val="2"/>
                      <w:sz w:val="18"/>
                      <w:szCs w:val="18"/>
                      <w:lang w:eastAsia="zh-CN"/>
                    </w:rPr>
                  </w:pPr>
                  <w:r>
                    <w:rPr>
                      <w:rFonts w:hint="eastAsia" w:ascii="Times New Roman" w:hAnsi="Times New Roman" w:eastAsia="宋体" w:cs="宋体"/>
                      <w:color w:val="auto"/>
                      <w:sz w:val="18"/>
                      <w:szCs w:val="18"/>
                      <w:lang w:eastAsia="zh-CN"/>
                    </w:rPr>
                    <w:t>饮用水水源保护区□；饮用水取水口□；涉水的自然保护区□；重要湿地□；重点保护与珍稀水生生物的栖息地□；重要水生生物的自然产卵场及索饵场、越冬场和洄游通道、天然渔场等渔业水体□；涉水的风景名胜区□；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50"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kern w:val="2"/>
                      <w:sz w:val="18"/>
                      <w:szCs w:val="18"/>
                      <w:lang w:eastAsia="zh-CN"/>
                    </w:rPr>
                  </w:pPr>
                </w:p>
              </w:tc>
              <w:tc>
                <w:tcPr>
                  <w:tcW w:w="992" w:type="dxa"/>
                  <w:vMerge w:val="restart"/>
                  <w:vAlign w:val="center"/>
                </w:tcPr>
                <w:p>
                  <w:pPr>
                    <w:pStyle w:val="109"/>
                    <w:spacing w:line="240" w:lineRule="auto"/>
                    <w:ind w:firstLine="0" w:firstLineChars="0"/>
                    <w:rPr>
                      <w:rFonts w:ascii="Times New Roman" w:hAnsi="Times New Roman" w:eastAsia="宋体" w:cs="宋体"/>
                      <w:color w:val="auto"/>
                      <w:kern w:val="2"/>
                      <w:sz w:val="18"/>
                      <w:szCs w:val="18"/>
                    </w:rPr>
                  </w:pPr>
                  <w:r>
                    <w:rPr>
                      <w:rFonts w:hint="eastAsia" w:ascii="Times New Roman" w:hAnsi="Times New Roman" w:eastAsia="宋体" w:cs="宋体"/>
                      <w:color w:val="auto"/>
                      <w:sz w:val="18"/>
                      <w:szCs w:val="18"/>
                    </w:rPr>
                    <w:t>影响途径</w:t>
                  </w:r>
                </w:p>
              </w:tc>
              <w:tc>
                <w:tcPr>
                  <w:tcW w:w="4297" w:type="dxa"/>
                  <w:gridSpan w:val="6"/>
                  <w:vAlign w:val="center"/>
                </w:tcPr>
                <w:p>
                  <w:pPr>
                    <w:pStyle w:val="109"/>
                    <w:spacing w:line="240" w:lineRule="auto"/>
                    <w:ind w:firstLine="0" w:firstLineChars="0"/>
                    <w:rPr>
                      <w:rFonts w:ascii="Times New Roman" w:hAnsi="Times New Roman" w:eastAsia="宋体" w:cs="宋体"/>
                      <w:color w:val="auto"/>
                      <w:kern w:val="2"/>
                      <w:sz w:val="18"/>
                      <w:szCs w:val="18"/>
                    </w:rPr>
                  </w:pPr>
                  <w:r>
                    <w:rPr>
                      <w:rFonts w:hint="eastAsia" w:ascii="Times New Roman" w:hAnsi="Times New Roman" w:eastAsia="宋体" w:cs="宋体"/>
                      <w:color w:val="auto"/>
                      <w:sz w:val="18"/>
                      <w:szCs w:val="18"/>
                    </w:rPr>
                    <w:t>水污染影响型</w:t>
                  </w:r>
                </w:p>
              </w:tc>
              <w:tc>
                <w:tcPr>
                  <w:tcW w:w="3169" w:type="dxa"/>
                  <w:gridSpan w:val="7"/>
                  <w:vAlign w:val="center"/>
                </w:tcPr>
                <w:p>
                  <w:pPr>
                    <w:pStyle w:val="109"/>
                    <w:spacing w:line="240" w:lineRule="auto"/>
                    <w:ind w:firstLine="0" w:firstLineChars="0"/>
                    <w:rPr>
                      <w:rFonts w:ascii="Times New Roman" w:hAnsi="Times New Roman" w:eastAsia="宋体" w:cs="宋体"/>
                      <w:color w:val="auto"/>
                      <w:kern w:val="2"/>
                      <w:sz w:val="18"/>
                      <w:szCs w:val="18"/>
                    </w:rPr>
                  </w:pPr>
                  <w:r>
                    <w:rPr>
                      <w:rFonts w:hint="eastAsia" w:ascii="Times New Roman" w:hAnsi="Times New Roman" w:eastAsia="宋体" w:cs="宋体"/>
                      <w:color w:val="auto"/>
                      <w:sz w:val="18"/>
                      <w:szCs w:val="18"/>
                    </w:rPr>
                    <w:t>水文要素影响型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34"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rPr>
                  </w:pPr>
                </w:p>
              </w:tc>
              <w:tc>
                <w:tcPr>
                  <w:tcW w:w="992" w:type="dxa"/>
                  <w:vMerge w:val="continue"/>
                  <w:vAlign w:val="center"/>
                </w:tcPr>
                <w:p>
                  <w:pPr>
                    <w:pStyle w:val="109"/>
                    <w:spacing w:line="240" w:lineRule="auto"/>
                    <w:ind w:firstLine="0" w:firstLineChars="0"/>
                    <w:rPr>
                      <w:rFonts w:ascii="Times New Roman" w:hAnsi="Times New Roman" w:eastAsia="宋体" w:cs="宋体"/>
                      <w:color w:val="auto"/>
                      <w:sz w:val="18"/>
                      <w:szCs w:val="18"/>
                    </w:rPr>
                  </w:pPr>
                </w:p>
              </w:tc>
              <w:tc>
                <w:tcPr>
                  <w:tcW w:w="4297" w:type="dxa"/>
                  <w:gridSpan w:val="6"/>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直接排放□；间接排放☑；其他□</w:t>
                  </w:r>
                </w:p>
              </w:tc>
              <w:tc>
                <w:tcPr>
                  <w:tcW w:w="3169" w:type="dxa"/>
                  <w:gridSpan w:val="7"/>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水温□；径流□；水域面积□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kern w:val="2"/>
                      <w:sz w:val="18"/>
                      <w:szCs w:val="18"/>
                      <w:lang w:eastAsia="zh-CN"/>
                    </w:rPr>
                  </w:pPr>
                </w:p>
              </w:tc>
              <w:tc>
                <w:tcPr>
                  <w:tcW w:w="992" w:type="dxa"/>
                  <w:vAlign w:val="center"/>
                </w:tcPr>
                <w:p>
                  <w:pPr>
                    <w:pStyle w:val="109"/>
                    <w:spacing w:line="240" w:lineRule="auto"/>
                    <w:ind w:firstLine="0" w:firstLineChars="0"/>
                    <w:rPr>
                      <w:rFonts w:ascii="Times New Roman" w:hAnsi="Times New Roman" w:eastAsia="宋体" w:cs="宋体"/>
                      <w:color w:val="auto"/>
                      <w:kern w:val="2"/>
                      <w:sz w:val="18"/>
                      <w:szCs w:val="18"/>
                    </w:rPr>
                  </w:pPr>
                  <w:r>
                    <w:rPr>
                      <w:rFonts w:hint="eastAsia" w:ascii="Times New Roman" w:hAnsi="Times New Roman" w:eastAsia="宋体" w:cs="宋体"/>
                      <w:color w:val="auto"/>
                      <w:sz w:val="18"/>
                      <w:szCs w:val="18"/>
                    </w:rPr>
                    <w:t>影响因子</w:t>
                  </w:r>
                </w:p>
              </w:tc>
              <w:tc>
                <w:tcPr>
                  <w:tcW w:w="4297" w:type="dxa"/>
                  <w:gridSpan w:val="6"/>
                  <w:vAlign w:val="center"/>
                </w:tcPr>
                <w:p>
                  <w:pPr>
                    <w:pStyle w:val="109"/>
                    <w:spacing w:line="240" w:lineRule="auto"/>
                    <w:ind w:firstLine="0" w:firstLineChars="0"/>
                    <w:rPr>
                      <w:rFonts w:ascii="Times New Roman" w:hAnsi="Times New Roman" w:eastAsia="宋体" w:cs="宋体"/>
                      <w:color w:val="auto"/>
                      <w:kern w:val="2"/>
                      <w:sz w:val="18"/>
                      <w:szCs w:val="18"/>
                      <w:lang w:eastAsia="zh-CN"/>
                    </w:rPr>
                  </w:pPr>
                  <w:r>
                    <w:rPr>
                      <w:rFonts w:hint="eastAsia" w:ascii="Times New Roman" w:hAnsi="Times New Roman" w:eastAsia="宋体" w:cs="宋体"/>
                      <w:color w:val="auto"/>
                      <w:sz w:val="18"/>
                      <w:szCs w:val="18"/>
                      <w:lang w:eastAsia="zh-CN"/>
                    </w:rPr>
                    <w:t>持久性污染物□；有毒有害污染物□；非持久性污染物☑；PH值□；热污染□；富营养化□；其他□</w:t>
                  </w:r>
                </w:p>
              </w:tc>
              <w:tc>
                <w:tcPr>
                  <w:tcW w:w="3169" w:type="dxa"/>
                  <w:gridSpan w:val="7"/>
                  <w:vAlign w:val="center"/>
                </w:tcPr>
                <w:p>
                  <w:pPr>
                    <w:pStyle w:val="109"/>
                    <w:spacing w:line="240" w:lineRule="auto"/>
                    <w:ind w:firstLine="0" w:firstLineChars="0"/>
                    <w:rPr>
                      <w:rFonts w:ascii="Times New Roman" w:hAnsi="Times New Roman" w:eastAsia="宋体" w:cs="宋体"/>
                      <w:color w:val="auto"/>
                      <w:kern w:val="2"/>
                      <w:sz w:val="18"/>
                      <w:szCs w:val="18"/>
                      <w:lang w:eastAsia="zh-CN"/>
                    </w:rPr>
                  </w:pPr>
                  <w:r>
                    <w:rPr>
                      <w:rFonts w:hint="eastAsia" w:ascii="Times New Roman" w:hAnsi="Times New Roman" w:eastAsia="宋体" w:cs="宋体"/>
                      <w:color w:val="auto"/>
                      <w:sz w:val="18"/>
                      <w:szCs w:val="18"/>
                      <w:lang w:eastAsia="zh-CN"/>
                    </w:rPr>
                    <w:t>水温□；水位（水深）□；流速□；流量□；其他□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1335" w:type="dxa"/>
                  <w:gridSpan w:val="2"/>
                  <w:vMerge w:val="restart"/>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评价等级</w:t>
                  </w:r>
                </w:p>
              </w:tc>
              <w:tc>
                <w:tcPr>
                  <w:tcW w:w="4297" w:type="dxa"/>
                  <w:gridSpan w:val="6"/>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水污染影响型</w:t>
                  </w:r>
                </w:p>
              </w:tc>
              <w:tc>
                <w:tcPr>
                  <w:tcW w:w="3169" w:type="dxa"/>
                  <w:gridSpan w:val="7"/>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水文要素影响型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1335" w:type="dxa"/>
                  <w:gridSpan w:val="2"/>
                  <w:vMerge w:val="continue"/>
                  <w:vAlign w:val="center"/>
                </w:tcPr>
                <w:p>
                  <w:pPr>
                    <w:pStyle w:val="109"/>
                    <w:spacing w:line="240" w:lineRule="auto"/>
                    <w:ind w:firstLine="0" w:firstLineChars="0"/>
                    <w:rPr>
                      <w:rFonts w:ascii="Times New Roman" w:hAnsi="Times New Roman" w:eastAsia="宋体" w:cs="宋体"/>
                      <w:color w:val="auto"/>
                      <w:sz w:val="18"/>
                      <w:szCs w:val="18"/>
                    </w:rPr>
                  </w:pPr>
                </w:p>
              </w:tc>
              <w:tc>
                <w:tcPr>
                  <w:tcW w:w="4297" w:type="dxa"/>
                  <w:gridSpan w:val="6"/>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 xml:space="preserve">一级□；二级□；三级 A □；三级 B </w:t>
                  </w:r>
                  <w:r>
                    <w:rPr>
                      <w:rFonts w:hint="eastAsia" w:ascii="Times New Roman" w:hAnsi="Times New Roman" w:eastAsia="宋体" w:cs="宋体"/>
                      <w:color w:val="auto"/>
                      <w:sz w:val="18"/>
                      <w:szCs w:val="18"/>
                      <w:lang w:eastAsia="zh-CN"/>
                    </w:rPr>
                    <w:t>☑</w:t>
                  </w:r>
                  <w:r>
                    <w:rPr>
                      <w:rFonts w:hint="eastAsia" w:ascii="Times New Roman" w:hAnsi="Times New Roman" w:eastAsia="宋体" w:cs="宋体"/>
                      <w:color w:val="auto"/>
                      <w:sz w:val="18"/>
                      <w:szCs w:val="18"/>
                    </w:rPr>
                    <w:t></w:t>
                  </w:r>
                </w:p>
              </w:tc>
              <w:tc>
                <w:tcPr>
                  <w:tcW w:w="3169" w:type="dxa"/>
                  <w:gridSpan w:val="7"/>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一级□；二级□；三级□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16" w:hRule="atLeast"/>
              </w:trPr>
              <w:tc>
                <w:tcPr>
                  <w:tcW w:w="343" w:type="dxa"/>
                  <w:vMerge w:val="restart"/>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现状调查</w:t>
                  </w:r>
                </w:p>
              </w:tc>
              <w:tc>
                <w:tcPr>
                  <w:tcW w:w="992" w:type="dxa"/>
                  <w:vMerge w:val="restart"/>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区域污染源</w:t>
                  </w:r>
                </w:p>
              </w:tc>
              <w:tc>
                <w:tcPr>
                  <w:tcW w:w="4297" w:type="dxa"/>
                  <w:gridSpan w:val="6"/>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调查项目</w:t>
                  </w:r>
                </w:p>
              </w:tc>
              <w:tc>
                <w:tcPr>
                  <w:tcW w:w="3169" w:type="dxa"/>
                  <w:gridSpan w:val="7"/>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数据来源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16"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rPr>
                  </w:pPr>
                </w:p>
              </w:tc>
              <w:tc>
                <w:tcPr>
                  <w:tcW w:w="992" w:type="dxa"/>
                  <w:vMerge w:val="continue"/>
                  <w:vAlign w:val="center"/>
                </w:tcPr>
                <w:p>
                  <w:pPr>
                    <w:pStyle w:val="109"/>
                    <w:spacing w:line="240" w:lineRule="auto"/>
                    <w:ind w:firstLine="0" w:firstLineChars="0"/>
                    <w:rPr>
                      <w:rFonts w:ascii="Times New Roman" w:hAnsi="Times New Roman" w:eastAsia="宋体" w:cs="宋体"/>
                      <w:color w:val="auto"/>
                      <w:sz w:val="18"/>
                      <w:szCs w:val="18"/>
                    </w:rPr>
                  </w:pPr>
                </w:p>
              </w:tc>
              <w:tc>
                <w:tcPr>
                  <w:tcW w:w="2699" w:type="dxa"/>
                  <w:gridSpan w:val="2"/>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已建□；在建□</w:t>
                  </w:r>
                </w:p>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拟建□；其他□</w:t>
                  </w:r>
                </w:p>
              </w:tc>
              <w:tc>
                <w:tcPr>
                  <w:tcW w:w="1598" w:type="dxa"/>
                  <w:gridSpan w:val="4"/>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拟替代的污染源□</w:t>
                  </w:r>
                </w:p>
              </w:tc>
              <w:tc>
                <w:tcPr>
                  <w:tcW w:w="3169" w:type="dxa"/>
                  <w:gridSpan w:val="7"/>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排污许可证□；环评□；环保验收□；既有实测□；现场监测□；入河排放口数据□；其他□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16"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lang w:eastAsia="zh-CN"/>
                    </w:rPr>
                  </w:pPr>
                </w:p>
              </w:tc>
              <w:tc>
                <w:tcPr>
                  <w:tcW w:w="992" w:type="dxa"/>
                  <w:vMerge w:val="restart"/>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受影响水体水环境质量</w:t>
                  </w:r>
                </w:p>
              </w:tc>
              <w:tc>
                <w:tcPr>
                  <w:tcW w:w="4297" w:type="dxa"/>
                  <w:gridSpan w:val="6"/>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调查时期</w:t>
                  </w:r>
                </w:p>
              </w:tc>
              <w:tc>
                <w:tcPr>
                  <w:tcW w:w="3169" w:type="dxa"/>
                  <w:gridSpan w:val="7"/>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数据来源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16"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rPr>
                  </w:pPr>
                </w:p>
              </w:tc>
              <w:tc>
                <w:tcPr>
                  <w:tcW w:w="992" w:type="dxa"/>
                  <w:vMerge w:val="continue"/>
                  <w:vAlign w:val="center"/>
                </w:tcPr>
                <w:p>
                  <w:pPr>
                    <w:pStyle w:val="109"/>
                    <w:spacing w:line="240" w:lineRule="auto"/>
                    <w:ind w:firstLine="0" w:firstLineChars="0"/>
                    <w:rPr>
                      <w:rFonts w:ascii="Times New Roman" w:hAnsi="Times New Roman" w:eastAsia="宋体" w:cs="宋体"/>
                      <w:color w:val="auto"/>
                      <w:sz w:val="18"/>
                      <w:szCs w:val="18"/>
                    </w:rPr>
                  </w:pPr>
                </w:p>
              </w:tc>
              <w:tc>
                <w:tcPr>
                  <w:tcW w:w="4297" w:type="dxa"/>
                  <w:gridSpan w:val="6"/>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丰水期□；平水期□；枯水期□；冰封期□春季□；夏季□；秋季□；冬季□</w:t>
                  </w:r>
                </w:p>
              </w:tc>
              <w:tc>
                <w:tcPr>
                  <w:tcW w:w="3169" w:type="dxa"/>
                  <w:gridSpan w:val="7"/>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生态环境保护主管部门□；补充监测□；其他□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16"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lang w:eastAsia="zh-CN"/>
                    </w:rPr>
                  </w:pPr>
                </w:p>
              </w:tc>
              <w:tc>
                <w:tcPr>
                  <w:tcW w:w="992" w:type="dxa"/>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区域水资源开发利用状况</w:t>
                  </w:r>
                </w:p>
              </w:tc>
              <w:tc>
                <w:tcPr>
                  <w:tcW w:w="7466" w:type="dxa"/>
                  <w:gridSpan w:val="13"/>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未开发□；开发量40%以下□；开发量40%以上□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16"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lang w:eastAsia="zh-CN"/>
                    </w:rPr>
                  </w:pPr>
                </w:p>
              </w:tc>
              <w:tc>
                <w:tcPr>
                  <w:tcW w:w="992" w:type="dxa"/>
                  <w:vMerge w:val="restart"/>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水文情势调查</w:t>
                  </w:r>
                </w:p>
              </w:tc>
              <w:tc>
                <w:tcPr>
                  <w:tcW w:w="4297" w:type="dxa"/>
                  <w:gridSpan w:val="6"/>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调查时期</w:t>
                  </w:r>
                </w:p>
              </w:tc>
              <w:tc>
                <w:tcPr>
                  <w:tcW w:w="3169" w:type="dxa"/>
                  <w:gridSpan w:val="7"/>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数据来源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16"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rPr>
                  </w:pPr>
                </w:p>
              </w:tc>
              <w:tc>
                <w:tcPr>
                  <w:tcW w:w="992" w:type="dxa"/>
                  <w:vMerge w:val="continue"/>
                  <w:vAlign w:val="center"/>
                </w:tcPr>
                <w:p>
                  <w:pPr>
                    <w:pStyle w:val="109"/>
                    <w:spacing w:line="240" w:lineRule="auto"/>
                    <w:ind w:firstLine="0" w:firstLineChars="0"/>
                    <w:rPr>
                      <w:rFonts w:ascii="Times New Roman" w:hAnsi="Times New Roman" w:eastAsia="宋体" w:cs="宋体"/>
                      <w:color w:val="auto"/>
                      <w:sz w:val="18"/>
                      <w:szCs w:val="18"/>
                    </w:rPr>
                  </w:pPr>
                </w:p>
              </w:tc>
              <w:tc>
                <w:tcPr>
                  <w:tcW w:w="4297" w:type="dxa"/>
                  <w:gridSpan w:val="6"/>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丰水期□；平水期□；枯水期□；冰封期□春季□；夏季□；秋季□；冬季□</w:t>
                  </w:r>
                </w:p>
              </w:tc>
              <w:tc>
                <w:tcPr>
                  <w:tcW w:w="3169" w:type="dxa"/>
                  <w:gridSpan w:val="7"/>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水行政主管部门□；补充监测□；其他□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16"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lang w:eastAsia="zh-CN"/>
                    </w:rPr>
                  </w:pPr>
                </w:p>
              </w:tc>
              <w:tc>
                <w:tcPr>
                  <w:tcW w:w="992" w:type="dxa"/>
                  <w:vMerge w:val="restart"/>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补充监测</w:t>
                  </w:r>
                </w:p>
              </w:tc>
              <w:tc>
                <w:tcPr>
                  <w:tcW w:w="4297" w:type="dxa"/>
                  <w:gridSpan w:val="6"/>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监测时期</w:t>
                  </w:r>
                </w:p>
              </w:tc>
              <w:tc>
                <w:tcPr>
                  <w:tcW w:w="1584" w:type="dxa"/>
                  <w:gridSpan w:val="3"/>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监测因子</w:t>
                  </w:r>
                </w:p>
              </w:tc>
              <w:tc>
                <w:tcPr>
                  <w:tcW w:w="1585" w:type="dxa"/>
                  <w:gridSpan w:val="4"/>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监测断面或点位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rPr>
                  </w:pPr>
                </w:p>
              </w:tc>
              <w:tc>
                <w:tcPr>
                  <w:tcW w:w="992" w:type="dxa"/>
                  <w:vMerge w:val="continue"/>
                  <w:vAlign w:val="center"/>
                </w:tcPr>
                <w:p>
                  <w:pPr>
                    <w:pStyle w:val="109"/>
                    <w:spacing w:line="240" w:lineRule="auto"/>
                    <w:ind w:firstLine="0" w:firstLineChars="0"/>
                    <w:rPr>
                      <w:rFonts w:ascii="Times New Roman" w:hAnsi="Times New Roman" w:eastAsia="宋体" w:cs="宋体"/>
                      <w:color w:val="auto"/>
                      <w:sz w:val="18"/>
                      <w:szCs w:val="18"/>
                    </w:rPr>
                  </w:pPr>
                </w:p>
              </w:tc>
              <w:tc>
                <w:tcPr>
                  <w:tcW w:w="4297" w:type="dxa"/>
                  <w:gridSpan w:val="6"/>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丰水期□；平水期□；枯水期□；冰封期□春季□；夏季□；秋季□；冬季□</w:t>
                  </w:r>
                </w:p>
              </w:tc>
              <w:tc>
                <w:tcPr>
                  <w:tcW w:w="1584" w:type="dxa"/>
                  <w:gridSpan w:val="3"/>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w:t>
                  </w:r>
                </w:p>
              </w:tc>
              <w:tc>
                <w:tcPr>
                  <w:tcW w:w="1585" w:type="dxa"/>
                  <w:gridSpan w:val="4"/>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监测断面或点位个数（）个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343" w:type="dxa"/>
                  <w:vMerge w:val="restart"/>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现状评价</w:t>
                  </w:r>
                </w:p>
              </w:tc>
              <w:tc>
                <w:tcPr>
                  <w:tcW w:w="992" w:type="dxa"/>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评价范围</w:t>
                  </w:r>
                </w:p>
              </w:tc>
              <w:tc>
                <w:tcPr>
                  <w:tcW w:w="7466" w:type="dxa"/>
                  <w:gridSpan w:val="13"/>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河流：长度（）km；湖库、河口及近岸海域：面积（）km</w:t>
                  </w:r>
                  <w:r>
                    <w:rPr>
                      <w:rFonts w:hint="eastAsia" w:ascii="Times New Roman" w:hAnsi="Times New Roman" w:eastAsia="宋体" w:cs="宋体"/>
                      <w:color w:val="auto"/>
                      <w:sz w:val="18"/>
                      <w:szCs w:val="18"/>
                      <w:vertAlign w:val="superscript"/>
                      <w:lang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lang w:eastAsia="zh-CN"/>
                    </w:rPr>
                  </w:pPr>
                </w:p>
              </w:tc>
              <w:tc>
                <w:tcPr>
                  <w:tcW w:w="992" w:type="dxa"/>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评价因子</w:t>
                  </w:r>
                </w:p>
              </w:tc>
              <w:tc>
                <w:tcPr>
                  <w:tcW w:w="7466" w:type="dxa"/>
                  <w:gridSpan w:val="13"/>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rPr>
                  </w:pPr>
                </w:p>
              </w:tc>
              <w:tc>
                <w:tcPr>
                  <w:tcW w:w="992" w:type="dxa"/>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评价标准</w:t>
                  </w:r>
                </w:p>
              </w:tc>
              <w:tc>
                <w:tcPr>
                  <w:tcW w:w="7466" w:type="dxa"/>
                  <w:gridSpan w:val="13"/>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河流、湖库、河口：Ⅰ类□；Ⅱ类□；Ⅲ类□；Ⅳ类□；Ⅴ类□近岸海域：第一类□；第二类□；第三类□；第四类□规划年评价标准（）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lang w:eastAsia="zh-CN"/>
                    </w:rPr>
                  </w:pPr>
                </w:p>
              </w:tc>
              <w:tc>
                <w:tcPr>
                  <w:tcW w:w="992" w:type="dxa"/>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评价时期</w:t>
                  </w:r>
                </w:p>
              </w:tc>
              <w:tc>
                <w:tcPr>
                  <w:tcW w:w="7466" w:type="dxa"/>
                  <w:gridSpan w:val="13"/>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丰水期□；平水期□；枯水期□；冰封期□；春季□；夏季□；秋季□；冬季□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rPr>
                  </w:pPr>
                </w:p>
              </w:tc>
              <w:tc>
                <w:tcPr>
                  <w:tcW w:w="992" w:type="dxa"/>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评价结论</w:t>
                  </w:r>
                </w:p>
              </w:tc>
              <w:tc>
                <w:tcPr>
                  <w:tcW w:w="6727" w:type="dxa"/>
                  <w:gridSpan w:val="12"/>
                  <w:vAlign w:val="center"/>
                </w:tcPr>
                <w:p>
                  <w:pPr>
                    <w:pStyle w:val="109"/>
                    <w:spacing w:line="240" w:lineRule="auto"/>
                    <w:ind w:firstLine="0" w:firstLineChars="0"/>
                    <w:jc w:val="left"/>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水环境功能区或水功能区、近岸海域环境功能区水质达标状况☑：达标□；不达标☑水环境控制单元或断面水质达标状况□：达标□；不达标□</w:t>
                  </w:r>
                </w:p>
                <w:p>
                  <w:pPr>
                    <w:pStyle w:val="109"/>
                    <w:spacing w:line="240" w:lineRule="auto"/>
                    <w:ind w:firstLine="0" w:firstLineChars="0"/>
                    <w:jc w:val="left"/>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水环境保护目标质量状况□：达标□；不达标□</w:t>
                  </w:r>
                </w:p>
                <w:p>
                  <w:pPr>
                    <w:pStyle w:val="109"/>
                    <w:spacing w:line="240" w:lineRule="auto"/>
                    <w:ind w:firstLine="0" w:firstLineChars="0"/>
                    <w:jc w:val="left"/>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对照断面、控制断面等代表性断面的水质状况□：达标□；不达标□</w:t>
                  </w:r>
                </w:p>
                <w:p>
                  <w:pPr>
                    <w:pStyle w:val="109"/>
                    <w:spacing w:line="240" w:lineRule="auto"/>
                    <w:ind w:firstLine="0" w:firstLineChars="0"/>
                    <w:jc w:val="left"/>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底泥污染评价□</w:t>
                  </w:r>
                </w:p>
                <w:p>
                  <w:pPr>
                    <w:pStyle w:val="109"/>
                    <w:spacing w:line="240" w:lineRule="auto"/>
                    <w:ind w:firstLine="0" w:firstLineChars="0"/>
                    <w:jc w:val="left"/>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水资源与开发利用程度及其水文情势评价□</w:t>
                  </w:r>
                </w:p>
                <w:p>
                  <w:pPr>
                    <w:pStyle w:val="109"/>
                    <w:spacing w:line="240" w:lineRule="auto"/>
                    <w:ind w:firstLine="0" w:firstLineChars="0"/>
                    <w:jc w:val="left"/>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水环境质量回顾评价□</w:t>
                  </w:r>
                </w:p>
                <w:p>
                  <w:pPr>
                    <w:pStyle w:val="109"/>
                    <w:spacing w:line="240" w:lineRule="auto"/>
                    <w:ind w:firstLine="0" w:firstLineChars="0"/>
                    <w:jc w:val="left"/>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流域（区域）水资源（包括水能资源）与开发利用总体状况、生态流量管理要求与现状满足程度、建设项目占用水域空间的水流状况与河湖演变状况□</w:t>
                  </w:r>
                </w:p>
              </w:tc>
              <w:tc>
                <w:tcPr>
                  <w:tcW w:w="739" w:type="dxa"/>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rPr>
                    <w:t>达标区□不达标区</w:t>
                  </w:r>
                  <w:r>
                    <w:rPr>
                      <w:rFonts w:hint="eastAsia" w:ascii="Times New Roman" w:hAnsi="Times New Roman" w:eastAsia="宋体" w:cs="宋体"/>
                      <w:color w:val="auto"/>
                      <w:sz w:val="18"/>
                      <w:szCs w:val="18"/>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343" w:type="dxa"/>
                  <w:vMerge w:val="restart"/>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影响预测</w:t>
                  </w:r>
                </w:p>
              </w:tc>
              <w:tc>
                <w:tcPr>
                  <w:tcW w:w="992" w:type="dxa"/>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预测范围</w:t>
                  </w:r>
                </w:p>
              </w:tc>
              <w:tc>
                <w:tcPr>
                  <w:tcW w:w="7466" w:type="dxa"/>
                  <w:gridSpan w:val="13"/>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河流：长度（）km；湖库、河口及近岸海域：面积（）km</w:t>
                  </w:r>
                  <w:r>
                    <w:rPr>
                      <w:rFonts w:hint="eastAsia" w:ascii="Times New Roman" w:hAnsi="Times New Roman" w:eastAsia="宋体" w:cs="宋体"/>
                      <w:color w:val="auto"/>
                      <w:sz w:val="18"/>
                      <w:szCs w:val="18"/>
                      <w:vertAlign w:val="superscript"/>
                      <w:lang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lang w:eastAsia="zh-CN"/>
                    </w:rPr>
                  </w:pPr>
                </w:p>
              </w:tc>
              <w:tc>
                <w:tcPr>
                  <w:tcW w:w="992" w:type="dxa"/>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预测因子</w:t>
                  </w:r>
                </w:p>
              </w:tc>
              <w:tc>
                <w:tcPr>
                  <w:tcW w:w="7466" w:type="dxa"/>
                  <w:gridSpan w:val="13"/>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rPr>
                  </w:pPr>
                </w:p>
              </w:tc>
              <w:tc>
                <w:tcPr>
                  <w:tcW w:w="992" w:type="dxa"/>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预测时期</w:t>
                  </w:r>
                </w:p>
              </w:tc>
              <w:tc>
                <w:tcPr>
                  <w:tcW w:w="7466" w:type="dxa"/>
                  <w:gridSpan w:val="13"/>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丰水期□；平水期□；枯水期□；冰封期□；春季□；夏季□；秋季□；冬季□；设计水文条件□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lang w:eastAsia="zh-CN"/>
                    </w:rPr>
                  </w:pPr>
                </w:p>
              </w:tc>
              <w:tc>
                <w:tcPr>
                  <w:tcW w:w="992" w:type="dxa"/>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预测情景</w:t>
                  </w:r>
                </w:p>
              </w:tc>
              <w:tc>
                <w:tcPr>
                  <w:tcW w:w="7466" w:type="dxa"/>
                  <w:gridSpan w:val="13"/>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建设期□；生产运行期□；服务期满后□</w:t>
                  </w:r>
                </w:p>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正常工况□；非正常工况□</w:t>
                  </w:r>
                </w:p>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污染控制和减缓措施方案□</w:t>
                  </w:r>
                </w:p>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区（流）域环境质量改善目标要求情景□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lang w:eastAsia="zh-CN"/>
                    </w:rPr>
                  </w:pPr>
                </w:p>
              </w:tc>
              <w:tc>
                <w:tcPr>
                  <w:tcW w:w="992" w:type="dxa"/>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预测方法</w:t>
                  </w:r>
                </w:p>
              </w:tc>
              <w:tc>
                <w:tcPr>
                  <w:tcW w:w="7466" w:type="dxa"/>
                  <w:gridSpan w:val="13"/>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数值解□：解析解□；其他□</w:t>
                  </w:r>
                </w:p>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导则推荐模式□：其他□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343" w:type="dxa"/>
                  <w:vMerge w:val="restart"/>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影响评价</w:t>
                  </w:r>
                </w:p>
              </w:tc>
              <w:tc>
                <w:tcPr>
                  <w:tcW w:w="992" w:type="dxa"/>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环境影响减缓措施有效性评价</w:t>
                  </w:r>
                </w:p>
              </w:tc>
              <w:tc>
                <w:tcPr>
                  <w:tcW w:w="7466" w:type="dxa"/>
                  <w:gridSpan w:val="13"/>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区（流）域水环境质量改善目标☑；替代削减源□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lang w:eastAsia="zh-CN"/>
                    </w:rPr>
                  </w:pPr>
                </w:p>
              </w:tc>
              <w:tc>
                <w:tcPr>
                  <w:tcW w:w="992" w:type="dxa"/>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水环境影响评价</w:t>
                  </w:r>
                </w:p>
              </w:tc>
              <w:tc>
                <w:tcPr>
                  <w:tcW w:w="7466" w:type="dxa"/>
                  <w:gridSpan w:val="13"/>
                  <w:vAlign w:val="center"/>
                </w:tcPr>
                <w:p>
                  <w:pPr>
                    <w:pStyle w:val="109"/>
                    <w:spacing w:line="240" w:lineRule="auto"/>
                    <w:ind w:firstLine="0" w:firstLineChars="0"/>
                    <w:jc w:val="left"/>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排放口混合区外满足水环境管理要求□</w:t>
                  </w:r>
                </w:p>
                <w:p>
                  <w:pPr>
                    <w:pStyle w:val="109"/>
                    <w:spacing w:line="240" w:lineRule="auto"/>
                    <w:ind w:firstLine="0" w:firstLineChars="0"/>
                    <w:jc w:val="left"/>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水环境功能区或水功能区、近岸海域环境功能区水质达标□</w:t>
                  </w:r>
                </w:p>
                <w:p>
                  <w:pPr>
                    <w:pStyle w:val="109"/>
                    <w:spacing w:line="240" w:lineRule="auto"/>
                    <w:ind w:firstLine="0" w:firstLineChars="0"/>
                    <w:jc w:val="left"/>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满足水环境保护目标水域水环境质量要求□</w:t>
                  </w:r>
                </w:p>
                <w:p>
                  <w:pPr>
                    <w:pStyle w:val="109"/>
                    <w:spacing w:line="240" w:lineRule="auto"/>
                    <w:ind w:firstLine="0" w:firstLineChars="0"/>
                    <w:jc w:val="left"/>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水环境控制单元或断面水质达标□</w:t>
                  </w:r>
                </w:p>
                <w:p>
                  <w:pPr>
                    <w:pStyle w:val="109"/>
                    <w:spacing w:line="240" w:lineRule="auto"/>
                    <w:ind w:firstLine="0" w:firstLineChars="0"/>
                    <w:jc w:val="left"/>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满足重点水污染物排放总量控制指标要求，重点行业建设项目，主要污染物排放满足等量或减量替代要求□</w:t>
                  </w:r>
                </w:p>
                <w:p>
                  <w:pPr>
                    <w:pStyle w:val="109"/>
                    <w:spacing w:line="240" w:lineRule="auto"/>
                    <w:ind w:firstLine="0" w:firstLineChars="0"/>
                    <w:jc w:val="left"/>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满足区（流）域水环境质量改善目标要求□</w:t>
                  </w:r>
                </w:p>
                <w:p>
                  <w:pPr>
                    <w:pStyle w:val="109"/>
                    <w:spacing w:line="240" w:lineRule="auto"/>
                    <w:ind w:firstLine="0" w:firstLineChars="0"/>
                    <w:jc w:val="left"/>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水文要素影响型建设项目同时应包括水文情势变化评价、主要水文特征值影响评价、生态流量符合性评价□</w:t>
                  </w:r>
                </w:p>
                <w:p>
                  <w:pPr>
                    <w:pStyle w:val="109"/>
                    <w:spacing w:line="240" w:lineRule="auto"/>
                    <w:ind w:firstLine="0" w:firstLineChars="0"/>
                    <w:jc w:val="left"/>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对于新设或调整入河（湖库、近岸海域）排放口的建设项目，应包括排放口设置的环境合理性评价□</w:t>
                  </w:r>
                </w:p>
                <w:p>
                  <w:pPr>
                    <w:pStyle w:val="109"/>
                    <w:spacing w:line="240" w:lineRule="auto"/>
                    <w:ind w:firstLine="0" w:firstLineChars="0"/>
                    <w:jc w:val="left"/>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满足生态保护红线、水环境质量底线、资源利用上线和环境准入清单管理要求☑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06"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lang w:eastAsia="zh-CN"/>
                    </w:rPr>
                  </w:pPr>
                </w:p>
              </w:tc>
              <w:tc>
                <w:tcPr>
                  <w:tcW w:w="992" w:type="dxa"/>
                  <w:vMerge w:val="restart"/>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污染源排放量核算</w:t>
                  </w:r>
                </w:p>
              </w:tc>
              <w:tc>
                <w:tcPr>
                  <w:tcW w:w="3047" w:type="dxa"/>
                  <w:gridSpan w:val="3"/>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污染物名称</w:t>
                  </w:r>
                </w:p>
              </w:tc>
              <w:tc>
                <w:tcPr>
                  <w:tcW w:w="2180" w:type="dxa"/>
                  <w:gridSpan w:val="5"/>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排放量（t/a）</w:t>
                  </w:r>
                </w:p>
              </w:tc>
              <w:tc>
                <w:tcPr>
                  <w:tcW w:w="2239" w:type="dxa"/>
                  <w:gridSpan w:val="5"/>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排放浓度（mg/L）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06"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rPr>
                  </w:pPr>
                </w:p>
              </w:tc>
              <w:tc>
                <w:tcPr>
                  <w:tcW w:w="992" w:type="dxa"/>
                  <w:vMerge w:val="continue"/>
                  <w:vAlign w:val="center"/>
                </w:tcPr>
                <w:p>
                  <w:pPr>
                    <w:pStyle w:val="109"/>
                    <w:spacing w:line="240" w:lineRule="auto"/>
                    <w:ind w:firstLine="0" w:firstLineChars="0"/>
                    <w:rPr>
                      <w:rFonts w:ascii="Times New Roman" w:hAnsi="Times New Roman" w:eastAsia="宋体" w:cs="宋体"/>
                      <w:color w:val="auto"/>
                      <w:sz w:val="18"/>
                      <w:szCs w:val="18"/>
                    </w:rPr>
                  </w:pPr>
                </w:p>
              </w:tc>
              <w:tc>
                <w:tcPr>
                  <w:tcW w:w="3047" w:type="dxa"/>
                  <w:gridSpan w:val="3"/>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（COD</w:t>
                  </w:r>
                  <w:r>
                    <w:rPr>
                      <w:rFonts w:ascii="Times New Roman" w:hAnsi="Times New Roman" w:eastAsia="宋体"/>
                      <w:color w:val="auto"/>
                      <w:sz w:val="18"/>
                      <w:szCs w:val="18"/>
                      <w:vertAlign w:val="subscript"/>
                    </w:rPr>
                    <w:t>cr</w:t>
                  </w:r>
                  <w:r>
                    <w:rPr>
                      <w:rFonts w:hint="eastAsia" w:ascii="Times New Roman" w:hAnsi="Times New Roman" w:eastAsia="宋体" w:cs="宋体"/>
                      <w:color w:val="auto"/>
                      <w:sz w:val="18"/>
                      <w:szCs w:val="18"/>
                    </w:rPr>
                    <w:t>）</w:t>
                  </w:r>
                </w:p>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（SS）</w:t>
                  </w:r>
                </w:p>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（氨氮）</w:t>
                  </w:r>
                </w:p>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（动植物油）</w:t>
                  </w:r>
                </w:p>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（石油类）</w:t>
                  </w:r>
                </w:p>
              </w:tc>
              <w:tc>
                <w:tcPr>
                  <w:tcW w:w="2180" w:type="dxa"/>
                  <w:gridSpan w:val="5"/>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(0.</w:t>
                  </w:r>
                  <w:r>
                    <w:rPr>
                      <w:rFonts w:hint="eastAsia" w:ascii="Times New Roman" w:hAnsi="Times New Roman" w:eastAsia="宋体" w:cs="宋体"/>
                      <w:color w:val="auto"/>
                      <w:sz w:val="18"/>
                      <w:szCs w:val="18"/>
                      <w:lang w:val="en-US" w:eastAsia="zh-CN"/>
                    </w:rPr>
                    <w:t>614</w:t>
                  </w:r>
                  <w:r>
                    <w:rPr>
                      <w:rFonts w:hint="eastAsia" w:ascii="Times New Roman" w:hAnsi="Times New Roman" w:eastAsia="宋体" w:cs="宋体"/>
                      <w:color w:val="auto"/>
                      <w:sz w:val="18"/>
                      <w:szCs w:val="18"/>
                      <w:lang w:eastAsia="zh-CN"/>
                    </w:rPr>
                    <w:t>)</w:t>
                  </w:r>
                </w:p>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(0.</w:t>
                  </w:r>
                  <w:r>
                    <w:rPr>
                      <w:rFonts w:hint="eastAsia" w:ascii="Times New Roman" w:hAnsi="Times New Roman" w:eastAsia="宋体" w:cs="宋体"/>
                      <w:color w:val="auto"/>
                      <w:sz w:val="18"/>
                      <w:szCs w:val="18"/>
                      <w:lang w:val="en-US" w:eastAsia="zh-CN"/>
                    </w:rPr>
                    <w:t>491</w:t>
                  </w:r>
                  <w:r>
                    <w:rPr>
                      <w:rFonts w:hint="eastAsia" w:ascii="Times New Roman" w:hAnsi="Times New Roman" w:eastAsia="宋体" w:cs="宋体"/>
                      <w:color w:val="auto"/>
                      <w:sz w:val="18"/>
                      <w:szCs w:val="18"/>
                      <w:lang w:eastAsia="zh-CN"/>
                    </w:rPr>
                    <w:t>)</w:t>
                  </w:r>
                </w:p>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(0.0</w:t>
                  </w:r>
                  <w:r>
                    <w:rPr>
                      <w:rFonts w:hint="eastAsia" w:ascii="Times New Roman" w:hAnsi="Times New Roman" w:eastAsia="宋体" w:cs="宋体"/>
                      <w:color w:val="auto"/>
                      <w:sz w:val="18"/>
                      <w:szCs w:val="18"/>
                      <w:lang w:val="en-US" w:eastAsia="zh-CN"/>
                    </w:rPr>
                    <w:t>553</w:t>
                  </w:r>
                  <w:r>
                    <w:rPr>
                      <w:rFonts w:hint="eastAsia" w:ascii="Times New Roman" w:hAnsi="Times New Roman" w:eastAsia="宋体" w:cs="宋体"/>
                      <w:color w:val="auto"/>
                      <w:sz w:val="18"/>
                      <w:szCs w:val="18"/>
                      <w:lang w:eastAsia="zh-CN"/>
                    </w:rPr>
                    <w:t>)</w:t>
                  </w:r>
                </w:p>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（0.1</w:t>
                  </w:r>
                  <w:r>
                    <w:rPr>
                      <w:rFonts w:hint="eastAsia" w:ascii="Times New Roman" w:hAnsi="Times New Roman" w:eastAsia="宋体" w:cs="宋体"/>
                      <w:color w:val="auto"/>
                      <w:sz w:val="18"/>
                      <w:szCs w:val="18"/>
                      <w:lang w:val="en-US" w:eastAsia="zh-CN"/>
                    </w:rPr>
                    <w:t>23</w:t>
                  </w:r>
                  <w:r>
                    <w:rPr>
                      <w:rFonts w:hint="eastAsia" w:ascii="Times New Roman" w:hAnsi="Times New Roman" w:eastAsia="宋体" w:cs="宋体"/>
                      <w:color w:val="auto"/>
                      <w:sz w:val="18"/>
                      <w:szCs w:val="18"/>
                      <w:lang w:eastAsia="zh-CN"/>
                    </w:rPr>
                    <w:t>）</w:t>
                  </w:r>
                </w:p>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（0.02</w:t>
                  </w:r>
                  <w:r>
                    <w:rPr>
                      <w:rFonts w:hint="eastAsia" w:ascii="Times New Roman" w:hAnsi="Times New Roman" w:eastAsia="宋体" w:cs="宋体"/>
                      <w:color w:val="auto"/>
                      <w:sz w:val="18"/>
                      <w:szCs w:val="18"/>
                      <w:lang w:val="en-US" w:eastAsia="zh-CN"/>
                    </w:rPr>
                    <w:t>46</w:t>
                  </w:r>
                  <w:r>
                    <w:rPr>
                      <w:rFonts w:hint="eastAsia" w:ascii="Times New Roman" w:hAnsi="Times New Roman" w:eastAsia="宋体" w:cs="宋体"/>
                      <w:color w:val="auto"/>
                      <w:sz w:val="18"/>
                      <w:szCs w:val="18"/>
                      <w:lang w:eastAsia="zh-CN"/>
                    </w:rPr>
                    <w:t>）</w:t>
                  </w:r>
                </w:p>
              </w:tc>
              <w:tc>
                <w:tcPr>
                  <w:tcW w:w="2239" w:type="dxa"/>
                  <w:gridSpan w:val="5"/>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(500)</w:t>
                  </w:r>
                </w:p>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(400)</w:t>
                  </w:r>
                </w:p>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(45)</w:t>
                  </w:r>
                </w:p>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（100）</w:t>
                  </w:r>
                </w:p>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50"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rPr>
                  </w:pPr>
                </w:p>
              </w:tc>
              <w:tc>
                <w:tcPr>
                  <w:tcW w:w="992" w:type="dxa"/>
                  <w:vMerge w:val="restart"/>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替代源排放情况</w:t>
                  </w:r>
                </w:p>
              </w:tc>
              <w:tc>
                <w:tcPr>
                  <w:tcW w:w="2374" w:type="dxa"/>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污染源名称</w:t>
                  </w:r>
                </w:p>
              </w:tc>
              <w:tc>
                <w:tcPr>
                  <w:tcW w:w="1272" w:type="dxa"/>
                  <w:gridSpan w:val="3"/>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排污许可证编号</w:t>
                  </w:r>
                </w:p>
              </w:tc>
              <w:tc>
                <w:tcPr>
                  <w:tcW w:w="1272" w:type="dxa"/>
                  <w:gridSpan w:val="3"/>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污染物名称</w:t>
                  </w:r>
                </w:p>
              </w:tc>
              <w:tc>
                <w:tcPr>
                  <w:tcW w:w="1272" w:type="dxa"/>
                  <w:gridSpan w:val="3"/>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排放量（t/a）</w:t>
                  </w:r>
                </w:p>
              </w:tc>
              <w:tc>
                <w:tcPr>
                  <w:tcW w:w="1276" w:type="dxa"/>
                  <w:gridSpan w:val="3"/>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排放浓度（mg/L）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50"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rPr>
                  </w:pPr>
                </w:p>
              </w:tc>
              <w:tc>
                <w:tcPr>
                  <w:tcW w:w="992" w:type="dxa"/>
                  <w:vMerge w:val="continue"/>
                  <w:vAlign w:val="center"/>
                </w:tcPr>
                <w:p>
                  <w:pPr>
                    <w:pStyle w:val="109"/>
                    <w:spacing w:line="240" w:lineRule="auto"/>
                    <w:ind w:firstLine="0" w:firstLineChars="0"/>
                    <w:rPr>
                      <w:rFonts w:ascii="Times New Roman" w:hAnsi="Times New Roman" w:eastAsia="宋体" w:cs="宋体"/>
                      <w:color w:val="auto"/>
                      <w:sz w:val="18"/>
                      <w:szCs w:val="18"/>
                    </w:rPr>
                  </w:pPr>
                </w:p>
              </w:tc>
              <w:tc>
                <w:tcPr>
                  <w:tcW w:w="2374" w:type="dxa"/>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w:t>
                  </w:r>
                </w:p>
              </w:tc>
              <w:tc>
                <w:tcPr>
                  <w:tcW w:w="1272" w:type="dxa"/>
                  <w:gridSpan w:val="3"/>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eastAsia="zh-CN"/>
                    </w:rPr>
                    <w:t>（）</w:t>
                  </w:r>
                </w:p>
              </w:tc>
              <w:tc>
                <w:tcPr>
                  <w:tcW w:w="1272" w:type="dxa"/>
                  <w:gridSpan w:val="3"/>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eastAsia="zh-CN"/>
                    </w:rPr>
                    <w:t>（）</w:t>
                  </w:r>
                </w:p>
              </w:tc>
              <w:tc>
                <w:tcPr>
                  <w:tcW w:w="1272" w:type="dxa"/>
                  <w:gridSpan w:val="3"/>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eastAsia="zh-CN"/>
                    </w:rPr>
                    <w:t>（）</w:t>
                  </w:r>
                </w:p>
              </w:tc>
              <w:tc>
                <w:tcPr>
                  <w:tcW w:w="1276" w:type="dxa"/>
                  <w:gridSpan w:val="3"/>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06"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rPr>
                  </w:pPr>
                </w:p>
              </w:tc>
              <w:tc>
                <w:tcPr>
                  <w:tcW w:w="992" w:type="dxa"/>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生态流量确定</w:t>
                  </w:r>
                </w:p>
              </w:tc>
              <w:tc>
                <w:tcPr>
                  <w:tcW w:w="7466" w:type="dxa"/>
                  <w:gridSpan w:val="13"/>
                  <w:vAlign w:val="center"/>
                </w:tcPr>
                <w:p>
                  <w:pPr>
                    <w:pStyle w:val="109"/>
                    <w:spacing w:line="240" w:lineRule="auto"/>
                    <w:ind w:firstLine="0" w:firstLineChars="0"/>
                    <w:jc w:val="left"/>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 xml:space="preserve">生态流量：一般水期（）m </w:t>
                  </w:r>
                  <w:r>
                    <w:rPr>
                      <w:rFonts w:hint="eastAsia" w:ascii="Times New Roman" w:hAnsi="Times New Roman" w:eastAsia="宋体" w:cs="宋体"/>
                      <w:color w:val="auto"/>
                      <w:sz w:val="18"/>
                      <w:szCs w:val="18"/>
                      <w:vertAlign w:val="superscript"/>
                      <w:lang w:eastAsia="zh-CN"/>
                    </w:rPr>
                    <w:t>3</w:t>
                  </w:r>
                  <w:r>
                    <w:rPr>
                      <w:rFonts w:hint="eastAsia" w:ascii="Times New Roman" w:hAnsi="Times New Roman" w:eastAsia="宋体" w:cs="宋体"/>
                      <w:color w:val="auto"/>
                      <w:sz w:val="18"/>
                      <w:szCs w:val="18"/>
                      <w:lang w:eastAsia="zh-CN"/>
                    </w:rPr>
                    <w:t xml:space="preserve"> /s；鱼类繁殖期（）m</w:t>
                  </w:r>
                  <w:r>
                    <w:rPr>
                      <w:rFonts w:hint="eastAsia" w:ascii="Times New Roman" w:hAnsi="Times New Roman" w:eastAsia="宋体" w:cs="宋体"/>
                      <w:color w:val="auto"/>
                      <w:sz w:val="18"/>
                      <w:szCs w:val="18"/>
                      <w:vertAlign w:val="superscript"/>
                      <w:lang w:eastAsia="zh-CN"/>
                    </w:rPr>
                    <w:t xml:space="preserve"> 3</w:t>
                  </w:r>
                  <w:r>
                    <w:rPr>
                      <w:rFonts w:hint="eastAsia" w:ascii="Times New Roman" w:hAnsi="Times New Roman" w:eastAsia="宋体" w:cs="宋体"/>
                      <w:color w:val="auto"/>
                      <w:sz w:val="18"/>
                      <w:szCs w:val="18"/>
                      <w:lang w:eastAsia="zh-CN"/>
                    </w:rPr>
                    <w:t xml:space="preserve"> /s；其他（）m </w:t>
                  </w:r>
                  <w:r>
                    <w:rPr>
                      <w:rFonts w:hint="eastAsia" w:ascii="Times New Roman" w:hAnsi="Times New Roman" w:eastAsia="宋体" w:cs="宋体"/>
                      <w:color w:val="auto"/>
                      <w:sz w:val="18"/>
                      <w:szCs w:val="18"/>
                      <w:vertAlign w:val="superscript"/>
                      <w:lang w:eastAsia="zh-CN"/>
                    </w:rPr>
                    <w:t>3</w:t>
                  </w:r>
                  <w:r>
                    <w:rPr>
                      <w:rFonts w:hint="eastAsia" w:ascii="Times New Roman" w:hAnsi="Times New Roman" w:eastAsia="宋体" w:cs="宋体"/>
                      <w:color w:val="auto"/>
                      <w:sz w:val="18"/>
                      <w:szCs w:val="18"/>
                      <w:lang w:eastAsia="zh-CN"/>
                    </w:rPr>
                    <w:t xml:space="preserve"> /s </w:t>
                  </w:r>
                </w:p>
                <w:p>
                  <w:pPr>
                    <w:pStyle w:val="109"/>
                    <w:spacing w:line="240" w:lineRule="auto"/>
                    <w:ind w:firstLine="0" w:firstLineChars="0"/>
                    <w:jc w:val="left"/>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生态水位：一般水期（）m；鱼类繁殖期（）m；其他（）m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06" w:hRule="atLeast"/>
              </w:trPr>
              <w:tc>
                <w:tcPr>
                  <w:tcW w:w="343" w:type="dxa"/>
                  <w:vMerge w:val="restart"/>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防治措施</w:t>
                  </w:r>
                </w:p>
              </w:tc>
              <w:tc>
                <w:tcPr>
                  <w:tcW w:w="992" w:type="dxa"/>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环保措施</w:t>
                  </w:r>
                </w:p>
              </w:tc>
              <w:tc>
                <w:tcPr>
                  <w:tcW w:w="7466" w:type="dxa"/>
                  <w:gridSpan w:val="13"/>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污水处理设施☑；水文减缓设施□；生态流量保障设施□；区域削减□；依托其他工程措施；其他□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44"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lang w:eastAsia="zh-CN"/>
                    </w:rPr>
                  </w:pPr>
                </w:p>
              </w:tc>
              <w:tc>
                <w:tcPr>
                  <w:tcW w:w="992" w:type="dxa"/>
                  <w:vMerge w:val="restart"/>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监测计划</w:t>
                  </w:r>
                </w:p>
              </w:tc>
              <w:tc>
                <w:tcPr>
                  <w:tcW w:w="3047" w:type="dxa"/>
                  <w:gridSpan w:val="3"/>
                  <w:vAlign w:val="center"/>
                </w:tcPr>
                <w:p>
                  <w:pPr>
                    <w:pStyle w:val="109"/>
                    <w:spacing w:line="240" w:lineRule="auto"/>
                    <w:ind w:firstLine="0" w:firstLineChars="0"/>
                    <w:rPr>
                      <w:rFonts w:ascii="Times New Roman" w:hAnsi="Times New Roman" w:eastAsia="宋体" w:cs="宋体"/>
                      <w:color w:val="auto"/>
                      <w:sz w:val="18"/>
                      <w:szCs w:val="18"/>
                    </w:rPr>
                  </w:pPr>
                </w:p>
              </w:tc>
              <w:tc>
                <w:tcPr>
                  <w:tcW w:w="2180" w:type="dxa"/>
                  <w:gridSpan w:val="5"/>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环境质量</w:t>
                  </w:r>
                </w:p>
              </w:tc>
              <w:tc>
                <w:tcPr>
                  <w:tcW w:w="2239" w:type="dxa"/>
                  <w:gridSpan w:val="5"/>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污染源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5"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rPr>
                  </w:pPr>
                </w:p>
              </w:tc>
              <w:tc>
                <w:tcPr>
                  <w:tcW w:w="992" w:type="dxa"/>
                  <w:vMerge w:val="continue"/>
                  <w:vAlign w:val="center"/>
                </w:tcPr>
                <w:p>
                  <w:pPr>
                    <w:pStyle w:val="109"/>
                    <w:spacing w:line="240" w:lineRule="auto"/>
                    <w:ind w:firstLine="0" w:firstLineChars="0"/>
                    <w:rPr>
                      <w:rFonts w:ascii="Times New Roman" w:hAnsi="Times New Roman" w:eastAsia="宋体" w:cs="宋体"/>
                      <w:color w:val="auto"/>
                      <w:sz w:val="18"/>
                      <w:szCs w:val="18"/>
                    </w:rPr>
                  </w:pPr>
                </w:p>
              </w:tc>
              <w:tc>
                <w:tcPr>
                  <w:tcW w:w="3047" w:type="dxa"/>
                  <w:gridSpan w:val="3"/>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监测方式</w:t>
                  </w:r>
                </w:p>
              </w:tc>
              <w:tc>
                <w:tcPr>
                  <w:tcW w:w="2180" w:type="dxa"/>
                  <w:gridSpan w:val="5"/>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手动□；自动□；无监测</w:t>
                  </w:r>
                </w:p>
              </w:tc>
              <w:tc>
                <w:tcPr>
                  <w:tcW w:w="2239" w:type="dxa"/>
                  <w:gridSpan w:val="5"/>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手动☑；自动□；无监测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40"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lang w:eastAsia="zh-CN"/>
                    </w:rPr>
                  </w:pPr>
                </w:p>
              </w:tc>
              <w:tc>
                <w:tcPr>
                  <w:tcW w:w="992" w:type="dxa"/>
                  <w:vMerge w:val="continue"/>
                  <w:vAlign w:val="center"/>
                </w:tcPr>
                <w:p>
                  <w:pPr>
                    <w:pStyle w:val="109"/>
                    <w:spacing w:line="240" w:lineRule="auto"/>
                    <w:ind w:firstLine="0" w:firstLineChars="0"/>
                    <w:rPr>
                      <w:rFonts w:ascii="Times New Roman" w:hAnsi="Times New Roman" w:eastAsia="宋体" w:cs="宋体"/>
                      <w:color w:val="auto"/>
                      <w:sz w:val="18"/>
                      <w:szCs w:val="18"/>
                      <w:lang w:eastAsia="zh-CN"/>
                    </w:rPr>
                  </w:pPr>
                </w:p>
              </w:tc>
              <w:tc>
                <w:tcPr>
                  <w:tcW w:w="3047" w:type="dxa"/>
                  <w:gridSpan w:val="3"/>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监测点位</w:t>
                  </w:r>
                </w:p>
              </w:tc>
              <w:tc>
                <w:tcPr>
                  <w:tcW w:w="2180" w:type="dxa"/>
                  <w:gridSpan w:val="5"/>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w:t>
                  </w:r>
                </w:p>
              </w:tc>
              <w:tc>
                <w:tcPr>
                  <w:tcW w:w="1119" w:type="dxa"/>
                  <w:gridSpan w:val="3"/>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w:t>
                  </w:r>
                  <w:r>
                    <w:rPr>
                      <w:rFonts w:hint="eastAsia" w:ascii="Times New Roman" w:hAnsi="Times New Roman" w:eastAsia="宋体" w:cs="宋体"/>
                      <w:color w:val="auto"/>
                      <w:sz w:val="18"/>
                      <w:szCs w:val="18"/>
                      <w:lang w:eastAsia="zh-CN"/>
                    </w:rPr>
                    <w:t>污水排口</w:t>
                  </w:r>
                  <w:r>
                    <w:rPr>
                      <w:rFonts w:hint="eastAsia" w:ascii="Times New Roman" w:hAnsi="Times New Roman" w:eastAsia="宋体" w:cs="宋体"/>
                      <w:color w:val="auto"/>
                      <w:sz w:val="18"/>
                      <w:szCs w:val="18"/>
                    </w:rPr>
                    <w:t>）</w:t>
                  </w:r>
                </w:p>
              </w:tc>
              <w:tc>
                <w:tcPr>
                  <w:tcW w:w="1120" w:type="dxa"/>
                  <w:gridSpan w:val="2"/>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eastAsia="zh-CN"/>
                    </w:rPr>
                    <w:t>（雨水排口）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5"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rPr>
                  </w:pPr>
                </w:p>
              </w:tc>
              <w:tc>
                <w:tcPr>
                  <w:tcW w:w="992" w:type="dxa"/>
                  <w:vMerge w:val="continue"/>
                  <w:vAlign w:val="center"/>
                </w:tcPr>
                <w:p>
                  <w:pPr>
                    <w:pStyle w:val="109"/>
                    <w:spacing w:line="240" w:lineRule="auto"/>
                    <w:ind w:firstLine="0" w:firstLineChars="0"/>
                    <w:rPr>
                      <w:rFonts w:ascii="Times New Roman" w:hAnsi="Times New Roman" w:eastAsia="宋体" w:cs="宋体"/>
                      <w:color w:val="auto"/>
                      <w:sz w:val="18"/>
                      <w:szCs w:val="18"/>
                    </w:rPr>
                  </w:pPr>
                </w:p>
              </w:tc>
              <w:tc>
                <w:tcPr>
                  <w:tcW w:w="3047" w:type="dxa"/>
                  <w:gridSpan w:val="3"/>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监测因子</w:t>
                  </w:r>
                </w:p>
              </w:tc>
              <w:tc>
                <w:tcPr>
                  <w:tcW w:w="2180" w:type="dxa"/>
                  <w:gridSpan w:val="5"/>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w:t>
                  </w:r>
                </w:p>
              </w:tc>
              <w:tc>
                <w:tcPr>
                  <w:tcW w:w="1119" w:type="dxa"/>
                  <w:gridSpan w:val="3"/>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（COD</w:t>
                  </w:r>
                  <w:r>
                    <w:rPr>
                      <w:rFonts w:ascii="Times New Roman" w:hAnsi="Times New Roman" w:eastAsia="宋体"/>
                      <w:color w:val="auto"/>
                      <w:sz w:val="21"/>
                      <w:szCs w:val="21"/>
                      <w:vertAlign w:val="subscript"/>
                      <w:lang w:eastAsia="zh-CN"/>
                    </w:rPr>
                    <w:t>cr</w:t>
                  </w:r>
                  <w:r>
                    <w:rPr>
                      <w:rFonts w:hint="eastAsia" w:ascii="Times New Roman" w:hAnsi="Times New Roman" w:eastAsia="宋体" w:cs="宋体"/>
                      <w:color w:val="auto"/>
                      <w:sz w:val="18"/>
                      <w:szCs w:val="18"/>
                      <w:lang w:eastAsia="zh-CN"/>
                    </w:rPr>
                    <w:t>、SS、氨氮、TP、动植物油、石油类）</w:t>
                  </w:r>
                </w:p>
              </w:tc>
              <w:tc>
                <w:tcPr>
                  <w:tcW w:w="1120" w:type="dxa"/>
                  <w:gridSpan w:val="2"/>
                  <w:vAlign w:val="center"/>
                </w:tcPr>
                <w:p>
                  <w:pPr>
                    <w:pStyle w:val="109"/>
                    <w:spacing w:line="240" w:lineRule="auto"/>
                    <w:ind w:firstLine="0" w:firstLineChars="0"/>
                    <w:rPr>
                      <w:rFonts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（PH、</w:t>
                  </w:r>
                  <w:r>
                    <w:rPr>
                      <w:rFonts w:hint="eastAsia" w:ascii="Times New Roman" w:hAnsi="Times New Roman" w:eastAsia="宋体" w:cs="宋体"/>
                      <w:color w:val="auto"/>
                      <w:sz w:val="18"/>
                      <w:szCs w:val="18"/>
                    </w:rPr>
                    <w:t>COD</w:t>
                  </w:r>
                  <w:r>
                    <w:rPr>
                      <w:rFonts w:ascii="Times New Roman" w:hAnsi="Times New Roman" w:eastAsia="宋体"/>
                      <w:color w:val="auto"/>
                      <w:sz w:val="21"/>
                      <w:szCs w:val="21"/>
                      <w:vertAlign w:val="subscript"/>
                    </w:rPr>
                    <w:t>cr</w:t>
                  </w:r>
                  <w:r>
                    <w:rPr>
                      <w:rFonts w:hint="eastAsia" w:ascii="Times New Roman" w:hAnsi="Times New Roman" w:eastAsia="宋体" w:cs="宋体"/>
                      <w:color w:val="auto"/>
                      <w:sz w:val="18"/>
                      <w:szCs w:val="18"/>
                      <w:lang w:eastAsia="zh-CN"/>
                    </w:rPr>
                    <w:t>、</w:t>
                  </w:r>
                  <w:r>
                    <w:rPr>
                      <w:rFonts w:hint="eastAsia" w:ascii="Times New Roman" w:hAnsi="Times New Roman" w:eastAsia="宋体" w:cs="宋体"/>
                      <w:color w:val="auto"/>
                      <w:sz w:val="18"/>
                      <w:szCs w:val="18"/>
                    </w:rPr>
                    <w:t>SS</w:t>
                  </w:r>
                  <w:r>
                    <w:rPr>
                      <w:rFonts w:hint="eastAsia" w:ascii="Times New Roman" w:hAnsi="Times New Roman" w:eastAsia="宋体" w:cs="宋体"/>
                      <w:color w:val="auto"/>
                      <w:sz w:val="18"/>
                      <w:szCs w:val="18"/>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06" w:hRule="atLeast"/>
              </w:trPr>
              <w:tc>
                <w:tcPr>
                  <w:tcW w:w="343" w:type="dxa"/>
                  <w:vMerge w:val="continue"/>
                  <w:vAlign w:val="center"/>
                </w:tcPr>
                <w:p>
                  <w:pPr>
                    <w:pStyle w:val="109"/>
                    <w:spacing w:line="240" w:lineRule="auto"/>
                    <w:ind w:firstLine="0" w:firstLineChars="0"/>
                    <w:rPr>
                      <w:rFonts w:ascii="Times New Roman" w:hAnsi="Times New Roman" w:eastAsia="宋体" w:cs="宋体"/>
                      <w:color w:val="auto"/>
                      <w:sz w:val="18"/>
                      <w:szCs w:val="18"/>
                    </w:rPr>
                  </w:pPr>
                </w:p>
              </w:tc>
              <w:tc>
                <w:tcPr>
                  <w:tcW w:w="992" w:type="dxa"/>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污染物排放清单</w:t>
                  </w:r>
                </w:p>
              </w:tc>
              <w:tc>
                <w:tcPr>
                  <w:tcW w:w="7466" w:type="dxa"/>
                  <w:gridSpan w:val="13"/>
                  <w:vAlign w:val="center"/>
                </w:tcPr>
                <w:p>
                  <w:pPr>
                    <w:pStyle w:val="109"/>
                    <w:spacing w:line="240" w:lineRule="auto"/>
                    <w:ind w:firstLine="0" w:firstLineChars="0"/>
                    <w:jc w:val="both"/>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06" w:hRule="atLeast"/>
              </w:trPr>
              <w:tc>
                <w:tcPr>
                  <w:tcW w:w="1335" w:type="dxa"/>
                  <w:gridSpan w:val="2"/>
                  <w:vAlign w:val="center"/>
                </w:tcPr>
                <w:p>
                  <w:pPr>
                    <w:pStyle w:val="109"/>
                    <w:spacing w:line="240" w:lineRule="auto"/>
                    <w:ind w:firstLine="0" w:firstLineChars="0"/>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评价结论</w:t>
                  </w:r>
                </w:p>
              </w:tc>
              <w:tc>
                <w:tcPr>
                  <w:tcW w:w="4284" w:type="dxa"/>
                  <w:gridSpan w:val="5"/>
                  <w:vAlign w:val="center"/>
                </w:tcPr>
                <w:p>
                  <w:pPr>
                    <w:pStyle w:val="109"/>
                    <w:spacing w:line="240" w:lineRule="auto"/>
                    <w:ind w:firstLine="0" w:firstLineChars="0"/>
                    <w:jc w:val="both"/>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可以接受</w:t>
                  </w:r>
                  <w:r>
                    <w:rPr>
                      <w:rFonts w:hint="eastAsia" w:ascii="Times New Roman" w:hAnsi="Times New Roman" w:eastAsia="宋体" w:cs="宋体"/>
                      <w:color w:val="auto"/>
                      <w:sz w:val="18"/>
                      <w:szCs w:val="18"/>
                      <w:lang w:eastAsia="zh-CN"/>
                    </w:rPr>
                    <w:t>☑</w:t>
                  </w:r>
                </w:p>
              </w:tc>
              <w:tc>
                <w:tcPr>
                  <w:tcW w:w="3182" w:type="dxa"/>
                  <w:gridSpan w:val="8"/>
                  <w:vAlign w:val="center"/>
                </w:tcPr>
                <w:p>
                  <w:pPr>
                    <w:pStyle w:val="109"/>
                    <w:spacing w:line="240" w:lineRule="auto"/>
                    <w:ind w:firstLine="0" w:firstLineChars="0"/>
                    <w:jc w:val="both"/>
                    <w:rPr>
                      <w:rFonts w:ascii="Times New Roman" w:hAnsi="Times New Roman" w:eastAsia="宋体" w:cs="宋体"/>
                      <w:color w:val="auto"/>
                      <w:sz w:val="18"/>
                      <w:szCs w:val="18"/>
                    </w:rPr>
                  </w:pPr>
                  <w:r>
                    <w:rPr>
                      <w:rFonts w:hint="eastAsia" w:ascii="Times New Roman" w:hAnsi="Times New Roman" w:eastAsia="宋体" w:cs="宋体"/>
                      <w:color w:val="auto"/>
                      <w:sz w:val="18"/>
                      <w:szCs w:val="18"/>
                    </w:rPr>
                    <w:t>不可以接受□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trPr>
              <w:tc>
                <w:tcPr>
                  <w:tcW w:w="8801" w:type="dxa"/>
                  <w:gridSpan w:val="15"/>
                  <w:vAlign w:val="center"/>
                </w:tcPr>
                <w:p>
                  <w:pPr>
                    <w:pStyle w:val="109"/>
                    <w:spacing w:line="240" w:lineRule="auto"/>
                    <w:ind w:firstLine="0" w:firstLineChars="0"/>
                    <w:jc w:val="both"/>
                    <w:rPr>
                      <w:rFonts w:ascii="Times New Roman" w:hAnsi="Times New Roman" w:eastAsia="宋体" w:cs="宋体"/>
                      <w:color w:val="auto"/>
                      <w:kern w:val="2"/>
                      <w:sz w:val="18"/>
                      <w:szCs w:val="18"/>
                      <w:lang w:eastAsia="zh-CN"/>
                    </w:rPr>
                  </w:pPr>
                  <w:r>
                    <w:rPr>
                      <w:rFonts w:hint="eastAsia" w:ascii="Times New Roman" w:hAnsi="Times New Roman" w:eastAsia="宋体" w:cs="宋体"/>
                      <w:color w:val="auto"/>
                      <w:kern w:val="2"/>
                      <w:sz w:val="18"/>
                      <w:szCs w:val="18"/>
                      <w:lang w:eastAsia="zh-CN"/>
                    </w:rPr>
                    <w:t>注：“□”为勾选项，填“√”；“（）”为内容填写项</w:t>
                  </w:r>
                </w:p>
              </w:tc>
            </w:tr>
          </w:tbl>
          <w:p>
            <w:pPr>
              <w:ind w:firstLine="482"/>
              <w:rPr>
                <w:rFonts w:ascii="Times New Roman" w:hAnsi="Times New Roman" w:eastAsia="宋体"/>
                <w:color w:val="auto"/>
                <w:sz w:val="24"/>
                <w:szCs w:val="21"/>
              </w:rPr>
            </w:pPr>
            <w:r>
              <w:rPr>
                <w:rFonts w:hint="eastAsia" w:ascii="Times New Roman" w:hAnsi="Times New Roman"/>
                <w:b/>
                <w:color w:val="auto"/>
                <w:kern w:val="0"/>
                <w:sz w:val="24"/>
                <w:szCs w:val="21"/>
                <w:lang w:val="en-US" w:eastAsia="zh-CN"/>
              </w:rPr>
              <w:t>3.</w:t>
            </w:r>
            <w:r>
              <w:rPr>
                <w:rFonts w:ascii="Times New Roman" w:hAnsi="Times New Roman" w:eastAsia="宋体"/>
                <w:b/>
                <w:color w:val="auto"/>
                <w:kern w:val="0"/>
                <w:sz w:val="24"/>
                <w:szCs w:val="21"/>
              </w:rPr>
              <w:t>声环境影响分析</w:t>
            </w:r>
          </w:p>
          <w:p>
            <w:pPr>
              <w:ind w:firstLine="480"/>
              <w:rPr>
                <w:rFonts w:ascii="Times New Roman" w:hAnsi="Times New Roman" w:eastAsia="宋体"/>
                <w:color w:val="auto"/>
                <w:sz w:val="24"/>
                <w:szCs w:val="24"/>
              </w:rPr>
            </w:pPr>
            <w:r>
              <w:rPr>
                <w:rFonts w:hint="eastAsia" w:ascii="Times New Roman" w:hAnsi="Times New Roman" w:eastAsia="宋体"/>
                <w:color w:val="auto"/>
                <w:sz w:val="24"/>
                <w:szCs w:val="24"/>
              </w:rPr>
              <w:t>建设项目主要噪声源为建设项目主要噪声源为风机机</w:t>
            </w:r>
            <w:r>
              <w:rPr>
                <w:rFonts w:ascii="Times New Roman" w:hAnsi="Times New Roman" w:eastAsia="宋体"/>
                <w:color w:val="auto"/>
                <w:sz w:val="24"/>
                <w:szCs w:val="24"/>
              </w:rPr>
              <w:t>等，源强在</w:t>
            </w:r>
            <w:r>
              <w:rPr>
                <w:rFonts w:hint="eastAsia" w:ascii="Times New Roman" w:hAnsi="Times New Roman" w:eastAsia="宋体"/>
                <w:color w:val="auto"/>
                <w:sz w:val="24"/>
                <w:szCs w:val="24"/>
              </w:rPr>
              <w:t>70-90</w:t>
            </w:r>
            <w:r>
              <w:rPr>
                <w:rFonts w:ascii="Times New Roman" w:hAnsi="Times New Roman" w:eastAsia="宋体"/>
                <w:color w:val="auto"/>
                <w:sz w:val="24"/>
                <w:szCs w:val="24"/>
              </w:rPr>
              <w:t>dB（A）</w:t>
            </w:r>
            <w:r>
              <w:rPr>
                <w:rFonts w:hint="eastAsia" w:ascii="Times New Roman" w:hAnsi="Times New Roman" w:eastAsia="宋体"/>
                <w:color w:val="auto"/>
                <w:sz w:val="24"/>
                <w:szCs w:val="24"/>
              </w:rPr>
              <w:t>，具体噪声污染源强见表5-3。</w:t>
            </w:r>
          </w:p>
          <w:p>
            <w:pPr>
              <w:ind w:firstLine="480"/>
              <w:rPr>
                <w:rFonts w:ascii="Times New Roman" w:hAnsi="Times New Roman" w:eastAsia="宋体"/>
                <w:color w:val="auto"/>
                <w:sz w:val="24"/>
                <w:szCs w:val="24"/>
              </w:rPr>
            </w:pPr>
            <w:r>
              <w:rPr>
                <w:rFonts w:ascii="Times New Roman" w:hAnsi="Times New Roman" w:eastAsia="宋体"/>
                <w:color w:val="auto"/>
                <w:sz w:val="24"/>
                <w:szCs w:val="24"/>
              </w:rPr>
              <w:t>根据声环境评价导则的规定，选用预测模式，应用过程中将根据具体情况作必要简化。</w:t>
            </w:r>
          </w:p>
          <w:p>
            <w:pPr>
              <w:ind w:firstLine="480"/>
              <w:rPr>
                <w:rFonts w:ascii="Times New Roman" w:hAnsi="Times New Roman" w:eastAsia="宋体"/>
                <w:color w:val="auto"/>
                <w:sz w:val="24"/>
                <w:szCs w:val="24"/>
              </w:rPr>
            </w:pPr>
            <w:r>
              <w:rPr>
                <w:rFonts w:hint="eastAsia" w:ascii="Times New Roman" w:hAnsi="Times New Roman" w:eastAsia="宋体"/>
                <w:color w:val="auto"/>
                <w:sz w:val="24"/>
                <w:szCs w:val="24"/>
              </w:rPr>
              <w:t>（1）</w:t>
            </w:r>
            <w:r>
              <w:rPr>
                <w:rFonts w:ascii="Times New Roman" w:hAnsi="Times New Roman" w:eastAsia="宋体"/>
                <w:color w:val="auto"/>
                <w:sz w:val="24"/>
                <w:szCs w:val="24"/>
              </w:rPr>
              <w:t>室外点声源在预测点的倍频带声压级</w:t>
            </w:r>
          </w:p>
          <w:p>
            <w:pPr>
              <w:ind w:firstLine="436" w:firstLineChars="182"/>
              <w:rPr>
                <w:rFonts w:ascii="Times New Roman" w:hAnsi="Times New Roman" w:eastAsia="宋体"/>
                <w:color w:val="auto"/>
                <w:sz w:val="24"/>
                <w:szCs w:val="24"/>
              </w:rPr>
            </w:pPr>
            <w:r>
              <w:rPr>
                <w:rFonts w:hint="eastAsia" w:ascii="Times New Roman" w:hAnsi="Times New Roman" w:eastAsia="宋体"/>
                <w:color w:val="auto"/>
                <w:sz w:val="24"/>
                <w:szCs w:val="24"/>
              </w:rPr>
              <w:t>①</w:t>
            </w:r>
            <w:r>
              <w:rPr>
                <w:rFonts w:ascii="Times New Roman" w:hAnsi="Times New Roman" w:eastAsia="宋体"/>
                <w:color w:val="auto"/>
                <w:sz w:val="24"/>
                <w:szCs w:val="24"/>
              </w:rPr>
              <w:t>某个点源在预测点的倍频带声压级</w:t>
            </w:r>
          </w:p>
          <w:p>
            <w:pPr>
              <w:ind w:firstLine="0" w:firstLineChars="0"/>
              <w:jc w:val="center"/>
              <w:rPr>
                <w:rFonts w:ascii="Times New Roman" w:hAnsi="Times New Roman" w:eastAsia="宋体"/>
                <w:color w:val="auto"/>
                <w:sz w:val="24"/>
                <w:szCs w:val="24"/>
              </w:rPr>
            </w:pPr>
            <w:r>
              <w:rPr>
                <w:rFonts w:ascii="Times New Roman" w:hAnsi="Times New Roman" w:eastAsia="宋体"/>
                <w:color w:val="auto"/>
                <w:position w:val="-12"/>
                <w:sz w:val="24"/>
                <w:szCs w:val="24"/>
              </w:rPr>
              <w:object>
                <v:shape id="_x0000_i1038" o:spt="75" type="#_x0000_t75" style="height:16.5pt;width:178.5pt;" o:ole="t" fillcolor="#6D6D6D" filled="f" o:preferrelative="t" stroked="f" coordsize="21600,21600">
                  <v:path/>
                  <v:fill on="f" focussize="0,0"/>
                  <v:stroke on="f" joinstyle="miter"/>
                  <v:imagedata r:id="rId23" o:title=""/>
                  <o:lock v:ext="edit" aspectratio="t"/>
                  <w10:wrap type="none"/>
                  <w10:anchorlock/>
                </v:shape>
                <o:OLEObject Type="Embed" ProgID="Equation.3" ShapeID="_x0000_i1038" DrawAspect="Content" ObjectID="_1468075738" r:id="rId43">
                  <o:LockedField>false</o:LockedField>
                </o:OLEObject>
              </w:object>
            </w:r>
          </w:p>
          <w:p>
            <w:pPr>
              <w:ind w:firstLine="480"/>
              <w:rPr>
                <w:rFonts w:ascii="Times New Roman" w:hAnsi="Times New Roman" w:eastAsia="宋体"/>
                <w:color w:val="auto"/>
                <w:sz w:val="24"/>
                <w:szCs w:val="24"/>
              </w:rPr>
            </w:pPr>
            <w:r>
              <w:rPr>
                <w:rFonts w:ascii="Times New Roman" w:hAnsi="Times New Roman" w:eastAsia="宋体"/>
                <w:color w:val="auto"/>
                <w:sz w:val="24"/>
                <w:szCs w:val="24"/>
              </w:rPr>
              <w:t>式中：L</w:t>
            </w:r>
            <w:r>
              <w:rPr>
                <w:rFonts w:ascii="Times New Roman" w:hAnsi="Times New Roman" w:eastAsia="宋体"/>
                <w:color w:val="auto"/>
                <w:sz w:val="24"/>
                <w:szCs w:val="24"/>
                <w:vertAlign w:val="subscript"/>
              </w:rPr>
              <w:t>oct</w:t>
            </w:r>
            <w:r>
              <w:rPr>
                <w:rFonts w:ascii="Times New Roman" w:hAnsi="Times New Roman" w:eastAsia="宋体"/>
                <w:color w:val="auto"/>
                <w:sz w:val="24"/>
                <w:szCs w:val="24"/>
              </w:rPr>
              <w:t>（r）——点声源在预测点产生的倍频带声压级；</w:t>
            </w:r>
          </w:p>
          <w:p>
            <w:pPr>
              <w:ind w:firstLine="480"/>
              <w:rPr>
                <w:rFonts w:ascii="Times New Roman" w:hAnsi="Times New Roman" w:eastAsia="宋体"/>
                <w:color w:val="auto"/>
                <w:sz w:val="24"/>
                <w:szCs w:val="24"/>
              </w:rPr>
            </w:pPr>
            <w:r>
              <w:rPr>
                <w:rFonts w:ascii="Times New Roman" w:hAnsi="Times New Roman" w:eastAsia="宋体"/>
                <w:color w:val="auto"/>
                <w:sz w:val="24"/>
                <w:szCs w:val="24"/>
              </w:rPr>
              <w:t>L</w:t>
            </w:r>
            <w:r>
              <w:rPr>
                <w:rFonts w:ascii="Times New Roman" w:hAnsi="Times New Roman" w:eastAsia="宋体"/>
                <w:color w:val="auto"/>
                <w:sz w:val="24"/>
                <w:szCs w:val="24"/>
                <w:vertAlign w:val="subscript"/>
              </w:rPr>
              <w:t>oct</w:t>
            </w:r>
            <w:r>
              <w:rPr>
                <w:rFonts w:ascii="Times New Roman" w:hAnsi="Times New Roman" w:eastAsia="宋体"/>
                <w:color w:val="auto"/>
                <w:sz w:val="24"/>
                <w:szCs w:val="24"/>
              </w:rPr>
              <w:t>（r</w:t>
            </w:r>
            <w:r>
              <w:rPr>
                <w:rFonts w:ascii="Times New Roman" w:hAnsi="Times New Roman" w:eastAsia="宋体"/>
                <w:color w:val="auto"/>
                <w:sz w:val="24"/>
                <w:szCs w:val="24"/>
                <w:vertAlign w:val="subscript"/>
              </w:rPr>
              <w:t>0</w:t>
            </w:r>
            <w:r>
              <w:rPr>
                <w:rFonts w:ascii="Times New Roman" w:hAnsi="Times New Roman" w:eastAsia="宋体"/>
                <w:color w:val="auto"/>
                <w:sz w:val="24"/>
                <w:szCs w:val="24"/>
              </w:rPr>
              <w:t>）——参考位置r</w:t>
            </w:r>
            <w:r>
              <w:rPr>
                <w:rFonts w:ascii="Times New Roman" w:hAnsi="Times New Roman" w:eastAsia="宋体"/>
                <w:color w:val="auto"/>
                <w:sz w:val="24"/>
                <w:szCs w:val="24"/>
                <w:vertAlign w:val="subscript"/>
              </w:rPr>
              <w:t>0</w:t>
            </w:r>
            <w:r>
              <w:rPr>
                <w:rFonts w:ascii="Times New Roman" w:hAnsi="Times New Roman" w:eastAsia="宋体"/>
                <w:color w:val="auto"/>
                <w:sz w:val="24"/>
                <w:szCs w:val="24"/>
              </w:rPr>
              <w:t>处的倍频带声压级；</w:t>
            </w:r>
          </w:p>
          <w:p>
            <w:pPr>
              <w:ind w:firstLine="480"/>
              <w:rPr>
                <w:rFonts w:ascii="Times New Roman" w:hAnsi="Times New Roman" w:eastAsia="宋体"/>
                <w:color w:val="auto"/>
                <w:sz w:val="24"/>
                <w:szCs w:val="24"/>
              </w:rPr>
            </w:pPr>
            <w:r>
              <w:rPr>
                <w:rFonts w:ascii="Times New Roman" w:hAnsi="Times New Roman" w:eastAsia="宋体"/>
                <w:color w:val="auto"/>
                <w:sz w:val="24"/>
                <w:szCs w:val="24"/>
              </w:rPr>
              <w:t xml:space="preserve">          r——预测点距声源的距离，m；</w:t>
            </w:r>
          </w:p>
          <w:p>
            <w:pPr>
              <w:ind w:firstLine="480"/>
              <w:rPr>
                <w:rFonts w:ascii="Times New Roman" w:hAnsi="Times New Roman" w:eastAsia="宋体"/>
                <w:color w:val="auto"/>
                <w:sz w:val="24"/>
                <w:szCs w:val="24"/>
              </w:rPr>
            </w:pPr>
            <w:r>
              <w:rPr>
                <w:rFonts w:ascii="Times New Roman" w:hAnsi="Times New Roman" w:eastAsia="宋体"/>
                <w:color w:val="auto"/>
                <w:sz w:val="24"/>
                <w:szCs w:val="24"/>
              </w:rPr>
              <w:t xml:space="preserve">          r</w:t>
            </w:r>
            <w:r>
              <w:rPr>
                <w:rFonts w:ascii="Times New Roman" w:hAnsi="Times New Roman" w:eastAsia="宋体"/>
                <w:color w:val="auto"/>
                <w:sz w:val="24"/>
                <w:szCs w:val="24"/>
                <w:vertAlign w:val="subscript"/>
              </w:rPr>
              <w:t>0</w:t>
            </w:r>
            <w:r>
              <w:rPr>
                <w:rFonts w:ascii="Times New Roman" w:hAnsi="Times New Roman" w:eastAsia="宋体"/>
                <w:color w:val="auto"/>
                <w:sz w:val="24"/>
                <w:szCs w:val="24"/>
              </w:rPr>
              <w:t>——参考位置距声源的距离，m；</w:t>
            </w:r>
          </w:p>
          <w:p>
            <w:pPr>
              <w:ind w:left="2890" w:leftChars="228" w:hanging="2160" w:hangingChars="900"/>
              <w:rPr>
                <w:rFonts w:ascii="Times New Roman" w:hAnsi="Times New Roman" w:eastAsia="宋体"/>
                <w:color w:val="auto"/>
                <w:sz w:val="24"/>
                <w:szCs w:val="24"/>
              </w:rPr>
            </w:pPr>
            <w:r>
              <w:rPr>
                <w:rFonts w:ascii="Times New Roman" w:hAnsi="Times New Roman" w:eastAsia="宋体"/>
                <w:color w:val="auto"/>
                <w:sz w:val="24"/>
                <w:szCs w:val="24"/>
              </w:rPr>
              <w:t>ΔL</w:t>
            </w:r>
            <w:r>
              <w:rPr>
                <w:rFonts w:ascii="Times New Roman" w:hAnsi="Times New Roman" w:eastAsia="宋体"/>
                <w:color w:val="auto"/>
                <w:sz w:val="24"/>
                <w:szCs w:val="24"/>
                <w:vertAlign w:val="subscript"/>
              </w:rPr>
              <w:t>oct</w:t>
            </w:r>
            <w:r>
              <w:rPr>
                <w:rFonts w:ascii="Times New Roman" w:hAnsi="Times New Roman" w:eastAsia="宋体"/>
                <w:color w:val="auto"/>
                <w:sz w:val="24"/>
                <w:szCs w:val="24"/>
              </w:rPr>
              <w:t>——各种因素引起的衰减量，包括声屏障、空气吸收和地面效应引起的衰减，其计算方式分别为：</w:t>
            </w:r>
          </w:p>
          <w:p>
            <w:pPr>
              <w:ind w:firstLine="0" w:firstLineChars="0"/>
              <w:jc w:val="center"/>
              <w:rPr>
                <w:rFonts w:ascii="Times New Roman" w:hAnsi="Times New Roman" w:eastAsia="宋体"/>
                <w:color w:val="auto"/>
                <w:sz w:val="24"/>
                <w:szCs w:val="24"/>
              </w:rPr>
            </w:pPr>
            <w:r>
              <w:rPr>
                <w:rFonts w:ascii="Times New Roman" w:hAnsi="Times New Roman" w:eastAsia="宋体"/>
                <w:color w:val="auto"/>
                <w:sz w:val="24"/>
                <w:szCs w:val="24"/>
              </w:rPr>
              <w:t>A</w:t>
            </w:r>
            <w:r>
              <w:rPr>
                <w:rFonts w:ascii="Times New Roman" w:hAnsi="Times New Roman" w:eastAsia="宋体"/>
                <w:color w:val="auto"/>
                <w:sz w:val="24"/>
                <w:szCs w:val="24"/>
                <w:vertAlign w:val="subscript"/>
              </w:rPr>
              <w:t>oct bar</w:t>
            </w:r>
            <w:r>
              <w:rPr>
                <w:rFonts w:ascii="Times New Roman" w:hAnsi="Times New Roman" w:eastAsia="宋体"/>
                <w:color w:val="auto"/>
                <w:sz w:val="24"/>
                <w:szCs w:val="24"/>
              </w:rPr>
              <w:t>=</w:t>
            </w:r>
            <w:r>
              <w:rPr>
                <w:rFonts w:ascii="Times New Roman" w:hAnsi="Times New Roman" w:eastAsia="宋体"/>
                <w:color w:val="auto"/>
                <w:position w:val="-32"/>
                <w:sz w:val="24"/>
                <w:szCs w:val="24"/>
              </w:rPr>
              <w:object>
                <v:shape id="_x0000_i1039" o:spt="75" type="#_x0000_t75" style="height:33.75pt;width:202.5pt;" o:ole="t" fillcolor="#6D6D6D" filled="f" o:preferrelative="t" stroked="f" coordsize="21600,21600">
                  <v:path/>
                  <v:fill on="f" focussize="0,0"/>
                  <v:stroke on="f" joinstyle="miter"/>
                  <v:imagedata r:id="rId45" o:title=""/>
                  <o:lock v:ext="edit" aspectratio="t"/>
                  <w10:wrap type="none"/>
                  <w10:anchorlock/>
                </v:shape>
                <o:OLEObject Type="Embed" ProgID="Equation.3" ShapeID="_x0000_i1039" DrawAspect="Content" ObjectID="_1468075739" r:id="rId44">
                  <o:LockedField>false</o:LockedField>
                </o:OLEObject>
              </w:object>
            </w:r>
          </w:p>
          <w:p>
            <w:pPr>
              <w:ind w:firstLine="0" w:firstLineChars="0"/>
              <w:jc w:val="center"/>
              <w:rPr>
                <w:rFonts w:ascii="Times New Roman" w:hAnsi="Times New Roman" w:eastAsia="宋体"/>
                <w:color w:val="auto"/>
                <w:sz w:val="24"/>
                <w:szCs w:val="24"/>
              </w:rPr>
            </w:pPr>
            <w:r>
              <w:rPr>
                <w:rFonts w:ascii="Times New Roman" w:hAnsi="Times New Roman" w:eastAsia="宋体"/>
                <w:color w:val="auto"/>
                <w:sz w:val="24"/>
                <w:szCs w:val="24"/>
              </w:rPr>
              <w:t>A</w:t>
            </w:r>
            <w:r>
              <w:rPr>
                <w:rFonts w:ascii="Times New Roman" w:hAnsi="Times New Roman" w:eastAsia="宋体"/>
                <w:color w:val="auto"/>
                <w:sz w:val="24"/>
                <w:szCs w:val="24"/>
                <w:vertAlign w:val="subscript"/>
              </w:rPr>
              <w:t>oct atm</w:t>
            </w:r>
            <w:r>
              <w:rPr>
                <w:rFonts w:ascii="Times New Roman" w:hAnsi="Times New Roman" w:eastAsia="宋体"/>
                <w:color w:val="auto"/>
                <w:sz w:val="24"/>
                <w:szCs w:val="24"/>
              </w:rPr>
              <w:t>=α(r-r</w:t>
            </w:r>
            <w:r>
              <w:rPr>
                <w:rFonts w:ascii="Times New Roman" w:hAnsi="Times New Roman" w:eastAsia="宋体"/>
                <w:color w:val="auto"/>
                <w:sz w:val="24"/>
                <w:szCs w:val="24"/>
                <w:vertAlign w:val="subscript"/>
              </w:rPr>
              <w:t>0</w:t>
            </w:r>
            <w:r>
              <w:rPr>
                <w:rFonts w:ascii="Times New Roman" w:hAnsi="Times New Roman" w:eastAsia="宋体"/>
                <w:color w:val="auto"/>
                <w:sz w:val="24"/>
                <w:szCs w:val="24"/>
              </w:rPr>
              <w:t>)/100；</w:t>
            </w:r>
          </w:p>
          <w:p>
            <w:pPr>
              <w:ind w:firstLine="0" w:firstLineChars="0"/>
              <w:jc w:val="center"/>
              <w:rPr>
                <w:rFonts w:ascii="Times New Roman" w:hAnsi="Times New Roman" w:eastAsia="宋体"/>
                <w:color w:val="auto"/>
                <w:sz w:val="24"/>
                <w:szCs w:val="24"/>
              </w:rPr>
            </w:pPr>
            <w:r>
              <w:rPr>
                <w:rFonts w:ascii="Times New Roman" w:hAnsi="Times New Roman" w:eastAsia="宋体"/>
                <w:color w:val="auto"/>
                <w:sz w:val="24"/>
                <w:szCs w:val="24"/>
              </w:rPr>
              <w:t>A</w:t>
            </w:r>
            <w:r>
              <w:rPr>
                <w:rFonts w:ascii="Times New Roman" w:hAnsi="Times New Roman" w:eastAsia="宋体"/>
                <w:color w:val="auto"/>
                <w:sz w:val="24"/>
                <w:szCs w:val="24"/>
                <w:vertAlign w:val="subscript"/>
              </w:rPr>
              <w:t>exc</w:t>
            </w:r>
            <w:r>
              <w:rPr>
                <w:rFonts w:ascii="Times New Roman" w:hAnsi="Times New Roman" w:eastAsia="宋体"/>
                <w:color w:val="auto"/>
                <w:sz w:val="24"/>
                <w:szCs w:val="24"/>
              </w:rPr>
              <w:t>=5lg(r-r</w:t>
            </w:r>
            <w:r>
              <w:rPr>
                <w:rFonts w:ascii="Times New Roman" w:hAnsi="Times New Roman" w:eastAsia="宋体"/>
                <w:color w:val="auto"/>
                <w:sz w:val="24"/>
                <w:szCs w:val="24"/>
                <w:vertAlign w:val="subscript"/>
              </w:rPr>
              <w:t>0</w:t>
            </w:r>
            <w:r>
              <w:rPr>
                <w:rFonts w:ascii="Times New Roman" w:hAnsi="Times New Roman" w:eastAsia="宋体"/>
                <w:color w:val="auto"/>
                <w:sz w:val="24"/>
                <w:szCs w:val="24"/>
              </w:rPr>
              <w:t>)；</w:t>
            </w:r>
          </w:p>
          <w:p>
            <w:pPr>
              <w:ind w:firstLine="436" w:firstLineChars="182"/>
              <w:rPr>
                <w:rFonts w:ascii="Times New Roman" w:hAnsi="Times New Roman" w:eastAsia="宋体"/>
                <w:color w:val="auto"/>
                <w:sz w:val="24"/>
                <w:szCs w:val="24"/>
              </w:rPr>
            </w:pPr>
            <w:r>
              <w:rPr>
                <w:rFonts w:hint="eastAsia" w:ascii="Times New Roman" w:hAnsi="Times New Roman" w:eastAsia="宋体"/>
                <w:color w:val="auto"/>
                <w:sz w:val="24"/>
                <w:szCs w:val="24"/>
              </w:rPr>
              <w:t>②</w:t>
            </w:r>
            <w:r>
              <w:rPr>
                <w:rFonts w:ascii="Times New Roman" w:hAnsi="Times New Roman" w:eastAsia="宋体"/>
                <w:color w:val="auto"/>
                <w:sz w:val="24"/>
                <w:szCs w:val="24"/>
              </w:rPr>
              <w:t>如果已知声源的倍频带声功率级L</w:t>
            </w:r>
            <w:r>
              <w:rPr>
                <w:rFonts w:ascii="Times New Roman" w:hAnsi="Times New Roman" w:eastAsia="宋体"/>
                <w:color w:val="auto"/>
                <w:sz w:val="24"/>
                <w:szCs w:val="24"/>
                <w:vertAlign w:val="subscript"/>
              </w:rPr>
              <w:t>w cot</w:t>
            </w:r>
            <w:r>
              <w:rPr>
                <w:rFonts w:ascii="Times New Roman" w:hAnsi="Times New Roman" w:eastAsia="宋体"/>
                <w:color w:val="auto"/>
                <w:sz w:val="24"/>
                <w:szCs w:val="24"/>
              </w:rPr>
              <w:t>，且声源可看作是位于地面上的，则：</w:t>
            </w:r>
          </w:p>
          <w:p>
            <w:pPr>
              <w:ind w:firstLine="0" w:firstLineChars="0"/>
              <w:jc w:val="center"/>
              <w:rPr>
                <w:rFonts w:ascii="Times New Roman" w:hAnsi="Times New Roman" w:eastAsia="宋体"/>
                <w:color w:val="auto"/>
                <w:sz w:val="24"/>
                <w:szCs w:val="24"/>
              </w:rPr>
            </w:pPr>
            <w:r>
              <w:rPr>
                <w:rFonts w:ascii="Times New Roman" w:hAnsi="Times New Roman" w:eastAsia="宋体"/>
                <w:color w:val="auto"/>
                <w:sz w:val="24"/>
                <w:szCs w:val="24"/>
              </w:rPr>
              <w:t>L</w:t>
            </w:r>
            <w:r>
              <w:rPr>
                <w:rFonts w:ascii="Times New Roman" w:hAnsi="Times New Roman" w:eastAsia="宋体"/>
                <w:color w:val="auto"/>
                <w:sz w:val="24"/>
                <w:szCs w:val="24"/>
                <w:vertAlign w:val="subscript"/>
              </w:rPr>
              <w:t>cot</w:t>
            </w:r>
            <w:r>
              <w:rPr>
                <w:rFonts w:ascii="Times New Roman" w:hAnsi="Times New Roman" w:eastAsia="宋体"/>
                <w:color w:val="auto"/>
                <w:sz w:val="24"/>
                <w:szCs w:val="24"/>
              </w:rPr>
              <w:t>=L</w:t>
            </w:r>
            <w:r>
              <w:rPr>
                <w:rFonts w:ascii="Times New Roman" w:hAnsi="Times New Roman" w:eastAsia="宋体"/>
                <w:color w:val="auto"/>
                <w:sz w:val="24"/>
                <w:szCs w:val="24"/>
                <w:vertAlign w:val="subscript"/>
              </w:rPr>
              <w:t>w cot</w:t>
            </w:r>
            <w:r>
              <w:rPr>
                <w:rFonts w:ascii="Times New Roman" w:hAnsi="Times New Roman" w:eastAsia="宋体"/>
                <w:color w:val="auto"/>
                <w:sz w:val="24"/>
                <w:szCs w:val="24"/>
              </w:rPr>
              <w:t>-20lgr</w:t>
            </w:r>
            <w:r>
              <w:rPr>
                <w:rFonts w:ascii="Times New Roman" w:hAnsi="Times New Roman" w:eastAsia="宋体"/>
                <w:color w:val="auto"/>
                <w:sz w:val="24"/>
                <w:szCs w:val="24"/>
                <w:vertAlign w:val="subscript"/>
              </w:rPr>
              <w:t>0</w:t>
            </w:r>
            <w:r>
              <w:rPr>
                <w:rFonts w:ascii="Times New Roman" w:hAnsi="Times New Roman" w:eastAsia="宋体"/>
                <w:color w:val="auto"/>
                <w:sz w:val="24"/>
                <w:szCs w:val="24"/>
              </w:rPr>
              <w:t>-8</w:t>
            </w:r>
          </w:p>
          <w:p>
            <w:pPr>
              <w:ind w:firstLine="436" w:firstLineChars="182"/>
              <w:rPr>
                <w:rFonts w:ascii="Times New Roman" w:hAnsi="Times New Roman" w:eastAsia="宋体"/>
                <w:color w:val="auto"/>
                <w:sz w:val="24"/>
                <w:szCs w:val="24"/>
              </w:rPr>
            </w:pPr>
            <w:r>
              <w:rPr>
                <w:rFonts w:hint="eastAsia" w:ascii="Times New Roman" w:hAnsi="Times New Roman" w:eastAsia="宋体"/>
                <w:color w:val="auto"/>
                <w:sz w:val="24"/>
                <w:szCs w:val="24"/>
              </w:rPr>
              <w:t>③</w:t>
            </w:r>
            <w:r>
              <w:rPr>
                <w:rFonts w:ascii="Times New Roman" w:hAnsi="Times New Roman" w:eastAsia="宋体"/>
                <w:color w:val="auto"/>
                <w:sz w:val="24"/>
                <w:szCs w:val="24"/>
              </w:rPr>
              <w:t>由各倍频带声压级合成计算出该声源产生的A声级L</w:t>
            </w:r>
            <w:r>
              <w:rPr>
                <w:rFonts w:ascii="Times New Roman" w:hAnsi="Times New Roman" w:eastAsia="宋体"/>
                <w:color w:val="auto"/>
                <w:sz w:val="24"/>
                <w:szCs w:val="24"/>
                <w:vertAlign w:val="subscript"/>
              </w:rPr>
              <w:t>A</w:t>
            </w:r>
            <w:r>
              <w:rPr>
                <w:rFonts w:ascii="Times New Roman" w:hAnsi="Times New Roman" w:eastAsia="宋体"/>
                <w:color w:val="auto"/>
                <w:sz w:val="24"/>
                <w:szCs w:val="24"/>
              </w:rPr>
              <w:t>：</w:t>
            </w:r>
          </w:p>
          <w:p>
            <w:pPr>
              <w:ind w:firstLine="0" w:firstLineChars="0"/>
              <w:jc w:val="center"/>
              <w:rPr>
                <w:rFonts w:ascii="Times New Roman" w:hAnsi="Times New Roman" w:eastAsia="宋体"/>
                <w:color w:val="auto"/>
                <w:sz w:val="24"/>
                <w:szCs w:val="24"/>
              </w:rPr>
            </w:pPr>
            <w:r>
              <w:rPr>
                <w:rFonts w:ascii="Times New Roman" w:hAnsi="Times New Roman" w:eastAsia="宋体"/>
                <w:color w:val="auto"/>
                <w:position w:val="-30"/>
                <w:sz w:val="24"/>
                <w:szCs w:val="24"/>
              </w:rPr>
              <w:object>
                <v:shape id="_x0000_i1040" o:spt="75" type="#_x0000_t75" style="height:36pt;width:128.25pt;" o:ole="t" fillcolor="#6D6D6D" filled="f" o:preferrelative="t" stroked="f" coordsize="21600,21600">
                  <v:path/>
                  <v:fill on="f" focussize="0,0"/>
                  <v:stroke on="f" joinstyle="miter"/>
                  <v:imagedata r:id="rId27" o:title=""/>
                  <o:lock v:ext="edit" aspectratio="t"/>
                  <w10:wrap type="none"/>
                  <w10:anchorlock/>
                </v:shape>
                <o:OLEObject Type="Embed" ProgID="Equation.3" ShapeID="_x0000_i1040" DrawAspect="Content" ObjectID="_1468075740" r:id="rId46">
                  <o:LockedField>false</o:LockedField>
                </o:OLEObject>
              </w:object>
            </w:r>
          </w:p>
          <w:p>
            <w:pPr>
              <w:ind w:firstLine="480"/>
              <w:rPr>
                <w:rFonts w:ascii="Times New Roman" w:hAnsi="Times New Roman" w:eastAsia="宋体"/>
                <w:color w:val="auto"/>
                <w:sz w:val="24"/>
                <w:szCs w:val="24"/>
              </w:rPr>
            </w:pPr>
            <w:r>
              <w:rPr>
                <w:rFonts w:ascii="Times New Roman" w:hAnsi="Times New Roman" w:eastAsia="宋体"/>
                <w:color w:val="auto"/>
                <w:sz w:val="24"/>
                <w:szCs w:val="24"/>
              </w:rPr>
              <w:t>式中ΔLi为A计权网络修正值。</w:t>
            </w:r>
          </w:p>
          <w:p>
            <w:pPr>
              <w:ind w:firstLine="436" w:firstLineChars="182"/>
              <w:rPr>
                <w:rFonts w:ascii="Times New Roman" w:hAnsi="Times New Roman" w:eastAsia="宋体"/>
                <w:color w:val="auto"/>
                <w:sz w:val="24"/>
                <w:szCs w:val="24"/>
              </w:rPr>
            </w:pPr>
            <w:r>
              <w:rPr>
                <w:rFonts w:hint="eastAsia" w:ascii="Times New Roman" w:hAnsi="Times New Roman" w:eastAsia="宋体"/>
                <w:color w:val="auto"/>
                <w:sz w:val="24"/>
                <w:szCs w:val="24"/>
              </w:rPr>
              <w:t>④</w:t>
            </w:r>
            <w:r>
              <w:rPr>
                <w:rFonts w:ascii="Times New Roman" w:hAnsi="Times New Roman" w:eastAsia="宋体"/>
                <w:color w:val="auto"/>
                <w:sz w:val="24"/>
                <w:szCs w:val="24"/>
              </w:rPr>
              <w:t>各声源在预测点产生的声级的合成</w:t>
            </w:r>
          </w:p>
          <w:p>
            <w:pPr>
              <w:ind w:firstLine="0" w:firstLineChars="0"/>
              <w:jc w:val="center"/>
              <w:rPr>
                <w:rFonts w:ascii="Times New Roman" w:hAnsi="Times New Roman" w:eastAsia="宋体"/>
                <w:color w:val="auto"/>
                <w:sz w:val="24"/>
                <w:szCs w:val="24"/>
              </w:rPr>
            </w:pPr>
            <w:r>
              <w:rPr>
                <w:rFonts w:ascii="Times New Roman" w:hAnsi="Times New Roman" w:eastAsia="宋体"/>
                <w:color w:val="auto"/>
                <w:position w:val="-30"/>
                <w:sz w:val="24"/>
                <w:szCs w:val="24"/>
              </w:rPr>
              <w:object>
                <v:shape id="_x0000_i1041" o:spt="75" type="#_x0000_t75" style="height:36pt;width:110.25pt;" o:ole="t" fillcolor="#6D6D6D" filled="f" o:preferrelative="t" stroked="f" coordsize="21600,21600">
                  <v:path/>
                  <v:fill on="f" focussize="0,0"/>
                  <v:stroke on="f" joinstyle="miter"/>
                  <v:imagedata r:id="rId29" o:title=""/>
                  <o:lock v:ext="edit" aspectratio="t"/>
                  <w10:wrap type="none"/>
                  <w10:anchorlock/>
                </v:shape>
                <o:OLEObject Type="Embed" ProgID="Equation.3" ShapeID="_x0000_i1041" DrawAspect="Content" ObjectID="_1468075741" r:id="rId47">
                  <o:LockedField>false</o:LockedField>
                </o:OLEObject>
              </w:object>
            </w:r>
          </w:p>
          <w:p>
            <w:pPr>
              <w:ind w:firstLine="480"/>
              <w:rPr>
                <w:rFonts w:ascii="Times New Roman" w:hAnsi="Times New Roman" w:eastAsia="宋体"/>
                <w:color w:val="auto"/>
                <w:sz w:val="24"/>
                <w:szCs w:val="24"/>
              </w:rPr>
            </w:pPr>
            <w:r>
              <w:rPr>
                <w:rFonts w:hint="eastAsia" w:ascii="Times New Roman" w:hAnsi="Times New Roman" w:eastAsia="宋体"/>
                <w:color w:val="auto"/>
                <w:sz w:val="24"/>
                <w:szCs w:val="24"/>
              </w:rPr>
              <w:t>（2）</w:t>
            </w:r>
            <w:r>
              <w:rPr>
                <w:rFonts w:ascii="Times New Roman" w:hAnsi="Times New Roman" w:eastAsia="宋体"/>
                <w:color w:val="auto"/>
                <w:sz w:val="24"/>
                <w:szCs w:val="24"/>
              </w:rPr>
              <w:t>室内点声源的预测</w:t>
            </w:r>
          </w:p>
          <w:p>
            <w:pPr>
              <w:ind w:firstLine="436" w:firstLineChars="182"/>
              <w:rPr>
                <w:rFonts w:ascii="Times New Roman" w:hAnsi="Times New Roman" w:eastAsia="宋体"/>
                <w:color w:val="auto"/>
                <w:sz w:val="24"/>
                <w:szCs w:val="24"/>
              </w:rPr>
            </w:pPr>
            <w:r>
              <w:rPr>
                <w:rFonts w:hint="eastAsia" w:ascii="Times New Roman" w:hAnsi="Times New Roman" w:eastAsia="宋体"/>
                <w:color w:val="auto"/>
                <w:sz w:val="24"/>
                <w:szCs w:val="24"/>
              </w:rPr>
              <w:t>①</w:t>
            </w:r>
            <w:r>
              <w:rPr>
                <w:rFonts w:ascii="Times New Roman" w:hAnsi="Times New Roman" w:eastAsia="宋体"/>
                <w:color w:val="auto"/>
                <w:sz w:val="24"/>
                <w:szCs w:val="24"/>
              </w:rPr>
              <w:t>室内靠近围护结构处的倍频带声压级：</w:t>
            </w:r>
          </w:p>
          <w:p>
            <w:pPr>
              <w:ind w:firstLine="0" w:firstLineChars="0"/>
              <w:jc w:val="center"/>
              <w:rPr>
                <w:rFonts w:ascii="Times New Roman" w:hAnsi="Times New Roman" w:eastAsia="宋体"/>
                <w:color w:val="auto"/>
                <w:sz w:val="24"/>
                <w:szCs w:val="24"/>
              </w:rPr>
            </w:pPr>
            <w:r>
              <w:rPr>
                <w:rFonts w:ascii="Times New Roman" w:hAnsi="Times New Roman" w:eastAsia="宋体"/>
                <w:color w:val="auto"/>
                <w:position w:val="-32"/>
                <w:sz w:val="24"/>
                <w:szCs w:val="24"/>
              </w:rPr>
              <w:object>
                <v:shape id="_x0000_i1042" o:spt="75" type="#_x0000_t75" style="height:37.5pt;width:153pt;" o:ole="t" fillcolor="#6D6D6D" filled="f" o:preferrelative="t" stroked="f" coordsize="21600,21600">
                  <v:path/>
                  <v:fill on="f" focussize="0,0"/>
                  <v:stroke on="f" joinstyle="miter"/>
                  <v:imagedata r:id="rId49" o:title=""/>
                  <o:lock v:ext="edit" aspectratio="t"/>
                  <w10:wrap type="none"/>
                  <w10:anchorlock/>
                </v:shape>
                <o:OLEObject Type="Embed" ProgID="Equation.3" ShapeID="_x0000_i1042" DrawAspect="Content" ObjectID="_1468075742" r:id="rId48">
                  <o:LockedField>false</o:LockedField>
                </o:OLEObject>
              </w:object>
            </w:r>
          </w:p>
          <w:p>
            <w:pPr>
              <w:ind w:firstLine="480"/>
              <w:rPr>
                <w:rFonts w:ascii="Times New Roman" w:hAnsi="Times New Roman" w:eastAsia="宋体"/>
                <w:color w:val="auto"/>
                <w:sz w:val="24"/>
                <w:szCs w:val="24"/>
              </w:rPr>
            </w:pPr>
            <w:r>
              <w:rPr>
                <w:rFonts w:ascii="Times New Roman" w:hAnsi="Times New Roman" w:eastAsia="宋体"/>
                <w:color w:val="auto"/>
                <w:sz w:val="24"/>
                <w:szCs w:val="24"/>
              </w:rPr>
              <w:t>式中：r1为室内某源距离围护结构的距离；</w:t>
            </w:r>
          </w:p>
          <w:p>
            <w:pPr>
              <w:ind w:firstLine="480"/>
              <w:rPr>
                <w:rFonts w:ascii="Times New Roman" w:hAnsi="Times New Roman" w:eastAsia="宋体"/>
                <w:color w:val="auto"/>
                <w:sz w:val="24"/>
                <w:szCs w:val="24"/>
              </w:rPr>
            </w:pPr>
            <w:r>
              <w:rPr>
                <w:rFonts w:ascii="Times New Roman" w:hAnsi="Times New Roman" w:eastAsia="宋体"/>
                <w:color w:val="auto"/>
                <w:sz w:val="24"/>
                <w:szCs w:val="24"/>
              </w:rPr>
              <w:t xml:space="preserve">          R为房间常数；</w:t>
            </w:r>
          </w:p>
          <w:p>
            <w:pPr>
              <w:ind w:firstLine="480"/>
              <w:rPr>
                <w:rFonts w:ascii="Times New Roman" w:hAnsi="Times New Roman" w:eastAsia="宋体"/>
                <w:color w:val="auto"/>
                <w:sz w:val="24"/>
                <w:szCs w:val="24"/>
              </w:rPr>
            </w:pPr>
            <w:r>
              <w:rPr>
                <w:rFonts w:ascii="Times New Roman" w:hAnsi="Times New Roman" w:eastAsia="宋体"/>
                <w:color w:val="auto"/>
                <w:sz w:val="24"/>
                <w:szCs w:val="24"/>
              </w:rPr>
              <w:t xml:space="preserve">          Q为方向性因子。</w:t>
            </w:r>
          </w:p>
          <w:p>
            <w:pPr>
              <w:ind w:firstLine="436" w:firstLineChars="182"/>
              <w:rPr>
                <w:rFonts w:ascii="Times New Roman" w:hAnsi="Times New Roman" w:eastAsia="宋体"/>
                <w:color w:val="auto"/>
                <w:sz w:val="24"/>
                <w:szCs w:val="24"/>
              </w:rPr>
            </w:pPr>
            <w:r>
              <w:rPr>
                <w:rFonts w:hint="eastAsia" w:ascii="Times New Roman" w:hAnsi="Times New Roman" w:eastAsia="宋体"/>
                <w:color w:val="auto"/>
                <w:sz w:val="24"/>
                <w:szCs w:val="24"/>
              </w:rPr>
              <w:t>②</w:t>
            </w:r>
            <w:r>
              <w:rPr>
                <w:rFonts w:ascii="Times New Roman" w:hAnsi="Times New Roman" w:eastAsia="宋体"/>
                <w:color w:val="auto"/>
                <w:sz w:val="24"/>
                <w:szCs w:val="24"/>
              </w:rPr>
              <w:t>室内声源在靠近围护结构处产生的总倍频带声压级：</w:t>
            </w:r>
          </w:p>
          <w:p>
            <w:pPr>
              <w:ind w:firstLine="0" w:firstLineChars="0"/>
              <w:jc w:val="center"/>
              <w:rPr>
                <w:rFonts w:ascii="Times New Roman" w:hAnsi="Times New Roman" w:eastAsia="宋体"/>
                <w:color w:val="auto"/>
                <w:sz w:val="24"/>
                <w:szCs w:val="24"/>
              </w:rPr>
            </w:pPr>
            <w:r>
              <w:rPr>
                <w:rFonts w:ascii="Times New Roman" w:hAnsi="Times New Roman" w:eastAsia="宋体"/>
                <w:color w:val="auto"/>
                <w:position w:val="-30"/>
                <w:sz w:val="24"/>
                <w:szCs w:val="24"/>
              </w:rPr>
              <w:object>
                <v:shape id="_x0000_i1043" o:spt="75" type="#_x0000_t75" style="height:36pt;width:145.5pt;" o:ole="t" fillcolor="#6D6D6D" filled="f" o:preferrelative="t" stroked="f" coordsize="21600,21600">
                  <v:path/>
                  <v:fill on="f" focussize="0,0"/>
                  <v:stroke on="f" joinstyle="miter"/>
                  <v:imagedata r:id="rId33" o:title=""/>
                  <o:lock v:ext="edit" aspectratio="t"/>
                  <w10:wrap type="none"/>
                  <w10:anchorlock/>
                </v:shape>
                <o:OLEObject Type="Embed" ProgID="Equation.3" ShapeID="_x0000_i1043" DrawAspect="Content" ObjectID="_1468075743" r:id="rId50">
                  <o:LockedField>false</o:LockedField>
                </o:OLEObject>
              </w:object>
            </w:r>
          </w:p>
          <w:p>
            <w:pPr>
              <w:ind w:firstLine="436" w:firstLineChars="182"/>
              <w:rPr>
                <w:rFonts w:ascii="Times New Roman" w:hAnsi="Times New Roman" w:eastAsia="宋体"/>
                <w:color w:val="auto"/>
                <w:sz w:val="24"/>
                <w:szCs w:val="24"/>
              </w:rPr>
            </w:pPr>
            <w:r>
              <w:rPr>
                <w:rFonts w:hint="eastAsia" w:ascii="Times New Roman" w:hAnsi="Times New Roman" w:eastAsia="宋体"/>
                <w:color w:val="auto"/>
                <w:sz w:val="24"/>
                <w:szCs w:val="24"/>
              </w:rPr>
              <w:t>③</w:t>
            </w:r>
            <w:r>
              <w:rPr>
                <w:rFonts w:ascii="Times New Roman" w:hAnsi="Times New Roman" w:eastAsia="宋体"/>
                <w:color w:val="auto"/>
                <w:sz w:val="24"/>
                <w:szCs w:val="24"/>
              </w:rPr>
              <w:t>室外靠近围护结构处的总的声压级：</w:t>
            </w:r>
          </w:p>
          <w:p>
            <w:pPr>
              <w:pStyle w:val="2"/>
              <w:spacing w:after="0"/>
              <w:ind w:firstLine="0" w:firstLineChars="0"/>
              <w:jc w:val="center"/>
              <w:rPr>
                <w:rFonts w:ascii="Times New Roman" w:hAnsi="Times New Roman" w:eastAsia="宋体"/>
                <w:color w:val="auto"/>
                <w:sz w:val="24"/>
                <w:szCs w:val="24"/>
              </w:rPr>
            </w:pPr>
            <w:r>
              <w:rPr>
                <w:rFonts w:ascii="Times New Roman" w:hAnsi="Times New Roman" w:eastAsia="宋体"/>
                <w:color w:val="auto"/>
                <w:sz w:val="24"/>
                <w:szCs w:val="24"/>
              </w:rPr>
              <w:t>L</w:t>
            </w:r>
            <w:r>
              <w:rPr>
                <w:rFonts w:ascii="Times New Roman" w:hAnsi="Times New Roman" w:eastAsia="宋体"/>
                <w:color w:val="auto"/>
                <w:sz w:val="24"/>
                <w:szCs w:val="24"/>
                <w:vertAlign w:val="subscript"/>
              </w:rPr>
              <w:t>oct,1</w:t>
            </w:r>
            <w:r>
              <w:rPr>
                <w:rFonts w:ascii="Times New Roman" w:hAnsi="Times New Roman" w:eastAsia="宋体"/>
                <w:color w:val="auto"/>
                <w:sz w:val="24"/>
                <w:szCs w:val="24"/>
              </w:rPr>
              <w:t>(T)=L</w:t>
            </w:r>
            <w:r>
              <w:rPr>
                <w:rFonts w:ascii="Times New Roman" w:hAnsi="Times New Roman" w:eastAsia="宋体"/>
                <w:color w:val="auto"/>
                <w:sz w:val="24"/>
                <w:szCs w:val="24"/>
                <w:vertAlign w:val="subscript"/>
              </w:rPr>
              <w:t>0ct,1</w:t>
            </w:r>
            <w:r>
              <w:rPr>
                <w:rFonts w:ascii="Times New Roman" w:hAnsi="Times New Roman" w:eastAsia="宋体"/>
                <w:color w:val="auto"/>
                <w:sz w:val="24"/>
                <w:szCs w:val="24"/>
              </w:rPr>
              <w:t>(T)-(T</w:t>
            </w:r>
            <w:r>
              <w:rPr>
                <w:rFonts w:ascii="Times New Roman" w:hAnsi="Times New Roman" w:eastAsia="宋体"/>
                <w:color w:val="auto"/>
                <w:sz w:val="24"/>
                <w:szCs w:val="24"/>
                <w:vertAlign w:val="subscript"/>
              </w:rPr>
              <w:t>loct</w:t>
            </w:r>
            <w:r>
              <w:rPr>
                <w:rFonts w:ascii="Times New Roman" w:hAnsi="Times New Roman" w:eastAsia="宋体"/>
                <w:color w:val="auto"/>
                <w:sz w:val="24"/>
                <w:szCs w:val="24"/>
              </w:rPr>
              <w:t>+6)</w:t>
            </w:r>
          </w:p>
          <w:p>
            <w:pPr>
              <w:ind w:firstLine="436" w:firstLineChars="182"/>
              <w:rPr>
                <w:rFonts w:ascii="Times New Roman" w:hAnsi="Times New Roman" w:eastAsia="宋体"/>
                <w:color w:val="auto"/>
                <w:sz w:val="24"/>
                <w:szCs w:val="24"/>
              </w:rPr>
            </w:pPr>
            <w:r>
              <w:rPr>
                <w:rFonts w:hint="eastAsia" w:ascii="Times New Roman" w:hAnsi="Times New Roman" w:eastAsia="宋体"/>
                <w:color w:val="auto"/>
                <w:sz w:val="24"/>
                <w:szCs w:val="24"/>
              </w:rPr>
              <w:t>④</w:t>
            </w:r>
            <w:r>
              <w:rPr>
                <w:rFonts w:ascii="Times New Roman" w:hAnsi="Times New Roman" w:eastAsia="宋体"/>
                <w:color w:val="auto"/>
                <w:sz w:val="24"/>
                <w:szCs w:val="24"/>
              </w:rPr>
              <w:t>室外声压级换算成等效的室外声源：</w:t>
            </w:r>
          </w:p>
          <w:p>
            <w:pPr>
              <w:ind w:firstLine="0" w:firstLineChars="0"/>
              <w:jc w:val="center"/>
              <w:outlineLvl w:val="0"/>
              <w:rPr>
                <w:rFonts w:ascii="Times New Roman" w:hAnsi="Times New Roman" w:eastAsia="宋体"/>
                <w:color w:val="auto"/>
                <w:sz w:val="24"/>
                <w:szCs w:val="24"/>
              </w:rPr>
            </w:pPr>
            <w:bookmarkStart w:id="83" w:name="_Toc21582"/>
            <w:r>
              <w:rPr>
                <w:rFonts w:ascii="Times New Roman" w:hAnsi="Times New Roman" w:eastAsia="宋体"/>
                <w:color w:val="auto"/>
                <w:sz w:val="24"/>
                <w:szCs w:val="24"/>
              </w:rPr>
              <w:t>L</w:t>
            </w:r>
            <w:r>
              <w:rPr>
                <w:rFonts w:ascii="Times New Roman" w:hAnsi="Times New Roman" w:eastAsia="宋体"/>
                <w:color w:val="auto"/>
                <w:sz w:val="24"/>
                <w:szCs w:val="24"/>
                <w:vertAlign w:val="subscript"/>
              </w:rPr>
              <w:t>w oct</w:t>
            </w:r>
            <w:r>
              <w:rPr>
                <w:rFonts w:ascii="Times New Roman" w:hAnsi="Times New Roman" w:eastAsia="宋体"/>
                <w:color w:val="auto"/>
                <w:sz w:val="24"/>
                <w:szCs w:val="24"/>
              </w:rPr>
              <w:t>=L</w:t>
            </w:r>
            <w:r>
              <w:rPr>
                <w:rFonts w:ascii="Times New Roman" w:hAnsi="Times New Roman" w:eastAsia="宋体"/>
                <w:color w:val="auto"/>
                <w:sz w:val="24"/>
                <w:szCs w:val="24"/>
                <w:vertAlign w:val="subscript"/>
              </w:rPr>
              <w:t>oct,2</w:t>
            </w:r>
            <w:r>
              <w:rPr>
                <w:rFonts w:ascii="Times New Roman" w:hAnsi="Times New Roman" w:eastAsia="宋体"/>
                <w:color w:val="auto"/>
                <w:sz w:val="24"/>
                <w:szCs w:val="24"/>
              </w:rPr>
              <w:t>(T)+10lgS</w:t>
            </w:r>
            <w:bookmarkEnd w:id="83"/>
          </w:p>
          <w:p>
            <w:pPr>
              <w:ind w:firstLine="480"/>
              <w:rPr>
                <w:rFonts w:ascii="Times New Roman" w:hAnsi="Times New Roman" w:eastAsia="宋体"/>
                <w:color w:val="auto"/>
                <w:sz w:val="24"/>
                <w:szCs w:val="24"/>
              </w:rPr>
            </w:pPr>
            <w:r>
              <w:rPr>
                <w:rFonts w:ascii="Times New Roman" w:hAnsi="Times New Roman" w:eastAsia="宋体"/>
                <w:color w:val="auto"/>
                <w:sz w:val="24"/>
                <w:szCs w:val="24"/>
              </w:rPr>
              <w:t>式中：S为透声面积。</w:t>
            </w:r>
          </w:p>
          <w:p>
            <w:pPr>
              <w:ind w:firstLine="480"/>
              <w:rPr>
                <w:rFonts w:ascii="Times New Roman" w:hAnsi="Times New Roman" w:eastAsia="宋体"/>
                <w:color w:val="auto"/>
                <w:sz w:val="24"/>
                <w:szCs w:val="24"/>
              </w:rPr>
            </w:pPr>
            <w:r>
              <w:rPr>
                <w:rFonts w:hint="eastAsia" w:ascii="Times New Roman" w:hAnsi="Times New Roman" w:eastAsia="宋体"/>
                <w:color w:val="auto"/>
                <w:sz w:val="24"/>
                <w:szCs w:val="24"/>
              </w:rPr>
              <w:t>⑤</w:t>
            </w:r>
            <w:r>
              <w:rPr>
                <w:rFonts w:ascii="Times New Roman" w:hAnsi="Times New Roman" w:eastAsia="宋体"/>
                <w:color w:val="auto"/>
                <w:sz w:val="24"/>
                <w:szCs w:val="24"/>
              </w:rPr>
              <w:t>等效室外声源的位置为围护结构的位置，其倍频带声功率级为L</w:t>
            </w:r>
            <w:r>
              <w:rPr>
                <w:rFonts w:ascii="Times New Roman" w:hAnsi="Times New Roman" w:eastAsia="宋体"/>
                <w:color w:val="auto"/>
                <w:sz w:val="24"/>
                <w:szCs w:val="24"/>
                <w:vertAlign w:val="subscript"/>
              </w:rPr>
              <w:t>w oct</w:t>
            </w:r>
            <w:r>
              <w:rPr>
                <w:rFonts w:ascii="Times New Roman" w:hAnsi="Times New Roman" w:eastAsia="宋体"/>
                <w:color w:val="auto"/>
                <w:sz w:val="24"/>
                <w:szCs w:val="24"/>
              </w:rPr>
              <w:t>，由此按室外声源方法计算等效室外声源在预测点产生的声级。</w:t>
            </w:r>
          </w:p>
          <w:p>
            <w:pPr>
              <w:ind w:firstLine="480"/>
              <w:rPr>
                <w:rFonts w:ascii="Times New Roman" w:hAnsi="Times New Roman" w:eastAsia="宋体"/>
                <w:color w:val="auto"/>
                <w:sz w:val="24"/>
                <w:szCs w:val="24"/>
              </w:rPr>
            </w:pPr>
            <w:r>
              <w:rPr>
                <w:rFonts w:ascii="Times New Roman" w:hAnsi="Times New Roman" w:eastAsia="宋体"/>
                <w:color w:val="auto"/>
                <w:sz w:val="24"/>
                <w:szCs w:val="24"/>
              </w:rPr>
              <w:t>根据拟建项目的特点和现有的资料数据，对计算模式进行简化并进行估算，为充分估算声源对周围环境的影响，对不满足计算条件的小额正衰减予以忽略，在此基础上进一步计算各预测点的声级。先计算设备噪声到各预测点的声压级合成，即以车间或装置作为一个整体声源，分段以不同模式测算其对外辐射的衰减量，预测各主要场源对单独存在时对厂界及外环境噪声的影响，并合成设备声源对受声点的影响。</w:t>
            </w:r>
          </w:p>
          <w:p>
            <w:pPr>
              <w:ind w:firstLine="480"/>
              <w:rPr>
                <w:rFonts w:ascii="Times New Roman" w:hAnsi="Times New Roman" w:eastAsia="宋体"/>
                <w:color w:val="auto"/>
              </w:rPr>
            </w:pPr>
            <w:r>
              <w:rPr>
                <w:rFonts w:hint="eastAsia" w:ascii="Times New Roman" w:hAnsi="Times New Roman" w:eastAsia="宋体"/>
                <w:color w:val="auto"/>
                <w:sz w:val="24"/>
                <w:szCs w:val="24"/>
              </w:rPr>
              <w:t>根据《环境影响评价技术导则》，新建建设项目以工程噪声贡献值作为评价量，</w:t>
            </w:r>
            <w:r>
              <w:rPr>
                <w:rFonts w:ascii="Times New Roman" w:hAnsi="Times New Roman" w:eastAsia="宋体"/>
                <w:color w:val="auto"/>
                <w:sz w:val="24"/>
                <w:szCs w:val="24"/>
              </w:rPr>
              <w:t>结果</w:t>
            </w:r>
            <w:r>
              <w:rPr>
                <w:rFonts w:hint="eastAsia" w:ascii="Times New Roman" w:hAnsi="Times New Roman" w:eastAsia="宋体"/>
                <w:color w:val="auto"/>
                <w:sz w:val="24"/>
                <w:szCs w:val="24"/>
              </w:rPr>
              <w:t>见表7</w:t>
            </w:r>
            <w:r>
              <w:rPr>
                <w:rFonts w:hint="eastAsia"/>
                <w:color w:val="auto"/>
                <w:sz w:val="24"/>
                <w:szCs w:val="24"/>
                <w:lang w:val="en-US" w:eastAsia="zh-CN"/>
              </w:rPr>
              <w:t>.6</w:t>
            </w:r>
            <w:r>
              <w:rPr>
                <w:rFonts w:hint="eastAsia" w:ascii="Times New Roman" w:hAnsi="Times New Roman" w:eastAsia="宋体"/>
                <w:color w:val="auto"/>
                <w:sz w:val="24"/>
                <w:szCs w:val="24"/>
              </w:rPr>
              <w:t>-2</w:t>
            </w:r>
            <w:r>
              <w:rPr>
                <w:rFonts w:hint="eastAsia"/>
                <w:color w:val="auto"/>
                <w:sz w:val="24"/>
                <w:szCs w:val="24"/>
                <w:lang w:val="en-US" w:eastAsia="zh-CN"/>
              </w:rPr>
              <w:t>1</w:t>
            </w:r>
            <w:r>
              <w:rPr>
                <w:rFonts w:hint="eastAsia" w:ascii="Times New Roman" w:hAnsi="Times New Roman" w:eastAsia="宋体"/>
                <w:color w:val="auto"/>
                <w:sz w:val="24"/>
                <w:szCs w:val="24"/>
              </w:rPr>
              <w:t>。</w:t>
            </w:r>
          </w:p>
          <w:p>
            <w:pPr>
              <w:spacing w:line="240" w:lineRule="auto"/>
              <w:ind w:firstLine="0" w:firstLineChars="0"/>
              <w:jc w:val="center"/>
              <w:rPr>
                <w:rFonts w:ascii="Times New Roman" w:hAnsi="Times New Roman" w:eastAsia="宋体"/>
                <w:b/>
                <w:color w:val="auto"/>
                <w:sz w:val="21"/>
                <w:szCs w:val="21"/>
              </w:rPr>
            </w:pPr>
            <w:r>
              <w:rPr>
                <w:rFonts w:ascii="Times New Roman" w:hAnsi="Times New Roman" w:eastAsia="宋体"/>
                <w:b/>
                <w:color w:val="auto"/>
                <w:sz w:val="21"/>
                <w:szCs w:val="21"/>
              </w:rPr>
              <w:t>表</w:t>
            </w:r>
            <w:r>
              <w:rPr>
                <w:rFonts w:hint="eastAsia" w:ascii="Times New Roman" w:hAnsi="Times New Roman" w:eastAsia="宋体"/>
                <w:b/>
                <w:color w:val="auto"/>
                <w:sz w:val="21"/>
                <w:szCs w:val="21"/>
              </w:rPr>
              <w:t>7</w:t>
            </w:r>
            <w:r>
              <w:rPr>
                <w:rFonts w:hint="eastAsia"/>
                <w:b/>
                <w:color w:val="auto"/>
                <w:sz w:val="21"/>
                <w:szCs w:val="21"/>
                <w:lang w:val="en-US" w:eastAsia="zh-CN"/>
              </w:rPr>
              <w:t>.6</w:t>
            </w:r>
            <w:r>
              <w:rPr>
                <w:rFonts w:hint="eastAsia" w:ascii="Times New Roman" w:hAnsi="Times New Roman" w:eastAsia="宋体"/>
                <w:b/>
                <w:color w:val="auto"/>
                <w:sz w:val="21"/>
                <w:szCs w:val="21"/>
              </w:rPr>
              <w:t>-2</w:t>
            </w:r>
            <w:r>
              <w:rPr>
                <w:rFonts w:hint="eastAsia"/>
                <w:b/>
                <w:color w:val="auto"/>
                <w:sz w:val="21"/>
                <w:szCs w:val="21"/>
                <w:lang w:val="en-US" w:eastAsia="zh-CN"/>
              </w:rPr>
              <w:t>1</w:t>
            </w:r>
            <w:r>
              <w:rPr>
                <w:rFonts w:hint="eastAsia" w:ascii="Times New Roman" w:hAnsi="Times New Roman" w:eastAsia="宋体"/>
                <w:b/>
                <w:color w:val="auto"/>
                <w:sz w:val="21"/>
                <w:szCs w:val="21"/>
              </w:rPr>
              <w:t xml:space="preserve">  建设项目</w:t>
            </w:r>
            <w:r>
              <w:rPr>
                <w:rFonts w:ascii="Times New Roman" w:hAnsi="Times New Roman" w:eastAsia="宋体"/>
                <w:b/>
                <w:color w:val="auto"/>
                <w:sz w:val="21"/>
                <w:szCs w:val="21"/>
              </w:rPr>
              <w:t>噪声预测结果表单位：dB(A)</w:t>
            </w:r>
          </w:p>
          <w:tbl>
            <w:tblPr>
              <w:tblStyle w:val="43"/>
              <w:tblW w:w="9219"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611"/>
              <w:gridCol w:w="1472"/>
              <w:gridCol w:w="1835"/>
              <w:gridCol w:w="1519"/>
              <w:gridCol w:w="178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73" w:hRule="atLeast"/>
                <w:jc w:val="center"/>
              </w:trPr>
              <w:tc>
                <w:tcPr>
                  <w:tcW w:w="2611" w:type="dxa"/>
                  <w:vMerge w:val="restart"/>
                  <w:vAlign w:val="center"/>
                </w:tcPr>
                <w:p>
                  <w:pPr>
                    <w:widowControl/>
                    <w:spacing w:line="320" w:lineRule="exact"/>
                    <w:ind w:firstLine="0" w:firstLineChars="0"/>
                    <w:jc w:val="center"/>
                    <w:rPr>
                      <w:rFonts w:ascii="Times New Roman" w:hAnsi="Times New Roman" w:eastAsia="宋体"/>
                      <w:b/>
                      <w:color w:val="auto"/>
                      <w:kern w:val="0"/>
                      <w:sz w:val="21"/>
                      <w:szCs w:val="21"/>
                    </w:rPr>
                  </w:pPr>
                  <w:r>
                    <w:rPr>
                      <w:rFonts w:ascii="Times New Roman" w:hAnsi="Times New Roman" w:eastAsia="宋体"/>
                      <w:b/>
                      <w:color w:val="auto"/>
                      <w:kern w:val="0"/>
                      <w:sz w:val="21"/>
                      <w:szCs w:val="21"/>
                    </w:rPr>
                    <w:t>预测点位</w:t>
                  </w:r>
                </w:p>
              </w:tc>
              <w:tc>
                <w:tcPr>
                  <w:tcW w:w="1472" w:type="dxa"/>
                  <w:vAlign w:val="center"/>
                </w:tcPr>
                <w:p>
                  <w:pPr>
                    <w:widowControl/>
                    <w:spacing w:line="320" w:lineRule="exact"/>
                    <w:ind w:firstLine="0" w:firstLineChars="0"/>
                    <w:jc w:val="center"/>
                    <w:rPr>
                      <w:rFonts w:ascii="Times New Roman" w:hAnsi="Times New Roman" w:eastAsia="宋体"/>
                      <w:b/>
                      <w:color w:val="auto"/>
                      <w:kern w:val="0"/>
                      <w:sz w:val="21"/>
                      <w:szCs w:val="21"/>
                    </w:rPr>
                  </w:pPr>
                  <w:r>
                    <w:rPr>
                      <w:rFonts w:ascii="Times New Roman" w:hAnsi="Times New Roman" w:eastAsia="宋体"/>
                      <w:b/>
                      <w:color w:val="auto"/>
                      <w:kern w:val="0"/>
                      <w:sz w:val="21"/>
                      <w:szCs w:val="21"/>
                    </w:rPr>
                    <w:t>贡献值</w:t>
                  </w:r>
                </w:p>
              </w:tc>
              <w:tc>
                <w:tcPr>
                  <w:tcW w:w="1835" w:type="dxa"/>
                  <w:vAlign w:val="center"/>
                </w:tcPr>
                <w:p>
                  <w:pPr>
                    <w:widowControl/>
                    <w:spacing w:line="320" w:lineRule="exact"/>
                    <w:ind w:firstLine="0" w:firstLineChars="0"/>
                    <w:jc w:val="center"/>
                    <w:rPr>
                      <w:rFonts w:ascii="Times New Roman" w:hAnsi="Times New Roman" w:eastAsia="宋体"/>
                      <w:b/>
                      <w:color w:val="auto"/>
                      <w:kern w:val="0"/>
                      <w:sz w:val="21"/>
                      <w:szCs w:val="21"/>
                    </w:rPr>
                  </w:pPr>
                  <w:r>
                    <w:rPr>
                      <w:rFonts w:ascii="Times New Roman" w:hAnsi="Times New Roman" w:eastAsia="宋体"/>
                      <w:b/>
                      <w:color w:val="auto"/>
                      <w:kern w:val="0"/>
                      <w:sz w:val="21"/>
                      <w:szCs w:val="21"/>
                    </w:rPr>
                    <w:t>执行标准</w:t>
                  </w:r>
                </w:p>
              </w:tc>
              <w:tc>
                <w:tcPr>
                  <w:tcW w:w="1519" w:type="dxa"/>
                  <w:vAlign w:val="center"/>
                </w:tcPr>
                <w:p>
                  <w:pPr>
                    <w:widowControl/>
                    <w:spacing w:line="320" w:lineRule="exact"/>
                    <w:ind w:firstLine="0" w:firstLineChars="0"/>
                    <w:jc w:val="center"/>
                    <w:rPr>
                      <w:rFonts w:ascii="Times New Roman" w:hAnsi="Times New Roman" w:eastAsia="宋体"/>
                      <w:b/>
                      <w:color w:val="auto"/>
                      <w:kern w:val="0"/>
                      <w:sz w:val="21"/>
                      <w:szCs w:val="21"/>
                    </w:rPr>
                  </w:pPr>
                  <w:r>
                    <w:rPr>
                      <w:rFonts w:ascii="Times New Roman" w:hAnsi="Times New Roman" w:eastAsia="宋体"/>
                      <w:b/>
                      <w:color w:val="auto"/>
                      <w:kern w:val="0"/>
                      <w:sz w:val="21"/>
                      <w:szCs w:val="21"/>
                    </w:rPr>
                    <w:t>贡献值</w:t>
                  </w:r>
                </w:p>
              </w:tc>
              <w:tc>
                <w:tcPr>
                  <w:tcW w:w="1782" w:type="dxa"/>
                  <w:vAlign w:val="center"/>
                </w:tcPr>
                <w:p>
                  <w:pPr>
                    <w:widowControl/>
                    <w:spacing w:line="320" w:lineRule="exact"/>
                    <w:ind w:firstLine="0" w:firstLineChars="0"/>
                    <w:jc w:val="center"/>
                    <w:rPr>
                      <w:rFonts w:ascii="Times New Roman" w:hAnsi="Times New Roman" w:eastAsia="宋体"/>
                      <w:b/>
                      <w:color w:val="auto"/>
                      <w:kern w:val="0"/>
                      <w:sz w:val="21"/>
                      <w:szCs w:val="21"/>
                    </w:rPr>
                  </w:pPr>
                  <w:r>
                    <w:rPr>
                      <w:rFonts w:ascii="Times New Roman" w:hAnsi="Times New Roman" w:eastAsia="宋体"/>
                      <w:b/>
                      <w:color w:val="auto"/>
                      <w:kern w:val="0"/>
                      <w:sz w:val="21"/>
                      <w:szCs w:val="21"/>
                    </w:rPr>
                    <w:t>执行标准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72" w:hRule="atLeast"/>
                <w:jc w:val="center"/>
              </w:trPr>
              <w:tc>
                <w:tcPr>
                  <w:tcW w:w="2611" w:type="dxa"/>
                  <w:vMerge w:val="continue"/>
                  <w:vAlign w:val="center"/>
                </w:tcPr>
                <w:p>
                  <w:pPr>
                    <w:widowControl/>
                    <w:spacing w:line="320" w:lineRule="exact"/>
                    <w:ind w:firstLine="0" w:firstLineChars="0"/>
                    <w:jc w:val="center"/>
                    <w:rPr>
                      <w:rFonts w:ascii="Times New Roman" w:hAnsi="Times New Roman" w:eastAsia="宋体"/>
                      <w:b/>
                      <w:color w:val="auto"/>
                      <w:kern w:val="0"/>
                      <w:sz w:val="21"/>
                      <w:szCs w:val="21"/>
                    </w:rPr>
                  </w:pPr>
                </w:p>
              </w:tc>
              <w:tc>
                <w:tcPr>
                  <w:tcW w:w="1472" w:type="dxa"/>
                  <w:vAlign w:val="center"/>
                </w:tcPr>
                <w:p>
                  <w:pPr>
                    <w:widowControl/>
                    <w:spacing w:line="320" w:lineRule="exact"/>
                    <w:ind w:firstLine="0" w:firstLineChars="0"/>
                    <w:jc w:val="center"/>
                    <w:rPr>
                      <w:rFonts w:ascii="Times New Roman" w:hAnsi="Times New Roman" w:eastAsia="宋体"/>
                      <w:b/>
                      <w:color w:val="auto"/>
                      <w:kern w:val="0"/>
                      <w:sz w:val="21"/>
                      <w:szCs w:val="21"/>
                    </w:rPr>
                  </w:pPr>
                  <w:r>
                    <w:rPr>
                      <w:rFonts w:ascii="Times New Roman" w:hAnsi="Times New Roman" w:eastAsia="宋体"/>
                      <w:b/>
                      <w:color w:val="auto"/>
                      <w:kern w:val="0"/>
                      <w:sz w:val="21"/>
                      <w:szCs w:val="21"/>
                    </w:rPr>
                    <w:t>昼间</w:t>
                  </w:r>
                </w:p>
              </w:tc>
              <w:tc>
                <w:tcPr>
                  <w:tcW w:w="1835" w:type="dxa"/>
                  <w:vAlign w:val="center"/>
                </w:tcPr>
                <w:p>
                  <w:pPr>
                    <w:widowControl/>
                    <w:spacing w:line="320" w:lineRule="exact"/>
                    <w:ind w:firstLine="0" w:firstLineChars="0"/>
                    <w:jc w:val="center"/>
                    <w:rPr>
                      <w:rFonts w:ascii="Times New Roman" w:hAnsi="Times New Roman" w:eastAsia="宋体"/>
                      <w:b/>
                      <w:color w:val="auto"/>
                      <w:kern w:val="0"/>
                      <w:sz w:val="21"/>
                      <w:szCs w:val="21"/>
                    </w:rPr>
                  </w:pPr>
                  <w:r>
                    <w:rPr>
                      <w:rFonts w:ascii="Times New Roman" w:hAnsi="Times New Roman" w:eastAsia="宋体"/>
                      <w:b/>
                      <w:color w:val="auto"/>
                      <w:kern w:val="0"/>
                      <w:sz w:val="21"/>
                      <w:szCs w:val="21"/>
                    </w:rPr>
                    <w:t>昼间</w:t>
                  </w:r>
                </w:p>
              </w:tc>
              <w:tc>
                <w:tcPr>
                  <w:tcW w:w="1519" w:type="dxa"/>
                  <w:vAlign w:val="center"/>
                </w:tcPr>
                <w:p>
                  <w:pPr>
                    <w:widowControl/>
                    <w:spacing w:line="320" w:lineRule="exact"/>
                    <w:ind w:firstLine="0" w:firstLineChars="0"/>
                    <w:jc w:val="center"/>
                    <w:rPr>
                      <w:rFonts w:ascii="Times New Roman" w:hAnsi="Times New Roman" w:eastAsia="宋体"/>
                      <w:b/>
                      <w:color w:val="auto"/>
                      <w:kern w:val="0"/>
                      <w:sz w:val="21"/>
                      <w:szCs w:val="21"/>
                    </w:rPr>
                  </w:pPr>
                  <w:r>
                    <w:rPr>
                      <w:rFonts w:hint="eastAsia" w:ascii="Times New Roman" w:hAnsi="Times New Roman" w:eastAsia="宋体"/>
                      <w:b/>
                      <w:color w:val="auto"/>
                      <w:kern w:val="0"/>
                      <w:sz w:val="21"/>
                      <w:szCs w:val="21"/>
                    </w:rPr>
                    <w:t>夜间</w:t>
                  </w:r>
                </w:p>
              </w:tc>
              <w:tc>
                <w:tcPr>
                  <w:tcW w:w="1782" w:type="dxa"/>
                  <w:vAlign w:val="center"/>
                </w:tcPr>
                <w:p>
                  <w:pPr>
                    <w:widowControl/>
                    <w:spacing w:line="320" w:lineRule="exact"/>
                    <w:ind w:firstLine="0" w:firstLineChars="0"/>
                    <w:jc w:val="center"/>
                    <w:rPr>
                      <w:rFonts w:ascii="Times New Roman" w:hAnsi="Times New Roman" w:eastAsia="宋体"/>
                      <w:b/>
                      <w:color w:val="auto"/>
                      <w:kern w:val="0"/>
                      <w:sz w:val="21"/>
                      <w:szCs w:val="21"/>
                    </w:rPr>
                  </w:pPr>
                  <w:r>
                    <w:rPr>
                      <w:rFonts w:hint="eastAsia" w:ascii="Times New Roman" w:hAnsi="Times New Roman" w:eastAsia="宋体"/>
                      <w:b/>
                      <w:color w:val="auto"/>
                      <w:kern w:val="0"/>
                      <w:sz w:val="21"/>
                      <w:szCs w:val="21"/>
                    </w:rPr>
                    <w:t>夜间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11" w:type="dxa"/>
                  <w:vAlign w:val="center"/>
                </w:tcPr>
                <w:p>
                  <w:pPr>
                    <w:spacing w:line="320" w:lineRule="exact"/>
                    <w:ind w:firstLine="0" w:firstLineChars="0"/>
                    <w:jc w:val="center"/>
                    <w:rPr>
                      <w:rFonts w:ascii="Times New Roman" w:hAnsi="Times New Roman" w:eastAsia="宋体"/>
                      <w:color w:val="auto"/>
                      <w:kern w:val="0"/>
                      <w:sz w:val="21"/>
                      <w:szCs w:val="21"/>
                    </w:rPr>
                  </w:pPr>
                  <w:r>
                    <w:rPr>
                      <w:rFonts w:ascii="Times New Roman" w:hAnsi="Times New Roman" w:eastAsia="宋体"/>
                      <w:color w:val="auto"/>
                      <w:sz w:val="21"/>
                      <w:szCs w:val="21"/>
                    </w:rPr>
                    <w:t>N1东厂界</w:t>
                  </w:r>
                </w:p>
              </w:tc>
              <w:tc>
                <w:tcPr>
                  <w:tcW w:w="1472" w:type="dxa"/>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46.77</w:t>
                  </w:r>
                </w:p>
              </w:tc>
              <w:tc>
                <w:tcPr>
                  <w:tcW w:w="1835" w:type="dxa"/>
                  <w:vAlign w:val="center"/>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60</w:t>
                  </w:r>
                </w:p>
              </w:tc>
              <w:tc>
                <w:tcPr>
                  <w:tcW w:w="1519" w:type="dxa"/>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46.77</w:t>
                  </w:r>
                </w:p>
              </w:tc>
              <w:tc>
                <w:tcPr>
                  <w:tcW w:w="1782" w:type="dxa"/>
                  <w:vAlign w:val="center"/>
                </w:tcPr>
                <w:p>
                  <w:pPr>
                    <w:spacing w:line="320" w:lineRule="exact"/>
                    <w:ind w:firstLine="0" w:firstLineChars="0"/>
                    <w:jc w:val="center"/>
                    <w:rPr>
                      <w:rFonts w:ascii="Times New Roman" w:hAnsi="Times New Roman" w:eastAsia="宋体"/>
                      <w:color w:val="auto"/>
                      <w:kern w:val="0"/>
                      <w:sz w:val="21"/>
                      <w:szCs w:val="21"/>
                    </w:rPr>
                  </w:pPr>
                  <w:r>
                    <w:rPr>
                      <w:rFonts w:hint="eastAsia" w:ascii="Times New Roman" w:hAnsi="Times New Roman" w:eastAsia="宋体"/>
                      <w:color w:val="auto"/>
                      <w:sz w:val="21"/>
                      <w:szCs w:val="21"/>
                    </w:rPr>
                    <w:t>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11" w:type="dxa"/>
                  <w:vAlign w:val="center"/>
                </w:tcPr>
                <w:p>
                  <w:pPr>
                    <w:spacing w:line="320" w:lineRule="exact"/>
                    <w:ind w:firstLine="0" w:firstLineChars="0"/>
                    <w:jc w:val="center"/>
                    <w:rPr>
                      <w:rFonts w:ascii="Times New Roman" w:hAnsi="Times New Roman" w:eastAsia="宋体"/>
                      <w:color w:val="auto"/>
                      <w:kern w:val="0"/>
                      <w:sz w:val="21"/>
                      <w:szCs w:val="21"/>
                    </w:rPr>
                  </w:pPr>
                  <w:r>
                    <w:rPr>
                      <w:rFonts w:ascii="Times New Roman" w:hAnsi="Times New Roman" w:eastAsia="宋体"/>
                      <w:color w:val="auto"/>
                      <w:sz w:val="21"/>
                      <w:szCs w:val="21"/>
                    </w:rPr>
                    <w:t>N2</w:t>
                  </w:r>
                  <w:r>
                    <w:rPr>
                      <w:rFonts w:hint="eastAsia" w:ascii="Times New Roman" w:hAnsi="Times New Roman" w:eastAsia="宋体"/>
                      <w:color w:val="auto"/>
                      <w:sz w:val="21"/>
                      <w:szCs w:val="21"/>
                    </w:rPr>
                    <w:t>南</w:t>
                  </w:r>
                  <w:r>
                    <w:rPr>
                      <w:rFonts w:ascii="Times New Roman" w:hAnsi="Times New Roman" w:eastAsia="宋体"/>
                      <w:color w:val="auto"/>
                      <w:sz w:val="21"/>
                      <w:szCs w:val="21"/>
                    </w:rPr>
                    <w:t>厂界</w:t>
                  </w:r>
                </w:p>
              </w:tc>
              <w:tc>
                <w:tcPr>
                  <w:tcW w:w="1472" w:type="dxa"/>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35.86</w:t>
                  </w:r>
                </w:p>
              </w:tc>
              <w:tc>
                <w:tcPr>
                  <w:tcW w:w="1835" w:type="dxa"/>
                  <w:vAlign w:val="center"/>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70</w:t>
                  </w:r>
                </w:p>
              </w:tc>
              <w:tc>
                <w:tcPr>
                  <w:tcW w:w="1519" w:type="dxa"/>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35.86</w:t>
                  </w:r>
                </w:p>
              </w:tc>
              <w:tc>
                <w:tcPr>
                  <w:tcW w:w="1782" w:type="dxa"/>
                  <w:vAlign w:val="center"/>
                </w:tcPr>
                <w:p>
                  <w:pPr>
                    <w:spacing w:line="320" w:lineRule="exact"/>
                    <w:ind w:firstLine="0" w:firstLineChars="0"/>
                    <w:jc w:val="center"/>
                    <w:rPr>
                      <w:rFonts w:ascii="Times New Roman" w:hAnsi="Times New Roman" w:eastAsia="宋体"/>
                      <w:color w:val="auto"/>
                      <w:kern w:val="0"/>
                      <w:sz w:val="21"/>
                      <w:szCs w:val="21"/>
                    </w:rPr>
                  </w:pPr>
                  <w:r>
                    <w:rPr>
                      <w:rFonts w:hint="eastAsia" w:ascii="Times New Roman" w:hAnsi="Times New Roman" w:eastAsia="宋体"/>
                      <w:color w:val="auto"/>
                      <w:sz w:val="21"/>
                      <w:szCs w:val="21"/>
                    </w:rPr>
                    <w:t>55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11" w:type="dxa"/>
                  <w:vAlign w:val="center"/>
                </w:tcPr>
                <w:p>
                  <w:pPr>
                    <w:spacing w:line="320" w:lineRule="exact"/>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3</w:t>
                  </w:r>
                  <w:r>
                    <w:rPr>
                      <w:rFonts w:ascii="Times New Roman" w:hAnsi="Times New Roman" w:eastAsia="宋体"/>
                      <w:color w:val="auto"/>
                      <w:sz w:val="21"/>
                      <w:szCs w:val="21"/>
                    </w:rPr>
                    <w:t>西厂界</w:t>
                  </w:r>
                </w:p>
              </w:tc>
              <w:tc>
                <w:tcPr>
                  <w:tcW w:w="1472" w:type="dxa"/>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46.08</w:t>
                  </w:r>
                </w:p>
              </w:tc>
              <w:tc>
                <w:tcPr>
                  <w:tcW w:w="1835" w:type="dxa"/>
                  <w:vAlign w:val="center"/>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60</w:t>
                  </w:r>
                </w:p>
              </w:tc>
              <w:tc>
                <w:tcPr>
                  <w:tcW w:w="1519" w:type="dxa"/>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46.08</w:t>
                  </w:r>
                </w:p>
              </w:tc>
              <w:tc>
                <w:tcPr>
                  <w:tcW w:w="1782" w:type="dxa"/>
                  <w:vAlign w:val="center"/>
                </w:tcPr>
                <w:p>
                  <w:pPr>
                    <w:spacing w:line="320" w:lineRule="exact"/>
                    <w:ind w:firstLine="0" w:firstLineChars="0"/>
                    <w:jc w:val="center"/>
                    <w:rPr>
                      <w:rFonts w:ascii="Times New Roman" w:hAnsi="Times New Roman" w:eastAsia="宋体"/>
                      <w:color w:val="auto"/>
                      <w:kern w:val="0"/>
                      <w:sz w:val="21"/>
                      <w:szCs w:val="21"/>
                    </w:rPr>
                  </w:pPr>
                  <w:r>
                    <w:rPr>
                      <w:rFonts w:hint="eastAsia" w:ascii="Times New Roman" w:hAnsi="Times New Roman" w:eastAsia="宋体"/>
                      <w:color w:val="auto"/>
                      <w:sz w:val="21"/>
                      <w:szCs w:val="21"/>
                    </w:rPr>
                    <w:t>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11" w:type="dxa"/>
                  <w:vAlign w:val="center"/>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r>
                    <w:rPr>
                      <w:rFonts w:ascii="Times New Roman" w:hAnsi="Times New Roman" w:eastAsia="宋体"/>
                      <w:color w:val="auto"/>
                      <w:sz w:val="21"/>
                      <w:szCs w:val="21"/>
                    </w:rPr>
                    <w:t>北厂界</w:t>
                  </w:r>
                </w:p>
              </w:tc>
              <w:tc>
                <w:tcPr>
                  <w:tcW w:w="1472" w:type="dxa"/>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44.52</w:t>
                  </w:r>
                </w:p>
              </w:tc>
              <w:tc>
                <w:tcPr>
                  <w:tcW w:w="1835" w:type="dxa"/>
                  <w:vAlign w:val="center"/>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70</w:t>
                  </w:r>
                </w:p>
              </w:tc>
              <w:tc>
                <w:tcPr>
                  <w:tcW w:w="1519" w:type="dxa"/>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44.52</w:t>
                  </w:r>
                </w:p>
              </w:tc>
              <w:tc>
                <w:tcPr>
                  <w:tcW w:w="1782" w:type="dxa"/>
                  <w:vAlign w:val="center"/>
                </w:tcPr>
                <w:p>
                  <w:pPr>
                    <w:spacing w:line="320" w:lineRule="exact"/>
                    <w:ind w:firstLine="0" w:firstLineChars="0"/>
                    <w:jc w:val="center"/>
                    <w:rPr>
                      <w:rFonts w:ascii="Times New Roman" w:hAnsi="Times New Roman" w:eastAsia="宋体"/>
                      <w:color w:val="auto"/>
                      <w:kern w:val="0"/>
                      <w:sz w:val="21"/>
                      <w:szCs w:val="21"/>
                    </w:rPr>
                  </w:pPr>
                  <w:r>
                    <w:rPr>
                      <w:rFonts w:hint="eastAsia" w:ascii="Times New Roman" w:hAnsi="Times New Roman" w:eastAsia="宋体"/>
                      <w:color w:val="auto"/>
                      <w:sz w:val="21"/>
                      <w:szCs w:val="21"/>
                    </w:rPr>
                    <w:t>55</w:t>
                  </w:r>
                </w:p>
              </w:tc>
            </w:tr>
          </w:tbl>
          <w:p>
            <w:pPr>
              <w:ind w:firstLine="480"/>
              <w:rPr>
                <w:rFonts w:ascii="Times New Roman" w:hAnsi="Times New Roman" w:eastAsia="宋体"/>
                <w:color w:val="auto"/>
                <w:sz w:val="24"/>
                <w:szCs w:val="24"/>
              </w:rPr>
            </w:pPr>
            <w:r>
              <w:rPr>
                <w:rFonts w:hint="eastAsia" w:ascii="Times New Roman" w:hAnsi="Times New Roman" w:eastAsia="宋体"/>
                <w:color w:val="auto"/>
                <w:sz w:val="24"/>
                <w:szCs w:val="24"/>
              </w:rPr>
              <w:t>根据上表，建设项目建成后北、南厂界</w:t>
            </w:r>
            <w:r>
              <w:rPr>
                <w:rFonts w:ascii="Times New Roman" w:hAnsi="Times New Roman" w:eastAsia="宋体"/>
                <w:color w:val="auto"/>
                <w:sz w:val="24"/>
                <w:szCs w:val="24"/>
              </w:rPr>
              <w:t>监测点昼间噪声</w:t>
            </w:r>
            <w:r>
              <w:rPr>
                <w:rFonts w:hint="eastAsia" w:ascii="Times New Roman" w:hAnsi="Times New Roman" w:eastAsia="宋体"/>
                <w:color w:val="auto"/>
                <w:sz w:val="24"/>
                <w:szCs w:val="24"/>
              </w:rPr>
              <w:t>贡献值满足</w:t>
            </w:r>
            <w:r>
              <w:rPr>
                <w:rFonts w:ascii="Times New Roman" w:hAnsi="Times New Roman" w:eastAsia="宋体"/>
                <w:color w:val="auto"/>
                <w:sz w:val="24"/>
                <w:szCs w:val="24"/>
              </w:rPr>
              <w:t>《工业企业厂界环境噪声排放标准》（GB12348</w:t>
            </w:r>
            <w:r>
              <w:rPr>
                <w:rFonts w:hint="eastAsia" w:ascii="Times New Roman" w:hAnsi="Times New Roman" w:eastAsia="宋体"/>
                <w:color w:val="auto"/>
                <w:sz w:val="24"/>
                <w:szCs w:val="24"/>
              </w:rPr>
              <w:t>-</w:t>
            </w:r>
            <w:r>
              <w:rPr>
                <w:rFonts w:ascii="Times New Roman" w:hAnsi="Times New Roman" w:eastAsia="宋体"/>
                <w:color w:val="auto"/>
                <w:sz w:val="24"/>
                <w:szCs w:val="24"/>
              </w:rPr>
              <w:t>2008）中</w:t>
            </w:r>
            <w:r>
              <w:rPr>
                <w:rFonts w:hint="eastAsia" w:ascii="Times New Roman" w:hAnsi="Times New Roman" w:eastAsia="宋体"/>
                <w:color w:val="auto"/>
                <w:sz w:val="24"/>
                <w:szCs w:val="24"/>
              </w:rPr>
              <w:t>4</w:t>
            </w:r>
            <w:r>
              <w:rPr>
                <w:rFonts w:ascii="Times New Roman" w:hAnsi="Times New Roman" w:eastAsia="宋体"/>
                <w:color w:val="auto"/>
                <w:sz w:val="24"/>
                <w:szCs w:val="24"/>
              </w:rPr>
              <w:t>类标准</w:t>
            </w:r>
            <w:r>
              <w:rPr>
                <w:rFonts w:hint="eastAsia" w:ascii="Times New Roman" w:hAnsi="Times New Roman" w:eastAsia="宋体"/>
                <w:color w:val="auto"/>
                <w:sz w:val="24"/>
                <w:szCs w:val="24"/>
              </w:rPr>
              <w:t>，</w:t>
            </w:r>
            <w:r>
              <w:rPr>
                <w:rFonts w:hint="eastAsia" w:ascii="Times New Roman" w:hAnsi="Times New Roman" w:eastAsia="宋体"/>
                <w:bCs/>
                <w:color w:val="auto"/>
                <w:sz w:val="24"/>
                <w:szCs w:val="24"/>
              </w:rPr>
              <w:t>东、西厂界执行</w:t>
            </w:r>
            <w:r>
              <w:rPr>
                <w:rFonts w:ascii="Times New Roman" w:hAnsi="Times New Roman" w:eastAsia="宋体"/>
                <w:color w:val="auto"/>
                <w:sz w:val="24"/>
                <w:szCs w:val="24"/>
              </w:rPr>
              <w:t>《工业企业厂界环境噪声排放标准》（GB12348</w:t>
            </w:r>
            <w:r>
              <w:rPr>
                <w:rFonts w:hint="eastAsia" w:ascii="Times New Roman" w:hAnsi="Times New Roman" w:eastAsia="宋体"/>
                <w:color w:val="auto"/>
                <w:sz w:val="24"/>
                <w:szCs w:val="24"/>
              </w:rPr>
              <w:t>-</w:t>
            </w:r>
            <w:r>
              <w:rPr>
                <w:rFonts w:ascii="Times New Roman" w:hAnsi="Times New Roman" w:eastAsia="宋体"/>
                <w:color w:val="auto"/>
                <w:sz w:val="24"/>
                <w:szCs w:val="24"/>
              </w:rPr>
              <w:t>2008）中</w:t>
            </w:r>
            <w:r>
              <w:rPr>
                <w:rFonts w:hint="eastAsia" w:ascii="Times New Roman" w:hAnsi="Times New Roman" w:eastAsia="宋体"/>
                <w:bCs/>
                <w:color w:val="auto"/>
                <w:sz w:val="24"/>
                <w:szCs w:val="24"/>
              </w:rPr>
              <w:t>2类标准，</w:t>
            </w:r>
            <w:r>
              <w:rPr>
                <w:rFonts w:hint="eastAsia" w:ascii="Times New Roman" w:hAnsi="Times New Roman" w:eastAsia="宋体"/>
                <w:color w:val="auto"/>
                <w:sz w:val="24"/>
                <w:szCs w:val="24"/>
              </w:rPr>
              <w:t>对周围声环境无明显影响，不会发生扰民现象。</w:t>
            </w:r>
          </w:p>
          <w:p>
            <w:pPr>
              <w:ind w:firstLine="472" w:firstLineChars="196"/>
              <w:rPr>
                <w:rFonts w:ascii="Times New Roman" w:hAnsi="Times New Roman" w:eastAsia="宋体"/>
                <w:b/>
                <w:color w:val="auto"/>
                <w:sz w:val="24"/>
                <w:szCs w:val="21"/>
              </w:rPr>
            </w:pPr>
            <w:r>
              <w:rPr>
                <w:rFonts w:hint="eastAsia" w:ascii="Times New Roman" w:hAnsi="Times New Roman"/>
                <w:b/>
                <w:color w:val="auto"/>
                <w:sz w:val="24"/>
                <w:szCs w:val="21"/>
                <w:lang w:val="en-US" w:eastAsia="zh-CN"/>
              </w:rPr>
              <w:t>4.</w:t>
            </w:r>
            <w:r>
              <w:rPr>
                <w:rFonts w:ascii="Times New Roman" w:hAnsi="Times New Roman" w:eastAsia="宋体"/>
                <w:b/>
                <w:color w:val="auto"/>
                <w:sz w:val="24"/>
                <w:szCs w:val="21"/>
              </w:rPr>
              <w:t>固体废弃物</w:t>
            </w:r>
          </w:p>
          <w:p>
            <w:pPr>
              <w:pStyle w:val="2"/>
              <w:ind w:firstLine="480"/>
              <w:rPr>
                <w:rFonts w:ascii="Times New Roman" w:hAnsi="Times New Roman" w:eastAsia="宋体"/>
                <w:color w:val="auto"/>
                <w:sz w:val="24"/>
                <w:szCs w:val="24"/>
              </w:rPr>
            </w:pPr>
            <w:r>
              <w:rPr>
                <w:rFonts w:hint="eastAsia" w:ascii="Times New Roman" w:hAnsi="Times New Roman" w:eastAsia="宋体"/>
                <w:color w:val="auto"/>
                <w:sz w:val="24"/>
                <w:szCs w:val="24"/>
              </w:rPr>
              <w:t>建设项目固体废弃物主要包括废活性炭、废催化剂、废紫外线灯管、除尘灰、生活垃圾、化粪池污泥、隔油池废油脂、废矿物油、废水处理污泥。</w:t>
            </w:r>
          </w:p>
          <w:p>
            <w:pPr>
              <w:ind w:firstLine="480"/>
              <w:rPr>
                <w:rFonts w:ascii="Times New Roman" w:hAnsi="Times New Roman" w:eastAsia="宋体"/>
                <w:color w:val="auto"/>
              </w:rPr>
            </w:pPr>
            <w:r>
              <w:rPr>
                <w:rFonts w:hint="eastAsia" w:ascii="Times New Roman" w:hAnsi="Times New Roman" w:eastAsia="宋体"/>
                <w:color w:val="auto"/>
                <w:sz w:val="24"/>
                <w:szCs w:val="24"/>
              </w:rPr>
              <w:t>建设项目固体废物利用处置方式见表7</w:t>
            </w:r>
            <w:r>
              <w:rPr>
                <w:rFonts w:hint="eastAsia"/>
                <w:color w:val="auto"/>
                <w:sz w:val="24"/>
                <w:szCs w:val="24"/>
                <w:lang w:val="en-US" w:eastAsia="zh-CN"/>
              </w:rPr>
              <w:t>.6</w:t>
            </w:r>
            <w:r>
              <w:rPr>
                <w:rFonts w:hint="eastAsia" w:ascii="Times New Roman" w:hAnsi="Times New Roman" w:eastAsia="宋体"/>
                <w:color w:val="auto"/>
                <w:sz w:val="24"/>
                <w:szCs w:val="24"/>
              </w:rPr>
              <w:t>-2</w:t>
            </w:r>
            <w:r>
              <w:rPr>
                <w:rFonts w:hint="eastAsia"/>
                <w:color w:val="auto"/>
                <w:sz w:val="24"/>
                <w:szCs w:val="24"/>
                <w:lang w:val="en-US" w:eastAsia="zh-CN"/>
              </w:rPr>
              <w:t>2</w:t>
            </w:r>
            <w:r>
              <w:rPr>
                <w:rFonts w:hint="eastAsia" w:ascii="Times New Roman" w:hAnsi="Times New Roman" w:eastAsia="宋体"/>
                <w:color w:val="auto"/>
                <w:sz w:val="24"/>
                <w:szCs w:val="24"/>
              </w:rPr>
              <w:t>。</w:t>
            </w:r>
          </w:p>
          <w:p>
            <w:pPr>
              <w:spacing w:line="240" w:lineRule="auto"/>
              <w:ind w:firstLine="0" w:firstLineChars="0"/>
              <w:jc w:val="center"/>
              <w:rPr>
                <w:rFonts w:ascii="Times New Roman" w:hAnsi="Times New Roman" w:eastAsia="宋体"/>
                <w:b/>
                <w:color w:val="auto"/>
                <w:sz w:val="21"/>
                <w:szCs w:val="21"/>
              </w:rPr>
            </w:pPr>
            <w:r>
              <w:rPr>
                <w:rFonts w:hint="eastAsia" w:ascii="Times New Roman" w:hAnsi="Times New Roman" w:eastAsia="宋体"/>
                <w:b/>
                <w:color w:val="auto"/>
                <w:sz w:val="21"/>
                <w:szCs w:val="21"/>
              </w:rPr>
              <w:t>表7</w:t>
            </w:r>
            <w:r>
              <w:rPr>
                <w:rFonts w:hint="eastAsia"/>
                <w:b/>
                <w:color w:val="auto"/>
                <w:sz w:val="21"/>
                <w:szCs w:val="21"/>
                <w:lang w:val="en-US" w:eastAsia="zh-CN"/>
              </w:rPr>
              <w:t>.6</w:t>
            </w:r>
            <w:r>
              <w:rPr>
                <w:rFonts w:hint="eastAsia" w:ascii="Times New Roman" w:hAnsi="Times New Roman" w:eastAsia="宋体"/>
                <w:b/>
                <w:color w:val="auto"/>
                <w:sz w:val="21"/>
                <w:szCs w:val="21"/>
              </w:rPr>
              <w:t>-2</w:t>
            </w:r>
            <w:r>
              <w:rPr>
                <w:rFonts w:hint="eastAsia"/>
                <w:b/>
                <w:color w:val="auto"/>
                <w:sz w:val="21"/>
                <w:szCs w:val="21"/>
                <w:lang w:val="en-US" w:eastAsia="zh-CN"/>
              </w:rPr>
              <w:t>2</w:t>
            </w:r>
            <w:r>
              <w:rPr>
                <w:rFonts w:hint="eastAsia" w:ascii="Times New Roman" w:hAnsi="Times New Roman" w:eastAsia="宋体"/>
                <w:b/>
                <w:color w:val="auto"/>
                <w:sz w:val="21"/>
                <w:szCs w:val="21"/>
              </w:rPr>
              <w:t xml:space="preserve"> 本项目固体废物利用处置方式</w:t>
            </w:r>
          </w:p>
          <w:tbl>
            <w:tblPr>
              <w:tblStyle w:val="43"/>
              <w:tblW w:w="921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38"/>
              <w:gridCol w:w="1921"/>
              <w:gridCol w:w="998"/>
              <w:gridCol w:w="1590"/>
              <w:gridCol w:w="1163"/>
              <w:gridCol w:w="1240"/>
              <w:gridCol w:w="176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18" w:hRule="atLeast"/>
                <w:jc w:val="center"/>
              </w:trPr>
              <w:tc>
                <w:tcPr>
                  <w:tcW w:w="538" w:type="dxa"/>
                  <w:vAlign w:val="center"/>
                </w:tcPr>
                <w:p>
                  <w:pPr>
                    <w:pStyle w:val="220"/>
                    <w:spacing w:line="320" w:lineRule="exact"/>
                    <w:rPr>
                      <w:rFonts w:ascii="Times New Roman" w:hAnsi="Times New Roman" w:eastAsia="宋体"/>
                      <w:b/>
                      <w:color w:val="auto"/>
                    </w:rPr>
                  </w:pPr>
                  <w:r>
                    <w:rPr>
                      <w:rFonts w:ascii="Times New Roman" w:hAnsi="Times New Roman" w:eastAsia="宋体"/>
                      <w:b/>
                      <w:color w:val="auto"/>
                    </w:rPr>
                    <w:t>序号</w:t>
                  </w:r>
                </w:p>
              </w:tc>
              <w:tc>
                <w:tcPr>
                  <w:tcW w:w="1921" w:type="dxa"/>
                  <w:vAlign w:val="center"/>
                </w:tcPr>
                <w:p>
                  <w:pPr>
                    <w:pStyle w:val="220"/>
                    <w:spacing w:line="320" w:lineRule="exact"/>
                    <w:rPr>
                      <w:rFonts w:ascii="Times New Roman" w:hAnsi="Times New Roman" w:eastAsia="宋体"/>
                      <w:b/>
                      <w:color w:val="auto"/>
                    </w:rPr>
                  </w:pPr>
                  <w:r>
                    <w:rPr>
                      <w:rFonts w:ascii="Times New Roman" w:hAnsi="Times New Roman" w:eastAsia="宋体"/>
                      <w:b/>
                      <w:color w:val="auto"/>
                    </w:rPr>
                    <w:t>固废名称</w:t>
                  </w:r>
                </w:p>
              </w:tc>
              <w:tc>
                <w:tcPr>
                  <w:tcW w:w="998" w:type="dxa"/>
                  <w:vAlign w:val="center"/>
                </w:tcPr>
                <w:p>
                  <w:pPr>
                    <w:pStyle w:val="220"/>
                    <w:spacing w:line="320" w:lineRule="exact"/>
                    <w:rPr>
                      <w:rFonts w:ascii="Times New Roman" w:hAnsi="Times New Roman" w:eastAsia="宋体"/>
                      <w:b/>
                      <w:color w:val="auto"/>
                    </w:rPr>
                  </w:pPr>
                  <w:r>
                    <w:rPr>
                      <w:rFonts w:ascii="Times New Roman" w:hAnsi="Times New Roman" w:eastAsia="宋体"/>
                      <w:b/>
                      <w:color w:val="auto"/>
                    </w:rPr>
                    <w:t>属性</w:t>
                  </w:r>
                </w:p>
              </w:tc>
              <w:tc>
                <w:tcPr>
                  <w:tcW w:w="1590" w:type="dxa"/>
                  <w:vAlign w:val="center"/>
                </w:tcPr>
                <w:p>
                  <w:pPr>
                    <w:pStyle w:val="220"/>
                    <w:spacing w:line="320" w:lineRule="exact"/>
                    <w:rPr>
                      <w:rFonts w:ascii="Times New Roman" w:hAnsi="Times New Roman" w:eastAsia="宋体"/>
                      <w:b/>
                      <w:color w:val="auto"/>
                    </w:rPr>
                  </w:pPr>
                  <w:r>
                    <w:rPr>
                      <w:rFonts w:ascii="Times New Roman" w:hAnsi="Times New Roman" w:eastAsia="宋体"/>
                      <w:b/>
                      <w:color w:val="auto"/>
                    </w:rPr>
                    <w:t>产生工序</w:t>
                  </w:r>
                </w:p>
              </w:tc>
              <w:tc>
                <w:tcPr>
                  <w:tcW w:w="1163" w:type="dxa"/>
                  <w:vAlign w:val="center"/>
                </w:tcPr>
                <w:p>
                  <w:pPr>
                    <w:pStyle w:val="220"/>
                    <w:spacing w:line="320" w:lineRule="exact"/>
                    <w:rPr>
                      <w:rFonts w:ascii="Times New Roman" w:hAnsi="Times New Roman" w:eastAsia="宋体"/>
                      <w:b/>
                      <w:color w:val="auto"/>
                    </w:rPr>
                  </w:pPr>
                  <w:r>
                    <w:rPr>
                      <w:rFonts w:ascii="Times New Roman" w:hAnsi="Times New Roman" w:eastAsia="宋体"/>
                      <w:b/>
                      <w:color w:val="auto"/>
                    </w:rPr>
                    <w:t>废物</w:t>
                  </w:r>
                </w:p>
                <w:p>
                  <w:pPr>
                    <w:pStyle w:val="220"/>
                    <w:spacing w:line="320" w:lineRule="exact"/>
                    <w:rPr>
                      <w:rFonts w:ascii="Times New Roman" w:hAnsi="Times New Roman" w:eastAsia="宋体"/>
                      <w:b/>
                      <w:color w:val="auto"/>
                    </w:rPr>
                  </w:pPr>
                  <w:r>
                    <w:rPr>
                      <w:rFonts w:ascii="Times New Roman" w:hAnsi="Times New Roman" w:eastAsia="宋体"/>
                      <w:b/>
                      <w:color w:val="auto"/>
                    </w:rPr>
                    <w:t>代码</w:t>
                  </w:r>
                </w:p>
              </w:tc>
              <w:tc>
                <w:tcPr>
                  <w:tcW w:w="1240" w:type="dxa"/>
                  <w:vAlign w:val="center"/>
                </w:tcPr>
                <w:p>
                  <w:pPr>
                    <w:pStyle w:val="220"/>
                    <w:spacing w:line="320" w:lineRule="exact"/>
                    <w:jc w:val="both"/>
                    <w:rPr>
                      <w:rFonts w:ascii="Times New Roman" w:hAnsi="Times New Roman" w:eastAsia="宋体"/>
                      <w:b/>
                      <w:color w:val="auto"/>
                    </w:rPr>
                  </w:pPr>
                  <w:r>
                    <w:rPr>
                      <w:rFonts w:ascii="Times New Roman" w:hAnsi="Times New Roman" w:eastAsia="宋体"/>
                      <w:b/>
                      <w:color w:val="auto"/>
                    </w:rPr>
                    <w:t>产生量（t/a）</w:t>
                  </w:r>
                </w:p>
              </w:tc>
              <w:tc>
                <w:tcPr>
                  <w:tcW w:w="1769" w:type="dxa"/>
                  <w:vAlign w:val="center"/>
                </w:tcPr>
                <w:p>
                  <w:pPr>
                    <w:pStyle w:val="220"/>
                    <w:spacing w:line="320" w:lineRule="exact"/>
                    <w:rPr>
                      <w:rFonts w:ascii="Times New Roman" w:hAnsi="Times New Roman" w:eastAsia="宋体"/>
                      <w:b/>
                      <w:color w:val="auto"/>
                    </w:rPr>
                  </w:pPr>
                  <w:r>
                    <w:rPr>
                      <w:rFonts w:ascii="Times New Roman" w:hAnsi="Times New Roman" w:eastAsia="宋体"/>
                      <w:b/>
                      <w:color w:val="auto"/>
                    </w:rPr>
                    <w:t>利用处置方式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555" w:hRule="atLeast"/>
                <w:jc w:val="center"/>
              </w:trPr>
              <w:tc>
                <w:tcPr>
                  <w:tcW w:w="538" w:type="dxa"/>
                  <w:vAlign w:val="center"/>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w:t>
                  </w:r>
                </w:p>
              </w:tc>
              <w:tc>
                <w:tcPr>
                  <w:tcW w:w="1921" w:type="dxa"/>
                  <w:vAlign w:val="center"/>
                </w:tcPr>
                <w:p>
                  <w:pPr>
                    <w:pStyle w:val="221"/>
                    <w:spacing w:line="320" w:lineRule="exact"/>
                    <w:rPr>
                      <w:rFonts w:ascii="Times New Roman" w:hAnsi="Times New Roman" w:eastAsia="宋体"/>
                      <w:color w:val="auto"/>
                    </w:rPr>
                  </w:pPr>
                  <w:r>
                    <w:rPr>
                      <w:rFonts w:ascii="Times New Roman" w:hAnsi="Times New Roman" w:eastAsia="宋体"/>
                      <w:color w:val="auto"/>
                    </w:rPr>
                    <w:t>废活性炭</w:t>
                  </w:r>
                </w:p>
              </w:tc>
              <w:tc>
                <w:tcPr>
                  <w:tcW w:w="998" w:type="dxa"/>
                  <w:vAlign w:val="center"/>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危险</w:t>
                  </w:r>
                  <w:r>
                    <w:rPr>
                      <w:rFonts w:ascii="Times New Roman" w:hAnsi="Times New Roman" w:eastAsia="宋体"/>
                      <w:color w:val="auto"/>
                      <w:sz w:val="21"/>
                      <w:szCs w:val="21"/>
                    </w:rPr>
                    <w:t>固废</w:t>
                  </w:r>
                </w:p>
              </w:tc>
              <w:tc>
                <w:tcPr>
                  <w:tcW w:w="1590" w:type="dxa"/>
                  <w:vAlign w:val="center"/>
                </w:tcPr>
                <w:p>
                  <w:pPr>
                    <w:widowControl/>
                    <w:spacing w:line="320" w:lineRule="exact"/>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废气处理</w:t>
                  </w:r>
                </w:p>
              </w:tc>
              <w:tc>
                <w:tcPr>
                  <w:tcW w:w="1163" w:type="dxa"/>
                  <w:vAlign w:val="center"/>
                </w:tcPr>
                <w:p>
                  <w:pPr>
                    <w:spacing w:line="320" w:lineRule="exact"/>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900-041-49</w:t>
                  </w:r>
                </w:p>
              </w:tc>
              <w:tc>
                <w:tcPr>
                  <w:tcW w:w="1240" w:type="dxa"/>
                  <w:vAlign w:val="center"/>
                </w:tcPr>
                <w:p>
                  <w:pPr>
                    <w:pStyle w:val="221"/>
                    <w:spacing w:line="320" w:lineRule="exact"/>
                    <w:rPr>
                      <w:rFonts w:ascii="Times New Roman" w:hAnsi="Times New Roman" w:eastAsia="宋体"/>
                      <w:color w:val="auto"/>
                    </w:rPr>
                  </w:pPr>
                  <w:r>
                    <w:rPr>
                      <w:rFonts w:hint="eastAsia" w:ascii="Times New Roman" w:hAnsi="Times New Roman" w:eastAsia="宋体"/>
                      <w:color w:val="auto"/>
                    </w:rPr>
                    <w:t>1.2</w:t>
                  </w:r>
                </w:p>
              </w:tc>
              <w:tc>
                <w:tcPr>
                  <w:tcW w:w="1769" w:type="dxa"/>
                  <w:vMerge w:val="restart"/>
                  <w:vAlign w:val="center"/>
                </w:tcPr>
                <w:p>
                  <w:pPr>
                    <w:pStyle w:val="220"/>
                    <w:spacing w:line="320" w:lineRule="exact"/>
                    <w:rPr>
                      <w:rFonts w:ascii="Times New Roman" w:hAnsi="Times New Roman" w:eastAsia="宋体"/>
                      <w:color w:val="auto"/>
                    </w:rPr>
                  </w:pPr>
                  <w:r>
                    <w:rPr>
                      <w:rFonts w:hint="eastAsia" w:ascii="Times New Roman" w:hAnsi="Times New Roman" w:eastAsia="宋体"/>
                      <w:color w:val="auto"/>
                    </w:rPr>
                    <w:t>委托有资质单位处置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555" w:hRule="atLeast"/>
                <w:jc w:val="center"/>
              </w:trPr>
              <w:tc>
                <w:tcPr>
                  <w:tcW w:w="538" w:type="dxa"/>
                  <w:vAlign w:val="center"/>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2</w:t>
                  </w:r>
                </w:p>
              </w:tc>
              <w:tc>
                <w:tcPr>
                  <w:tcW w:w="1921" w:type="dxa"/>
                  <w:vAlign w:val="center"/>
                </w:tcPr>
                <w:p>
                  <w:pPr>
                    <w:pStyle w:val="221"/>
                    <w:spacing w:line="320" w:lineRule="exact"/>
                    <w:rPr>
                      <w:rFonts w:ascii="Times New Roman" w:hAnsi="Times New Roman" w:eastAsia="宋体"/>
                      <w:color w:val="auto"/>
                    </w:rPr>
                  </w:pPr>
                  <w:r>
                    <w:rPr>
                      <w:rFonts w:ascii="Times New Roman" w:hAnsi="Times New Roman" w:eastAsia="宋体"/>
                      <w:color w:val="auto"/>
                    </w:rPr>
                    <w:t>废紫外线灯管</w:t>
                  </w:r>
                </w:p>
              </w:tc>
              <w:tc>
                <w:tcPr>
                  <w:tcW w:w="998" w:type="dxa"/>
                  <w:vAlign w:val="center"/>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危险</w:t>
                  </w:r>
                  <w:r>
                    <w:rPr>
                      <w:rFonts w:ascii="Times New Roman" w:hAnsi="Times New Roman" w:eastAsia="宋体"/>
                      <w:color w:val="auto"/>
                      <w:sz w:val="21"/>
                      <w:szCs w:val="21"/>
                    </w:rPr>
                    <w:t>固废</w:t>
                  </w:r>
                </w:p>
              </w:tc>
              <w:tc>
                <w:tcPr>
                  <w:tcW w:w="1590" w:type="dxa"/>
                  <w:vAlign w:val="center"/>
                </w:tcPr>
                <w:p>
                  <w:pPr>
                    <w:pStyle w:val="220"/>
                    <w:spacing w:line="320" w:lineRule="exact"/>
                    <w:rPr>
                      <w:rFonts w:ascii="Times New Roman" w:hAnsi="Times New Roman" w:eastAsia="宋体"/>
                      <w:color w:val="auto"/>
                    </w:rPr>
                  </w:pPr>
                  <w:r>
                    <w:rPr>
                      <w:rFonts w:ascii="Times New Roman" w:hAnsi="Times New Roman" w:eastAsia="宋体"/>
                      <w:color w:val="auto"/>
                    </w:rPr>
                    <w:t>废气处理</w:t>
                  </w:r>
                </w:p>
              </w:tc>
              <w:tc>
                <w:tcPr>
                  <w:tcW w:w="1163" w:type="dxa"/>
                  <w:vAlign w:val="center"/>
                </w:tcPr>
                <w:p>
                  <w:pPr>
                    <w:pStyle w:val="221"/>
                    <w:spacing w:line="320" w:lineRule="exact"/>
                    <w:rPr>
                      <w:rFonts w:ascii="Times New Roman" w:hAnsi="Times New Roman" w:eastAsia="宋体"/>
                      <w:color w:val="auto"/>
                    </w:rPr>
                  </w:pPr>
                  <w:r>
                    <w:rPr>
                      <w:rFonts w:ascii="Times New Roman" w:hAnsi="Times New Roman" w:eastAsia="宋体"/>
                      <w:color w:val="auto"/>
                    </w:rPr>
                    <w:t>900-023-29</w:t>
                  </w:r>
                </w:p>
              </w:tc>
              <w:tc>
                <w:tcPr>
                  <w:tcW w:w="1240" w:type="dxa"/>
                  <w:vAlign w:val="center"/>
                </w:tcPr>
                <w:p>
                  <w:pPr>
                    <w:pStyle w:val="221"/>
                    <w:spacing w:line="320" w:lineRule="exact"/>
                    <w:rPr>
                      <w:rFonts w:ascii="Times New Roman" w:hAnsi="Times New Roman" w:eastAsia="宋体"/>
                      <w:color w:val="auto"/>
                    </w:rPr>
                  </w:pPr>
                  <w:r>
                    <w:rPr>
                      <w:rFonts w:ascii="Times New Roman" w:hAnsi="Times New Roman" w:eastAsia="宋体"/>
                      <w:color w:val="auto"/>
                    </w:rPr>
                    <w:t>0.004</w:t>
                  </w:r>
                </w:p>
              </w:tc>
              <w:tc>
                <w:tcPr>
                  <w:tcW w:w="1769" w:type="dxa"/>
                  <w:vMerge w:val="continue"/>
                  <w:vAlign w:val="center"/>
                </w:tcPr>
                <w:p>
                  <w:pPr>
                    <w:spacing w:line="320" w:lineRule="exact"/>
                    <w:ind w:firstLine="0" w:firstLineChars="0"/>
                    <w:jc w:val="center"/>
                    <w:rPr>
                      <w:rFonts w:ascii="Times New Roman" w:hAnsi="Times New Roman" w:eastAsia="宋体"/>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555" w:hRule="atLeast"/>
                <w:jc w:val="center"/>
              </w:trPr>
              <w:tc>
                <w:tcPr>
                  <w:tcW w:w="538" w:type="dxa"/>
                  <w:vAlign w:val="center"/>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3</w:t>
                  </w:r>
                </w:p>
              </w:tc>
              <w:tc>
                <w:tcPr>
                  <w:tcW w:w="1921" w:type="dxa"/>
                  <w:vAlign w:val="center"/>
                </w:tcPr>
                <w:p>
                  <w:pPr>
                    <w:spacing w:line="320" w:lineRule="exact"/>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废催化剂</w:t>
                  </w:r>
                </w:p>
              </w:tc>
              <w:tc>
                <w:tcPr>
                  <w:tcW w:w="998" w:type="dxa"/>
                  <w:vAlign w:val="center"/>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危险</w:t>
                  </w:r>
                  <w:r>
                    <w:rPr>
                      <w:rFonts w:ascii="Times New Roman" w:hAnsi="Times New Roman" w:eastAsia="宋体"/>
                      <w:color w:val="auto"/>
                      <w:sz w:val="21"/>
                      <w:szCs w:val="21"/>
                    </w:rPr>
                    <w:t>固废</w:t>
                  </w:r>
                </w:p>
              </w:tc>
              <w:tc>
                <w:tcPr>
                  <w:tcW w:w="1590" w:type="dxa"/>
                  <w:vAlign w:val="center"/>
                </w:tcPr>
                <w:p>
                  <w:pPr>
                    <w:spacing w:line="320" w:lineRule="exact"/>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废气处理</w:t>
                  </w:r>
                </w:p>
              </w:tc>
              <w:tc>
                <w:tcPr>
                  <w:tcW w:w="1163" w:type="dxa"/>
                  <w:vAlign w:val="center"/>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772-007-50</w:t>
                  </w:r>
                </w:p>
              </w:tc>
              <w:tc>
                <w:tcPr>
                  <w:tcW w:w="1240" w:type="dxa"/>
                  <w:vAlign w:val="center"/>
                </w:tcPr>
                <w:p>
                  <w:pPr>
                    <w:spacing w:line="320" w:lineRule="exact"/>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0.005</w:t>
                  </w:r>
                </w:p>
              </w:tc>
              <w:tc>
                <w:tcPr>
                  <w:tcW w:w="1769" w:type="dxa"/>
                  <w:vMerge w:val="continue"/>
                  <w:vAlign w:val="center"/>
                </w:tcPr>
                <w:p>
                  <w:pPr>
                    <w:pStyle w:val="220"/>
                    <w:spacing w:line="320" w:lineRule="exact"/>
                    <w:rPr>
                      <w:rFonts w:ascii="Times New Roman" w:hAnsi="Times New Roman" w:eastAsia="宋体"/>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555" w:hRule="atLeast"/>
                <w:jc w:val="center"/>
              </w:trPr>
              <w:tc>
                <w:tcPr>
                  <w:tcW w:w="538" w:type="dxa"/>
                  <w:vAlign w:val="center"/>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4</w:t>
                  </w:r>
                </w:p>
              </w:tc>
              <w:tc>
                <w:tcPr>
                  <w:tcW w:w="1921" w:type="dxa"/>
                  <w:vAlign w:val="center"/>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除尘灰</w:t>
                  </w:r>
                </w:p>
              </w:tc>
              <w:tc>
                <w:tcPr>
                  <w:tcW w:w="998" w:type="dxa"/>
                  <w:vAlign w:val="center"/>
                </w:tcPr>
                <w:p>
                  <w:pPr>
                    <w:spacing w:line="320" w:lineRule="exact"/>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一般固废</w:t>
                  </w:r>
                </w:p>
              </w:tc>
              <w:tc>
                <w:tcPr>
                  <w:tcW w:w="1590" w:type="dxa"/>
                  <w:vAlign w:val="center"/>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废气处理</w:t>
                  </w:r>
                </w:p>
              </w:tc>
              <w:tc>
                <w:tcPr>
                  <w:tcW w:w="1163" w:type="dxa"/>
                  <w:vAlign w:val="center"/>
                </w:tcPr>
                <w:p>
                  <w:pPr>
                    <w:spacing w:line="320" w:lineRule="exact"/>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w:t>
                  </w:r>
                </w:p>
              </w:tc>
              <w:tc>
                <w:tcPr>
                  <w:tcW w:w="1240" w:type="dxa"/>
                  <w:vAlign w:val="center"/>
                </w:tcPr>
                <w:p>
                  <w:pPr>
                    <w:spacing w:line="320" w:lineRule="exact"/>
                    <w:ind w:firstLine="0" w:firstLineChars="0"/>
                    <w:jc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3.2</w:t>
                  </w:r>
                </w:p>
              </w:tc>
              <w:tc>
                <w:tcPr>
                  <w:tcW w:w="1769" w:type="dxa"/>
                  <w:vAlign w:val="center"/>
                </w:tcPr>
                <w:p>
                  <w:pPr>
                    <w:pStyle w:val="220"/>
                    <w:spacing w:line="320" w:lineRule="exact"/>
                    <w:rPr>
                      <w:rFonts w:hint="eastAsia" w:ascii="Times New Roman" w:hAnsi="Times New Roman" w:eastAsia="宋体"/>
                      <w:color w:val="auto"/>
                      <w:lang w:eastAsia="zh-CN"/>
                    </w:rPr>
                  </w:pPr>
                  <w:r>
                    <w:rPr>
                      <w:rFonts w:hint="eastAsia" w:ascii="Times New Roman" w:hAnsi="Times New Roman" w:eastAsia="宋体"/>
                      <w:color w:val="auto"/>
                    </w:rPr>
                    <w:t>收集后</w:t>
                  </w:r>
                  <w:r>
                    <w:rPr>
                      <w:rFonts w:hint="eastAsia"/>
                      <w:color w:val="auto"/>
                      <w:lang w:eastAsia="zh-CN"/>
                    </w:rPr>
                    <w:t>回用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555" w:hRule="atLeast"/>
                <w:jc w:val="center"/>
              </w:trPr>
              <w:tc>
                <w:tcPr>
                  <w:tcW w:w="538" w:type="dxa"/>
                  <w:vAlign w:val="center"/>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5</w:t>
                  </w:r>
                </w:p>
              </w:tc>
              <w:tc>
                <w:tcPr>
                  <w:tcW w:w="1921" w:type="dxa"/>
                  <w:vAlign w:val="center"/>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掉落的沥青混凝土</w:t>
                  </w:r>
                </w:p>
              </w:tc>
              <w:tc>
                <w:tcPr>
                  <w:tcW w:w="998" w:type="dxa"/>
                  <w:vAlign w:val="center"/>
                </w:tcPr>
                <w:p>
                  <w:pPr>
                    <w:spacing w:line="320" w:lineRule="exact"/>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一般固废</w:t>
                  </w:r>
                </w:p>
              </w:tc>
              <w:tc>
                <w:tcPr>
                  <w:tcW w:w="1590" w:type="dxa"/>
                  <w:vAlign w:val="center"/>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生产过程</w:t>
                  </w:r>
                </w:p>
              </w:tc>
              <w:tc>
                <w:tcPr>
                  <w:tcW w:w="1163" w:type="dxa"/>
                  <w:vAlign w:val="center"/>
                </w:tcPr>
                <w:p>
                  <w:pPr>
                    <w:spacing w:line="320" w:lineRule="exact"/>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w:t>
                  </w:r>
                </w:p>
              </w:tc>
              <w:tc>
                <w:tcPr>
                  <w:tcW w:w="1240" w:type="dxa"/>
                  <w:vAlign w:val="center"/>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1.53</w:t>
                  </w:r>
                </w:p>
              </w:tc>
              <w:tc>
                <w:tcPr>
                  <w:tcW w:w="1769" w:type="dxa"/>
                  <w:vAlign w:val="center"/>
                </w:tcPr>
                <w:p>
                  <w:pPr>
                    <w:pStyle w:val="220"/>
                    <w:spacing w:line="320" w:lineRule="exact"/>
                    <w:rPr>
                      <w:rFonts w:ascii="Times New Roman" w:hAnsi="Times New Roman" w:eastAsia="宋体"/>
                      <w:color w:val="auto"/>
                    </w:rPr>
                  </w:pPr>
                  <w:r>
                    <w:rPr>
                      <w:rFonts w:hint="eastAsia" w:ascii="Times New Roman" w:hAnsi="Times New Roman" w:eastAsia="宋体"/>
                      <w:color w:val="auto"/>
                    </w:rPr>
                    <w:t>收集后外售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555" w:hRule="atLeast"/>
                <w:jc w:val="center"/>
              </w:trPr>
              <w:tc>
                <w:tcPr>
                  <w:tcW w:w="538" w:type="dxa"/>
                </w:tcPr>
                <w:p>
                  <w:pPr>
                    <w:spacing w:line="320" w:lineRule="exact"/>
                    <w:ind w:firstLine="0" w:firstLineChars="0"/>
                    <w:jc w:val="center"/>
                    <w:rPr>
                      <w:rFonts w:hint="eastAsia" w:ascii="Times New Roman" w:hAnsi="Times New Roman" w:eastAsia="宋体"/>
                      <w:color w:val="auto"/>
                      <w:sz w:val="21"/>
                      <w:szCs w:val="21"/>
                      <w:lang w:eastAsia="zh-CN"/>
                    </w:rPr>
                  </w:pPr>
                  <w:r>
                    <w:rPr>
                      <w:rFonts w:hint="eastAsia"/>
                      <w:color w:val="auto"/>
                      <w:sz w:val="21"/>
                      <w:szCs w:val="21"/>
                      <w:lang w:val="en-US" w:eastAsia="zh-CN"/>
                    </w:rPr>
                    <w:t>6</w:t>
                  </w:r>
                </w:p>
              </w:tc>
              <w:tc>
                <w:tcPr>
                  <w:tcW w:w="1921" w:type="dxa"/>
                  <w:vAlign w:val="center"/>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化粪池污泥</w:t>
                  </w:r>
                </w:p>
              </w:tc>
              <w:tc>
                <w:tcPr>
                  <w:tcW w:w="998" w:type="dxa"/>
                  <w:vAlign w:val="center"/>
                </w:tcPr>
                <w:p>
                  <w:pPr>
                    <w:spacing w:line="320" w:lineRule="exact"/>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一般固废</w:t>
                  </w:r>
                </w:p>
              </w:tc>
              <w:tc>
                <w:tcPr>
                  <w:tcW w:w="1590" w:type="dxa"/>
                  <w:vAlign w:val="center"/>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生产废水处理</w:t>
                  </w:r>
                </w:p>
              </w:tc>
              <w:tc>
                <w:tcPr>
                  <w:tcW w:w="1163" w:type="dxa"/>
                  <w:vAlign w:val="center"/>
                </w:tcPr>
                <w:p>
                  <w:pPr>
                    <w:spacing w:line="320" w:lineRule="exact"/>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w:t>
                  </w:r>
                </w:p>
              </w:tc>
              <w:tc>
                <w:tcPr>
                  <w:tcW w:w="1240" w:type="dxa"/>
                  <w:vAlign w:val="center"/>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0.3</w:t>
                  </w:r>
                </w:p>
              </w:tc>
              <w:tc>
                <w:tcPr>
                  <w:tcW w:w="1769" w:type="dxa"/>
                  <w:vAlign w:val="center"/>
                </w:tcPr>
                <w:p>
                  <w:pPr>
                    <w:pStyle w:val="220"/>
                    <w:rPr>
                      <w:rFonts w:ascii="Times New Roman" w:hAnsi="Times New Roman" w:eastAsia="宋体"/>
                      <w:color w:val="auto"/>
                    </w:rPr>
                  </w:pPr>
                  <w:r>
                    <w:rPr>
                      <w:rFonts w:hint="eastAsia" w:ascii="Times New Roman" w:hAnsi="Times New Roman" w:eastAsia="宋体"/>
                      <w:color w:val="auto"/>
                    </w:rPr>
                    <w:t>环卫清运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555" w:hRule="atLeast"/>
                <w:jc w:val="center"/>
              </w:trPr>
              <w:tc>
                <w:tcPr>
                  <w:tcW w:w="538" w:type="dxa"/>
                </w:tcPr>
                <w:p>
                  <w:pPr>
                    <w:spacing w:line="320" w:lineRule="exact"/>
                    <w:ind w:firstLine="0" w:firstLineChars="0"/>
                    <w:jc w:val="center"/>
                    <w:rPr>
                      <w:rFonts w:hint="eastAsia" w:ascii="Times New Roman" w:hAnsi="Times New Roman" w:eastAsia="宋体"/>
                      <w:color w:val="auto"/>
                      <w:sz w:val="21"/>
                      <w:szCs w:val="21"/>
                      <w:lang w:eastAsia="zh-CN"/>
                    </w:rPr>
                  </w:pPr>
                  <w:r>
                    <w:rPr>
                      <w:rFonts w:hint="eastAsia"/>
                      <w:color w:val="auto"/>
                      <w:sz w:val="21"/>
                      <w:szCs w:val="21"/>
                      <w:lang w:val="en-US" w:eastAsia="zh-CN"/>
                    </w:rPr>
                    <w:t>7</w:t>
                  </w:r>
                </w:p>
              </w:tc>
              <w:tc>
                <w:tcPr>
                  <w:tcW w:w="1921" w:type="dxa"/>
                  <w:vAlign w:val="center"/>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职工生活垃圾</w:t>
                  </w:r>
                </w:p>
              </w:tc>
              <w:tc>
                <w:tcPr>
                  <w:tcW w:w="998" w:type="dxa"/>
                  <w:vAlign w:val="center"/>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生活垃圾</w:t>
                  </w:r>
                </w:p>
              </w:tc>
              <w:tc>
                <w:tcPr>
                  <w:tcW w:w="1590" w:type="dxa"/>
                  <w:vAlign w:val="center"/>
                </w:tcPr>
                <w:p>
                  <w:pPr>
                    <w:spacing w:line="320" w:lineRule="exact"/>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职工生活</w:t>
                  </w:r>
                </w:p>
              </w:tc>
              <w:tc>
                <w:tcPr>
                  <w:tcW w:w="1163" w:type="dxa"/>
                  <w:vAlign w:val="center"/>
                </w:tcPr>
                <w:p>
                  <w:pPr>
                    <w:spacing w:line="320" w:lineRule="exact"/>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w:t>
                  </w:r>
                </w:p>
              </w:tc>
              <w:tc>
                <w:tcPr>
                  <w:tcW w:w="1240" w:type="dxa"/>
                  <w:vAlign w:val="center"/>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4.8</w:t>
                  </w:r>
                </w:p>
              </w:tc>
              <w:tc>
                <w:tcPr>
                  <w:tcW w:w="1769" w:type="dxa"/>
                </w:tcPr>
                <w:p>
                  <w:pPr>
                    <w:pStyle w:val="220"/>
                    <w:spacing w:line="320" w:lineRule="exact"/>
                    <w:rPr>
                      <w:rFonts w:ascii="Times New Roman" w:hAnsi="Times New Roman" w:eastAsia="宋体"/>
                      <w:color w:val="auto"/>
                    </w:rPr>
                  </w:pPr>
                  <w:r>
                    <w:rPr>
                      <w:rFonts w:hint="eastAsia" w:ascii="Times New Roman" w:hAnsi="Times New Roman" w:eastAsia="宋体"/>
                      <w:color w:val="auto"/>
                    </w:rPr>
                    <w:t>委托环卫部门清运</w:t>
                  </w:r>
                </w:p>
              </w:tc>
            </w:tr>
          </w:tbl>
          <w:p>
            <w:pPr>
              <w:spacing w:line="240" w:lineRule="auto"/>
              <w:ind w:firstLine="0" w:firstLineChars="0"/>
              <w:jc w:val="center"/>
              <w:rPr>
                <w:rFonts w:ascii="Times New Roman" w:hAnsi="Times New Roman" w:eastAsia="宋体"/>
                <w:b/>
                <w:color w:val="auto"/>
                <w:sz w:val="21"/>
                <w:szCs w:val="21"/>
              </w:rPr>
            </w:pPr>
            <w:r>
              <w:rPr>
                <w:rFonts w:ascii="Times New Roman" w:hAnsi="Times New Roman" w:eastAsia="宋体"/>
                <w:b/>
                <w:color w:val="auto"/>
                <w:sz w:val="21"/>
                <w:szCs w:val="21"/>
              </w:rPr>
              <w:t>表7</w:t>
            </w:r>
            <w:r>
              <w:rPr>
                <w:rFonts w:hint="eastAsia"/>
                <w:b/>
                <w:color w:val="auto"/>
                <w:sz w:val="21"/>
                <w:szCs w:val="21"/>
                <w:lang w:val="en-US" w:eastAsia="zh-CN"/>
              </w:rPr>
              <w:t>.6</w:t>
            </w:r>
            <w:r>
              <w:rPr>
                <w:rFonts w:ascii="Times New Roman" w:hAnsi="Times New Roman" w:eastAsia="宋体"/>
                <w:b/>
                <w:color w:val="auto"/>
                <w:sz w:val="21"/>
                <w:szCs w:val="21"/>
              </w:rPr>
              <w:t>-</w:t>
            </w:r>
            <w:r>
              <w:rPr>
                <w:rFonts w:hint="eastAsia" w:ascii="Times New Roman" w:hAnsi="Times New Roman" w:eastAsia="宋体"/>
                <w:b/>
                <w:color w:val="auto"/>
                <w:sz w:val="21"/>
                <w:szCs w:val="21"/>
              </w:rPr>
              <w:t>2</w:t>
            </w:r>
            <w:r>
              <w:rPr>
                <w:rFonts w:hint="eastAsia"/>
                <w:b/>
                <w:color w:val="auto"/>
                <w:sz w:val="21"/>
                <w:szCs w:val="21"/>
                <w:lang w:val="en-US" w:eastAsia="zh-CN"/>
              </w:rPr>
              <w:t>3</w:t>
            </w:r>
            <w:r>
              <w:rPr>
                <w:rFonts w:ascii="Times New Roman" w:hAnsi="Times New Roman" w:eastAsia="宋体"/>
                <w:b/>
                <w:color w:val="auto"/>
                <w:sz w:val="21"/>
                <w:szCs w:val="21"/>
              </w:rPr>
              <w:t>建设项目危险废物贮存场所（设施）基本情况表</w:t>
            </w:r>
          </w:p>
          <w:tbl>
            <w:tblPr>
              <w:tblStyle w:val="43"/>
              <w:tblW w:w="918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339"/>
              <w:gridCol w:w="1503"/>
              <w:gridCol w:w="925"/>
              <w:gridCol w:w="1300"/>
              <w:gridCol w:w="609"/>
              <w:gridCol w:w="749"/>
              <w:gridCol w:w="766"/>
              <w:gridCol w:w="746"/>
              <w:gridCol w:w="7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4" w:type="dxa"/>
                  <w:vAlign w:val="center"/>
                </w:tcPr>
                <w:p>
                  <w:pPr>
                    <w:spacing w:line="320" w:lineRule="exact"/>
                    <w:ind w:firstLine="0" w:firstLineChars="0"/>
                    <w:jc w:val="center"/>
                    <w:rPr>
                      <w:rFonts w:ascii="Times New Roman" w:hAnsi="Times New Roman" w:eastAsia="宋体"/>
                      <w:b/>
                      <w:color w:val="auto"/>
                      <w:sz w:val="21"/>
                      <w:szCs w:val="21"/>
                    </w:rPr>
                  </w:pPr>
                  <w:r>
                    <w:rPr>
                      <w:rFonts w:ascii="Times New Roman" w:hAnsi="Times New Roman" w:eastAsia="宋体"/>
                      <w:b/>
                      <w:color w:val="auto"/>
                      <w:sz w:val="21"/>
                      <w:szCs w:val="21"/>
                    </w:rPr>
                    <w:t>序号</w:t>
                  </w:r>
                </w:p>
              </w:tc>
              <w:tc>
                <w:tcPr>
                  <w:tcW w:w="1339" w:type="dxa"/>
                  <w:vAlign w:val="center"/>
                </w:tcPr>
                <w:p>
                  <w:pPr>
                    <w:spacing w:line="320" w:lineRule="exact"/>
                    <w:ind w:firstLine="0" w:firstLineChars="0"/>
                    <w:jc w:val="center"/>
                    <w:rPr>
                      <w:rFonts w:ascii="Times New Roman" w:hAnsi="Times New Roman" w:eastAsia="宋体"/>
                      <w:b/>
                      <w:color w:val="auto"/>
                      <w:sz w:val="21"/>
                      <w:szCs w:val="21"/>
                    </w:rPr>
                  </w:pPr>
                  <w:r>
                    <w:rPr>
                      <w:rFonts w:ascii="Times New Roman" w:hAnsi="Times New Roman" w:eastAsia="宋体"/>
                      <w:b/>
                      <w:color w:val="auto"/>
                      <w:sz w:val="21"/>
                      <w:szCs w:val="21"/>
                    </w:rPr>
                    <w:t>贮存场所（设施）</w:t>
                  </w:r>
                </w:p>
                <w:p>
                  <w:pPr>
                    <w:spacing w:line="320" w:lineRule="exact"/>
                    <w:ind w:firstLine="0" w:firstLineChars="0"/>
                    <w:jc w:val="center"/>
                    <w:rPr>
                      <w:rFonts w:ascii="Times New Roman" w:hAnsi="Times New Roman" w:eastAsia="宋体"/>
                      <w:b/>
                      <w:color w:val="auto"/>
                      <w:sz w:val="21"/>
                      <w:szCs w:val="21"/>
                    </w:rPr>
                  </w:pPr>
                  <w:r>
                    <w:rPr>
                      <w:rFonts w:ascii="Times New Roman" w:hAnsi="Times New Roman" w:eastAsia="宋体"/>
                      <w:b/>
                      <w:color w:val="auto"/>
                      <w:sz w:val="21"/>
                      <w:szCs w:val="21"/>
                    </w:rPr>
                    <w:t>名称</w:t>
                  </w:r>
                </w:p>
              </w:tc>
              <w:tc>
                <w:tcPr>
                  <w:tcW w:w="1503" w:type="dxa"/>
                  <w:vAlign w:val="center"/>
                </w:tcPr>
                <w:p>
                  <w:pPr>
                    <w:spacing w:line="320" w:lineRule="exact"/>
                    <w:ind w:firstLine="0" w:firstLineChars="0"/>
                    <w:jc w:val="center"/>
                    <w:rPr>
                      <w:rFonts w:ascii="Times New Roman" w:hAnsi="Times New Roman" w:eastAsia="宋体"/>
                      <w:b/>
                      <w:color w:val="auto"/>
                      <w:sz w:val="21"/>
                      <w:szCs w:val="21"/>
                    </w:rPr>
                  </w:pPr>
                  <w:r>
                    <w:rPr>
                      <w:rFonts w:ascii="Times New Roman" w:hAnsi="Times New Roman" w:eastAsia="宋体"/>
                      <w:b/>
                      <w:color w:val="auto"/>
                      <w:sz w:val="21"/>
                      <w:szCs w:val="21"/>
                    </w:rPr>
                    <w:t>危险废物名称</w:t>
                  </w:r>
                </w:p>
              </w:tc>
              <w:tc>
                <w:tcPr>
                  <w:tcW w:w="925" w:type="dxa"/>
                  <w:vAlign w:val="center"/>
                </w:tcPr>
                <w:p>
                  <w:pPr>
                    <w:spacing w:line="320" w:lineRule="exact"/>
                    <w:ind w:firstLine="0" w:firstLineChars="0"/>
                    <w:jc w:val="center"/>
                    <w:rPr>
                      <w:rFonts w:ascii="Times New Roman" w:hAnsi="Times New Roman" w:eastAsia="宋体"/>
                      <w:b/>
                      <w:color w:val="auto"/>
                      <w:sz w:val="21"/>
                      <w:szCs w:val="21"/>
                    </w:rPr>
                  </w:pPr>
                  <w:r>
                    <w:rPr>
                      <w:rFonts w:ascii="Times New Roman" w:hAnsi="Times New Roman" w:eastAsia="宋体"/>
                      <w:b/>
                      <w:color w:val="auto"/>
                      <w:sz w:val="21"/>
                      <w:szCs w:val="21"/>
                    </w:rPr>
                    <w:t>危险废物类别</w:t>
                  </w:r>
                </w:p>
              </w:tc>
              <w:tc>
                <w:tcPr>
                  <w:tcW w:w="1300" w:type="dxa"/>
                  <w:vAlign w:val="center"/>
                </w:tcPr>
                <w:p>
                  <w:pPr>
                    <w:spacing w:line="320" w:lineRule="exact"/>
                    <w:ind w:firstLine="0" w:firstLineChars="0"/>
                    <w:jc w:val="center"/>
                    <w:rPr>
                      <w:rFonts w:ascii="Times New Roman" w:hAnsi="Times New Roman" w:eastAsia="宋体"/>
                      <w:b/>
                      <w:color w:val="auto"/>
                      <w:sz w:val="21"/>
                      <w:szCs w:val="21"/>
                    </w:rPr>
                  </w:pPr>
                  <w:r>
                    <w:rPr>
                      <w:rFonts w:ascii="Times New Roman" w:hAnsi="Times New Roman" w:eastAsia="宋体"/>
                      <w:b/>
                      <w:color w:val="auto"/>
                      <w:sz w:val="21"/>
                      <w:szCs w:val="21"/>
                    </w:rPr>
                    <w:t>危险废物代码</w:t>
                  </w:r>
                </w:p>
              </w:tc>
              <w:tc>
                <w:tcPr>
                  <w:tcW w:w="609" w:type="dxa"/>
                  <w:vAlign w:val="center"/>
                </w:tcPr>
                <w:p>
                  <w:pPr>
                    <w:spacing w:line="320" w:lineRule="exact"/>
                    <w:ind w:firstLine="0" w:firstLineChars="0"/>
                    <w:jc w:val="center"/>
                    <w:rPr>
                      <w:rFonts w:ascii="Times New Roman" w:hAnsi="Times New Roman" w:eastAsia="宋体"/>
                      <w:b/>
                      <w:color w:val="auto"/>
                      <w:sz w:val="21"/>
                      <w:szCs w:val="21"/>
                    </w:rPr>
                  </w:pPr>
                  <w:r>
                    <w:rPr>
                      <w:rFonts w:ascii="Times New Roman" w:hAnsi="Times New Roman" w:eastAsia="宋体"/>
                      <w:b/>
                      <w:color w:val="auto"/>
                      <w:sz w:val="21"/>
                      <w:szCs w:val="21"/>
                    </w:rPr>
                    <w:t>位置</w:t>
                  </w:r>
                </w:p>
              </w:tc>
              <w:tc>
                <w:tcPr>
                  <w:tcW w:w="749" w:type="dxa"/>
                  <w:vAlign w:val="center"/>
                </w:tcPr>
                <w:p>
                  <w:pPr>
                    <w:spacing w:line="320" w:lineRule="exact"/>
                    <w:ind w:firstLine="0" w:firstLineChars="0"/>
                    <w:jc w:val="center"/>
                    <w:rPr>
                      <w:rFonts w:ascii="Times New Roman" w:hAnsi="Times New Roman" w:eastAsia="宋体"/>
                      <w:b/>
                      <w:color w:val="auto"/>
                      <w:sz w:val="21"/>
                      <w:szCs w:val="21"/>
                    </w:rPr>
                  </w:pPr>
                  <w:r>
                    <w:rPr>
                      <w:rFonts w:ascii="Times New Roman" w:hAnsi="Times New Roman" w:eastAsia="宋体"/>
                      <w:b/>
                      <w:color w:val="auto"/>
                      <w:sz w:val="21"/>
                      <w:szCs w:val="21"/>
                    </w:rPr>
                    <w:t>占地面积</w:t>
                  </w:r>
                </w:p>
              </w:tc>
              <w:tc>
                <w:tcPr>
                  <w:tcW w:w="766" w:type="dxa"/>
                  <w:vAlign w:val="center"/>
                </w:tcPr>
                <w:p>
                  <w:pPr>
                    <w:spacing w:line="320" w:lineRule="exact"/>
                    <w:ind w:firstLine="0" w:firstLineChars="0"/>
                    <w:jc w:val="center"/>
                    <w:rPr>
                      <w:rFonts w:ascii="Times New Roman" w:hAnsi="Times New Roman" w:eastAsia="宋体"/>
                      <w:b/>
                      <w:color w:val="auto"/>
                      <w:sz w:val="21"/>
                      <w:szCs w:val="21"/>
                    </w:rPr>
                  </w:pPr>
                  <w:r>
                    <w:rPr>
                      <w:rFonts w:ascii="Times New Roman" w:hAnsi="Times New Roman" w:eastAsia="宋体"/>
                      <w:b/>
                      <w:color w:val="auto"/>
                      <w:sz w:val="21"/>
                      <w:szCs w:val="21"/>
                    </w:rPr>
                    <w:t>贮存方式</w:t>
                  </w:r>
                </w:p>
              </w:tc>
              <w:tc>
                <w:tcPr>
                  <w:tcW w:w="746" w:type="dxa"/>
                  <w:vAlign w:val="center"/>
                </w:tcPr>
                <w:p>
                  <w:pPr>
                    <w:spacing w:line="320" w:lineRule="exact"/>
                    <w:ind w:firstLine="0" w:firstLineChars="0"/>
                    <w:jc w:val="center"/>
                    <w:rPr>
                      <w:rFonts w:ascii="Times New Roman" w:hAnsi="Times New Roman" w:eastAsia="宋体"/>
                      <w:b/>
                      <w:color w:val="auto"/>
                      <w:sz w:val="21"/>
                      <w:szCs w:val="21"/>
                    </w:rPr>
                  </w:pPr>
                  <w:r>
                    <w:rPr>
                      <w:rFonts w:ascii="Times New Roman" w:hAnsi="Times New Roman" w:eastAsia="宋体"/>
                      <w:b/>
                      <w:color w:val="auto"/>
                      <w:sz w:val="21"/>
                      <w:szCs w:val="21"/>
                    </w:rPr>
                    <w:t>贮存</w:t>
                  </w:r>
                </w:p>
                <w:p>
                  <w:pPr>
                    <w:spacing w:line="320" w:lineRule="exact"/>
                    <w:ind w:firstLine="0" w:firstLineChars="0"/>
                    <w:jc w:val="center"/>
                    <w:rPr>
                      <w:rFonts w:ascii="Times New Roman" w:hAnsi="Times New Roman" w:eastAsia="宋体"/>
                      <w:b/>
                      <w:color w:val="auto"/>
                      <w:sz w:val="21"/>
                      <w:szCs w:val="21"/>
                    </w:rPr>
                  </w:pPr>
                  <w:r>
                    <w:rPr>
                      <w:rFonts w:ascii="Times New Roman" w:hAnsi="Times New Roman" w:eastAsia="宋体"/>
                      <w:b/>
                      <w:color w:val="auto"/>
                      <w:sz w:val="21"/>
                      <w:szCs w:val="21"/>
                    </w:rPr>
                    <w:t>能力</w:t>
                  </w:r>
                </w:p>
              </w:tc>
              <w:tc>
                <w:tcPr>
                  <w:tcW w:w="794" w:type="dxa"/>
                  <w:vAlign w:val="center"/>
                </w:tcPr>
                <w:p>
                  <w:pPr>
                    <w:spacing w:line="320" w:lineRule="exact"/>
                    <w:ind w:firstLine="0" w:firstLineChars="0"/>
                    <w:jc w:val="center"/>
                    <w:rPr>
                      <w:rFonts w:ascii="Times New Roman" w:hAnsi="Times New Roman" w:eastAsia="宋体"/>
                      <w:b/>
                      <w:color w:val="auto"/>
                      <w:sz w:val="21"/>
                      <w:szCs w:val="21"/>
                    </w:rPr>
                  </w:pPr>
                  <w:r>
                    <w:rPr>
                      <w:rFonts w:ascii="Times New Roman" w:hAnsi="Times New Roman" w:eastAsia="宋体"/>
                      <w:b/>
                      <w:color w:val="auto"/>
                      <w:sz w:val="21"/>
                      <w:szCs w:val="21"/>
                    </w:rPr>
                    <w:t>贮存</w:t>
                  </w:r>
                </w:p>
                <w:p>
                  <w:pPr>
                    <w:spacing w:line="320" w:lineRule="exact"/>
                    <w:ind w:firstLine="0" w:firstLineChars="0"/>
                    <w:jc w:val="center"/>
                    <w:rPr>
                      <w:rFonts w:ascii="Times New Roman" w:hAnsi="Times New Roman" w:eastAsia="宋体"/>
                      <w:b/>
                      <w:color w:val="auto"/>
                      <w:sz w:val="21"/>
                      <w:szCs w:val="21"/>
                    </w:rPr>
                  </w:pPr>
                  <w:r>
                    <w:rPr>
                      <w:rFonts w:ascii="Times New Roman" w:hAnsi="Times New Roman" w:eastAsia="宋体"/>
                      <w:b/>
                      <w:color w:val="auto"/>
                      <w:sz w:val="21"/>
                      <w:szCs w:val="21"/>
                    </w:rPr>
                    <w:t>周期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4" w:type="dxa"/>
                  <w:vAlign w:val="center"/>
                </w:tcPr>
                <w:p>
                  <w:pPr>
                    <w:pStyle w:val="220"/>
                    <w:rPr>
                      <w:rFonts w:ascii="Times New Roman" w:hAnsi="Times New Roman" w:eastAsia="宋体"/>
                      <w:color w:val="auto"/>
                    </w:rPr>
                  </w:pPr>
                  <w:r>
                    <w:rPr>
                      <w:rFonts w:ascii="Times New Roman" w:hAnsi="Times New Roman" w:eastAsia="宋体"/>
                      <w:color w:val="auto"/>
                    </w:rPr>
                    <w:t>1</w:t>
                  </w:r>
                </w:p>
              </w:tc>
              <w:tc>
                <w:tcPr>
                  <w:tcW w:w="1339" w:type="dxa"/>
                  <w:vMerge w:val="restart"/>
                  <w:vAlign w:val="center"/>
                </w:tcPr>
                <w:p>
                  <w:pPr>
                    <w:spacing w:line="320" w:lineRule="exact"/>
                    <w:ind w:firstLine="0" w:firstLineChars="0"/>
                    <w:jc w:val="center"/>
                    <w:rPr>
                      <w:rFonts w:ascii="Times New Roman" w:hAnsi="Times New Roman" w:eastAsia="宋体"/>
                      <w:b/>
                      <w:color w:val="auto"/>
                      <w:sz w:val="21"/>
                      <w:szCs w:val="21"/>
                    </w:rPr>
                  </w:pPr>
                  <w:r>
                    <w:rPr>
                      <w:rFonts w:ascii="Times New Roman" w:hAnsi="Times New Roman" w:eastAsia="宋体"/>
                      <w:color w:val="auto"/>
                      <w:sz w:val="21"/>
                      <w:szCs w:val="21"/>
                    </w:rPr>
                    <w:t>危废库</w:t>
                  </w:r>
                </w:p>
              </w:tc>
              <w:tc>
                <w:tcPr>
                  <w:tcW w:w="1503" w:type="dxa"/>
                  <w:vAlign w:val="center"/>
                </w:tcPr>
                <w:p>
                  <w:pPr>
                    <w:pStyle w:val="221"/>
                    <w:spacing w:line="320" w:lineRule="exact"/>
                    <w:rPr>
                      <w:rFonts w:ascii="Times New Roman" w:hAnsi="Times New Roman" w:eastAsia="宋体"/>
                      <w:color w:val="auto"/>
                    </w:rPr>
                  </w:pPr>
                  <w:r>
                    <w:rPr>
                      <w:rFonts w:ascii="Times New Roman" w:hAnsi="Times New Roman" w:eastAsia="宋体"/>
                      <w:color w:val="auto"/>
                    </w:rPr>
                    <w:t>废活性炭</w:t>
                  </w:r>
                </w:p>
              </w:tc>
              <w:tc>
                <w:tcPr>
                  <w:tcW w:w="925" w:type="dxa"/>
                  <w:vAlign w:val="center"/>
                </w:tcPr>
                <w:p>
                  <w:pPr>
                    <w:pStyle w:val="220"/>
                    <w:rPr>
                      <w:rFonts w:ascii="Times New Roman" w:hAnsi="Times New Roman" w:eastAsia="宋体"/>
                      <w:color w:val="auto"/>
                    </w:rPr>
                  </w:pPr>
                  <w:r>
                    <w:rPr>
                      <w:rFonts w:ascii="Times New Roman" w:hAnsi="Times New Roman" w:eastAsia="宋体"/>
                      <w:color w:val="auto"/>
                    </w:rPr>
                    <w:t>HW49</w:t>
                  </w:r>
                </w:p>
              </w:tc>
              <w:tc>
                <w:tcPr>
                  <w:tcW w:w="1300" w:type="dxa"/>
                  <w:vAlign w:val="center"/>
                </w:tcPr>
                <w:p>
                  <w:pPr>
                    <w:spacing w:line="320" w:lineRule="exact"/>
                    <w:ind w:firstLine="0" w:firstLineChars="0"/>
                    <w:jc w:val="center"/>
                    <w:rPr>
                      <w:rFonts w:ascii="Times New Roman" w:hAnsi="Times New Roman" w:eastAsia="宋体"/>
                      <w:color w:val="auto"/>
                    </w:rPr>
                  </w:pPr>
                  <w:r>
                    <w:rPr>
                      <w:rFonts w:ascii="Times New Roman" w:hAnsi="Times New Roman" w:eastAsia="宋体"/>
                      <w:color w:val="auto"/>
                      <w:sz w:val="21"/>
                      <w:szCs w:val="21"/>
                    </w:rPr>
                    <w:t>900-041-49</w:t>
                  </w:r>
                </w:p>
              </w:tc>
              <w:tc>
                <w:tcPr>
                  <w:tcW w:w="609" w:type="dxa"/>
                  <w:vMerge w:val="restart"/>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生产车间</w:t>
                  </w:r>
                </w:p>
              </w:tc>
              <w:tc>
                <w:tcPr>
                  <w:tcW w:w="749" w:type="dxa"/>
                  <w:vMerge w:val="restart"/>
                  <w:vAlign w:val="center"/>
                </w:tcPr>
                <w:p>
                  <w:pPr>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2</w:t>
                  </w:r>
                  <w:r>
                    <w:rPr>
                      <w:rFonts w:ascii="Times New Roman" w:hAnsi="Times New Roman" w:eastAsia="宋体"/>
                      <w:color w:val="auto"/>
                      <w:sz w:val="21"/>
                      <w:szCs w:val="21"/>
                    </w:rPr>
                    <w:t>0m</w:t>
                  </w:r>
                  <w:r>
                    <w:rPr>
                      <w:rFonts w:ascii="Times New Roman" w:hAnsi="Times New Roman" w:eastAsia="宋体"/>
                      <w:color w:val="auto"/>
                      <w:sz w:val="21"/>
                      <w:szCs w:val="21"/>
                      <w:vertAlign w:val="superscript"/>
                    </w:rPr>
                    <w:t>2</w:t>
                  </w:r>
                </w:p>
              </w:tc>
              <w:tc>
                <w:tcPr>
                  <w:tcW w:w="766" w:type="dxa"/>
                  <w:vMerge w:val="restart"/>
                  <w:vAlign w:val="center"/>
                </w:tcPr>
                <w:p>
                  <w:pPr>
                    <w:spacing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分区</w:t>
                  </w:r>
                  <w:r>
                    <w:rPr>
                      <w:rFonts w:hint="eastAsia" w:ascii="Times New Roman" w:hAnsi="Times New Roman" w:eastAsia="宋体"/>
                      <w:color w:val="auto"/>
                      <w:sz w:val="21"/>
                      <w:szCs w:val="21"/>
                    </w:rPr>
                    <w:t>堆</w:t>
                  </w:r>
                  <w:r>
                    <w:rPr>
                      <w:rFonts w:ascii="Times New Roman" w:hAnsi="Times New Roman" w:eastAsia="宋体"/>
                      <w:color w:val="auto"/>
                      <w:sz w:val="21"/>
                      <w:szCs w:val="21"/>
                    </w:rPr>
                    <w:t>存</w:t>
                  </w:r>
                </w:p>
              </w:tc>
              <w:tc>
                <w:tcPr>
                  <w:tcW w:w="746" w:type="dxa"/>
                  <w:vMerge w:val="restart"/>
                  <w:vAlign w:val="center"/>
                </w:tcPr>
                <w:p>
                  <w:pPr>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3</w:t>
                  </w:r>
                  <w:r>
                    <w:rPr>
                      <w:rFonts w:ascii="Times New Roman" w:hAnsi="Times New Roman" w:eastAsia="宋体"/>
                      <w:color w:val="auto"/>
                      <w:sz w:val="21"/>
                      <w:szCs w:val="21"/>
                    </w:rPr>
                    <w:t>t</w:t>
                  </w:r>
                </w:p>
              </w:tc>
              <w:tc>
                <w:tcPr>
                  <w:tcW w:w="794" w:type="dxa"/>
                  <w:vMerge w:val="restart"/>
                  <w:vAlign w:val="center"/>
                </w:tcPr>
                <w:p>
                  <w:pPr>
                    <w:spacing w:line="320" w:lineRule="exact"/>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1年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4" w:type="dxa"/>
                </w:tcPr>
                <w:p>
                  <w:pPr>
                    <w:pStyle w:val="220"/>
                    <w:rPr>
                      <w:rFonts w:ascii="Times New Roman" w:hAnsi="Times New Roman" w:eastAsia="宋体"/>
                      <w:color w:val="auto"/>
                    </w:rPr>
                  </w:pPr>
                  <w:r>
                    <w:rPr>
                      <w:rFonts w:hint="eastAsia" w:ascii="Times New Roman" w:hAnsi="Times New Roman" w:eastAsia="宋体"/>
                      <w:color w:val="auto"/>
                    </w:rPr>
                    <w:t>2</w:t>
                  </w:r>
                </w:p>
              </w:tc>
              <w:tc>
                <w:tcPr>
                  <w:tcW w:w="1339" w:type="dxa"/>
                  <w:vMerge w:val="continue"/>
                </w:tcPr>
                <w:p>
                  <w:pPr>
                    <w:spacing w:line="320" w:lineRule="exact"/>
                    <w:ind w:firstLine="0" w:firstLineChars="0"/>
                    <w:jc w:val="center"/>
                    <w:rPr>
                      <w:rFonts w:ascii="Times New Roman" w:hAnsi="Times New Roman" w:eastAsia="宋体"/>
                      <w:b/>
                      <w:color w:val="auto"/>
                      <w:sz w:val="21"/>
                      <w:szCs w:val="21"/>
                    </w:rPr>
                  </w:pPr>
                </w:p>
              </w:tc>
              <w:tc>
                <w:tcPr>
                  <w:tcW w:w="1503" w:type="dxa"/>
                  <w:vAlign w:val="center"/>
                </w:tcPr>
                <w:p>
                  <w:pPr>
                    <w:pStyle w:val="221"/>
                    <w:spacing w:line="320" w:lineRule="exact"/>
                    <w:rPr>
                      <w:rFonts w:ascii="Times New Roman" w:hAnsi="Times New Roman" w:eastAsia="宋体"/>
                      <w:color w:val="auto"/>
                    </w:rPr>
                  </w:pPr>
                  <w:r>
                    <w:rPr>
                      <w:rFonts w:ascii="Times New Roman" w:hAnsi="Times New Roman" w:eastAsia="宋体"/>
                      <w:color w:val="auto"/>
                    </w:rPr>
                    <w:t>废紫外线灯管</w:t>
                  </w:r>
                </w:p>
              </w:tc>
              <w:tc>
                <w:tcPr>
                  <w:tcW w:w="925" w:type="dxa"/>
                </w:tcPr>
                <w:p>
                  <w:pPr>
                    <w:pStyle w:val="220"/>
                    <w:rPr>
                      <w:rFonts w:ascii="Times New Roman" w:hAnsi="Times New Roman" w:eastAsia="宋体"/>
                      <w:color w:val="auto"/>
                    </w:rPr>
                  </w:pPr>
                  <w:r>
                    <w:rPr>
                      <w:rFonts w:ascii="Times New Roman" w:hAnsi="Times New Roman" w:eastAsia="宋体"/>
                      <w:color w:val="auto"/>
                    </w:rPr>
                    <w:t>HW</w:t>
                  </w:r>
                  <w:r>
                    <w:rPr>
                      <w:rFonts w:hint="eastAsia" w:ascii="Times New Roman" w:hAnsi="Times New Roman" w:eastAsia="宋体"/>
                      <w:color w:val="auto"/>
                    </w:rPr>
                    <w:t>2</w:t>
                  </w:r>
                  <w:r>
                    <w:rPr>
                      <w:rFonts w:ascii="Times New Roman" w:hAnsi="Times New Roman" w:eastAsia="宋体"/>
                      <w:color w:val="auto"/>
                    </w:rPr>
                    <w:t>9</w:t>
                  </w:r>
                </w:p>
              </w:tc>
              <w:tc>
                <w:tcPr>
                  <w:tcW w:w="1300" w:type="dxa"/>
                  <w:vAlign w:val="center"/>
                </w:tcPr>
                <w:p>
                  <w:pPr>
                    <w:pStyle w:val="221"/>
                    <w:spacing w:line="320" w:lineRule="exact"/>
                    <w:rPr>
                      <w:rFonts w:ascii="Times New Roman" w:hAnsi="Times New Roman" w:eastAsia="宋体"/>
                      <w:color w:val="auto"/>
                    </w:rPr>
                  </w:pPr>
                  <w:r>
                    <w:rPr>
                      <w:rFonts w:ascii="Times New Roman" w:hAnsi="Times New Roman" w:eastAsia="宋体"/>
                      <w:color w:val="auto"/>
                    </w:rPr>
                    <w:t>900-023-29</w:t>
                  </w:r>
                </w:p>
              </w:tc>
              <w:tc>
                <w:tcPr>
                  <w:tcW w:w="609" w:type="dxa"/>
                  <w:vMerge w:val="continue"/>
                </w:tcPr>
                <w:p>
                  <w:pPr>
                    <w:spacing w:line="240" w:lineRule="auto"/>
                    <w:ind w:firstLine="0" w:firstLineChars="0"/>
                    <w:jc w:val="center"/>
                    <w:rPr>
                      <w:rFonts w:ascii="Times New Roman" w:hAnsi="Times New Roman" w:eastAsia="宋体"/>
                      <w:color w:val="auto"/>
                      <w:sz w:val="21"/>
                      <w:szCs w:val="21"/>
                    </w:rPr>
                  </w:pPr>
                </w:p>
              </w:tc>
              <w:tc>
                <w:tcPr>
                  <w:tcW w:w="749" w:type="dxa"/>
                  <w:vMerge w:val="continue"/>
                </w:tcPr>
                <w:p>
                  <w:pPr>
                    <w:spacing w:line="240" w:lineRule="auto"/>
                    <w:ind w:firstLine="0" w:firstLineChars="0"/>
                    <w:jc w:val="center"/>
                    <w:rPr>
                      <w:rFonts w:ascii="Times New Roman" w:hAnsi="Times New Roman" w:eastAsia="宋体"/>
                      <w:color w:val="auto"/>
                      <w:sz w:val="21"/>
                      <w:szCs w:val="21"/>
                    </w:rPr>
                  </w:pPr>
                </w:p>
              </w:tc>
              <w:tc>
                <w:tcPr>
                  <w:tcW w:w="766" w:type="dxa"/>
                  <w:vMerge w:val="continue"/>
                </w:tcPr>
                <w:p>
                  <w:pPr>
                    <w:spacing w:line="240" w:lineRule="auto"/>
                    <w:ind w:firstLine="0" w:firstLineChars="0"/>
                    <w:jc w:val="center"/>
                    <w:rPr>
                      <w:rFonts w:ascii="Times New Roman" w:hAnsi="Times New Roman" w:eastAsia="宋体"/>
                      <w:color w:val="auto"/>
                      <w:sz w:val="21"/>
                      <w:szCs w:val="21"/>
                    </w:rPr>
                  </w:pPr>
                </w:p>
              </w:tc>
              <w:tc>
                <w:tcPr>
                  <w:tcW w:w="746" w:type="dxa"/>
                  <w:vMerge w:val="continue"/>
                </w:tcPr>
                <w:p>
                  <w:pPr>
                    <w:spacing w:line="240" w:lineRule="auto"/>
                    <w:ind w:firstLine="0" w:firstLineChars="0"/>
                    <w:jc w:val="center"/>
                    <w:rPr>
                      <w:rFonts w:ascii="Times New Roman" w:hAnsi="Times New Roman" w:eastAsia="宋体"/>
                      <w:color w:val="auto"/>
                      <w:sz w:val="21"/>
                      <w:szCs w:val="21"/>
                    </w:rPr>
                  </w:pPr>
                </w:p>
              </w:tc>
              <w:tc>
                <w:tcPr>
                  <w:tcW w:w="794" w:type="dxa"/>
                  <w:vMerge w:val="continue"/>
                </w:tcPr>
                <w:p>
                  <w:pPr>
                    <w:spacing w:line="320" w:lineRule="exact"/>
                    <w:ind w:firstLine="0" w:firstLineChars="0"/>
                    <w:jc w:val="center"/>
                    <w:rPr>
                      <w:rFonts w:ascii="Times New Roman" w:hAnsi="Times New Roman" w:eastAsia="宋体"/>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4" w:type="dxa"/>
                </w:tcPr>
                <w:p>
                  <w:pPr>
                    <w:pStyle w:val="220"/>
                    <w:rPr>
                      <w:rFonts w:ascii="Times New Roman" w:hAnsi="Times New Roman" w:eastAsia="宋体"/>
                      <w:color w:val="auto"/>
                    </w:rPr>
                  </w:pPr>
                  <w:r>
                    <w:rPr>
                      <w:rFonts w:hint="eastAsia" w:ascii="Times New Roman" w:hAnsi="Times New Roman" w:eastAsia="宋体"/>
                      <w:color w:val="auto"/>
                    </w:rPr>
                    <w:t>3</w:t>
                  </w:r>
                </w:p>
              </w:tc>
              <w:tc>
                <w:tcPr>
                  <w:tcW w:w="1339" w:type="dxa"/>
                  <w:vMerge w:val="continue"/>
                </w:tcPr>
                <w:p>
                  <w:pPr>
                    <w:spacing w:line="320" w:lineRule="exact"/>
                    <w:ind w:firstLine="0" w:firstLineChars="0"/>
                    <w:jc w:val="center"/>
                    <w:rPr>
                      <w:rFonts w:ascii="Times New Roman" w:hAnsi="Times New Roman" w:eastAsia="宋体"/>
                      <w:b/>
                      <w:color w:val="auto"/>
                      <w:sz w:val="21"/>
                      <w:szCs w:val="21"/>
                    </w:rPr>
                  </w:pPr>
                </w:p>
              </w:tc>
              <w:tc>
                <w:tcPr>
                  <w:tcW w:w="1503" w:type="dxa"/>
                  <w:vAlign w:val="center"/>
                </w:tcPr>
                <w:p>
                  <w:pPr>
                    <w:spacing w:line="320" w:lineRule="exact"/>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废催化剂</w:t>
                  </w:r>
                </w:p>
              </w:tc>
              <w:tc>
                <w:tcPr>
                  <w:tcW w:w="925" w:type="dxa"/>
                </w:tcPr>
                <w:p>
                  <w:pPr>
                    <w:pStyle w:val="220"/>
                    <w:rPr>
                      <w:rFonts w:ascii="Times New Roman" w:hAnsi="Times New Roman" w:eastAsia="宋体"/>
                      <w:color w:val="auto"/>
                    </w:rPr>
                  </w:pPr>
                  <w:r>
                    <w:rPr>
                      <w:rFonts w:ascii="Times New Roman" w:hAnsi="Times New Roman" w:eastAsia="宋体"/>
                      <w:color w:val="auto"/>
                    </w:rPr>
                    <w:t>HW</w:t>
                  </w:r>
                  <w:r>
                    <w:rPr>
                      <w:rFonts w:hint="eastAsia" w:ascii="Times New Roman" w:hAnsi="Times New Roman" w:eastAsia="宋体"/>
                      <w:color w:val="auto"/>
                    </w:rPr>
                    <w:t>50</w:t>
                  </w:r>
                </w:p>
              </w:tc>
              <w:tc>
                <w:tcPr>
                  <w:tcW w:w="1300" w:type="dxa"/>
                  <w:vAlign w:val="center"/>
                </w:tcPr>
                <w:p>
                  <w:pPr>
                    <w:spacing w:line="320" w:lineRule="exact"/>
                    <w:ind w:firstLine="0" w:firstLineChars="0"/>
                    <w:jc w:val="center"/>
                    <w:rPr>
                      <w:rFonts w:ascii="Times New Roman" w:hAnsi="Times New Roman" w:eastAsia="宋体"/>
                      <w:color w:val="auto"/>
                    </w:rPr>
                  </w:pPr>
                  <w:r>
                    <w:rPr>
                      <w:rFonts w:hint="eastAsia" w:ascii="Times New Roman" w:hAnsi="Times New Roman" w:eastAsia="宋体"/>
                      <w:color w:val="auto"/>
                      <w:sz w:val="21"/>
                      <w:szCs w:val="21"/>
                    </w:rPr>
                    <w:t>772-007-50</w:t>
                  </w:r>
                </w:p>
              </w:tc>
              <w:tc>
                <w:tcPr>
                  <w:tcW w:w="609" w:type="dxa"/>
                  <w:vMerge w:val="continue"/>
                </w:tcPr>
                <w:p>
                  <w:pPr>
                    <w:spacing w:line="240" w:lineRule="auto"/>
                    <w:ind w:firstLine="0" w:firstLineChars="0"/>
                    <w:jc w:val="center"/>
                    <w:rPr>
                      <w:rFonts w:ascii="Times New Roman" w:hAnsi="Times New Roman" w:eastAsia="宋体"/>
                      <w:color w:val="auto"/>
                      <w:sz w:val="21"/>
                      <w:szCs w:val="21"/>
                    </w:rPr>
                  </w:pPr>
                </w:p>
              </w:tc>
              <w:tc>
                <w:tcPr>
                  <w:tcW w:w="749" w:type="dxa"/>
                  <w:vMerge w:val="continue"/>
                </w:tcPr>
                <w:p>
                  <w:pPr>
                    <w:spacing w:line="240" w:lineRule="auto"/>
                    <w:ind w:firstLine="0" w:firstLineChars="0"/>
                    <w:jc w:val="center"/>
                    <w:rPr>
                      <w:rFonts w:ascii="Times New Roman" w:hAnsi="Times New Roman" w:eastAsia="宋体"/>
                      <w:color w:val="auto"/>
                      <w:sz w:val="21"/>
                      <w:szCs w:val="21"/>
                    </w:rPr>
                  </w:pPr>
                </w:p>
              </w:tc>
              <w:tc>
                <w:tcPr>
                  <w:tcW w:w="766" w:type="dxa"/>
                  <w:vMerge w:val="continue"/>
                </w:tcPr>
                <w:p>
                  <w:pPr>
                    <w:spacing w:line="240" w:lineRule="auto"/>
                    <w:ind w:firstLine="0" w:firstLineChars="0"/>
                    <w:jc w:val="center"/>
                    <w:rPr>
                      <w:rFonts w:ascii="Times New Roman" w:hAnsi="Times New Roman" w:eastAsia="宋体"/>
                      <w:color w:val="auto"/>
                      <w:sz w:val="21"/>
                      <w:szCs w:val="21"/>
                    </w:rPr>
                  </w:pPr>
                </w:p>
              </w:tc>
              <w:tc>
                <w:tcPr>
                  <w:tcW w:w="746" w:type="dxa"/>
                  <w:vMerge w:val="continue"/>
                </w:tcPr>
                <w:p>
                  <w:pPr>
                    <w:spacing w:line="240" w:lineRule="auto"/>
                    <w:ind w:firstLine="0" w:firstLineChars="0"/>
                    <w:jc w:val="center"/>
                    <w:rPr>
                      <w:rFonts w:ascii="Times New Roman" w:hAnsi="Times New Roman" w:eastAsia="宋体"/>
                      <w:color w:val="auto"/>
                      <w:sz w:val="21"/>
                      <w:szCs w:val="21"/>
                    </w:rPr>
                  </w:pPr>
                </w:p>
              </w:tc>
              <w:tc>
                <w:tcPr>
                  <w:tcW w:w="794" w:type="dxa"/>
                  <w:vMerge w:val="continue"/>
                </w:tcPr>
                <w:p>
                  <w:pPr>
                    <w:spacing w:line="320" w:lineRule="exact"/>
                    <w:ind w:firstLine="0" w:firstLineChars="0"/>
                    <w:jc w:val="center"/>
                    <w:rPr>
                      <w:rFonts w:ascii="Times New Roman" w:hAnsi="Times New Roman" w:eastAsia="宋体"/>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4" w:type="dxa"/>
                </w:tcPr>
                <w:p>
                  <w:pPr>
                    <w:pStyle w:val="220"/>
                    <w:rPr>
                      <w:rFonts w:ascii="Times New Roman" w:hAnsi="Times New Roman" w:eastAsia="宋体"/>
                      <w:color w:val="auto"/>
                    </w:rPr>
                  </w:pPr>
                  <w:r>
                    <w:rPr>
                      <w:rFonts w:hint="eastAsia" w:ascii="Times New Roman" w:hAnsi="Times New Roman" w:eastAsia="宋体"/>
                      <w:color w:val="auto"/>
                    </w:rPr>
                    <w:t>4</w:t>
                  </w:r>
                </w:p>
              </w:tc>
              <w:tc>
                <w:tcPr>
                  <w:tcW w:w="1339" w:type="dxa"/>
                  <w:vMerge w:val="continue"/>
                </w:tcPr>
                <w:p>
                  <w:pPr>
                    <w:spacing w:line="320" w:lineRule="exact"/>
                    <w:ind w:firstLine="0" w:firstLineChars="0"/>
                    <w:jc w:val="center"/>
                    <w:rPr>
                      <w:rFonts w:ascii="Times New Roman" w:hAnsi="Times New Roman" w:eastAsia="宋体"/>
                      <w:b/>
                      <w:color w:val="auto"/>
                      <w:sz w:val="21"/>
                      <w:szCs w:val="21"/>
                    </w:rPr>
                  </w:pPr>
                </w:p>
              </w:tc>
              <w:tc>
                <w:tcPr>
                  <w:tcW w:w="1503" w:type="dxa"/>
                  <w:vAlign w:val="center"/>
                </w:tcPr>
                <w:p>
                  <w:pPr>
                    <w:spacing w:line="32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废矿物油</w:t>
                  </w:r>
                </w:p>
              </w:tc>
              <w:tc>
                <w:tcPr>
                  <w:tcW w:w="925" w:type="dxa"/>
                </w:tcPr>
                <w:p>
                  <w:pPr>
                    <w:pStyle w:val="220"/>
                    <w:rPr>
                      <w:rFonts w:ascii="Times New Roman" w:hAnsi="Times New Roman" w:eastAsia="宋体"/>
                      <w:color w:val="auto"/>
                    </w:rPr>
                  </w:pPr>
                  <w:r>
                    <w:rPr>
                      <w:rFonts w:ascii="Times New Roman" w:hAnsi="Times New Roman" w:eastAsia="宋体"/>
                      <w:color w:val="auto"/>
                    </w:rPr>
                    <w:t>HW</w:t>
                  </w:r>
                  <w:r>
                    <w:rPr>
                      <w:rFonts w:hint="eastAsia" w:ascii="Times New Roman" w:hAnsi="Times New Roman" w:eastAsia="宋体"/>
                      <w:color w:val="auto"/>
                    </w:rPr>
                    <w:t>08</w:t>
                  </w:r>
                </w:p>
              </w:tc>
              <w:tc>
                <w:tcPr>
                  <w:tcW w:w="1300" w:type="dxa"/>
                </w:tcPr>
                <w:p>
                  <w:pPr>
                    <w:pStyle w:val="220"/>
                    <w:rPr>
                      <w:rFonts w:ascii="Times New Roman" w:hAnsi="Times New Roman" w:eastAsia="宋体"/>
                      <w:color w:val="auto"/>
                    </w:rPr>
                  </w:pPr>
                  <w:r>
                    <w:rPr>
                      <w:rFonts w:ascii="Times New Roman" w:hAnsi="Times New Roman" w:eastAsia="宋体"/>
                      <w:color w:val="auto"/>
                      <w:lang w:val="zh-CN"/>
                    </w:rPr>
                    <w:t>900-21</w:t>
                  </w:r>
                  <w:r>
                    <w:rPr>
                      <w:rFonts w:hint="eastAsia" w:ascii="Times New Roman" w:hAnsi="Times New Roman" w:eastAsia="宋体"/>
                      <w:color w:val="auto"/>
                      <w:lang w:val="zh-CN"/>
                    </w:rPr>
                    <w:t>0</w:t>
                  </w:r>
                  <w:r>
                    <w:rPr>
                      <w:rFonts w:ascii="Times New Roman" w:hAnsi="Times New Roman" w:eastAsia="宋体"/>
                      <w:color w:val="auto"/>
                      <w:lang w:val="zh-CN"/>
                    </w:rPr>
                    <w:t>-08</w:t>
                  </w:r>
                </w:p>
              </w:tc>
              <w:tc>
                <w:tcPr>
                  <w:tcW w:w="609" w:type="dxa"/>
                  <w:vMerge w:val="continue"/>
                </w:tcPr>
                <w:p>
                  <w:pPr>
                    <w:spacing w:line="240" w:lineRule="auto"/>
                    <w:ind w:firstLine="0" w:firstLineChars="0"/>
                    <w:jc w:val="center"/>
                    <w:rPr>
                      <w:rFonts w:ascii="Times New Roman" w:hAnsi="Times New Roman" w:eastAsia="宋体"/>
                      <w:color w:val="auto"/>
                      <w:sz w:val="21"/>
                      <w:szCs w:val="21"/>
                    </w:rPr>
                  </w:pPr>
                </w:p>
              </w:tc>
              <w:tc>
                <w:tcPr>
                  <w:tcW w:w="749" w:type="dxa"/>
                  <w:vMerge w:val="continue"/>
                </w:tcPr>
                <w:p>
                  <w:pPr>
                    <w:spacing w:line="240" w:lineRule="auto"/>
                    <w:ind w:firstLine="0" w:firstLineChars="0"/>
                    <w:jc w:val="center"/>
                    <w:rPr>
                      <w:rFonts w:ascii="Times New Roman" w:hAnsi="Times New Roman" w:eastAsia="宋体"/>
                      <w:color w:val="auto"/>
                      <w:sz w:val="21"/>
                      <w:szCs w:val="21"/>
                    </w:rPr>
                  </w:pPr>
                </w:p>
              </w:tc>
              <w:tc>
                <w:tcPr>
                  <w:tcW w:w="766" w:type="dxa"/>
                  <w:vMerge w:val="continue"/>
                </w:tcPr>
                <w:p>
                  <w:pPr>
                    <w:spacing w:line="240" w:lineRule="auto"/>
                    <w:ind w:firstLine="0" w:firstLineChars="0"/>
                    <w:jc w:val="center"/>
                    <w:rPr>
                      <w:rFonts w:ascii="Times New Roman" w:hAnsi="Times New Roman" w:eastAsia="宋体"/>
                      <w:color w:val="auto"/>
                      <w:sz w:val="21"/>
                      <w:szCs w:val="21"/>
                    </w:rPr>
                  </w:pPr>
                </w:p>
              </w:tc>
              <w:tc>
                <w:tcPr>
                  <w:tcW w:w="746" w:type="dxa"/>
                  <w:vMerge w:val="continue"/>
                </w:tcPr>
                <w:p>
                  <w:pPr>
                    <w:spacing w:line="240" w:lineRule="auto"/>
                    <w:ind w:firstLine="0" w:firstLineChars="0"/>
                    <w:jc w:val="center"/>
                    <w:rPr>
                      <w:rFonts w:ascii="Times New Roman" w:hAnsi="Times New Roman" w:eastAsia="宋体"/>
                      <w:color w:val="auto"/>
                      <w:sz w:val="21"/>
                      <w:szCs w:val="21"/>
                    </w:rPr>
                  </w:pPr>
                </w:p>
              </w:tc>
              <w:tc>
                <w:tcPr>
                  <w:tcW w:w="794" w:type="dxa"/>
                  <w:vMerge w:val="continue"/>
                </w:tcPr>
                <w:p>
                  <w:pPr>
                    <w:spacing w:line="320" w:lineRule="exact"/>
                    <w:ind w:firstLine="0" w:firstLineChars="0"/>
                    <w:jc w:val="center"/>
                    <w:rPr>
                      <w:rFonts w:ascii="Times New Roman" w:hAnsi="Times New Roman" w:eastAsia="宋体"/>
                      <w:color w:val="auto"/>
                      <w:sz w:val="21"/>
                      <w:szCs w:val="21"/>
                    </w:rPr>
                  </w:pPr>
                </w:p>
              </w:tc>
            </w:tr>
          </w:tbl>
          <w:p>
            <w:pPr>
              <w:ind w:left="640" w:leftChars="200" w:firstLine="0" w:firstLineChars="0"/>
              <w:rPr>
                <w:rFonts w:ascii="Times New Roman" w:hAnsi="Times New Roman" w:eastAsia="宋体"/>
                <w:color w:val="auto"/>
                <w:kern w:val="0"/>
                <w:sz w:val="24"/>
                <w:szCs w:val="24"/>
              </w:rPr>
            </w:pPr>
            <w:r>
              <w:rPr>
                <w:rFonts w:hint="eastAsia" w:ascii="Times New Roman" w:hAnsi="Times New Roman" w:eastAsia="宋体"/>
                <w:color w:val="auto"/>
                <w:kern w:val="0"/>
                <w:sz w:val="24"/>
                <w:szCs w:val="24"/>
              </w:rPr>
              <w:t>A</w:t>
            </w:r>
            <w:r>
              <w:rPr>
                <w:rFonts w:ascii="Times New Roman" w:hAnsi="Times New Roman" w:eastAsia="宋体"/>
                <w:color w:val="auto"/>
                <w:kern w:val="0"/>
                <w:sz w:val="24"/>
                <w:szCs w:val="24"/>
              </w:rPr>
              <w:t>．一般固废暂存场所要求</w:t>
            </w:r>
            <w:r>
              <w:rPr>
                <w:rFonts w:ascii="Times New Roman" w:hAnsi="Times New Roman" w:eastAsia="宋体"/>
                <w:color w:val="auto"/>
                <w:kern w:val="0"/>
                <w:sz w:val="24"/>
                <w:szCs w:val="24"/>
              </w:rPr>
              <w:br w:type="textWrapping"/>
            </w:r>
            <w:r>
              <w:rPr>
                <w:rFonts w:ascii="Times New Roman" w:hAnsi="Times New Roman" w:eastAsia="宋体"/>
                <w:color w:val="auto"/>
                <w:kern w:val="0"/>
                <w:sz w:val="24"/>
                <w:szCs w:val="24"/>
              </w:rPr>
              <w:t>建设项目产生的</w:t>
            </w:r>
            <w:r>
              <w:rPr>
                <w:rFonts w:hint="eastAsia" w:ascii="Times New Roman" w:hAnsi="Times New Roman" w:eastAsia="宋体"/>
                <w:color w:val="auto"/>
                <w:kern w:val="0"/>
                <w:sz w:val="24"/>
                <w:szCs w:val="24"/>
              </w:rPr>
              <w:t>一般固废</w:t>
            </w:r>
            <w:r>
              <w:rPr>
                <w:rFonts w:ascii="Times New Roman" w:hAnsi="Times New Roman" w:eastAsia="宋体"/>
                <w:color w:val="auto"/>
                <w:kern w:val="0"/>
                <w:sz w:val="24"/>
                <w:szCs w:val="24"/>
              </w:rPr>
              <w:t>均贮存于一般固废库。</w:t>
            </w:r>
          </w:p>
          <w:p>
            <w:pPr>
              <w:ind w:firstLine="480"/>
              <w:rPr>
                <w:rFonts w:ascii="Times New Roman" w:hAnsi="Times New Roman"/>
                <w:color w:val="auto"/>
                <w:kern w:val="0"/>
                <w:sz w:val="24"/>
                <w:szCs w:val="24"/>
              </w:rPr>
            </w:pPr>
            <w:r>
              <w:rPr>
                <w:rFonts w:ascii="Times New Roman" w:hAnsi="Times New Roman"/>
                <w:color w:val="auto"/>
                <w:kern w:val="0"/>
                <w:sz w:val="24"/>
                <w:szCs w:val="24"/>
              </w:rPr>
              <w:t>该暂存场所应按照《一般工业固体废物贮存、处置场污染控制标准》（GB18599-2001）及修改单要求建设。</w:t>
            </w:r>
            <w:r>
              <w:rPr>
                <w:rFonts w:ascii="Times New Roman" w:hAnsi="Times New Roman"/>
                <w:color w:val="auto"/>
                <w:kern w:val="0"/>
                <w:sz w:val="24"/>
                <w:szCs w:val="24"/>
              </w:rPr>
              <w:br w:type="textWrapping"/>
            </w:r>
            <w:r>
              <w:rPr>
                <w:rFonts w:ascii="Times New Roman" w:hAnsi="Times New Roman"/>
                <w:color w:val="auto"/>
                <w:kern w:val="0"/>
                <w:sz w:val="24"/>
                <w:szCs w:val="24"/>
              </w:rPr>
              <w:t xml:space="preserve">    ①贮存、处置场的建设类型，必须与将要堆放的一般工业固体废物的类别相一致；</w:t>
            </w:r>
            <w:r>
              <w:rPr>
                <w:rFonts w:ascii="Times New Roman" w:hAnsi="Times New Roman"/>
                <w:color w:val="auto"/>
                <w:kern w:val="0"/>
                <w:sz w:val="24"/>
                <w:szCs w:val="24"/>
              </w:rPr>
              <w:br w:type="textWrapping"/>
            </w:r>
            <w:r>
              <w:rPr>
                <w:rFonts w:ascii="Times New Roman" w:hAnsi="Times New Roman"/>
                <w:color w:val="auto"/>
                <w:kern w:val="0"/>
                <w:sz w:val="24"/>
                <w:szCs w:val="24"/>
              </w:rPr>
              <w:t xml:space="preserve">    ②贮存、处置场采取防止粉尘污染的措施；</w:t>
            </w:r>
            <w:r>
              <w:rPr>
                <w:rFonts w:ascii="Times New Roman" w:hAnsi="Times New Roman"/>
                <w:color w:val="auto"/>
                <w:kern w:val="0"/>
                <w:sz w:val="24"/>
                <w:szCs w:val="24"/>
              </w:rPr>
              <w:br w:type="textWrapping"/>
            </w:r>
            <w:r>
              <w:rPr>
                <w:rFonts w:ascii="Times New Roman" w:hAnsi="Times New Roman"/>
                <w:color w:val="auto"/>
                <w:kern w:val="0"/>
                <w:sz w:val="24"/>
                <w:szCs w:val="24"/>
              </w:rPr>
              <w:t xml:space="preserve">    ③为加强监督管理，贮存、处置场应按GB15562.2设置环境保护图形标志；</w:t>
            </w:r>
            <w:r>
              <w:rPr>
                <w:rFonts w:ascii="Times New Roman" w:hAnsi="Times New Roman"/>
                <w:color w:val="auto"/>
                <w:kern w:val="0"/>
                <w:sz w:val="24"/>
                <w:szCs w:val="24"/>
              </w:rPr>
              <w:br w:type="textWrapping"/>
            </w:r>
            <w:r>
              <w:rPr>
                <w:rFonts w:ascii="Times New Roman" w:hAnsi="Times New Roman"/>
                <w:color w:val="auto"/>
                <w:kern w:val="0"/>
                <w:sz w:val="24"/>
                <w:szCs w:val="24"/>
              </w:rPr>
              <w:t xml:space="preserve">    ④一般工业固体贮存、处置场禁止危险废物和生活垃圾混入；</w:t>
            </w:r>
            <w:r>
              <w:rPr>
                <w:rFonts w:ascii="Times New Roman" w:hAnsi="Times New Roman"/>
                <w:color w:val="auto"/>
                <w:kern w:val="0"/>
                <w:sz w:val="24"/>
                <w:szCs w:val="24"/>
              </w:rPr>
              <w:br w:type="textWrapping"/>
            </w:r>
            <w:r>
              <w:rPr>
                <w:rFonts w:ascii="Times New Roman" w:hAnsi="Times New Roman"/>
                <w:color w:val="auto"/>
                <w:kern w:val="0"/>
                <w:sz w:val="24"/>
                <w:szCs w:val="24"/>
              </w:rPr>
              <w:t xml:space="preserve">    ⑤贮存、处置场的使用单位，应建立档案制度。应将入场的一般工业固体废物的种类和数量等资料详细记录在案，长期保存，供随时查阅。</w:t>
            </w:r>
          </w:p>
          <w:p>
            <w:pPr>
              <w:pStyle w:val="95"/>
              <w:spacing w:line="240" w:lineRule="auto"/>
              <w:ind w:firstLine="482"/>
              <w:rPr>
                <w:rFonts w:hint="eastAsia" w:hAnsi="Times New Roman" w:cs="Times New Roman"/>
                <w:b/>
              </w:rPr>
            </w:pPr>
            <w:r>
              <w:rPr>
                <w:rFonts w:hint="eastAsia"/>
                <w:color w:val="auto"/>
                <w:kern w:val="0"/>
                <w:sz w:val="24"/>
                <w:szCs w:val="24"/>
                <w:lang w:val="en-US" w:eastAsia="zh-CN"/>
              </w:rPr>
              <w:t>B</w:t>
            </w:r>
            <w:r>
              <w:rPr>
                <w:rFonts w:ascii="Times New Roman" w:hAnsi="Times New Roman" w:eastAsia="宋体"/>
                <w:color w:val="auto"/>
                <w:kern w:val="0"/>
                <w:sz w:val="24"/>
                <w:szCs w:val="24"/>
              </w:rPr>
              <w:t>．</w:t>
            </w:r>
            <w:r>
              <w:rPr>
                <w:rFonts w:ascii="Times New Roman" w:hAnsi="Times New Roman"/>
                <w:color w:val="auto"/>
                <w:kern w:val="0"/>
                <w:sz w:val="24"/>
                <w:szCs w:val="24"/>
              </w:rPr>
              <w:t>危险废物暂存场地的设置应按《危险废物贮存污染控制标准》（GB18597-2001）及修改单要求设置，要求做到以下几点：</w:t>
            </w:r>
            <w:r>
              <w:rPr>
                <w:rFonts w:ascii="Times New Roman" w:hAnsi="Times New Roman"/>
                <w:color w:val="auto"/>
                <w:kern w:val="0"/>
                <w:sz w:val="24"/>
                <w:szCs w:val="24"/>
              </w:rPr>
              <w:br w:type="textWrapping"/>
            </w:r>
            <w:r>
              <w:rPr>
                <w:rFonts w:ascii="Times New Roman" w:hAnsi="Times New Roman"/>
                <w:color w:val="auto"/>
                <w:kern w:val="0"/>
                <w:sz w:val="24"/>
                <w:szCs w:val="24"/>
              </w:rPr>
              <w:t xml:space="preserve">    ①废物贮存设施必须按《环境保护图(GB15562-1995)》的规定设置警示标志；</w:t>
            </w:r>
            <w:r>
              <w:rPr>
                <w:rFonts w:ascii="Times New Roman" w:hAnsi="Times New Roman"/>
                <w:color w:val="auto"/>
                <w:kern w:val="0"/>
                <w:sz w:val="24"/>
                <w:szCs w:val="24"/>
              </w:rPr>
              <w:br w:type="textWrapping"/>
            </w:r>
            <w:r>
              <w:rPr>
                <w:rFonts w:ascii="Times New Roman" w:hAnsi="Times New Roman"/>
                <w:color w:val="auto"/>
                <w:kern w:val="0"/>
                <w:sz w:val="24"/>
                <w:szCs w:val="24"/>
              </w:rPr>
              <w:t xml:space="preserve">    ②废物贮存设施周围应设置围墙或其它防护栅栏；</w:t>
            </w:r>
            <w:r>
              <w:rPr>
                <w:rFonts w:ascii="Times New Roman" w:hAnsi="Times New Roman"/>
                <w:color w:val="auto"/>
                <w:kern w:val="0"/>
                <w:sz w:val="24"/>
                <w:szCs w:val="24"/>
              </w:rPr>
              <w:br w:type="textWrapping"/>
            </w:r>
            <w:r>
              <w:rPr>
                <w:rFonts w:ascii="Times New Roman" w:hAnsi="Times New Roman"/>
                <w:color w:val="auto"/>
                <w:kern w:val="0"/>
                <w:sz w:val="24"/>
                <w:szCs w:val="24"/>
              </w:rPr>
              <w:t xml:space="preserve">    ③废物贮存设施应配备通讯设备、照明设施、安全防护服装及工具，并设有应急防护设施；</w:t>
            </w:r>
            <w:r>
              <w:rPr>
                <w:rFonts w:ascii="Times New Roman" w:hAnsi="Times New Roman"/>
                <w:color w:val="auto"/>
                <w:kern w:val="0"/>
                <w:sz w:val="24"/>
                <w:szCs w:val="24"/>
              </w:rPr>
              <w:br w:type="textWrapping"/>
            </w:r>
            <w:r>
              <w:rPr>
                <w:rFonts w:ascii="Times New Roman" w:hAnsi="Times New Roman"/>
                <w:color w:val="auto"/>
                <w:kern w:val="0"/>
                <w:sz w:val="24"/>
                <w:szCs w:val="24"/>
              </w:rPr>
              <w:t xml:space="preserve">    ④废物贮存设施内清理出来的泄漏物，一律按危险废物处理；</w:t>
            </w:r>
            <w:r>
              <w:rPr>
                <w:rFonts w:ascii="Times New Roman" w:hAnsi="Times New Roman"/>
                <w:color w:val="auto"/>
                <w:kern w:val="0"/>
                <w:sz w:val="24"/>
                <w:szCs w:val="24"/>
              </w:rPr>
              <w:br w:type="textWrapping"/>
            </w:r>
            <w:r>
              <w:rPr>
                <w:rFonts w:ascii="Times New Roman" w:hAnsi="Times New Roman"/>
                <w:color w:val="auto"/>
                <w:kern w:val="0"/>
                <w:sz w:val="24"/>
                <w:szCs w:val="24"/>
              </w:rPr>
              <w:t xml:space="preserve">    ⑤建设单位收集危险废物后，放置在厂内的固废暂存库同时作好危险废物情况的记录，记录上注明危险废物的名称、数量及接收单位名称；</w:t>
            </w:r>
            <w:r>
              <w:rPr>
                <w:rFonts w:ascii="Times New Roman" w:hAnsi="Times New Roman"/>
                <w:color w:val="auto"/>
                <w:kern w:val="0"/>
                <w:sz w:val="24"/>
                <w:szCs w:val="24"/>
              </w:rPr>
              <w:br w:type="textWrapping"/>
            </w:r>
            <w:r>
              <w:rPr>
                <w:rFonts w:ascii="Times New Roman" w:hAnsi="Times New Roman"/>
                <w:color w:val="auto"/>
                <w:kern w:val="0"/>
                <w:sz w:val="24"/>
                <w:szCs w:val="24"/>
              </w:rPr>
              <w:t xml:space="preserve">    ⑥建设单位应做好危废转移申报、转移联单等相关手续，需满足《关于加强危险废物交换和转移管理工作的通知》要求。加强对固体废弃物管理，做好跟踪管理，建立管理台帐；</w:t>
            </w:r>
            <w:r>
              <w:rPr>
                <w:rFonts w:ascii="Times New Roman" w:hAnsi="Times New Roman"/>
                <w:color w:val="auto"/>
                <w:kern w:val="0"/>
                <w:sz w:val="24"/>
                <w:szCs w:val="24"/>
              </w:rPr>
              <w:br w:type="textWrapping"/>
            </w:r>
            <w:r>
              <w:rPr>
                <w:rFonts w:ascii="Times New Roman" w:hAnsi="Times New Roman"/>
                <w:color w:val="auto"/>
                <w:kern w:val="0"/>
                <w:sz w:val="24"/>
                <w:szCs w:val="24"/>
              </w:rPr>
              <w:t xml:space="preserve">    ⑦在转移危险废物前，须按照国家有关规定报批危险废物转移计划；经批准后，应当向移出地环境保护行政主管部门申请。产生单位应当在危险废物转移前三日内报告移出地环境保护行政主管部门，并同时将预期到达时间报告接受地环境保护行政主管部门；</w:t>
            </w:r>
            <w:r>
              <w:rPr>
                <w:rFonts w:ascii="Times New Roman" w:hAnsi="Times New Roman"/>
                <w:color w:val="auto"/>
                <w:kern w:val="0"/>
                <w:sz w:val="24"/>
                <w:szCs w:val="24"/>
              </w:rPr>
              <w:br w:type="textWrapping"/>
            </w:r>
            <w:r>
              <w:rPr>
                <w:rFonts w:ascii="Times New Roman" w:hAnsi="Times New Roman"/>
                <w:color w:val="auto"/>
                <w:kern w:val="0"/>
                <w:sz w:val="24"/>
                <w:szCs w:val="24"/>
              </w:rPr>
              <w:t xml:space="preserve">    ⑧危险废物委托处置单位应具备相应的资质，运输车辆须经主管单位检查，并持有有关单位签发的许可证，承载危险废物的车辆须有明显的标志。</w:t>
            </w:r>
            <w:r>
              <w:rPr>
                <w:rFonts w:ascii="Times New Roman" w:hAnsi="Times New Roman"/>
                <w:color w:val="auto"/>
                <w:kern w:val="0"/>
                <w:sz w:val="24"/>
                <w:szCs w:val="24"/>
              </w:rPr>
              <w:br w:type="textWrapping"/>
            </w:r>
            <w:r>
              <w:rPr>
                <w:rFonts w:ascii="Times New Roman" w:hAnsi="Times New Roman"/>
                <w:color w:val="auto"/>
                <w:kern w:val="0"/>
                <w:sz w:val="24"/>
                <w:szCs w:val="24"/>
              </w:rPr>
              <w:t xml:space="preserve">    项目危险废物收集时用塑料薄膜包装，贮存在危废仓库，危废仓库按照上述要求建设，对环境空气、地表水、地下水、土壤以及环境敏感保护目标影响小。</w:t>
            </w:r>
            <w:r>
              <w:rPr>
                <w:rFonts w:ascii="Times New Roman" w:hAnsi="Times New Roman"/>
                <w:color w:val="auto"/>
                <w:kern w:val="0"/>
                <w:sz w:val="24"/>
                <w:szCs w:val="24"/>
              </w:rPr>
              <w:br w:type="textWrapping"/>
            </w:r>
            <w:r>
              <w:rPr>
                <w:rFonts w:ascii="Times New Roman" w:hAnsi="Times New Roman"/>
                <w:color w:val="auto"/>
                <w:kern w:val="0"/>
                <w:sz w:val="24"/>
                <w:szCs w:val="24"/>
              </w:rPr>
              <w:t xml:space="preserve">  从建设项目产生的固废的处置情况来看，各类固废都得到了合理安全的处置，对周围环境的影响不大，但是评价仍要求建设单位对固废处置上不能随意处理，也不能乱堆乱放，在生产过程中要注意对这些固废的收集和储运，必须切实做好固废的分类工作，尽可能回收其中可以再利用的部分，切实按照本环评提出的方案进行处置。</w:t>
            </w:r>
          </w:p>
          <w:p>
            <w:pPr>
              <w:ind w:firstLine="482" w:firstLineChars="200"/>
              <w:rPr>
                <w:b/>
                <w:bCs/>
                <w:spacing w:val="4"/>
                <w:sz w:val="24"/>
              </w:rPr>
            </w:pPr>
            <w:r>
              <w:rPr>
                <w:rFonts w:hint="eastAsia"/>
                <w:b/>
                <w:sz w:val="24"/>
                <w:lang w:eastAsia="zh-CN"/>
              </w:rPr>
              <w:t>五</w:t>
            </w:r>
            <w:r>
              <w:rPr>
                <w:b/>
                <w:sz w:val="24"/>
              </w:rPr>
              <w:t>、</w:t>
            </w:r>
            <w:r>
              <w:rPr>
                <w:b/>
                <w:bCs/>
                <w:spacing w:val="4"/>
                <w:sz w:val="24"/>
              </w:rPr>
              <w:t>营运期环境保护措施</w:t>
            </w:r>
          </w:p>
          <w:p>
            <w:pPr>
              <w:ind w:firstLine="498" w:firstLineChars="200"/>
              <w:rPr>
                <w:b/>
                <w:bCs/>
                <w:spacing w:val="4"/>
                <w:sz w:val="24"/>
              </w:rPr>
            </w:pPr>
            <w:r>
              <w:rPr>
                <w:rFonts w:hint="eastAsia"/>
                <w:b/>
                <w:bCs/>
                <w:spacing w:val="4"/>
                <w:sz w:val="24"/>
              </w:rPr>
              <w:t>1、</w:t>
            </w:r>
            <w:r>
              <w:rPr>
                <w:b/>
                <w:bCs/>
                <w:spacing w:val="4"/>
                <w:sz w:val="24"/>
              </w:rPr>
              <w:t>营运期声环境保护措施</w:t>
            </w:r>
          </w:p>
          <w:p>
            <w:pPr>
              <w:ind w:firstLine="480" w:firstLineChars="200"/>
              <w:rPr>
                <w:color w:val="auto"/>
                <w:sz w:val="24"/>
              </w:rPr>
            </w:pPr>
            <w:r>
              <w:rPr>
                <w:color w:val="auto"/>
                <w:sz w:val="24"/>
              </w:rPr>
              <w:t>（1）加强交通管理，严格执行限速和禁止超载等交通规则，以减少交通噪声扰民问题。</w:t>
            </w:r>
          </w:p>
          <w:p>
            <w:pPr>
              <w:ind w:firstLine="480" w:firstLineChars="200"/>
              <w:rPr>
                <w:color w:val="auto"/>
                <w:sz w:val="24"/>
              </w:rPr>
            </w:pPr>
            <w:r>
              <w:rPr>
                <w:color w:val="auto"/>
                <w:sz w:val="24"/>
              </w:rPr>
              <w:t>（2）加强拟建道路沿线的声环境质量的环境监测工作，对可能受到较严重污染的敏感点实行环境噪声定期监测制度，根据因交通量增大引起的声环境污染程度，及时采取相应的减缓措施。</w:t>
            </w:r>
          </w:p>
          <w:p>
            <w:pPr>
              <w:ind w:firstLine="480" w:firstLineChars="200"/>
              <w:rPr>
                <w:color w:val="auto"/>
                <w:sz w:val="24"/>
              </w:rPr>
            </w:pPr>
            <w:r>
              <w:rPr>
                <w:color w:val="auto"/>
                <w:sz w:val="24"/>
              </w:rPr>
              <w:t>（</w:t>
            </w:r>
            <w:r>
              <w:rPr>
                <w:rFonts w:hint="eastAsia"/>
                <w:color w:val="auto"/>
                <w:sz w:val="24"/>
                <w:lang w:val="en-US" w:eastAsia="zh-CN"/>
              </w:rPr>
              <w:t>3</w:t>
            </w:r>
            <w:r>
              <w:rPr>
                <w:color w:val="auto"/>
                <w:sz w:val="24"/>
              </w:rPr>
              <w:t>）工程管理措施</w:t>
            </w:r>
          </w:p>
          <w:p>
            <w:pPr>
              <w:ind w:firstLine="480" w:firstLineChars="200"/>
              <w:rPr>
                <w:color w:val="auto"/>
                <w:sz w:val="24"/>
              </w:rPr>
            </w:pPr>
            <w:r>
              <w:rPr>
                <w:rFonts w:hint="eastAsia"/>
                <w:color w:val="auto"/>
                <w:sz w:val="24"/>
              </w:rPr>
              <w:t>①</w:t>
            </w:r>
            <w:r>
              <w:rPr>
                <w:color w:val="auto"/>
                <w:sz w:val="24"/>
              </w:rPr>
              <w:t>应设禁鸣标志，以降低交通噪声的污染源。</w:t>
            </w:r>
          </w:p>
          <w:p>
            <w:pPr>
              <w:ind w:firstLine="480" w:firstLineChars="200"/>
              <w:rPr>
                <w:sz w:val="24"/>
              </w:rPr>
            </w:pPr>
            <w:r>
              <w:rPr>
                <w:rFonts w:hint="eastAsia"/>
                <w:color w:val="auto"/>
                <w:sz w:val="24"/>
              </w:rPr>
              <w:t>②</w:t>
            </w:r>
            <w:r>
              <w:rPr>
                <w:color w:val="auto"/>
                <w:sz w:val="24"/>
              </w:rPr>
              <w:t>加强交通管理，经常维持道路路面的平整度，避免因路况不佳造成车辆颠簸等引起交通噪声增加。</w:t>
            </w:r>
          </w:p>
          <w:p>
            <w:pPr>
              <w:adjustRightInd w:val="0"/>
              <w:snapToGrid w:val="0"/>
              <w:ind w:firstLine="482" w:firstLineChars="200"/>
              <w:rPr>
                <w:b/>
                <w:bCs/>
                <w:sz w:val="24"/>
              </w:rPr>
            </w:pPr>
            <w:r>
              <w:rPr>
                <w:rFonts w:hint="eastAsia"/>
                <w:b/>
                <w:sz w:val="24"/>
                <w:szCs w:val="28"/>
              </w:rPr>
              <w:t>2、</w:t>
            </w:r>
            <w:r>
              <w:rPr>
                <w:b/>
                <w:sz w:val="24"/>
                <w:szCs w:val="28"/>
              </w:rPr>
              <w:t>营运期</w:t>
            </w:r>
            <w:r>
              <w:rPr>
                <w:b/>
                <w:bCs/>
                <w:sz w:val="24"/>
              </w:rPr>
              <w:t>大气污染防治措施</w:t>
            </w:r>
          </w:p>
          <w:p>
            <w:pPr>
              <w:ind w:firstLine="480" w:firstLineChars="200"/>
              <w:rPr>
                <w:sz w:val="24"/>
              </w:rPr>
            </w:pPr>
            <w:r>
              <w:rPr>
                <w:sz w:val="24"/>
              </w:rPr>
              <w:t>根据工程运行期大气污染的产生特点，其大气污染主要为</w:t>
            </w:r>
            <w:r>
              <w:rPr>
                <w:rFonts w:hint="eastAsia"/>
                <w:sz w:val="24"/>
                <w:lang w:eastAsia="zh-CN"/>
              </w:rPr>
              <w:t>生产工序粉尘</w:t>
            </w:r>
            <w:r>
              <w:rPr>
                <w:sz w:val="24"/>
              </w:rPr>
              <w:t>所造成的局部污染。为减小</w:t>
            </w:r>
            <w:r>
              <w:rPr>
                <w:rFonts w:hint="eastAsia"/>
                <w:sz w:val="24"/>
                <w:lang w:eastAsia="zh-CN"/>
              </w:rPr>
              <w:t>运营期废气</w:t>
            </w:r>
            <w:r>
              <w:rPr>
                <w:sz w:val="24"/>
              </w:rPr>
              <w:t>排放对周边局部大气环境的影响，提出如下措施：</w:t>
            </w:r>
          </w:p>
          <w:p>
            <w:pPr>
              <w:ind w:firstLine="480" w:firstLineChars="200"/>
              <w:rPr>
                <w:sz w:val="24"/>
              </w:rPr>
            </w:pPr>
            <w:r>
              <w:rPr>
                <w:sz w:val="24"/>
              </w:rPr>
              <w:t>（1）加强道路管理及路面养护，保持道路良好运营状态，减少塞车现象。</w:t>
            </w:r>
          </w:p>
          <w:p>
            <w:pPr>
              <w:ind w:firstLine="480" w:firstLineChars="200"/>
              <w:rPr>
                <w:sz w:val="24"/>
              </w:rPr>
            </w:pPr>
            <w:r>
              <w:rPr>
                <w:sz w:val="24"/>
              </w:rPr>
              <w:t>（2）</w:t>
            </w:r>
            <w:r>
              <w:rPr>
                <w:rFonts w:hint="eastAsia"/>
                <w:sz w:val="24"/>
                <w:lang w:eastAsia="zh-CN"/>
              </w:rPr>
              <w:t>项目运行过程中各大气污染处理设施必须同时运行</w:t>
            </w:r>
            <w:r>
              <w:rPr>
                <w:sz w:val="24"/>
              </w:rPr>
              <w:t>。</w:t>
            </w:r>
          </w:p>
          <w:p>
            <w:pPr>
              <w:ind w:firstLine="480" w:firstLineChars="200"/>
              <w:rPr>
                <w:rFonts w:hint="eastAsia"/>
                <w:sz w:val="24"/>
                <w:lang w:eastAsia="zh-CN"/>
              </w:rPr>
            </w:pPr>
            <w:r>
              <w:rPr>
                <w:sz w:val="24"/>
              </w:rPr>
              <w:t>（3）运送易产生扬尘物质的车辆应符合《中华人民共和国道路交通安全法》和《城市道路管理条例》相关规定，实行密闭运输，避免在运输过程中因物料遗撒或泄漏而产生扬尘</w:t>
            </w:r>
            <w:r>
              <w:rPr>
                <w:rFonts w:hint="eastAsia"/>
                <w:sz w:val="24"/>
                <w:lang w:eastAsia="zh-CN"/>
              </w:rPr>
              <w:t>。</w:t>
            </w:r>
          </w:p>
          <w:p>
            <w:pPr>
              <w:pStyle w:val="21"/>
              <w:bidi w:val="0"/>
              <w:rPr>
                <w:rFonts w:hint="eastAsia"/>
                <w:color w:val="FF0000"/>
                <w:sz w:val="24"/>
                <w:szCs w:val="22"/>
              </w:rPr>
            </w:pPr>
            <w:r>
              <w:rPr>
                <w:rFonts w:hint="eastAsia"/>
                <w:color w:val="FF0000"/>
                <w:sz w:val="24"/>
                <w:szCs w:val="22"/>
                <w:lang w:eastAsia="zh-CN"/>
              </w:rPr>
              <w:t>（</w:t>
            </w:r>
            <w:r>
              <w:rPr>
                <w:rFonts w:hint="eastAsia"/>
                <w:color w:val="FF0000"/>
                <w:sz w:val="24"/>
                <w:szCs w:val="22"/>
                <w:lang w:val="en-US" w:eastAsia="zh-CN"/>
              </w:rPr>
              <w:t>4</w:t>
            </w:r>
            <w:r>
              <w:rPr>
                <w:rFonts w:hint="eastAsia"/>
                <w:color w:val="FF0000"/>
                <w:sz w:val="24"/>
                <w:szCs w:val="22"/>
                <w:lang w:eastAsia="zh-CN"/>
              </w:rPr>
              <w:t>）</w:t>
            </w:r>
            <w:r>
              <w:rPr>
                <w:rFonts w:hint="eastAsia"/>
                <w:color w:val="FF0000"/>
                <w:sz w:val="24"/>
                <w:szCs w:val="22"/>
              </w:rPr>
              <w:t>厂区内的生产区、办公区宜分开设置。</w:t>
            </w:r>
          </w:p>
          <w:p>
            <w:pPr>
              <w:pStyle w:val="21"/>
              <w:bidi w:val="0"/>
              <w:rPr>
                <w:rFonts w:hint="eastAsia"/>
                <w:color w:val="FF0000"/>
                <w:sz w:val="24"/>
                <w:szCs w:val="22"/>
              </w:rPr>
            </w:pPr>
            <w:r>
              <w:rPr>
                <w:rFonts w:hint="eastAsia"/>
                <w:color w:val="FF0000"/>
                <w:sz w:val="24"/>
                <w:szCs w:val="22"/>
                <w:lang w:eastAsia="zh-CN"/>
              </w:rPr>
              <w:t>（</w:t>
            </w:r>
            <w:r>
              <w:rPr>
                <w:rFonts w:hint="eastAsia"/>
                <w:color w:val="FF0000"/>
                <w:sz w:val="24"/>
                <w:szCs w:val="22"/>
                <w:lang w:val="en-US" w:eastAsia="zh-CN"/>
              </w:rPr>
              <w:t>5</w:t>
            </w:r>
            <w:r>
              <w:rPr>
                <w:rFonts w:hint="eastAsia"/>
                <w:color w:val="FF0000"/>
                <w:sz w:val="24"/>
                <w:szCs w:val="22"/>
                <w:lang w:eastAsia="zh-CN"/>
              </w:rPr>
              <w:t>）</w:t>
            </w:r>
            <w:r>
              <w:rPr>
                <w:rFonts w:hint="eastAsia"/>
                <w:color w:val="FF0000"/>
                <w:sz w:val="24"/>
                <w:szCs w:val="22"/>
              </w:rPr>
              <w:t>厂区道路应硬化。</w:t>
            </w:r>
          </w:p>
          <w:p>
            <w:pPr>
              <w:pStyle w:val="21"/>
              <w:bidi w:val="0"/>
              <w:rPr>
                <w:rFonts w:hint="eastAsia"/>
                <w:color w:val="FF0000"/>
                <w:sz w:val="24"/>
                <w:szCs w:val="22"/>
              </w:rPr>
            </w:pPr>
            <w:r>
              <w:rPr>
                <w:rFonts w:hint="eastAsia"/>
                <w:color w:val="FF0000"/>
                <w:sz w:val="24"/>
                <w:szCs w:val="22"/>
                <w:lang w:eastAsia="zh-CN"/>
              </w:rPr>
              <w:t>（</w:t>
            </w:r>
            <w:r>
              <w:rPr>
                <w:rFonts w:hint="eastAsia"/>
                <w:color w:val="FF0000"/>
                <w:sz w:val="24"/>
                <w:szCs w:val="22"/>
                <w:lang w:val="en-US" w:eastAsia="zh-CN"/>
              </w:rPr>
              <w:t>6</w:t>
            </w:r>
            <w:r>
              <w:rPr>
                <w:rFonts w:hint="eastAsia"/>
                <w:color w:val="FF0000"/>
                <w:sz w:val="24"/>
                <w:szCs w:val="22"/>
                <w:lang w:eastAsia="zh-CN"/>
              </w:rPr>
              <w:t>）</w:t>
            </w:r>
            <w:r>
              <w:rPr>
                <w:rFonts w:hint="eastAsia"/>
                <w:color w:val="FF0000"/>
                <w:sz w:val="24"/>
                <w:szCs w:val="22"/>
              </w:rPr>
              <w:t>搅拌站（楼）宜采取整体封闭方式。</w:t>
            </w:r>
          </w:p>
          <w:p>
            <w:pPr>
              <w:pStyle w:val="21"/>
              <w:bidi w:val="0"/>
              <w:rPr>
                <w:rFonts w:hint="eastAsia" w:eastAsia="宋体"/>
                <w:color w:val="FF0000"/>
                <w:sz w:val="24"/>
                <w:szCs w:val="22"/>
                <w:lang w:eastAsia="zh-CN"/>
              </w:rPr>
            </w:pPr>
            <w:r>
              <w:rPr>
                <w:rFonts w:hint="eastAsia"/>
                <w:color w:val="FF0000"/>
                <w:sz w:val="24"/>
                <w:szCs w:val="22"/>
                <w:lang w:eastAsia="zh-CN"/>
              </w:rPr>
              <w:t>（</w:t>
            </w:r>
            <w:r>
              <w:rPr>
                <w:rFonts w:hint="eastAsia"/>
                <w:color w:val="FF0000"/>
                <w:sz w:val="24"/>
                <w:szCs w:val="22"/>
                <w:lang w:val="en-US" w:eastAsia="zh-CN"/>
              </w:rPr>
              <w:t>7</w:t>
            </w:r>
            <w:r>
              <w:rPr>
                <w:rFonts w:hint="eastAsia"/>
                <w:color w:val="FF0000"/>
                <w:sz w:val="24"/>
                <w:szCs w:val="22"/>
                <w:lang w:eastAsia="zh-CN"/>
              </w:rPr>
              <w:t>）</w:t>
            </w:r>
            <w:r>
              <w:rPr>
                <w:rFonts w:hint="eastAsia"/>
                <w:color w:val="FF0000"/>
                <w:sz w:val="24"/>
                <w:szCs w:val="22"/>
              </w:rPr>
              <w:t>搅拌站（楼）应安装除尘装置，并应保持正常使用</w:t>
            </w:r>
            <w:r>
              <w:rPr>
                <w:rFonts w:hint="eastAsia"/>
                <w:color w:val="FF0000"/>
                <w:sz w:val="24"/>
                <w:szCs w:val="22"/>
                <w:lang w:eastAsia="zh-CN"/>
              </w:rPr>
              <w:t>。</w:t>
            </w:r>
          </w:p>
          <w:p>
            <w:pPr>
              <w:pStyle w:val="21"/>
              <w:bidi w:val="0"/>
              <w:rPr>
                <w:rFonts w:hint="eastAsia"/>
                <w:color w:val="FF0000"/>
                <w:sz w:val="24"/>
                <w:szCs w:val="22"/>
                <w:lang w:eastAsia="zh-CN"/>
              </w:rPr>
            </w:pPr>
            <w:r>
              <w:rPr>
                <w:rFonts w:hint="eastAsia"/>
                <w:color w:val="FF0000"/>
                <w:sz w:val="24"/>
                <w:szCs w:val="22"/>
                <w:lang w:eastAsia="zh-CN"/>
              </w:rPr>
              <w:t>（</w:t>
            </w:r>
            <w:r>
              <w:rPr>
                <w:rFonts w:hint="eastAsia"/>
                <w:color w:val="FF0000"/>
                <w:sz w:val="24"/>
                <w:szCs w:val="22"/>
                <w:lang w:val="en-US" w:eastAsia="zh-CN"/>
              </w:rPr>
              <w:t>8</w:t>
            </w:r>
            <w:r>
              <w:rPr>
                <w:rFonts w:hint="eastAsia"/>
                <w:color w:val="FF0000"/>
                <w:sz w:val="24"/>
                <w:szCs w:val="22"/>
                <w:lang w:eastAsia="zh-CN"/>
              </w:rPr>
              <w:t>）</w:t>
            </w:r>
            <w:r>
              <w:rPr>
                <w:rFonts w:hint="eastAsia" w:eastAsia="宋体"/>
                <w:sz w:val="24"/>
                <w:szCs w:val="22"/>
              </w:rPr>
              <w:t>沥青产生的沥青烟和苯并（a）芘经</w:t>
            </w:r>
            <w:r>
              <w:rPr>
                <w:rFonts w:hint="eastAsia" w:eastAsia="宋体"/>
                <w:sz w:val="24"/>
                <w:szCs w:val="22"/>
                <w:lang w:val="en-US" w:eastAsia="zh-CN"/>
              </w:rPr>
              <w:t>集气罩+布袋除尘器+过滤棉+活性炭吸附箱+15m高排气筒</w:t>
            </w:r>
            <w:r>
              <w:rPr>
                <w:rFonts w:hint="eastAsia" w:eastAsia="宋体"/>
                <w:sz w:val="24"/>
                <w:szCs w:val="22"/>
              </w:rPr>
              <w:t>排放</w:t>
            </w:r>
            <w:r>
              <w:rPr>
                <w:rFonts w:hint="eastAsia"/>
                <w:color w:val="FF0000"/>
                <w:sz w:val="24"/>
                <w:szCs w:val="22"/>
              </w:rPr>
              <w:t>。</w:t>
            </w:r>
          </w:p>
          <w:p>
            <w:pPr>
              <w:adjustRightInd w:val="0"/>
              <w:snapToGrid w:val="0"/>
              <w:ind w:firstLine="482" w:firstLineChars="200"/>
              <w:rPr>
                <w:b/>
                <w:sz w:val="24"/>
                <w:szCs w:val="28"/>
              </w:rPr>
            </w:pPr>
            <w:r>
              <w:rPr>
                <w:rFonts w:hint="eastAsia"/>
                <w:b/>
                <w:sz w:val="24"/>
                <w:szCs w:val="28"/>
              </w:rPr>
              <w:t>3、</w:t>
            </w:r>
            <w:r>
              <w:rPr>
                <w:b/>
                <w:sz w:val="24"/>
                <w:szCs w:val="28"/>
              </w:rPr>
              <w:t>营运期水污染防治措施</w:t>
            </w:r>
          </w:p>
          <w:p>
            <w:pPr>
              <w:ind w:firstLine="480" w:firstLineChars="200"/>
              <w:rPr>
                <w:sz w:val="24"/>
              </w:rPr>
            </w:pPr>
            <w:r>
              <w:rPr>
                <w:rFonts w:hint="eastAsia"/>
                <w:sz w:val="24"/>
              </w:rPr>
              <w:t>（1）</w:t>
            </w:r>
            <w:r>
              <w:rPr>
                <w:rFonts w:hint="eastAsia"/>
                <w:sz w:val="24"/>
                <w:lang w:eastAsia="zh-CN"/>
              </w:rPr>
              <w:t>项目</w:t>
            </w:r>
            <w:r>
              <w:rPr>
                <w:sz w:val="24"/>
              </w:rPr>
              <w:t>的排水管网应与区域雨污水管网相衔接。</w:t>
            </w:r>
          </w:p>
          <w:p>
            <w:pPr>
              <w:ind w:firstLine="480" w:firstLineChars="200"/>
              <w:rPr>
                <w:sz w:val="24"/>
              </w:rPr>
            </w:pPr>
            <w:r>
              <w:rPr>
                <w:rFonts w:hint="eastAsia"/>
                <w:sz w:val="24"/>
              </w:rPr>
              <w:t>（2）</w:t>
            </w:r>
            <w:r>
              <w:rPr>
                <w:sz w:val="24"/>
              </w:rPr>
              <w:t>加强</w:t>
            </w:r>
            <w:r>
              <w:rPr>
                <w:rFonts w:hint="eastAsia"/>
                <w:sz w:val="24"/>
                <w:lang w:eastAsia="zh-CN"/>
              </w:rPr>
              <w:t>项目</w:t>
            </w:r>
            <w:r>
              <w:rPr>
                <w:sz w:val="24"/>
              </w:rPr>
              <w:t>排水设施的管理，维持经常性的巡查和养护。</w:t>
            </w:r>
          </w:p>
          <w:p>
            <w:pPr>
              <w:ind w:firstLine="480" w:firstLineChars="200"/>
              <w:rPr>
                <w:sz w:val="24"/>
              </w:rPr>
            </w:pPr>
            <w:r>
              <w:rPr>
                <w:rFonts w:hint="eastAsia"/>
                <w:sz w:val="24"/>
              </w:rPr>
              <w:t>（3）</w:t>
            </w:r>
            <w:r>
              <w:rPr>
                <w:sz w:val="24"/>
              </w:rPr>
              <w:t>运营期的排水系统会因路基边坡或道路上的尘砂受雨水冲刷等原因产生沉积、堵塞，应定期清理排水系统及全线的边沟，从而保证排水系统疏通。对可能造成的积水问题将予以特别关注。</w:t>
            </w:r>
          </w:p>
          <w:p>
            <w:pPr>
              <w:ind w:firstLine="482" w:firstLineChars="200"/>
              <w:rPr>
                <w:b/>
                <w:color w:val="FF0000"/>
                <w:sz w:val="24"/>
                <w:szCs w:val="28"/>
              </w:rPr>
            </w:pPr>
            <w:r>
              <w:rPr>
                <w:rFonts w:hint="eastAsia"/>
                <w:b/>
                <w:color w:val="FF0000"/>
                <w:sz w:val="24"/>
                <w:szCs w:val="28"/>
              </w:rPr>
              <w:t>4、</w:t>
            </w:r>
            <w:r>
              <w:rPr>
                <w:b/>
                <w:color w:val="FF0000"/>
                <w:sz w:val="24"/>
                <w:szCs w:val="28"/>
              </w:rPr>
              <w:t>营运期固体废物污染防治措施</w:t>
            </w:r>
          </w:p>
          <w:p>
            <w:pPr>
              <w:ind w:firstLine="480" w:firstLineChars="200"/>
              <w:rPr>
                <w:color w:val="FF0000"/>
                <w:sz w:val="24"/>
              </w:rPr>
            </w:pPr>
            <w:r>
              <w:rPr>
                <w:color w:val="FF0000"/>
                <w:sz w:val="24"/>
              </w:rPr>
              <w:t>（1）安排专职环卫工人、清扫车定期、定时对道路进行清扫，以保持道路清洁，在固体废物的收集、运输过程中应做到集装化、封闭化，采用密闭式的垃圾收集储存设备，运输采用专用封闭式垃圾运输车进行清运。</w:t>
            </w:r>
          </w:p>
          <w:p>
            <w:pPr>
              <w:ind w:firstLine="480" w:firstLineChars="200"/>
              <w:rPr>
                <w:color w:val="FF0000"/>
                <w:sz w:val="24"/>
              </w:rPr>
            </w:pPr>
            <w:r>
              <w:rPr>
                <w:color w:val="FF0000"/>
                <w:sz w:val="24"/>
              </w:rPr>
              <w:t>（2）通过宣传和制定法规，禁止在道路上乱丢弃饮料袋，易拉罐等垃圾，以保持</w:t>
            </w:r>
            <w:r>
              <w:rPr>
                <w:rFonts w:hint="eastAsia"/>
                <w:color w:val="FF0000"/>
                <w:sz w:val="24"/>
                <w:lang w:eastAsia="zh-CN"/>
              </w:rPr>
              <w:t>项目所在地</w:t>
            </w:r>
            <w:r>
              <w:rPr>
                <w:color w:val="FF0000"/>
                <w:sz w:val="24"/>
              </w:rPr>
              <w:t>的清洁；</w:t>
            </w:r>
          </w:p>
          <w:p>
            <w:pPr>
              <w:ind w:firstLine="480" w:firstLineChars="200"/>
              <w:rPr>
                <w:color w:val="FF0000"/>
                <w:sz w:val="24"/>
              </w:rPr>
            </w:pPr>
            <w:r>
              <w:rPr>
                <w:color w:val="FF0000"/>
                <w:sz w:val="24"/>
              </w:rPr>
              <w:t>（3）</w:t>
            </w:r>
            <w:r>
              <w:rPr>
                <w:rFonts w:hint="eastAsia"/>
                <w:color w:val="FF0000"/>
                <w:sz w:val="24"/>
                <w:lang w:eastAsia="zh-CN"/>
              </w:rPr>
              <w:t>项目</w:t>
            </w:r>
            <w:r>
              <w:rPr>
                <w:color w:val="FF0000"/>
                <w:sz w:val="24"/>
              </w:rPr>
              <w:t>运输中的散装物资如水泥、砂石材料等，当防护不严时易产生撒落，罐装物资也可能会产生泄漏，从而污染道路和道路两旁的环境，因此，应加强对运输车辆进入的检查，并通过有关法规予以解决。</w:t>
            </w:r>
          </w:p>
          <w:p>
            <w:pPr>
              <w:ind w:firstLine="482" w:firstLineChars="200"/>
              <w:rPr>
                <w:b/>
                <w:color w:val="auto"/>
                <w:sz w:val="24"/>
                <w:shd w:val="clear" w:color="auto" w:fill="auto"/>
              </w:rPr>
            </w:pPr>
            <w:r>
              <w:rPr>
                <w:rFonts w:hint="eastAsia"/>
                <w:b/>
                <w:color w:val="auto"/>
                <w:sz w:val="24"/>
                <w:shd w:val="clear" w:color="auto" w:fill="auto"/>
                <w:lang w:eastAsia="zh-CN"/>
              </w:rPr>
              <w:t>六</w:t>
            </w:r>
            <w:r>
              <w:rPr>
                <w:rFonts w:hint="eastAsia"/>
                <w:b/>
                <w:color w:val="auto"/>
                <w:sz w:val="24"/>
                <w:shd w:val="clear" w:color="auto" w:fill="auto"/>
              </w:rPr>
              <w:t>、环境风险分析</w:t>
            </w:r>
          </w:p>
          <w:p>
            <w:pPr>
              <w:spacing w:line="440" w:lineRule="exact"/>
              <w:ind w:firstLine="482" w:firstLineChars="200"/>
              <w:rPr>
                <w:rFonts w:hint="default" w:ascii="Times New Roman" w:hAnsi="Times New Roman" w:cs="Times New Roman"/>
                <w:b/>
                <w:sz w:val="24"/>
              </w:rPr>
            </w:pPr>
            <w:r>
              <w:rPr>
                <w:rFonts w:hint="default" w:ascii="Times New Roman" w:hAnsi="Times New Roman" w:cs="Times New Roman"/>
                <w:b/>
                <w:sz w:val="24"/>
              </w:rPr>
              <w:t>1、企业突发环境事件风险等级划分</w:t>
            </w:r>
          </w:p>
          <w:p>
            <w:pPr>
              <w:pStyle w:val="26"/>
              <w:bidi w:val="0"/>
              <w:rPr>
                <w:rFonts w:hint="default" w:ascii="宋体" w:hAnsi="宋体" w:eastAsia="宋体"/>
                <w:lang w:val="en-US" w:eastAsia="zh-CN"/>
              </w:rPr>
            </w:pPr>
            <w:bookmarkStart w:id="84" w:name="_Toc1354"/>
            <w:r>
              <w:rPr>
                <w:rFonts w:hint="default" w:ascii="宋体" w:hAnsi="宋体" w:eastAsia="宋体"/>
                <w:lang w:val="en-US" w:eastAsia="zh-CN"/>
              </w:rPr>
              <w:t>评价依据</w:t>
            </w:r>
            <w:bookmarkEnd w:id="84"/>
          </w:p>
          <w:p>
            <w:pPr>
              <w:pStyle w:val="26"/>
              <w:bidi w:val="0"/>
              <w:rPr>
                <w:rFonts w:hint="eastAsia" w:ascii="宋体" w:hAnsi="宋体" w:eastAsia="宋体"/>
              </w:rPr>
            </w:pPr>
            <w:bookmarkStart w:id="85" w:name="_Toc19888"/>
            <w:r>
              <w:rPr>
                <w:rFonts w:hint="eastAsia" w:ascii="宋体" w:hAnsi="宋体" w:eastAsia="宋体"/>
              </w:rPr>
              <w:t>根据《危险化学品重大危险源辨识》（GB18218-20</w:t>
            </w:r>
            <w:r>
              <w:rPr>
                <w:rFonts w:hint="eastAsia" w:ascii="宋体" w:hAnsi="宋体" w:eastAsia="宋体"/>
                <w:lang w:val="en-US" w:eastAsia="zh-CN"/>
              </w:rPr>
              <w:t>18</w:t>
            </w:r>
            <w:r>
              <w:rPr>
                <w:rFonts w:hint="eastAsia" w:ascii="宋体" w:hAnsi="宋体" w:eastAsia="宋体"/>
              </w:rPr>
              <w:t>）中规定，本项目生产过程中所用原辅材料涉及该标准所规定的物质，本项目</w:t>
            </w:r>
            <w:r>
              <w:rPr>
                <w:rFonts w:hint="eastAsia" w:ascii="宋体" w:hAnsi="宋体" w:eastAsia="宋体"/>
                <w:lang w:eastAsia="zh-CN"/>
              </w:rPr>
              <w:t>无危险物质</w:t>
            </w:r>
            <w:r>
              <w:rPr>
                <w:rFonts w:hint="eastAsia" w:ascii="宋体" w:hAnsi="宋体" w:eastAsia="宋体"/>
              </w:rPr>
              <w:t>。</w:t>
            </w:r>
            <w:bookmarkEnd w:id="85"/>
          </w:p>
          <w:p>
            <w:pPr>
              <w:pStyle w:val="26"/>
              <w:bidi w:val="0"/>
              <w:rPr>
                <w:rFonts w:hint="eastAsia" w:ascii="宋体" w:hAnsi="宋体" w:eastAsia="宋体"/>
              </w:rPr>
            </w:pPr>
            <w:bookmarkStart w:id="86" w:name="_Toc14368"/>
            <w:r>
              <w:rPr>
                <w:rFonts w:hint="eastAsia" w:ascii="宋体" w:hAnsi="宋体" w:eastAsia="宋体"/>
              </w:rPr>
              <w:t>此外对于单元内存在的危险物质为多品种时，则按下式计算，若满足下面公式，则构成重大危险源。</w:t>
            </w:r>
            <w:bookmarkEnd w:id="86"/>
          </w:p>
          <w:p>
            <w:pPr>
              <w:widowControl/>
              <w:snapToGrid w:val="0"/>
              <w:spacing w:line="480" w:lineRule="exact"/>
              <w:ind w:firstLine="2880"/>
              <w:jc w:val="left"/>
              <w:rPr>
                <w:rFonts w:ascii="Times New Roman" w:hAnsi="Times New Roman"/>
                <w:color w:val="000000"/>
                <w:kern w:val="0"/>
                <w:sz w:val="24"/>
                <w:u w:val="none"/>
              </w:rPr>
            </w:pPr>
            <w:r>
              <w:rPr>
                <w:rFonts w:ascii="Times New Roman" w:hAnsi="Times New Roman"/>
                <w:i/>
                <w:iCs/>
                <w:color w:val="000000"/>
                <w:kern w:val="0"/>
                <w:sz w:val="24"/>
                <w:u w:val="none"/>
              </w:rPr>
              <w:t>q</w:t>
            </w:r>
            <w:r>
              <w:rPr>
                <w:rFonts w:ascii="Times New Roman" w:hAnsi="Times New Roman"/>
                <w:i/>
                <w:iCs/>
                <w:color w:val="000000"/>
                <w:kern w:val="0"/>
                <w:sz w:val="24"/>
                <w:u w:val="none"/>
                <w:vertAlign w:val="subscript"/>
              </w:rPr>
              <w:t>1</w:t>
            </w:r>
            <w:r>
              <w:rPr>
                <w:rFonts w:ascii="Times New Roman" w:hAnsi="Times New Roman"/>
                <w:color w:val="000000"/>
                <w:kern w:val="0"/>
                <w:sz w:val="24"/>
                <w:u w:val="none"/>
              </w:rPr>
              <w:t>/</w:t>
            </w:r>
            <w:r>
              <w:rPr>
                <w:rFonts w:ascii="Times New Roman" w:hAnsi="Times New Roman"/>
                <w:i/>
                <w:iCs/>
                <w:color w:val="000000"/>
                <w:kern w:val="0"/>
                <w:sz w:val="24"/>
                <w:u w:val="none"/>
              </w:rPr>
              <w:t>Q</w:t>
            </w:r>
            <w:r>
              <w:rPr>
                <w:rFonts w:ascii="Times New Roman" w:hAnsi="Times New Roman"/>
                <w:i/>
                <w:iCs/>
                <w:color w:val="000000"/>
                <w:kern w:val="0"/>
                <w:sz w:val="24"/>
                <w:u w:val="none"/>
                <w:vertAlign w:val="subscript"/>
              </w:rPr>
              <w:t>1</w:t>
            </w:r>
            <w:r>
              <w:rPr>
                <w:rFonts w:ascii="Times New Roman" w:hAnsi="Times New Roman"/>
                <w:color w:val="000000"/>
                <w:kern w:val="0"/>
                <w:sz w:val="24"/>
                <w:u w:val="none"/>
              </w:rPr>
              <w:t xml:space="preserve"> + </w:t>
            </w:r>
            <w:r>
              <w:rPr>
                <w:rFonts w:ascii="Times New Roman" w:hAnsi="Times New Roman"/>
                <w:i/>
                <w:iCs/>
                <w:color w:val="000000"/>
                <w:kern w:val="0"/>
                <w:sz w:val="24"/>
                <w:u w:val="none"/>
              </w:rPr>
              <w:t>q</w:t>
            </w:r>
            <w:r>
              <w:rPr>
                <w:rFonts w:ascii="Times New Roman" w:hAnsi="Times New Roman"/>
                <w:i/>
                <w:iCs/>
                <w:color w:val="000000"/>
                <w:kern w:val="0"/>
                <w:sz w:val="24"/>
                <w:u w:val="none"/>
                <w:vertAlign w:val="subscript"/>
              </w:rPr>
              <w:t>2</w:t>
            </w:r>
            <w:r>
              <w:rPr>
                <w:rFonts w:ascii="Times New Roman" w:hAnsi="Times New Roman"/>
                <w:color w:val="000000"/>
                <w:kern w:val="0"/>
                <w:sz w:val="24"/>
                <w:u w:val="none"/>
              </w:rPr>
              <w:t>/</w:t>
            </w:r>
            <w:r>
              <w:rPr>
                <w:rFonts w:ascii="Times New Roman" w:hAnsi="Times New Roman"/>
                <w:i/>
                <w:iCs/>
                <w:color w:val="000000"/>
                <w:kern w:val="0"/>
                <w:sz w:val="24"/>
                <w:u w:val="none"/>
              </w:rPr>
              <w:t>Q</w:t>
            </w:r>
            <w:r>
              <w:rPr>
                <w:rFonts w:ascii="Times New Roman" w:hAnsi="Times New Roman"/>
                <w:i/>
                <w:iCs/>
                <w:color w:val="000000"/>
                <w:kern w:val="0"/>
                <w:sz w:val="24"/>
                <w:u w:val="none"/>
                <w:vertAlign w:val="subscript"/>
              </w:rPr>
              <w:t>2</w:t>
            </w:r>
            <w:r>
              <w:rPr>
                <w:rFonts w:ascii="Times New Roman" w:hAnsi="Times New Roman"/>
                <w:color w:val="000000"/>
                <w:kern w:val="0"/>
                <w:sz w:val="24"/>
                <w:u w:val="none"/>
              </w:rPr>
              <w:t xml:space="preserve"> + … + </w:t>
            </w:r>
            <w:r>
              <w:rPr>
                <w:rFonts w:ascii="Times New Roman" w:hAnsi="Times New Roman"/>
                <w:i/>
                <w:iCs/>
                <w:color w:val="000000"/>
                <w:kern w:val="0"/>
                <w:sz w:val="24"/>
                <w:u w:val="none"/>
              </w:rPr>
              <w:t>q</w:t>
            </w:r>
            <w:r>
              <w:rPr>
                <w:rFonts w:ascii="Times New Roman" w:hAnsi="Times New Roman"/>
                <w:i/>
                <w:iCs/>
                <w:color w:val="000000"/>
                <w:kern w:val="0"/>
                <w:sz w:val="24"/>
                <w:u w:val="none"/>
                <w:vertAlign w:val="subscript"/>
              </w:rPr>
              <w:t>n</w:t>
            </w:r>
            <w:r>
              <w:rPr>
                <w:rFonts w:ascii="Times New Roman" w:hAnsi="Times New Roman"/>
                <w:color w:val="000000"/>
                <w:kern w:val="0"/>
                <w:sz w:val="24"/>
                <w:u w:val="none"/>
              </w:rPr>
              <w:t>/</w:t>
            </w:r>
            <w:r>
              <w:rPr>
                <w:rFonts w:ascii="Times New Roman" w:hAnsi="Times New Roman"/>
                <w:i/>
                <w:iCs/>
                <w:color w:val="000000"/>
                <w:kern w:val="0"/>
                <w:sz w:val="24"/>
                <w:u w:val="none"/>
              </w:rPr>
              <w:t>Q</w:t>
            </w:r>
            <w:r>
              <w:rPr>
                <w:rFonts w:ascii="Times New Roman" w:hAnsi="Times New Roman"/>
                <w:i/>
                <w:iCs/>
                <w:color w:val="000000"/>
                <w:kern w:val="0"/>
                <w:sz w:val="24"/>
                <w:u w:val="none"/>
                <w:vertAlign w:val="subscript"/>
              </w:rPr>
              <w:t>n</w:t>
            </w:r>
            <w:r>
              <w:rPr>
                <w:rFonts w:ascii="Times New Roman" w:hAnsi="Times New Roman"/>
                <w:color w:val="000000"/>
                <w:kern w:val="0"/>
                <w:sz w:val="24"/>
                <w:u w:val="none"/>
              </w:rPr>
              <w:t xml:space="preserve"> ≥1</w:t>
            </w:r>
          </w:p>
          <w:p>
            <w:pPr>
              <w:widowControl/>
              <w:snapToGrid w:val="0"/>
              <w:spacing w:line="480" w:lineRule="exact"/>
              <w:ind w:firstLine="480"/>
              <w:jc w:val="left"/>
              <w:rPr>
                <w:rFonts w:ascii="Times New Roman" w:hAnsi="Times New Roman"/>
                <w:color w:val="000000"/>
                <w:kern w:val="0"/>
                <w:sz w:val="24"/>
                <w:u w:val="none"/>
              </w:rPr>
            </w:pPr>
            <w:r>
              <w:rPr>
                <w:rFonts w:ascii="Times New Roman" w:hAnsi="Times New Roman"/>
                <w:color w:val="000000"/>
                <w:kern w:val="0"/>
                <w:sz w:val="24"/>
                <w:u w:val="none"/>
              </w:rPr>
              <w:t>式中：</w:t>
            </w:r>
          </w:p>
          <w:p>
            <w:pPr>
              <w:widowControl/>
              <w:snapToGrid w:val="0"/>
              <w:spacing w:line="480" w:lineRule="exact"/>
              <w:ind w:firstLine="480"/>
              <w:jc w:val="left"/>
              <w:rPr>
                <w:rFonts w:ascii="Times New Roman" w:hAnsi="Times New Roman"/>
                <w:color w:val="000000"/>
                <w:kern w:val="0"/>
                <w:sz w:val="24"/>
                <w:u w:val="none"/>
              </w:rPr>
            </w:pPr>
            <w:r>
              <w:rPr>
                <w:rFonts w:ascii="Times New Roman" w:hAnsi="Times New Roman"/>
                <w:i/>
                <w:iCs/>
                <w:color w:val="000000"/>
                <w:kern w:val="0"/>
                <w:sz w:val="24"/>
                <w:u w:val="none"/>
              </w:rPr>
              <w:t>q</w:t>
            </w:r>
            <w:r>
              <w:rPr>
                <w:rFonts w:ascii="Times New Roman" w:hAnsi="Times New Roman"/>
                <w:i/>
                <w:iCs/>
                <w:color w:val="000000"/>
                <w:kern w:val="0"/>
                <w:sz w:val="24"/>
                <w:u w:val="none"/>
                <w:vertAlign w:val="subscript"/>
              </w:rPr>
              <w:t>1</w:t>
            </w:r>
            <w:r>
              <w:rPr>
                <w:rFonts w:ascii="Times New Roman" w:hAnsi="Times New Roman"/>
                <w:color w:val="000000"/>
                <w:kern w:val="0"/>
                <w:sz w:val="24"/>
                <w:u w:val="none"/>
              </w:rPr>
              <w:t>,</w:t>
            </w:r>
            <w:r>
              <w:rPr>
                <w:rFonts w:ascii="Times New Roman" w:hAnsi="Times New Roman"/>
                <w:i/>
                <w:iCs/>
                <w:color w:val="000000"/>
                <w:kern w:val="0"/>
                <w:sz w:val="24"/>
                <w:u w:val="none"/>
              </w:rPr>
              <w:t>q</w:t>
            </w:r>
            <w:r>
              <w:rPr>
                <w:rFonts w:ascii="Times New Roman" w:hAnsi="Times New Roman"/>
                <w:i/>
                <w:iCs/>
                <w:color w:val="000000"/>
                <w:kern w:val="0"/>
                <w:sz w:val="24"/>
                <w:u w:val="none"/>
                <w:vertAlign w:val="subscript"/>
              </w:rPr>
              <w:t>2</w:t>
            </w:r>
            <w:r>
              <w:rPr>
                <w:rFonts w:ascii="Times New Roman" w:hAnsi="Times New Roman"/>
                <w:color w:val="000000"/>
                <w:kern w:val="0"/>
                <w:sz w:val="24"/>
                <w:u w:val="none"/>
              </w:rPr>
              <w:t>,</w:t>
            </w:r>
            <w:r>
              <w:rPr>
                <w:rFonts w:ascii="Times New Roman" w:hAnsi="Times New Roman"/>
                <w:i/>
                <w:iCs/>
                <w:color w:val="000000"/>
                <w:kern w:val="0"/>
                <w:sz w:val="24"/>
                <w:u w:val="none"/>
              </w:rPr>
              <w:t>…,q</w:t>
            </w:r>
            <w:r>
              <w:rPr>
                <w:rFonts w:ascii="Times New Roman" w:hAnsi="Times New Roman"/>
                <w:i/>
                <w:iCs/>
                <w:color w:val="000000"/>
                <w:kern w:val="0"/>
                <w:sz w:val="24"/>
                <w:u w:val="none"/>
                <w:vertAlign w:val="subscript"/>
              </w:rPr>
              <w:t>n</w:t>
            </w:r>
            <w:r>
              <w:rPr>
                <w:rFonts w:ascii="Times New Roman" w:hAnsi="Times New Roman"/>
                <w:color w:val="000000"/>
                <w:kern w:val="0"/>
                <w:sz w:val="24"/>
                <w:u w:val="none"/>
              </w:rPr>
              <w:t>—每种危险化学品实际存在量，单位为吨（t）；</w:t>
            </w:r>
          </w:p>
          <w:p>
            <w:pPr>
              <w:widowControl/>
              <w:snapToGrid w:val="0"/>
              <w:spacing w:line="480" w:lineRule="exact"/>
              <w:ind w:firstLine="480" w:firstLineChars="200"/>
              <w:rPr>
                <w:rFonts w:ascii="Times New Roman" w:hAnsi="Times New Roman"/>
                <w:color w:val="000000"/>
                <w:kern w:val="0"/>
                <w:sz w:val="24"/>
                <w:u w:val="none"/>
              </w:rPr>
            </w:pPr>
            <w:r>
              <w:rPr>
                <w:rFonts w:ascii="Times New Roman" w:hAnsi="Times New Roman"/>
                <w:i/>
                <w:iCs/>
                <w:color w:val="000000"/>
                <w:kern w:val="0"/>
                <w:sz w:val="24"/>
                <w:u w:val="none"/>
              </w:rPr>
              <w:t>Q</w:t>
            </w:r>
            <w:r>
              <w:rPr>
                <w:rFonts w:ascii="Times New Roman" w:hAnsi="Times New Roman"/>
                <w:i/>
                <w:iCs/>
                <w:color w:val="000000"/>
                <w:kern w:val="0"/>
                <w:sz w:val="24"/>
                <w:u w:val="none"/>
                <w:vertAlign w:val="subscript"/>
              </w:rPr>
              <w:t>1</w:t>
            </w:r>
            <w:r>
              <w:rPr>
                <w:rFonts w:ascii="Times New Roman" w:hAnsi="Times New Roman"/>
                <w:i/>
                <w:iCs/>
                <w:color w:val="000000"/>
                <w:kern w:val="0"/>
                <w:sz w:val="24"/>
                <w:u w:val="none"/>
              </w:rPr>
              <w:t>,Q</w:t>
            </w:r>
            <w:r>
              <w:rPr>
                <w:rFonts w:ascii="Times New Roman" w:hAnsi="Times New Roman"/>
                <w:i/>
                <w:iCs/>
                <w:color w:val="000000"/>
                <w:kern w:val="0"/>
                <w:sz w:val="24"/>
                <w:u w:val="none"/>
                <w:vertAlign w:val="subscript"/>
              </w:rPr>
              <w:t>2</w:t>
            </w:r>
            <w:r>
              <w:rPr>
                <w:rFonts w:ascii="Times New Roman" w:hAnsi="Times New Roman"/>
                <w:i/>
                <w:iCs/>
                <w:color w:val="000000"/>
                <w:kern w:val="0"/>
                <w:sz w:val="24"/>
                <w:u w:val="none"/>
              </w:rPr>
              <w:t>,…,Q</w:t>
            </w:r>
            <w:r>
              <w:rPr>
                <w:rFonts w:ascii="Times New Roman" w:hAnsi="Times New Roman"/>
                <w:i/>
                <w:iCs/>
                <w:color w:val="000000"/>
                <w:kern w:val="0"/>
                <w:sz w:val="24"/>
                <w:u w:val="none"/>
                <w:vertAlign w:val="subscript"/>
              </w:rPr>
              <w:t>n</w:t>
            </w:r>
            <w:r>
              <w:rPr>
                <w:rFonts w:ascii="Times New Roman" w:hAnsi="Times New Roman"/>
                <w:color w:val="000000"/>
                <w:kern w:val="0"/>
                <w:sz w:val="24"/>
                <w:u w:val="none"/>
              </w:rPr>
              <w:t>—与各危险化学品相对应的临界量，单位为吨（t）。</w:t>
            </w:r>
          </w:p>
          <w:p>
            <w:pPr>
              <w:pStyle w:val="214"/>
              <w:spacing w:line="480" w:lineRule="exact"/>
              <w:ind w:firstLine="480" w:firstLineChars="200"/>
              <w:rPr>
                <w:rFonts w:ascii="Times New Roman" w:hAnsi="Times New Roman"/>
                <w:color w:val="000000"/>
                <w:kern w:val="2"/>
                <w:u w:val="none"/>
              </w:rPr>
            </w:pPr>
            <w:r>
              <w:rPr>
                <w:rFonts w:ascii="Times New Roman" w:hAnsi="Times New Roman"/>
                <w:color w:val="000000"/>
                <w:kern w:val="2"/>
                <w:u w:val="none"/>
              </w:rPr>
              <w:t>本项目厂区范围内主要危险物质的临界量具体见表7-</w:t>
            </w:r>
            <w:r>
              <w:rPr>
                <w:rFonts w:hint="eastAsia" w:ascii="Times New Roman" w:hAnsi="Times New Roman"/>
                <w:color w:val="000000"/>
                <w:kern w:val="2"/>
                <w:u w:val="none"/>
              </w:rPr>
              <w:t>11</w:t>
            </w:r>
            <w:r>
              <w:rPr>
                <w:rFonts w:ascii="Times New Roman" w:hAnsi="Times New Roman"/>
                <w:color w:val="000000"/>
                <w:kern w:val="2"/>
                <w:u w:val="none"/>
              </w:rPr>
              <w:t>：</w:t>
            </w:r>
          </w:p>
          <w:p>
            <w:pPr>
              <w:widowControl/>
              <w:snapToGrid w:val="0"/>
              <w:spacing w:line="520" w:lineRule="exact"/>
              <w:ind w:firstLine="360" w:firstLineChars="150"/>
              <w:jc w:val="left"/>
              <w:rPr>
                <w:rFonts w:ascii="Times New Roman" w:hAnsi="Times New Roman"/>
                <w:color w:val="000000"/>
                <w:kern w:val="0"/>
                <w:sz w:val="24"/>
                <w:u w:val="none"/>
              </w:rPr>
            </w:pPr>
            <w:r>
              <w:rPr>
                <w:rFonts w:ascii="Times New Roman" w:hAnsi="Times New Roman"/>
                <w:color w:val="000000"/>
                <w:sz w:val="24"/>
                <w:u w:val="none"/>
              </w:rPr>
              <w:t>由上表内列的数据可知，Σ=</w:t>
            </w:r>
            <w:r>
              <w:rPr>
                <w:rFonts w:ascii="Times New Roman" w:hAnsi="Times New Roman"/>
                <w:i/>
                <w:iCs/>
                <w:color w:val="000000"/>
                <w:kern w:val="0"/>
                <w:sz w:val="24"/>
                <w:u w:val="none"/>
              </w:rPr>
              <w:t>q</w:t>
            </w:r>
            <w:r>
              <w:rPr>
                <w:rFonts w:ascii="Times New Roman" w:hAnsi="Times New Roman"/>
                <w:i/>
                <w:iCs/>
                <w:color w:val="000000"/>
                <w:kern w:val="0"/>
                <w:sz w:val="24"/>
                <w:u w:val="none"/>
                <w:vertAlign w:val="subscript"/>
              </w:rPr>
              <w:t>1</w:t>
            </w:r>
            <w:r>
              <w:rPr>
                <w:rFonts w:ascii="Times New Roman" w:hAnsi="Times New Roman"/>
                <w:color w:val="000000"/>
                <w:kern w:val="0"/>
                <w:sz w:val="24"/>
                <w:u w:val="none"/>
              </w:rPr>
              <w:t>/</w:t>
            </w:r>
            <w:r>
              <w:rPr>
                <w:rFonts w:ascii="Times New Roman" w:hAnsi="Times New Roman"/>
                <w:i/>
                <w:iCs/>
                <w:color w:val="000000"/>
                <w:kern w:val="0"/>
                <w:sz w:val="24"/>
                <w:u w:val="none"/>
              </w:rPr>
              <w:t>Q</w:t>
            </w:r>
            <w:r>
              <w:rPr>
                <w:rFonts w:ascii="Times New Roman" w:hAnsi="Times New Roman"/>
                <w:i/>
                <w:iCs/>
                <w:color w:val="000000"/>
                <w:kern w:val="0"/>
                <w:sz w:val="24"/>
                <w:u w:val="none"/>
                <w:vertAlign w:val="subscript"/>
              </w:rPr>
              <w:t>1</w:t>
            </w:r>
            <w:r>
              <w:rPr>
                <w:rFonts w:ascii="Times New Roman" w:hAnsi="Times New Roman"/>
                <w:color w:val="000000"/>
                <w:kern w:val="0"/>
                <w:sz w:val="24"/>
                <w:u w:val="none"/>
              </w:rPr>
              <w:t xml:space="preserve"> + </w:t>
            </w:r>
            <w:r>
              <w:rPr>
                <w:rFonts w:ascii="Times New Roman" w:hAnsi="Times New Roman"/>
                <w:i/>
                <w:iCs/>
                <w:color w:val="000000"/>
                <w:kern w:val="0"/>
                <w:sz w:val="24"/>
                <w:u w:val="none"/>
              </w:rPr>
              <w:t>q</w:t>
            </w:r>
            <w:r>
              <w:rPr>
                <w:rFonts w:ascii="Times New Roman" w:hAnsi="Times New Roman"/>
                <w:i/>
                <w:iCs/>
                <w:color w:val="000000"/>
                <w:kern w:val="0"/>
                <w:sz w:val="24"/>
                <w:u w:val="none"/>
                <w:vertAlign w:val="subscript"/>
              </w:rPr>
              <w:t>2</w:t>
            </w:r>
            <w:r>
              <w:rPr>
                <w:rFonts w:ascii="Times New Roman" w:hAnsi="Times New Roman"/>
                <w:color w:val="000000"/>
                <w:kern w:val="0"/>
                <w:sz w:val="24"/>
                <w:u w:val="none"/>
              </w:rPr>
              <w:t>/</w:t>
            </w:r>
            <w:r>
              <w:rPr>
                <w:rFonts w:ascii="Times New Roman" w:hAnsi="Times New Roman"/>
                <w:i/>
                <w:iCs/>
                <w:color w:val="000000"/>
                <w:kern w:val="0"/>
                <w:sz w:val="24"/>
                <w:u w:val="none"/>
              </w:rPr>
              <w:t>Q</w:t>
            </w:r>
            <w:r>
              <w:rPr>
                <w:rFonts w:ascii="Times New Roman" w:hAnsi="Times New Roman"/>
                <w:i/>
                <w:iCs/>
                <w:color w:val="000000"/>
                <w:kern w:val="0"/>
                <w:sz w:val="24"/>
                <w:u w:val="none"/>
                <w:vertAlign w:val="subscript"/>
              </w:rPr>
              <w:t>2</w:t>
            </w:r>
            <w:r>
              <w:rPr>
                <w:rFonts w:ascii="Times New Roman" w:hAnsi="Times New Roman"/>
                <w:color w:val="000000"/>
                <w:kern w:val="0"/>
                <w:sz w:val="24"/>
                <w:u w:val="none"/>
              </w:rPr>
              <w:t xml:space="preserve"> + … + </w:t>
            </w:r>
            <w:r>
              <w:rPr>
                <w:rFonts w:ascii="Times New Roman" w:hAnsi="Times New Roman"/>
                <w:i/>
                <w:iCs/>
                <w:color w:val="000000"/>
                <w:kern w:val="0"/>
                <w:sz w:val="24"/>
                <w:u w:val="none"/>
              </w:rPr>
              <w:t>q</w:t>
            </w:r>
            <w:r>
              <w:rPr>
                <w:rFonts w:ascii="Times New Roman" w:hAnsi="Times New Roman"/>
                <w:i/>
                <w:iCs/>
                <w:color w:val="000000"/>
                <w:kern w:val="0"/>
                <w:sz w:val="24"/>
                <w:u w:val="none"/>
                <w:vertAlign w:val="subscript"/>
              </w:rPr>
              <w:t>n</w:t>
            </w:r>
            <w:r>
              <w:rPr>
                <w:rFonts w:ascii="Times New Roman" w:hAnsi="Times New Roman"/>
                <w:color w:val="000000"/>
                <w:kern w:val="0"/>
                <w:sz w:val="24"/>
                <w:u w:val="none"/>
              </w:rPr>
              <w:t>/</w:t>
            </w:r>
            <w:r>
              <w:rPr>
                <w:rFonts w:ascii="Times New Roman" w:hAnsi="Times New Roman"/>
                <w:i/>
                <w:iCs/>
                <w:color w:val="000000"/>
                <w:kern w:val="0"/>
                <w:sz w:val="24"/>
                <w:u w:val="none"/>
              </w:rPr>
              <w:t>Q</w:t>
            </w:r>
            <w:r>
              <w:rPr>
                <w:rFonts w:ascii="Times New Roman" w:hAnsi="Times New Roman"/>
                <w:i/>
                <w:iCs/>
                <w:color w:val="000000"/>
                <w:kern w:val="0"/>
                <w:sz w:val="24"/>
                <w:u w:val="none"/>
                <w:vertAlign w:val="subscript"/>
              </w:rPr>
              <w:t>n</w:t>
            </w:r>
            <w:r>
              <w:rPr>
                <w:rFonts w:ascii="Times New Roman" w:hAnsi="Times New Roman"/>
                <w:color w:val="000000"/>
                <w:kern w:val="0"/>
                <w:sz w:val="24"/>
                <w:u w:val="none"/>
              </w:rPr>
              <w:t xml:space="preserve"> =</w:t>
            </w:r>
            <w:r>
              <w:rPr>
                <w:rFonts w:hint="eastAsia" w:ascii="Times New Roman" w:hAnsi="Times New Roman"/>
                <w:color w:val="000000"/>
                <w:kern w:val="0"/>
                <w:sz w:val="24"/>
                <w:u w:val="none"/>
                <w:lang w:val="en-US" w:eastAsia="zh-CN"/>
              </w:rPr>
              <w:t>0</w:t>
            </w:r>
            <w:r>
              <w:rPr>
                <w:rFonts w:ascii="Times New Roman" w:hAnsi="Times New Roman"/>
                <w:color w:val="000000"/>
                <w:kern w:val="0"/>
                <w:sz w:val="24"/>
                <w:u w:val="none"/>
              </w:rPr>
              <w:t>＜1</w:t>
            </w:r>
          </w:p>
          <w:p>
            <w:pPr>
              <w:pStyle w:val="63"/>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Times New Roman" w:hAnsi="Times New Roman" w:eastAsia="宋体" w:cs="Times New Roman"/>
                <w:color w:val="auto"/>
                <w:kern w:val="2"/>
                <w:sz w:val="24"/>
                <w:szCs w:val="24"/>
                <w:u w:val="none"/>
                <w:lang w:val="en-US" w:eastAsia="zh-CN" w:bidi="ar-SA"/>
              </w:rPr>
            </w:pPr>
            <w:r>
              <w:rPr>
                <w:rFonts w:hint="default" w:ascii="Times New Roman" w:hAnsi="Times New Roman" w:eastAsia="宋体" w:cs="Times New Roman"/>
                <w:color w:val="auto"/>
                <w:kern w:val="2"/>
                <w:sz w:val="24"/>
                <w:szCs w:val="24"/>
                <w:u w:val="none"/>
                <w:lang w:val="en-US" w:eastAsia="zh-CN" w:bidi="ar-SA"/>
              </w:rPr>
              <w:t>根据《建设项目环境风险评价技术导则》（HJ/T169-2018）中附录C规定，危险物质数量与临界量比值（Q）如下：</w:t>
            </w:r>
          </w:p>
          <w:p>
            <w:pPr>
              <w:pStyle w:val="2"/>
              <w:spacing w:after="0" w:line="360" w:lineRule="auto"/>
              <w:jc w:val="center"/>
              <w:rPr>
                <w:rFonts w:hint="default" w:ascii="Times New Roman" w:hAnsi="Times New Roman" w:eastAsia="宋体" w:cs="Times New Roman"/>
                <w:color w:val="auto"/>
                <w:kern w:val="24"/>
                <w:sz w:val="24"/>
                <w:u w:val="none"/>
              </w:rPr>
            </w:pPr>
            <w:r>
              <w:rPr>
                <w:rFonts w:hint="default" w:ascii="Times New Roman" w:hAnsi="Times New Roman" w:eastAsia="宋体" w:cs="Times New Roman"/>
                <w:color w:val="auto"/>
                <w:kern w:val="24"/>
                <w:position w:val="-30"/>
                <w:sz w:val="24"/>
                <w:u w:val="none"/>
              </w:rPr>
              <w:object>
                <v:shape id="_x0000_i1044" o:spt="75" type="#_x0000_t75" style="height:34pt;width:153pt;" o:ole="t" filled="f" o:preferrelative="t" stroked="f" coordsize="21600,21600">
                  <v:path/>
                  <v:fill on="f" focussize="0,0"/>
                  <v:stroke on="f"/>
                  <v:imagedata r:id="rId52" o:title=""/>
                  <o:lock v:ext="edit" aspectratio="t"/>
                  <w10:wrap type="none"/>
                  <w10:anchorlock/>
                </v:shape>
                <o:OLEObject Type="Embed" ProgID="Equation.KSEE3" ShapeID="_x0000_i1044" DrawAspect="Content" ObjectID="_1468075744" r:id="rId51">
                  <o:LockedField>false</o:LockedField>
                </o:OLEObject>
              </w:object>
            </w:r>
          </w:p>
          <w:p>
            <w:pPr>
              <w:pStyle w:val="63"/>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ascii="Times New Roman" w:hAnsi="Times New Roman"/>
                <w:color w:val="000000"/>
                <w:kern w:val="0"/>
                <w:sz w:val="24"/>
                <w:u w:val="none"/>
              </w:rPr>
            </w:pPr>
            <w:r>
              <w:rPr>
                <w:rFonts w:hint="default" w:ascii="Times New Roman" w:hAnsi="Times New Roman" w:eastAsia="宋体" w:cs="Times New Roman"/>
                <w:color w:val="auto"/>
                <w:kern w:val="2"/>
                <w:sz w:val="24"/>
                <w:szCs w:val="24"/>
                <w:u w:val="none"/>
                <w:lang w:val="en-US" w:eastAsia="zh-CN" w:bidi="ar-SA"/>
              </w:rPr>
              <w:t>因此，确定项目风险潜势为</w:t>
            </w:r>
            <w:r>
              <w:rPr>
                <w:rFonts w:hint="default" w:ascii="Times New Roman" w:hAnsi="Times New Roman" w:eastAsia="宋体" w:cs="Times New Roman"/>
                <w:b/>
                <w:bCs/>
                <w:color w:val="auto"/>
                <w:kern w:val="2"/>
                <w:sz w:val="24"/>
                <w:szCs w:val="24"/>
                <w:u w:val="none"/>
                <w:lang w:val="en-US" w:eastAsia="zh-CN" w:bidi="ar-SA"/>
              </w:rPr>
              <w:t>Ⅰ</w:t>
            </w:r>
            <w:r>
              <w:rPr>
                <w:rFonts w:ascii="Times New Roman" w:hAnsi="Times New Roman"/>
                <w:color w:val="000000"/>
                <w:kern w:val="0"/>
                <w:sz w:val="24"/>
                <w:u w:val="none"/>
              </w:rPr>
              <w:t>。</w:t>
            </w:r>
          </w:p>
          <w:p>
            <w:pPr>
              <w:tabs>
                <w:tab w:val="left" w:pos="0"/>
              </w:tabs>
              <w:snapToGrid w:val="0"/>
              <w:spacing w:line="480" w:lineRule="exact"/>
              <w:ind w:firstLine="480" w:firstLineChars="200"/>
              <w:jc w:val="left"/>
              <w:rPr>
                <w:rFonts w:ascii="Times New Roman" w:hAnsi="Times New Roman"/>
                <w:color w:val="000000"/>
                <w:sz w:val="24"/>
                <w:u w:val="none"/>
              </w:rPr>
            </w:pPr>
            <w:r>
              <w:rPr>
                <w:rFonts w:ascii="Times New Roman" w:hAnsi="Times New Roman"/>
                <w:color w:val="000000"/>
                <w:sz w:val="24"/>
                <w:u w:val="none"/>
              </w:rPr>
              <w:t>项目可能发生的突发环境事件主要有：</w:t>
            </w:r>
          </w:p>
          <w:p>
            <w:pPr>
              <w:tabs>
                <w:tab w:val="left" w:pos="0"/>
              </w:tabs>
              <w:snapToGrid w:val="0"/>
              <w:spacing w:line="480" w:lineRule="exact"/>
              <w:ind w:firstLine="480" w:firstLineChars="200"/>
              <w:jc w:val="left"/>
              <w:rPr>
                <w:rFonts w:ascii="Times New Roman" w:hAnsi="Times New Roman"/>
                <w:color w:val="000000"/>
                <w:sz w:val="24"/>
                <w:u w:val="none"/>
              </w:rPr>
            </w:pPr>
            <w:r>
              <w:rPr>
                <w:rFonts w:ascii="Times New Roman" w:hAnsi="Times New Roman"/>
                <w:color w:val="000000"/>
                <w:sz w:val="24"/>
                <w:u w:val="none"/>
              </w:rPr>
              <w:t>（1）废气处理设施发生故障：废气处理设施失效或不正常运行，排放的废气会污染周边环境；废气处理设施失效或不正常运行，有机废气具有一定的气味，引发人体的不适，影响周边环境空气。常见的故障有风机故障无法收集废气，治理设施去除效率下降导致挥发性有机物大量排放。</w:t>
            </w:r>
          </w:p>
          <w:p>
            <w:pPr>
              <w:tabs>
                <w:tab w:val="left" w:pos="0"/>
              </w:tabs>
              <w:snapToGrid w:val="0"/>
              <w:spacing w:line="480" w:lineRule="exact"/>
              <w:ind w:firstLine="480" w:firstLineChars="200"/>
              <w:jc w:val="left"/>
              <w:rPr>
                <w:rFonts w:ascii="Times New Roman" w:hAnsi="Times New Roman"/>
                <w:color w:val="000000"/>
                <w:sz w:val="24"/>
                <w:u w:val="none"/>
              </w:rPr>
            </w:pPr>
            <w:r>
              <w:rPr>
                <w:rFonts w:ascii="Times New Roman" w:hAnsi="Times New Roman"/>
                <w:color w:val="000000"/>
                <w:sz w:val="24"/>
                <w:u w:val="none"/>
              </w:rPr>
              <w:t>（</w:t>
            </w:r>
            <w:r>
              <w:rPr>
                <w:rFonts w:hint="eastAsia" w:ascii="Times New Roman" w:hAnsi="Times New Roman"/>
                <w:color w:val="000000"/>
                <w:sz w:val="24"/>
                <w:u w:val="none"/>
                <w:lang w:val="en-US" w:eastAsia="zh-CN"/>
              </w:rPr>
              <w:t>2</w:t>
            </w:r>
            <w:r>
              <w:rPr>
                <w:rFonts w:ascii="Times New Roman" w:hAnsi="Times New Roman"/>
                <w:color w:val="000000"/>
                <w:sz w:val="24"/>
                <w:u w:val="none"/>
              </w:rPr>
              <w:t>）火灾：项目使用的绝大部分固态和液态的原辅料具有可燃性，火灾是项目较大可能的风险事故，项目生产过程中各类生产设备均使用电能，若电线裸露在外或者破损、天然气泄漏，遇明火，容易引发火灾，影响周围大气环境及水环境。</w:t>
            </w:r>
          </w:p>
          <w:p>
            <w:pPr>
              <w:tabs>
                <w:tab w:val="left" w:pos="0"/>
              </w:tabs>
              <w:snapToGrid w:val="0"/>
              <w:spacing w:line="480" w:lineRule="exact"/>
              <w:ind w:firstLine="480" w:firstLineChars="200"/>
              <w:jc w:val="left"/>
              <w:rPr>
                <w:rFonts w:ascii="Times New Roman" w:hAnsi="Times New Roman"/>
                <w:color w:val="000000"/>
                <w:sz w:val="24"/>
                <w:u w:val="none"/>
              </w:rPr>
            </w:pPr>
            <w:r>
              <w:rPr>
                <w:rFonts w:ascii="Times New Roman" w:hAnsi="Times New Roman"/>
                <w:color w:val="000000"/>
                <w:sz w:val="24"/>
                <w:u w:val="none"/>
              </w:rPr>
              <w:t>通过上述危险、有害因素产生的原因及可能造成的事故后果等的分析，确定本项目的主要危险、有害因素见表7-</w:t>
            </w:r>
            <w:r>
              <w:rPr>
                <w:rFonts w:hint="eastAsia"/>
                <w:color w:val="000000"/>
                <w:sz w:val="24"/>
                <w:u w:val="none"/>
                <w:lang w:val="en-US" w:eastAsia="zh-CN"/>
              </w:rPr>
              <w:t>22</w:t>
            </w:r>
            <w:r>
              <w:rPr>
                <w:rFonts w:ascii="Times New Roman" w:hAnsi="Times New Roman"/>
                <w:color w:val="000000"/>
                <w:sz w:val="24"/>
                <w:u w:val="none"/>
              </w:rPr>
              <w:t>。</w:t>
            </w:r>
          </w:p>
          <w:p>
            <w:pPr>
              <w:pStyle w:val="215"/>
              <w:spacing w:before="0" w:line="240" w:lineRule="auto"/>
              <w:ind w:firstLine="0" w:firstLineChars="0"/>
              <w:jc w:val="center"/>
              <w:rPr>
                <w:rFonts w:ascii="Times New Roman" w:hAnsi="Times New Roman" w:eastAsia="Times New Roman"/>
                <w:b/>
                <w:color w:val="000000"/>
                <w:szCs w:val="21"/>
                <w:u w:val="none"/>
              </w:rPr>
            </w:pPr>
            <w:r>
              <w:rPr>
                <w:rFonts w:ascii="Times New Roman" w:hAnsi="Times New Roman" w:eastAsia="宋体"/>
                <w:b/>
                <w:color w:val="000000"/>
                <w:szCs w:val="21"/>
                <w:u w:val="none"/>
              </w:rPr>
              <w:t>表</w:t>
            </w:r>
            <w:r>
              <w:rPr>
                <w:rFonts w:ascii="Times New Roman" w:hAnsi="Times New Roman" w:eastAsia="Times New Roman"/>
                <w:b/>
                <w:color w:val="000000"/>
                <w:szCs w:val="21"/>
                <w:u w:val="none"/>
              </w:rPr>
              <w:t>7-</w:t>
            </w:r>
            <w:r>
              <w:rPr>
                <w:rFonts w:hint="eastAsia" w:eastAsia="宋体"/>
                <w:b/>
                <w:color w:val="000000"/>
                <w:szCs w:val="21"/>
                <w:u w:val="none"/>
                <w:lang w:val="en-US" w:eastAsia="zh-CN"/>
              </w:rPr>
              <w:t>22</w:t>
            </w:r>
            <w:r>
              <w:rPr>
                <w:rFonts w:ascii="Times New Roman" w:hAnsi="Times New Roman" w:eastAsia="宋体"/>
                <w:b/>
                <w:color w:val="000000"/>
                <w:szCs w:val="21"/>
                <w:u w:val="none"/>
              </w:rPr>
              <w:t>主要危险、有害因素</w:t>
            </w:r>
          </w:p>
          <w:tbl>
            <w:tblPr>
              <w:tblStyle w:val="43"/>
              <w:tblW w:w="8511"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3128"/>
              <w:gridCol w:w="316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19" w:type="dxa"/>
                  <w:vAlign w:val="center"/>
                </w:tcPr>
                <w:p>
                  <w:pPr>
                    <w:pStyle w:val="214"/>
                    <w:spacing w:line="240" w:lineRule="auto"/>
                    <w:ind w:firstLine="0"/>
                    <w:jc w:val="center"/>
                    <w:rPr>
                      <w:rFonts w:ascii="Times New Roman" w:hAnsi="Times New Roman"/>
                      <w:color w:val="000000"/>
                      <w:sz w:val="21"/>
                      <w:szCs w:val="21"/>
                      <w:u w:val="none"/>
                    </w:rPr>
                  </w:pPr>
                  <w:r>
                    <w:rPr>
                      <w:rFonts w:ascii="Times New Roman" w:hAnsi="Times New Roman"/>
                      <w:color w:val="000000"/>
                      <w:sz w:val="21"/>
                      <w:szCs w:val="21"/>
                      <w:u w:val="none"/>
                    </w:rPr>
                    <w:t>危险源</w:t>
                  </w:r>
                </w:p>
              </w:tc>
              <w:tc>
                <w:tcPr>
                  <w:tcW w:w="3128" w:type="dxa"/>
                  <w:vAlign w:val="center"/>
                </w:tcPr>
                <w:p>
                  <w:pPr>
                    <w:pStyle w:val="214"/>
                    <w:spacing w:line="240" w:lineRule="auto"/>
                    <w:ind w:firstLine="0"/>
                    <w:jc w:val="center"/>
                    <w:rPr>
                      <w:rFonts w:ascii="Times New Roman" w:hAnsi="Times New Roman"/>
                      <w:color w:val="000000"/>
                      <w:sz w:val="21"/>
                      <w:szCs w:val="21"/>
                      <w:u w:val="none"/>
                    </w:rPr>
                  </w:pPr>
                  <w:r>
                    <w:rPr>
                      <w:rFonts w:ascii="Times New Roman" w:hAnsi="Times New Roman"/>
                      <w:color w:val="000000"/>
                      <w:sz w:val="21"/>
                      <w:szCs w:val="21"/>
                      <w:u w:val="none"/>
                    </w:rPr>
                    <w:t>危险、有害因素</w:t>
                  </w:r>
                </w:p>
              </w:tc>
              <w:tc>
                <w:tcPr>
                  <w:tcW w:w="3164" w:type="dxa"/>
                  <w:vAlign w:val="center"/>
                </w:tcPr>
                <w:p>
                  <w:pPr>
                    <w:pStyle w:val="214"/>
                    <w:spacing w:line="240" w:lineRule="auto"/>
                    <w:ind w:firstLine="0"/>
                    <w:jc w:val="center"/>
                    <w:rPr>
                      <w:rFonts w:ascii="Times New Roman" w:hAnsi="Times New Roman"/>
                      <w:color w:val="000000"/>
                      <w:sz w:val="21"/>
                      <w:szCs w:val="21"/>
                      <w:u w:val="none"/>
                    </w:rPr>
                  </w:pPr>
                  <w:r>
                    <w:rPr>
                      <w:rFonts w:ascii="Times New Roman" w:hAnsi="Times New Roman"/>
                      <w:color w:val="000000"/>
                      <w:sz w:val="21"/>
                      <w:szCs w:val="21"/>
                      <w:u w:val="none"/>
                    </w:rPr>
                    <w:t>可能造成后果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19" w:type="dxa"/>
                  <w:vAlign w:val="center"/>
                </w:tcPr>
                <w:p>
                  <w:pPr>
                    <w:pStyle w:val="214"/>
                    <w:spacing w:line="240" w:lineRule="auto"/>
                    <w:ind w:firstLine="0"/>
                    <w:jc w:val="center"/>
                    <w:rPr>
                      <w:rFonts w:ascii="Times New Roman" w:hAnsi="Times New Roman"/>
                      <w:color w:val="000000"/>
                      <w:sz w:val="21"/>
                      <w:szCs w:val="21"/>
                      <w:u w:val="none"/>
                    </w:rPr>
                  </w:pPr>
                  <w:r>
                    <w:rPr>
                      <w:rFonts w:ascii="Times New Roman" w:hAnsi="Times New Roman"/>
                      <w:color w:val="000000"/>
                      <w:sz w:val="21"/>
                      <w:szCs w:val="21"/>
                      <w:u w:val="none"/>
                    </w:rPr>
                    <w:t>污染治理设施</w:t>
                  </w:r>
                </w:p>
              </w:tc>
              <w:tc>
                <w:tcPr>
                  <w:tcW w:w="3128" w:type="dxa"/>
                  <w:vAlign w:val="center"/>
                </w:tcPr>
                <w:p>
                  <w:pPr>
                    <w:pStyle w:val="214"/>
                    <w:spacing w:line="240" w:lineRule="auto"/>
                    <w:ind w:firstLine="0"/>
                    <w:jc w:val="center"/>
                    <w:rPr>
                      <w:rFonts w:ascii="Times New Roman" w:hAnsi="Times New Roman"/>
                      <w:color w:val="000000"/>
                      <w:sz w:val="21"/>
                      <w:szCs w:val="21"/>
                      <w:u w:val="none"/>
                    </w:rPr>
                  </w:pPr>
                  <w:r>
                    <w:rPr>
                      <w:rFonts w:ascii="Times New Roman" w:hAnsi="Times New Roman"/>
                      <w:color w:val="000000"/>
                      <w:sz w:val="21"/>
                      <w:szCs w:val="21"/>
                      <w:u w:val="none"/>
                    </w:rPr>
                    <w:t>发生故障、失效、不正常运行</w:t>
                  </w:r>
                </w:p>
              </w:tc>
              <w:tc>
                <w:tcPr>
                  <w:tcW w:w="3164" w:type="dxa"/>
                  <w:vAlign w:val="center"/>
                </w:tcPr>
                <w:p>
                  <w:pPr>
                    <w:pStyle w:val="214"/>
                    <w:spacing w:line="240" w:lineRule="auto"/>
                    <w:ind w:firstLine="0"/>
                    <w:jc w:val="center"/>
                    <w:rPr>
                      <w:rFonts w:ascii="Times New Roman" w:hAnsi="Times New Roman"/>
                      <w:color w:val="000000"/>
                      <w:sz w:val="21"/>
                      <w:szCs w:val="21"/>
                      <w:u w:val="none"/>
                    </w:rPr>
                  </w:pPr>
                  <w:r>
                    <w:rPr>
                      <w:rFonts w:ascii="Times New Roman" w:hAnsi="Times New Roman"/>
                      <w:color w:val="000000"/>
                      <w:sz w:val="21"/>
                      <w:szCs w:val="21"/>
                      <w:u w:val="none"/>
                    </w:rPr>
                    <w:t>污染环境、损害人体健康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19" w:type="dxa"/>
                  <w:vAlign w:val="center"/>
                </w:tcPr>
                <w:p>
                  <w:pPr>
                    <w:pStyle w:val="214"/>
                    <w:spacing w:line="240" w:lineRule="auto"/>
                    <w:ind w:firstLine="0"/>
                    <w:jc w:val="center"/>
                    <w:rPr>
                      <w:rFonts w:ascii="Times New Roman" w:hAnsi="Times New Roman"/>
                      <w:color w:val="000000"/>
                      <w:sz w:val="21"/>
                      <w:szCs w:val="21"/>
                      <w:u w:val="none"/>
                    </w:rPr>
                  </w:pPr>
                  <w:r>
                    <w:rPr>
                      <w:rFonts w:ascii="Times New Roman" w:hAnsi="Times New Roman"/>
                      <w:color w:val="000000"/>
                      <w:sz w:val="21"/>
                      <w:szCs w:val="21"/>
                      <w:u w:val="none"/>
                    </w:rPr>
                    <w:t>生产车间</w:t>
                  </w:r>
                </w:p>
              </w:tc>
              <w:tc>
                <w:tcPr>
                  <w:tcW w:w="3128" w:type="dxa"/>
                  <w:vAlign w:val="center"/>
                </w:tcPr>
                <w:p>
                  <w:pPr>
                    <w:pStyle w:val="214"/>
                    <w:spacing w:line="240" w:lineRule="auto"/>
                    <w:ind w:firstLine="0"/>
                    <w:jc w:val="center"/>
                    <w:rPr>
                      <w:rFonts w:ascii="Times New Roman" w:hAnsi="Times New Roman"/>
                      <w:color w:val="000000"/>
                      <w:sz w:val="21"/>
                      <w:szCs w:val="21"/>
                      <w:u w:val="none"/>
                    </w:rPr>
                  </w:pPr>
                  <w:r>
                    <w:rPr>
                      <w:rFonts w:ascii="Times New Roman" w:hAnsi="Times New Roman"/>
                      <w:color w:val="000000"/>
                      <w:sz w:val="21"/>
                      <w:szCs w:val="21"/>
                      <w:u w:val="none"/>
                    </w:rPr>
                    <w:t>火灾</w:t>
                  </w:r>
                </w:p>
              </w:tc>
              <w:tc>
                <w:tcPr>
                  <w:tcW w:w="3164" w:type="dxa"/>
                  <w:vAlign w:val="center"/>
                </w:tcPr>
                <w:p>
                  <w:pPr>
                    <w:pStyle w:val="214"/>
                    <w:spacing w:line="240" w:lineRule="auto"/>
                    <w:ind w:firstLine="0"/>
                    <w:jc w:val="center"/>
                    <w:rPr>
                      <w:rFonts w:ascii="Times New Roman" w:hAnsi="Times New Roman"/>
                      <w:color w:val="000000"/>
                      <w:sz w:val="21"/>
                      <w:szCs w:val="21"/>
                      <w:u w:val="none"/>
                    </w:rPr>
                  </w:pPr>
                  <w:r>
                    <w:rPr>
                      <w:rFonts w:ascii="Times New Roman" w:hAnsi="Times New Roman"/>
                      <w:color w:val="000000"/>
                      <w:sz w:val="21"/>
                      <w:szCs w:val="21"/>
                      <w:u w:val="none"/>
                    </w:rPr>
                    <w:t>人员伤亡、财产损失、污染环境</w:t>
                  </w:r>
                </w:p>
              </w:tc>
            </w:tr>
          </w:tbl>
          <w:p>
            <w:pPr>
              <w:pStyle w:val="26"/>
              <w:bidi w:val="0"/>
              <w:rPr>
                <w:rFonts w:hint="default" w:ascii="宋体" w:hAnsi="宋体" w:eastAsia="宋体"/>
                <w:lang w:val="en-US" w:eastAsia="zh-CN"/>
              </w:rPr>
            </w:pPr>
            <w:bookmarkStart w:id="87" w:name="_Toc27862"/>
            <w:r>
              <w:rPr>
                <w:rFonts w:hint="default" w:ascii="宋体" w:hAnsi="宋体" w:eastAsia="宋体"/>
                <w:lang w:val="en-US" w:eastAsia="zh-CN"/>
              </w:rPr>
              <w:t>本项目生产过程生产场所和存储区均未构成重大危险源。因此本项目风险事故为废气处理设施故障导致废气排放污染环境、生产车间火灾等。</w:t>
            </w:r>
            <w:bookmarkEnd w:id="87"/>
          </w:p>
          <w:p>
            <w:pPr>
              <w:pStyle w:val="26"/>
              <w:bidi w:val="0"/>
              <w:rPr>
                <w:rFonts w:hint="eastAsia" w:ascii="宋体" w:hAnsi="宋体" w:eastAsia="宋体"/>
                <w:lang w:val="en-US" w:eastAsia="zh-CN"/>
              </w:rPr>
            </w:pPr>
            <w:bookmarkStart w:id="88" w:name="_Toc30159"/>
            <w:r>
              <w:rPr>
                <w:rFonts w:hint="eastAsia" w:ascii="宋体" w:hAnsi="宋体" w:eastAsia="宋体"/>
                <w:lang w:val="en-US" w:eastAsia="zh-CN"/>
              </w:rPr>
              <w:t>环境敏感目标概况</w:t>
            </w:r>
            <w:bookmarkEnd w:id="88"/>
          </w:p>
          <w:p>
            <w:pPr>
              <w:pStyle w:val="26"/>
              <w:bidi w:val="0"/>
              <w:rPr>
                <w:rFonts w:hint="eastAsia" w:ascii="宋体" w:hAnsi="宋体" w:eastAsia="宋体"/>
                <w:lang w:val="en-US" w:eastAsia="zh-CN"/>
              </w:rPr>
            </w:pPr>
            <w:bookmarkStart w:id="89" w:name="_Toc7172"/>
            <w:r>
              <w:rPr>
                <w:rFonts w:hint="eastAsia" w:ascii="宋体" w:hAnsi="宋体" w:eastAsia="宋体"/>
                <w:lang w:val="en-US" w:eastAsia="zh-CN"/>
              </w:rPr>
              <w:t>根据风险澘势分析，本项目风险澘势为1，评价工作等级低于三级，仅需要进行简单分析。根据危险物质可能的影响途径，本项目周围环境感目标主要为周边居民区环境敏感目标详细信息详见表3-5。</w:t>
            </w:r>
            <w:bookmarkEnd w:id="89"/>
          </w:p>
          <w:p>
            <w:pPr>
              <w:pStyle w:val="26"/>
              <w:bidi w:val="0"/>
              <w:rPr>
                <w:rFonts w:hint="eastAsia" w:ascii="宋体" w:hAnsi="宋体" w:eastAsia="宋体"/>
                <w:lang w:val="en-US" w:eastAsia="zh-CN"/>
              </w:rPr>
            </w:pPr>
            <w:bookmarkStart w:id="90" w:name="_Toc696"/>
            <w:r>
              <w:rPr>
                <w:rFonts w:hint="eastAsia" w:ascii="宋体" w:hAnsi="宋体" w:eastAsia="宋体"/>
                <w:lang w:val="en-US" w:eastAsia="zh-CN"/>
              </w:rPr>
              <w:t>环境风险识别</w:t>
            </w:r>
            <w:bookmarkEnd w:id="90"/>
          </w:p>
          <w:p>
            <w:pPr>
              <w:pStyle w:val="26"/>
              <w:bidi w:val="0"/>
              <w:rPr>
                <w:rFonts w:hint="eastAsia" w:ascii="宋体" w:hAnsi="宋体" w:eastAsia="宋体"/>
                <w:lang w:val="en-US" w:eastAsia="zh-CN"/>
              </w:rPr>
            </w:pPr>
            <w:bookmarkStart w:id="91" w:name="_Toc11413"/>
            <w:r>
              <w:rPr>
                <w:rFonts w:hint="eastAsia" w:ascii="宋体" w:hAnsi="宋体" w:eastAsia="宋体"/>
                <w:lang w:val="en-US" w:eastAsia="zh-CN"/>
              </w:rPr>
              <w:t>本项目无风险物质。</w:t>
            </w:r>
            <w:bookmarkEnd w:id="91"/>
          </w:p>
          <w:p>
            <w:pPr>
              <w:pStyle w:val="26"/>
              <w:bidi w:val="0"/>
              <w:rPr>
                <w:rFonts w:hint="eastAsia" w:ascii="宋体" w:hAnsi="宋体" w:eastAsia="宋体"/>
                <w:lang w:val="en-US" w:eastAsia="zh-CN"/>
              </w:rPr>
            </w:pPr>
            <w:bookmarkStart w:id="92" w:name="_Toc5951"/>
            <w:r>
              <w:rPr>
                <w:rFonts w:hint="eastAsia" w:ascii="宋体" w:hAnsi="宋体" w:eastAsia="宋体"/>
                <w:lang w:val="en-US" w:eastAsia="zh-CN"/>
              </w:rPr>
              <w:t>环境风险分析</w:t>
            </w:r>
            <w:bookmarkEnd w:id="92"/>
          </w:p>
          <w:p>
            <w:pPr>
              <w:pStyle w:val="26"/>
              <w:bidi w:val="0"/>
              <w:rPr>
                <w:rFonts w:hint="eastAsia" w:ascii="宋体" w:hAnsi="宋体" w:eastAsia="宋体"/>
                <w:lang w:val="en-US" w:eastAsia="zh-CN"/>
              </w:rPr>
            </w:pPr>
            <w:bookmarkStart w:id="93" w:name="_Toc22513"/>
            <w:r>
              <w:rPr>
                <w:rFonts w:hint="eastAsia" w:ascii="宋体" w:hAnsi="宋体" w:eastAsia="宋体"/>
                <w:lang w:val="en-US" w:eastAsia="zh-CN"/>
              </w:rPr>
              <w:t>本工程最大可信事故确定为火灾事故产生的次生危害，包括火灾烟气、火灾爆炸噪声、消防废水、燃烧或爆炸产生的各种固体废弃物。</w:t>
            </w:r>
            <w:bookmarkEnd w:id="93"/>
          </w:p>
          <w:p>
            <w:pPr>
              <w:pStyle w:val="26"/>
              <w:bidi w:val="0"/>
              <w:rPr>
                <w:rFonts w:hint="eastAsia" w:ascii="宋体" w:hAnsi="宋体" w:eastAsia="宋体"/>
                <w:lang w:val="en-US" w:eastAsia="zh-CN"/>
              </w:rPr>
            </w:pPr>
            <w:bookmarkStart w:id="94" w:name="_Toc10103"/>
            <w:r>
              <w:rPr>
                <w:rFonts w:hint="eastAsia" w:ascii="宋体" w:hAnsi="宋体" w:eastAsia="宋体"/>
                <w:lang w:val="en-US" w:eastAsia="zh-CN"/>
              </w:rPr>
              <w:t>①火灾烟气引起的周围环境空气的污染；</w:t>
            </w:r>
            <w:bookmarkEnd w:id="94"/>
          </w:p>
          <w:p>
            <w:pPr>
              <w:pStyle w:val="26"/>
              <w:bidi w:val="0"/>
              <w:rPr>
                <w:rFonts w:hint="eastAsia" w:ascii="宋体" w:hAnsi="宋体" w:eastAsia="宋体"/>
                <w:lang w:val="en-US" w:eastAsia="zh-CN"/>
              </w:rPr>
            </w:pPr>
            <w:bookmarkStart w:id="95" w:name="_Toc2305"/>
            <w:r>
              <w:rPr>
                <w:rFonts w:hint="eastAsia" w:ascii="宋体" w:hAnsi="宋体" w:eastAsia="宋体"/>
                <w:lang w:val="en-US" w:eastAsia="zh-CN"/>
              </w:rPr>
              <w:t>②火灾爆炸噪声引起周围声环境的污染；</w:t>
            </w:r>
            <w:bookmarkEnd w:id="95"/>
          </w:p>
          <w:p>
            <w:pPr>
              <w:pStyle w:val="26"/>
              <w:bidi w:val="0"/>
              <w:rPr>
                <w:rFonts w:hint="eastAsia" w:ascii="宋体" w:hAnsi="宋体" w:eastAsia="宋体"/>
                <w:lang w:val="en-US" w:eastAsia="zh-CN"/>
              </w:rPr>
            </w:pPr>
            <w:bookmarkStart w:id="96" w:name="_Toc9538"/>
            <w:r>
              <w:rPr>
                <w:rFonts w:hint="eastAsia" w:ascii="宋体" w:hAnsi="宋体" w:eastAsia="宋体"/>
                <w:lang w:val="en-US" w:eastAsia="zh-CN"/>
              </w:rPr>
              <w:t>③消防废水引起的周围周围地表水体和地下水体的污染；</w:t>
            </w:r>
            <w:bookmarkEnd w:id="96"/>
          </w:p>
          <w:p>
            <w:pPr>
              <w:pStyle w:val="26"/>
              <w:bidi w:val="0"/>
              <w:rPr>
                <w:rFonts w:hint="eastAsia" w:ascii="宋体" w:hAnsi="宋体" w:eastAsia="宋体"/>
                <w:lang w:val="en-US" w:eastAsia="zh-CN"/>
              </w:rPr>
            </w:pPr>
            <w:bookmarkStart w:id="97" w:name="_Toc14927"/>
            <w:r>
              <w:rPr>
                <w:rFonts w:hint="eastAsia" w:ascii="宋体" w:hAnsi="宋体" w:eastAsia="宋体"/>
                <w:lang w:val="en-US" w:eastAsia="zh-CN"/>
              </w:rPr>
              <w:t>④燃烧或爆炸产生的各种固体废弃物引起的对厂区附近土壤的污染。</w:t>
            </w:r>
            <w:bookmarkEnd w:id="97"/>
          </w:p>
          <w:p>
            <w:pPr>
              <w:pStyle w:val="26"/>
              <w:bidi w:val="0"/>
              <w:rPr>
                <w:rFonts w:hint="eastAsia" w:ascii="宋体" w:hAnsi="宋体" w:eastAsia="宋体"/>
                <w:lang w:val="en-US" w:eastAsia="zh-CN"/>
              </w:rPr>
            </w:pPr>
            <w:bookmarkStart w:id="98" w:name="_Toc30826"/>
            <w:r>
              <w:rPr>
                <w:rFonts w:hint="eastAsia" w:ascii="宋体" w:hAnsi="宋体" w:eastAsia="宋体"/>
                <w:lang w:val="en-US" w:eastAsia="zh-CN"/>
              </w:rPr>
              <w:t>5.5环境风险防范措施及应急预案</w:t>
            </w:r>
            <w:bookmarkEnd w:id="98"/>
          </w:p>
          <w:p>
            <w:pPr>
              <w:pStyle w:val="26"/>
              <w:bidi w:val="0"/>
              <w:rPr>
                <w:rFonts w:hint="eastAsia" w:ascii="宋体" w:hAnsi="宋体" w:eastAsia="宋体"/>
                <w:lang w:val="en-US" w:eastAsia="zh-CN"/>
              </w:rPr>
            </w:pPr>
            <w:bookmarkStart w:id="99" w:name="_Toc22081"/>
            <w:r>
              <w:rPr>
                <w:rFonts w:hint="eastAsia" w:ascii="宋体" w:hAnsi="宋体" w:eastAsia="宋体"/>
                <w:lang w:val="en-US" w:eastAsia="zh-CN"/>
              </w:rPr>
              <w:t>（1）环境风险防范措施</w:t>
            </w:r>
            <w:bookmarkEnd w:id="99"/>
          </w:p>
          <w:p>
            <w:pPr>
              <w:pStyle w:val="26"/>
              <w:bidi w:val="0"/>
              <w:rPr>
                <w:rFonts w:hint="eastAsia" w:ascii="宋体" w:hAnsi="宋体" w:eastAsia="宋体"/>
                <w:lang w:val="en-US" w:eastAsia="zh-CN"/>
              </w:rPr>
            </w:pPr>
            <w:bookmarkStart w:id="100" w:name="_Toc1145"/>
            <w:r>
              <w:rPr>
                <w:rFonts w:hint="eastAsia" w:ascii="宋体" w:hAnsi="宋体" w:eastAsia="宋体"/>
                <w:lang w:val="en-US" w:eastAsia="zh-CN"/>
              </w:rPr>
              <w:t>1）、本项目厂内建设事故水池，并设置导排沟与事故水池相连，以防止消防事故废水四溢。</w:t>
            </w:r>
            <w:bookmarkEnd w:id="100"/>
          </w:p>
          <w:p>
            <w:pPr>
              <w:pStyle w:val="26"/>
              <w:bidi w:val="0"/>
              <w:rPr>
                <w:rFonts w:hint="eastAsia" w:ascii="宋体" w:hAnsi="宋体" w:eastAsia="宋体"/>
                <w:lang w:val="en-US" w:eastAsia="zh-CN"/>
              </w:rPr>
            </w:pPr>
            <w:bookmarkStart w:id="101" w:name="_Toc12811"/>
            <w:r>
              <w:rPr>
                <w:rFonts w:hint="eastAsia" w:ascii="宋体" w:hAnsi="宋体" w:eastAsia="宋体"/>
                <w:lang w:val="en-US" w:eastAsia="zh-CN"/>
              </w:rPr>
              <w:t>2）、车间设置排风扇，加强机械排放，防治火灾事故状态下，烟气浓度过高，引发的人员伤亡以及加重事故次生危害。</w:t>
            </w:r>
            <w:bookmarkEnd w:id="101"/>
          </w:p>
          <w:p>
            <w:pPr>
              <w:pStyle w:val="26"/>
              <w:bidi w:val="0"/>
              <w:rPr>
                <w:rFonts w:hint="eastAsia" w:ascii="宋体" w:hAnsi="宋体" w:eastAsia="宋体"/>
                <w:lang w:val="en-US" w:eastAsia="zh-CN"/>
              </w:rPr>
            </w:pPr>
            <w:bookmarkStart w:id="102" w:name="_Toc4698"/>
            <w:r>
              <w:rPr>
                <w:rFonts w:hint="eastAsia" w:ascii="宋体" w:hAnsi="宋体" w:eastAsia="宋体"/>
                <w:lang w:val="en-US" w:eastAsia="zh-CN"/>
              </w:rPr>
              <w:t>3）、项目设置导排沟与事故水池相连，一旦发生火灾事故，消防废水会第一时间被收集至事故水池，防止了污染水土和土壤的次生污染事故。</w:t>
            </w:r>
            <w:bookmarkEnd w:id="102"/>
          </w:p>
          <w:p>
            <w:pPr>
              <w:pStyle w:val="26"/>
              <w:bidi w:val="0"/>
              <w:rPr>
                <w:rFonts w:hint="eastAsia" w:ascii="宋体" w:hAnsi="宋体" w:eastAsia="宋体"/>
                <w:lang w:val="en-US" w:eastAsia="zh-CN"/>
              </w:rPr>
            </w:pPr>
            <w:bookmarkStart w:id="103" w:name="_Toc16714"/>
            <w:r>
              <w:rPr>
                <w:rFonts w:hint="eastAsia" w:ascii="宋体" w:hAnsi="宋体" w:eastAsia="宋体"/>
                <w:lang w:val="en-US" w:eastAsia="zh-CN"/>
              </w:rPr>
              <w:t>4）、厂区四周种植高大乔木，一旦发生爆炸事故，可以有效衰减爆炸噪声冲击波。</w:t>
            </w:r>
            <w:bookmarkEnd w:id="103"/>
          </w:p>
          <w:p>
            <w:pPr>
              <w:pStyle w:val="26"/>
              <w:bidi w:val="0"/>
              <w:rPr>
                <w:rFonts w:hint="eastAsia" w:ascii="宋体" w:hAnsi="宋体" w:eastAsia="宋体"/>
                <w:lang w:val="en-US" w:eastAsia="zh-CN"/>
              </w:rPr>
            </w:pPr>
            <w:bookmarkStart w:id="104" w:name="_Toc25616"/>
            <w:r>
              <w:rPr>
                <w:rFonts w:hint="eastAsia" w:ascii="宋体" w:hAnsi="宋体" w:eastAsia="宋体"/>
                <w:lang w:val="en-US" w:eastAsia="zh-CN"/>
              </w:rPr>
              <w:t>5）、本项目设置固废暂存区，有效收容火灾或爆炸事故中产生的固体废弃物，有效防止固废的二次污染。</w:t>
            </w:r>
            <w:bookmarkEnd w:id="104"/>
          </w:p>
          <w:p>
            <w:pPr>
              <w:pStyle w:val="26"/>
              <w:bidi w:val="0"/>
              <w:rPr>
                <w:rFonts w:hint="eastAsia" w:ascii="宋体" w:hAnsi="宋体" w:eastAsia="宋体"/>
                <w:lang w:val="en-US" w:eastAsia="zh-CN"/>
              </w:rPr>
            </w:pPr>
            <w:bookmarkStart w:id="105" w:name="_Toc20332"/>
            <w:r>
              <w:rPr>
                <w:rFonts w:hint="eastAsia" w:ascii="宋体" w:hAnsi="宋体" w:eastAsia="宋体"/>
                <w:lang w:val="en-US" w:eastAsia="zh-CN"/>
              </w:rPr>
              <w:t>（2）环境风险事故应急预案</w:t>
            </w:r>
            <w:bookmarkEnd w:id="105"/>
          </w:p>
          <w:p>
            <w:pPr>
              <w:pStyle w:val="26"/>
              <w:bidi w:val="0"/>
              <w:rPr>
                <w:rFonts w:hint="default" w:ascii="宋体" w:hAnsi="宋体" w:eastAsia="宋体"/>
                <w:lang w:val="en-US" w:eastAsia="zh-CN"/>
              </w:rPr>
            </w:pPr>
            <w:bookmarkStart w:id="106" w:name="_Toc11006"/>
            <w:r>
              <w:rPr>
                <w:rFonts w:hint="eastAsia" w:ascii="宋体" w:hAnsi="宋体" w:eastAsia="宋体"/>
                <w:lang w:val="en-US" w:eastAsia="zh-CN"/>
              </w:rPr>
              <w:t>成立应急救援小组，主管厂长任组长，分配专人负责防护救援器材的配给和现场救援和抢救，厂内各职能部门对危险物品管理、事故急救，各负其责。</w:t>
            </w:r>
            <w:bookmarkEnd w:id="106"/>
          </w:p>
          <w:p>
            <w:pPr>
              <w:pStyle w:val="26"/>
              <w:bidi w:val="0"/>
              <w:rPr>
                <w:rFonts w:hint="eastAsia" w:ascii="宋体" w:hAnsi="宋体" w:eastAsia="宋体"/>
                <w:lang w:val="en-US" w:eastAsia="zh-CN"/>
              </w:rPr>
            </w:pPr>
            <w:bookmarkStart w:id="107" w:name="_Toc13640"/>
            <w:r>
              <w:rPr>
                <w:rFonts w:hint="eastAsia" w:ascii="宋体" w:hAnsi="宋体" w:eastAsia="宋体"/>
                <w:lang w:val="en-US" w:eastAsia="zh-CN"/>
              </w:rPr>
              <w:t>①通讯联络</w:t>
            </w:r>
            <w:bookmarkEnd w:id="107"/>
          </w:p>
          <w:p>
            <w:pPr>
              <w:pStyle w:val="26"/>
              <w:bidi w:val="0"/>
              <w:rPr>
                <w:rFonts w:hint="eastAsia" w:ascii="宋体" w:hAnsi="宋体" w:eastAsia="宋体"/>
                <w:lang w:val="en-US" w:eastAsia="zh-CN"/>
              </w:rPr>
            </w:pPr>
            <w:bookmarkStart w:id="108" w:name="_Toc7575"/>
            <w:r>
              <w:rPr>
                <w:rFonts w:hint="eastAsia" w:ascii="宋体" w:hAnsi="宋体" w:eastAsia="宋体"/>
                <w:lang w:val="en-US" w:eastAsia="zh-CN"/>
              </w:rPr>
              <w:t>建立报警网，保证通讯信息畅通无阻。在指定的预案中应明确各组负责人及联络电话，对外联络中枢以及社会各救援机构联系电话，如救护总站、消防大队电话等。通讯联络决定事故发生时的快速反应能力。通讯联络不仅在白天和正常工作日快速通畅，而且要做到深夜和节假日都能快速通畅。</w:t>
            </w:r>
            <w:bookmarkEnd w:id="108"/>
          </w:p>
          <w:p>
            <w:pPr>
              <w:pStyle w:val="26"/>
              <w:bidi w:val="0"/>
              <w:rPr>
                <w:rFonts w:hint="eastAsia" w:ascii="宋体" w:hAnsi="宋体" w:eastAsia="宋体"/>
                <w:lang w:val="en-US" w:eastAsia="zh-CN"/>
              </w:rPr>
            </w:pPr>
            <w:bookmarkStart w:id="109" w:name="_Toc29850"/>
            <w:r>
              <w:rPr>
                <w:rFonts w:hint="eastAsia" w:ascii="宋体" w:hAnsi="宋体" w:eastAsia="宋体"/>
                <w:lang w:val="en-US" w:eastAsia="zh-CN"/>
              </w:rPr>
              <w:t>②人员救护</w:t>
            </w:r>
            <w:bookmarkEnd w:id="109"/>
          </w:p>
          <w:p>
            <w:pPr>
              <w:pStyle w:val="26"/>
              <w:bidi w:val="0"/>
              <w:rPr>
                <w:rFonts w:hint="eastAsia" w:ascii="宋体" w:hAnsi="宋体" w:eastAsia="宋体"/>
                <w:lang w:val="en-US" w:eastAsia="zh-CN"/>
              </w:rPr>
            </w:pPr>
            <w:bookmarkStart w:id="110" w:name="_Toc3952"/>
            <w:r>
              <w:rPr>
                <w:rFonts w:hint="eastAsia" w:ascii="宋体" w:hAnsi="宋体" w:eastAsia="宋体"/>
                <w:lang w:val="en-US" w:eastAsia="zh-CN"/>
              </w:rPr>
              <w:t>在发生后，要本着人道主义精神，救护人员首先应对事故中的伤亡人员进行及时妥善救护，必要时应送附近医院救治。同时，还应对可能受到故事影响的人群进行撤离。</w:t>
            </w:r>
            <w:bookmarkEnd w:id="110"/>
          </w:p>
          <w:p>
            <w:pPr>
              <w:pStyle w:val="26"/>
              <w:bidi w:val="0"/>
              <w:rPr>
                <w:rFonts w:hint="eastAsia" w:ascii="宋体" w:hAnsi="宋体" w:eastAsia="宋体"/>
                <w:lang w:val="en-US" w:eastAsia="zh-CN"/>
              </w:rPr>
            </w:pPr>
            <w:bookmarkStart w:id="111" w:name="_Toc12351"/>
            <w:r>
              <w:rPr>
                <w:rFonts w:hint="eastAsia" w:ascii="宋体" w:hAnsi="宋体" w:eastAsia="宋体"/>
                <w:lang w:val="en-US" w:eastAsia="zh-CN"/>
              </w:rPr>
              <w:t>③安全管理</w:t>
            </w:r>
            <w:bookmarkEnd w:id="111"/>
          </w:p>
          <w:p>
            <w:pPr>
              <w:pStyle w:val="26"/>
              <w:bidi w:val="0"/>
              <w:rPr>
                <w:rFonts w:hint="eastAsia" w:ascii="宋体" w:hAnsi="宋体" w:eastAsia="宋体"/>
                <w:lang w:val="en-US" w:eastAsia="zh-CN"/>
              </w:rPr>
            </w:pPr>
            <w:bookmarkStart w:id="112" w:name="_Toc18189"/>
            <w:r>
              <w:rPr>
                <w:rFonts w:hint="eastAsia" w:ascii="宋体" w:hAnsi="宋体" w:eastAsia="宋体"/>
                <w:lang w:val="en-US" w:eastAsia="zh-CN"/>
              </w:rPr>
              <w:t>工厂保卫部门负责做好库区内的消防安全工作。贯彻执行消防法规，做好对火源的控制，并负责消防安全教育。组织培训库内消防人员。配备足够的应急所需的处理设备和材料，制定相应的应急预案。</w:t>
            </w:r>
            <w:bookmarkEnd w:id="112"/>
          </w:p>
          <w:p>
            <w:pPr>
              <w:spacing w:line="360" w:lineRule="auto"/>
              <w:jc w:val="center"/>
              <w:rPr>
                <w:rFonts w:hint="eastAsia" w:ascii="宋体" w:hAnsi="宋体"/>
                <w:b/>
                <w:color w:val="000000"/>
                <w:sz w:val="21"/>
                <w:szCs w:val="21"/>
                <w:u w:val="none"/>
              </w:rPr>
            </w:pPr>
            <w:r>
              <w:rPr>
                <w:rFonts w:hint="eastAsia" w:ascii="宋体" w:hAnsi="宋体"/>
                <w:b/>
                <w:color w:val="000000"/>
                <w:sz w:val="21"/>
                <w:szCs w:val="21"/>
                <w:u w:val="none"/>
              </w:rPr>
              <w:t>表</w:t>
            </w:r>
            <w:r>
              <w:rPr>
                <w:rFonts w:hint="eastAsia" w:ascii="宋体" w:hAnsi="宋体"/>
                <w:b/>
                <w:color w:val="000000"/>
                <w:sz w:val="21"/>
                <w:szCs w:val="21"/>
                <w:u w:val="none"/>
                <w:lang w:val="en-US" w:eastAsia="zh-CN"/>
              </w:rPr>
              <w:t>7-23</w:t>
            </w:r>
            <w:r>
              <w:rPr>
                <w:rFonts w:hint="eastAsia" w:ascii="宋体" w:hAnsi="宋体"/>
                <w:b/>
                <w:color w:val="000000"/>
                <w:sz w:val="21"/>
                <w:szCs w:val="21"/>
                <w:u w:val="none"/>
              </w:rPr>
              <w:t xml:space="preserve"> 应急预案内容</w:t>
            </w:r>
          </w:p>
          <w:tbl>
            <w:tblPr>
              <w:tblStyle w:val="43"/>
              <w:tblW w:w="85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857"/>
              <w:gridCol w:w="4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22" w:type="dxa"/>
                  <w:vAlign w:val="center"/>
                </w:tcPr>
                <w:p>
                  <w:pPr>
                    <w:pStyle w:val="214"/>
                    <w:spacing w:line="240" w:lineRule="auto"/>
                    <w:ind w:firstLine="0"/>
                    <w:jc w:val="center"/>
                    <w:rPr>
                      <w:rFonts w:hint="eastAsia" w:ascii="Times New Roman" w:hAnsi="Times New Roman" w:eastAsia="宋体"/>
                      <w:color w:val="000000"/>
                      <w:sz w:val="21"/>
                      <w:szCs w:val="21"/>
                      <w:u w:val="none"/>
                      <w:lang w:eastAsia="zh-CN"/>
                    </w:rPr>
                  </w:pPr>
                  <w:r>
                    <w:rPr>
                      <w:rFonts w:hint="eastAsia" w:ascii="Times New Roman" w:hAnsi="Times New Roman" w:eastAsia="宋体"/>
                      <w:color w:val="000000"/>
                      <w:sz w:val="21"/>
                      <w:szCs w:val="21"/>
                      <w:u w:val="none"/>
                      <w:lang w:eastAsia="zh-CN"/>
                    </w:rPr>
                    <w:t>序号</w:t>
                  </w:r>
                </w:p>
              </w:tc>
              <w:tc>
                <w:tcPr>
                  <w:tcW w:w="2857" w:type="dxa"/>
                  <w:vAlign w:val="center"/>
                </w:tcPr>
                <w:p>
                  <w:pPr>
                    <w:pStyle w:val="214"/>
                    <w:spacing w:line="240" w:lineRule="auto"/>
                    <w:ind w:firstLine="0"/>
                    <w:jc w:val="center"/>
                    <w:rPr>
                      <w:rFonts w:hint="eastAsia" w:ascii="Times New Roman" w:hAnsi="Times New Roman" w:eastAsia="宋体"/>
                      <w:color w:val="000000"/>
                      <w:sz w:val="21"/>
                      <w:szCs w:val="21"/>
                      <w:u w:val="none"/>
                      <w:lang w:eastAsia="zh-CN"/>
                    </w:rPr>
                  </w:pPr>
                  <w:r>
                    <w:rPr>
                      <w:rFonts w:hint="eastAsia" w:ascii="Times New Roman" w:hAnsi="Times New Roman" w:eastAsia="宋体"/>
                      <w:color w:val="000000"/>
                      <w:sz w:val="21"/>
                      <w:szCs w:val="21"/>
                      <w:u w:val="none"/>
                      <w:lang w:eastAsia="zh-CN"/>
                    </w:rPr>
                    <w:t>项目</w:t>
                  </w:r>
                </w:p>
              </w:tc>
              <w:tc>
                <w:tcPr>
                  <w:tcW w:w="4822" w:type="dxa"/>
                  <w:vAlign w:val="center"/>
                </w:tcPr>
                <w:p>
                  <w:pPr>
                    <w:pStyle w:val="214"/>
                    <w:spacing w:line="240" w:lineRule="auto"/>
                    <w:ind w:firstLine="0"/>
                    <w:jc w:val="center"/>
                    <w:rPr>
                      <w:rFonts w:hint="eastAsia" w:ascii="Times New Roman" w:hAnsi="Times New Roman" w:eastAsia="宋体"/>
                      <w:color w:val="000000"/>
                      <w:sz w:val="21"/>
                      <w:szCs w:val="21"/>
                      <w:u w:val="none"/>
                      <w:lang w:eastAsia="zh-CN"/>
                    </w:rPr>
                  </w:pPr>
                  <w:r>
                    <w:rPr>
                      <w:rFonts w:hint="eastAsia" w:ascii="Times New Roman" w:hAnsi="Times New Roman" w:eastAsia="宋体"/>
                      <w:color w:val="000000"/>
                      <w:sz w:val="21"/>
                      <w:szCs w:val="21"/>
                      <w:u w:val="none"/>
                      <w:lang w:eastAsia="zh-CN"/>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22"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1</w:t>
                  </w:r>
                </w:p>
              </w:tc>
              <w:tc>
                <w:tcPr>
                  <w:tcW w:w="2857"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应急计划区</w:t>
                  </w:r>
                </w:p>
              </w:tc>
              <w:tc>
                <w:tcPr>
                  <w:tcW w:w="4822"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危险目标：装置区、库房、环境保护目标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22"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2</w:t>
                  </w:r>
                </w:p>
              </w:tc>
              <w:tc>
                <w:tcPr>
                  <w:tcW w:w="2857"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应急组织机构、人员</w:t>
                  </w:r>
                </w:p>
              </w:tc>
              <w:tc>
                <w:tcPr>
                  <w:tcW w:w="4822"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工厂、地区应急组织机构、人员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22"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3</w:t>
                  </w:r>
                </w:p>
              </w:tc>
              <w:tc>
                <w:tcPr>
                  <w:tcW w:w="2857"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源分级响应条件</w:t>
                  </w:r>
                </w:p>
              </w:tc>
              <w:tc>
                <w:tcPr>
                  <w:tcW w:w="4822"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规定预案的级别及分级响应程序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22"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4</w:t>
                  </w:r>
                </w:p>
              </w:tc>
              <w:tc>
                <w:tcPr>
                  <w:tcW w:w="2857"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应急救援保障</w:t>
                  </w:r>
                </w:p>
              </w:tc>
              <w:tc>
                <w:tcPr>
                  <w:tcW w:w="4822"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应急设施、设备与器材等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22"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5</w:t>
                  </w:r>
                </w:p>
              </w:tc>
              <w:tc>
                <w:tcPr>
                  <w:tcW w:w="2857"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报警、通讯联络方式</w:t>
                  </w:r>
                </w:p>
              </w:tc>
              <w:tc>
                <w:tcPr>
                  <w:tcW w:w="4822"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规定应急状态下的报警通讯方式、通知方式和交通保障、管制机制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22"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6</w:t>
                  </w:r>
                </w:p>
              </w:tc>
              <w:tc>
                <w:tcPr>
                  <w:tcW w:w="2857"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应急环境监测、抢险、救援及控制措施</w:t>
                  </w:r>
                </w:p>
              </w:tc>
              <w:tc>
                <w:tcPr>
                  <w:tcW w:w="4822"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有专业队伍负责对事故现场进行侦查监测，对事故性质、参数与后果进行评估，为指挥部门提供决策依据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22"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7</w:t>
                  </w:r>
                </w:p>
              </w:tc>
              <w:tc>
                <w:tcPr>
                  <w:tcW w:w="2857"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应急检测、防护措施、清除泄漏措施和器材</w:t>
                  </w:r>
                </w:p>
              </w:tc>
              <w:tc>
                <w:tcPr>
                  <w:tcW w:w="4822"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事故现场、邻近区域、控制防火区域，控制和消除污染措施及相应设备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22"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8</w:t>
                  </w:r>
                </w:p>
              </w:tc>
              <w:tc>
                <w:tcPr>
                  <w:tcW w:w="2857"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人员紧急撤离、疏散、应急剂量控制、撤离组织计划</w:t>
                  </w:r>
                </w:p>
              </w:tc>
              <w:tc>
                <w:tcPr>
                  <w:tcW w:w="4822"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事故现场、工厂邻近区、受事故影响的区域人员及公众对毒物应急剂量控制规定，撤离组织计划及救护，医疗救护与公众健康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22"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9</w:t>
                  </w:r>
                </w:p>
              </w:tc>
              <w:tc>
                <w:tcPr>
                  <w:tcW w:w="2857"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事故应急救援关闭程序与恢复措施</w:t>
                  </w:r>
                </w:p>
              </w:tc>
              <w:tc>
                <w:tcPr>
                  <w:tcW w:w="4822"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规定应急状态终止程序事故现场善后处理，恢复措施邻近区解除事故警戒及善后恢复措施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22"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10</w:t>
                  </w:r>
                </w:p>
              </w:tc>
              <w:tc>
                <w:tcPr>
                  <w:tcW w:w="2857"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应急培训计划</w:t>
                  </w:r>
                </w:p>
              </w:tc>
              <w:tc>
                <w:tcPr>
                  <w:tcW w:w="4822"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应急计划制定后，平时安排人员培训与演练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22"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11</w:t>
                  </w:r>
                </w:p>
              </w:tc>
              <w:tc>
                <w:tcPr>
                  <w:tcW w:w="2857"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公众教育和信息</w:t>
                  </w:r>
                </w:p>
              </w:tc>
              <w:tc>
                <w:tcPr>
                  <w:tcW w:w="4822" w:type="dxa"/>
                  <w:vAlign w:val="center"/>
                </w:tcPr>
                <w:p>
                  <w:pPr>
                    <w:pStyle w:val="214"/>
                    <w:spacing w:line="240" w:lineRule="auto"/>
                    <w:ind w:firstLine="0"/>
                    <w:jc w:val="center"/>
                    <w:rPr>
                      <w:rFonts w:hint="default" w:ascii="Times New Roman" w:hAnsi="Times New Roman" w:eastAsia="宋体"/>
                      <w:color w:val="000000"/>
                      <w:sz w:val="21"/>
                      <w:szCs w:val="21"/>
                      <w:u w:val="none"/>
                      <w:lang w:eastAsia="zh-CN"/>
                    </w:rPr>
                  </w:pPr>
                  <w:r>
                    <w:rPr>
                      <w:rFonts w:hint="default" w:ascii="Times New Roman" w:hAnsi="Times New Roman" w:eastAsia="宋体"/>
                      <w:color w:val="000000"/>
                      <w:sz w:val="21"/>
                      <w:szCs w:val="21"/>
                      <w:u w:val="none"/>
                      <w:lang w:eastAsia="zh-CN"/>
                    </w:rPr>
                    <w:t>对工厂邻近地区展开公众教育、培训和发布有关消息</w:t>
                  </w:r>
                </w:p>
              </w:tc>
            </w:tr>
          </w:tbl>
          <w:p>
            <w:pPr>
              <w:pStyle w:val="26"/>
              <w:bidi w:val="0"/>
              <w:rPr>
                <w:rFonts w:hint="eastAsia" w:ascii="宋体" w:hAnsi="宋体" w:eastAsia="宋体"/>
                <w:lang w:val="en-US" w:eastAsia="zh-CN"/>
              </w:rPr>
            </w:pPr>
            <w:bookmarkStart w:id="113" w:name="_Toc28512"/>
            <w:r>
              <w:rPr>
                <w:rFonts w:hint="eastAsia" w:ascii="宋体" w:hAnsi="宋体" w:eastAsia="宋体"/>
                <w:lang w:val="en-US" w:eastAsia="zh-CN"/>
              </w:rPr>
              <w:t>④事故处理</w:t>
            </w:r>
            <w:bookmarkEnd w:id="113"/>
          </w:p>
          <w:p>
            <w:pPr>
              <w:pStyle w:val="26"/>
              <w:bidi w:val="0"/>
              <w:rPr>
                <w:rFonts w:hint="eastAsia" w:ascii="宋体" w:hAnsi="宋体" w:eastAsia="宋体"/>
                <w:lang w:val="en-US" w:eastAsia="zh-CN"/>
              </w:rPr>
            </w:pPr>
            <w:bookmarkStart w:id="114" w:name="_Toc26334"/>
            <w:r>
              <w:rPr>
                <w:rFonts w:hint="eastAsia" w:ascii="宋体" w:hAnsi="宋体" w:eastAsia="宋体"/>
                <w:lang w:val="en-US" w:eastAsia="zh-CN"/>
              </w:rPr>
              <w:t>迅速撤离危险区人员至安全区，禁止无关人员进入污染区。</w:t>
            </w:r>
            <w:bookmarkEnd w:id="114"/>
          </w:p>
          <w:p>
            <w:pPr>
              <w:pStyle w:val="26"/>
              <w:bidi w:val="0"/>
              <w:rPr>
                <w:rFonts w:hint="eastAsia" w:ascii="宋体" w:hAnsi="宋体" w:eastAsia="宋体"/>
                <w:lang w:val="en-US" w:eastAsia="zh-CN"/>
              </w:rPr>
            </w:pPr>
            <w:bookmarkStart w:id="115" w:name="_Toc19186"/>
            <w:r>
              <w:rPr>
                <w:rFonts w:hint="eastAsia" w:ascii="宋体" w:hAnsi="宋体" w:eastAsia="宋体"/>
                <w:lang w:val="en-US" w:eastAsia="zh-CN"/>
              </w:rPr>
              <w:t>切断火源，控制污染源，应急处理人员戴自给式呼吸机或正确的防护器材，合理通风。</w:t>
            </w:r>
            <w:bookmarkEnd w:id="115"/>
          </w:p>
          <w:p>
            <w:pPr>
              <w:pStyle w:val="26"/>
              <w:bidi w:val="0"/>
              <w:rPr>
                <w:rFonts w:hint="default" w:ascii="宋体" w:hAnsi="宋体" w:eastAsia="宋体"/>
                <w:lang w:val="en-US" w:eastAsia="zh-CN"/>
              </w:rPr>
            </w:pPr>
            <w:bookmarkStart w:id="116" w:name="_Toc11070"/>
            <w:r>
              <w:rPr>
                <w:rFonts w:hint="default" w:ascii="宋体" w:hAnsi="宋体" w:eastAsia="宋体"/>
                <w:lang w:val="en-US" w:eastAsia="zh-CN"/>
              </w:rPr>
              <w:t>分析结论</w:t>
            </w:r>
            <w:bookmarkEnd w:id="116"/>
          </w:p>
          <w:p>
            <w:pPr>
              <w:pStyle w:val="26"/>
              <w:bidi w:val="0"/>
              <w:rPr>
                <w:rFonts w:hint="default" w:ascii="宋体" w:hAnsi="宋体" w:eastAsia="宋体"/>
                <w:lang w:val="en-US" w:eastAsia="zh-CN"/>
              </w:rPr>
            </w:pPr>
            <w:bookmarkStart w:id="117" w:name="_Toc24625"/>
            <w:r>
              <w:rPr>
                <w:rFonts w:hint="default" w:ascii="宋体" w:hAnsi="宋体" w:eastAsia="宋体"/>
                <w:lang w:val="en-US" w:eastAsia="zh-CN"/>
              </w:rPr>
              <w:t>综上所述，项目经采取有效的环境风险防治措施，制定完善的安全管理、降低风险的规章制度，在管理、控制、监督、运营及维护方面采取有效措施后，项目运营的安全性将得到有效保证，环境风险事故的发生概率可控制在可接受水平。</w:t>
            </w:r>
            <w:bookmarkEnd w:id="117"/>
          </w:p>
          <w:p>
            <w:pPr>
              <w:pStyle w:val="26"/>
              <w:bidi w:val="0"/>
              <w:rPr>
                <w:rFonts w:hint="default" w:ascii="宋体" w:hAnsi="宋体" w:eastAsia="宋体"/>
                <w:lang w:val="en-US" w:eastAsia="zh-CN"/>
              </w:rPr>
            </w:pPr>
            <w:bookmarkStart w:id="118" w:name="_Toc3458"/>
            <w:r>
              <w:rPr>
                <w:rFonts w:hint="default" w:ascii="宋体" w:hAnsi="宋体" w:eastAsia="宋体"/>
                <w:lang w:val="en-US" w:eastAsia="zh-CN"/>
              </w:rPr>
              <w:t>建设项目环境风险简单分析一览表见表</w:t>
            </w:r>
            <w:r>
              <w:rPr>
                <w:rFonts w:hint="eastAsia" w:ascii="宋体" w:hAnsi="宋体" w:eastAsia="宋体"/>
                <w:lang w:val="en-US" w:eastAsia="zh-CN"/>
              </w:rPr>
              <w:t>7-14。</w:t>
            </w:r>
            <w:bookmarkEnd w:id="118"/>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color w:val="auto"/>
                <w:sz w:val="24"/>
                <w:szCs w:val="24"/>
                <w:u w:val="none"/>
                <w:lang w:eastAsia="zh-CN"/>
              </w:rPr>
            </w:pPr>
            <w:r>
              <w:rPr>
                <w:rFonts w:hint="default" w:ascii="Times New Roman" w:hAnsi="Times New Roman" w:eastAsia="宋体" w:cs="Times New Roman"/>
                <w:b/>
                <w:bCs/>
                <w:color w:val="auto"/>
                <w:sz w:val="24"/>
                <w:u w:val="none"/>
                <w:lang w:eastAsia="zh-CN"/>
              </w:rPr>
              <w:t>表</w:t>
            </w:r>
            <w:r>
              <w:rPr>
                <w:rFonts w:hint="eastAsia" w:cs="Times New Roman"/>
                <w:b/>
                <w:bCs/>
                <w:color w:val="auto"/>
                <w:sz w:val="24"/>
                <w:u w:val="none"/>
                <w:lang w:val="en-US" w:eastAsia="zh-CN"/>
              </w:rPr>
              <w:t xml:space="preserve">7-14 </w:t>
            </w:r>
            <w:r>
              <w:rPr>
                <w:rFonts w:hint="default" w:ascii="Times New Roman" w:hAnsi="Times New Roman" w:eastAsia="宋体" w:cs="Times New Roman"/>
                <w:b/>
                <w:bCs/>
                <w:color w:val="auto"/>
                <w:sz w:val="24"/>
                <w:szCs w:val="24"/>
                <w:u w:val="none"/>
                <w:lang w:eastAsia="zh-CN"/>
              </w:rPr>
              <w:t>建设项目环境风险简单分析一览表</w:t>
            </w:r>
          </w:p>
          <w:tbl>
            <w:tblPr>
              <w:tblStyle w:val="44"/>
              <w:tblW w:w="8742"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22"/>
              <w:gridCol w:w="61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622" w:type="dxa"/>
                  <w:tcBorders>
                    <w:tl2br w:val="nil"/>
                    <w:tr2bl w:val="nil"/>
                  </w:tcBorders>
                  <w:vAlign w:val="center"/>
                </w:tcPr>
                <w:p>
                  <w:pPr>
                    <w:pStyle w:val="214"/>
                    <w:spacing w:line="240" w:lineRule="auto"/>
                    <w:ind w:firstLine="0"/>
                    <w:jc w:val="center"/>
                    <w:rPr>
                      <w:rFonts w:hint="default" w:ascii="Times New Roman" w:hAnsi="Times New Roman" w:eastAsia="宋体"/>
                      <w:color w:val="000000"/>
                      <w:sz w:val="21"/>
                      <w:szCs w:val="21"/>
                      <w:u w:val="none"/>
                      <w:lang w:val="en-US" w:eastAsia="zh-CN"/>
                    </w:rPr>
                  </w:pPr>
                  <w:r>
                    <w:rPr>
                      <w:rFonts w:hint="default" w:ascii="Times New Roman" w:hAnsi="Times New Roman" w:eastAsia="宋体"/>
                      <w:color w:val="000000"/>
                      <w:sz w:val="21"/>
                      <w:szCs w:val="21"/>
                      <w:u w:val="none"/>
                      <w:lang w:val="en-US" w:eastAsia="zh-CN"/>
                    </w:rPr>
                    <w:t>建设项目名称</w:t>
                  </w:r>
                </w:p>
              </w:tc>
              <w:tc>
                <w:tcPr>
                  <w:tcW w:w="6120" w:type="dxa"/>
                  <w:tcBorders>
                    <w:tl2br w:val="nil"/>
                    <w:tr2bl w:val="nil"/>
                  </w:tcBorders>
                  <w:vAlign w:val="center"/>
                </w:tcPr>
                <w:p>
                  <w:pPr>
                    <w:pStyle w:val="214"/>
                    <w:spacing w:line="240" w:lineRule="auto"/>
                    <w:ind w:firstLine="0"/>
                    <w:jc w:val="center"/>
                    <w:rPr>
                      <w:rFonts w:hint="default" w:ascii="Times New Roman" w:hAnsi="Times New Roman" w:eastAsia="宋体"/>
                      <w:color w:val="000000"/>
                      <w:sz w:val="21"/>
                      <w:szCs w:val="21"/>
                      <w:u w:val="none"/>
                      <w:lang w:val="en-US" w:eastAsia="zh-CN"/>
                    </w:rPr>
                  </w:pPr>
                  <w:r>
                    <w:rPr>
                      <w:rFonts w:hint="eastAsia"/>
                      <w:sz w:val="21"/>
                      <w:szCs w:val="21"/>
                      <w:lang w:eastAsia="zh-CN"/>
                    </w:rPr>
                    <w:t>株洲市清水塘生态科技新城集中配送中心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622" w:type="dxa"/>
                  <w:tcBorders>
                    <w:tl2br w:val="nil"/>
                    <w:tr2bl w:val="nil"/>
                  </w:tcBorders>
                  <w:vAlign w:val="center"/>
                </w:tcPr>
                <w:p>
                  <w:pPr>
                    <w:pStyle w:val="214"/>
                    <w:spacing w:line="240" w:lineRule="auto"/>
                    <w:ind w:firstLine="0"/>
                    <w:jc w:val="center"/>
                    <w:rPr>
                      <w:rFonts w:hint="default" w:ascii="Times New Roman" w:hAnsi="Times New Roman" w:eastAsia="宋体"/>
                      <w:color w:val="000000"/>
                      <w:sz w:val="21"/>
                      <w:szCs w:val="21"/>
                      <w:u w:val="none"/>
                      <w:lang w:val="en-US" w:eastAsia="zh-CN"/>
                    </w:rPr>
                  </w:pPr>
                  <w:r>
                    <w:rPr>
                      <w:rFonts w:hint="default" w:ascii="Times New Roman" w:hAnsi="Times New Roman" w:eastAsia="宋体"/>
                      <w:color w:val="000000"/>
                      <w:sz w:val="21"/>
                      <w:szCs w:val="21"/>
                      <w:u w:val="none"/>
                      <w:lang w:val="en-US" w:eastAsia="zh-CN"/>
                    </w:rPr>
                    <w:t>建设地点</w:t>
                  </w:r>
                </w:p>
              </w:tc>
              <w:tc>
                <w:tcPr>
                  <w:tcW w:w="6120" w:type="dxa"/>
                  <w:tcBorders>
                    <w:tl2br w:val="nil"/>
                    <w:tr2bl w:val="nil"/>
                  </w:tcBorders>
                  <w:vAlign w:val="center"/>
                </w:tcPr>
                <w:p>
                  <w:pPr>
                    <w:pStyle w:val="214"/>
                    <w:spacing w:line="240" w:lineRule="auto"/>
                    <w:ind w:firstLine="0"/>
                    <w:jc w:val="center"/>
                    <w:rPr>
                      <w:rFonts w:hint="default" w:ascii="Times New Roman" w:hAnsi="Times New Roman" w:eastAsia="宋体"/>
                      <w:color w:val="000000"/>
                      <w:sz w:val="21"/>
                      <w:szCs w:val="21"/>
                      <w:u w:val="none"/>
                      <w:lang w:val="en-US" w:eastAsia="zh-CN"/>
                    </w:rPr>
                  </w:pPr>
                  <w:r>
                    <w:rPr>
                      <w:rFonts w:hint="default" w:ascii="Times New Roman" w:hAnsi="Times New Roman" w:eastAsia="宋体" w:cs="Times New Roman"/>
                      <w:sz w:val="21"/>
                      <w:szCs w:val="21"/>
                    </w:rPr>
                    <w:t>株洲市石峰区铜霞路与永发路交叉口南260m处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622" w:type="dxa"/>
                  <w:tcBorders>
                    <w:tl2br w:val="nil"/>
                    <w:tr2bl w:val="nil"/>
                  </w:tcBorders>
                  <w:vAlign w:val="center"/>
                </w:tcPr>
                <w:p>
                  <w:pPr>
                    <w:pStyle w:val="214"/>
                    <w:spacing w:line="240" w:lineRule="auto"/>
                    <w:ind w:firstLine="0"/>
                    <w:jc w:val="center"/>
                    <w:rPr>
                      <w:rFonts w:hint="default" w:ascii="Times New Roman" w:hAnsi="Times New Roman" w:eastAsia="宋体"/>
                      <w:color w:val="000000"/>
                      <w:sz w:val="21"/>
                      <w:szCs w:val="21"/>
                      <w:u w:val="none"/>
                      <w:lang w:val="en-US" w:eastAsia="zh-CN"/>
                    </w:rPr>
                  </w:pPr>
                  <w:r>
                    <w:rPr>
                      <w:rFonts w:hint="default" w:ascii="Times New Roman" w:hAnsi="Times New Roman" w:eastAsia="宋体"/>
                      <w:color w:val="000000"/>
                      <w:sz w:val="21"/>
                      <w:szCs w:val="21"/>
                      <w:u w:val="none"/>
                      <w:lang w:val="en-US" w:eastAsia="zh-CN"/>
                    </w:rPr>
                    <w:t>地理坐标</w:t>
                  </w:r>
                </w:p>
              </w:tc>
              <w:tc>
                <w:tcPr>
                  <w:tcW w:w="6120" w:type="dxa"/>
                  <w:tcBorders>
                    <w:tl2br w:val="nil"/>
                    <w:tr2bl w:val="nil"/>
                  </w:tcBorders>
                  <w:vAlign w:val="center"/>
                </w:tcPr>
                <w:p>
                  <w:pPr>
                    <w:pStyle w:val="214"/>
                    <w:spacing w:line="240" w:lineRule="auto"/>
                    <w:ind w:firstLine="0"/>
                    <w:jc w:val="center"/>
                    <w:rPr>
                      <w:rFonts w:hint="default" w:ascii="Times New Roman" w:hAnsi="Times New Roman" w:eastAsia="宋体"/>
                      <w:color w:val="000000"/>
                      <w:sz w:val="21"/>
                      <w:szCs w:val="21"/>
                      <w:u w:val="none"/>
                      <w:lang w:val="en-US" w:eastAsia="zh-CN"/>
                    </w:rPr>
                  </w:pPr>
                  <w:r>
                    <w:rPr>
                      <w:rFonts w:hint="default" w:ascii="Times New Roman" w:hAnsi="Times New Roman" w:eastAsia="宋体"/>
                      <w:color w:val="000000"/>
                      <w:sz w:val="21"/>
                      <w:szCs w:val="21"/>
                      <w:u w:val="none"/>
                      <w:lang w:eastAsia="zh-CN"/>
                    </w:rPr>
                    <w:t>东经113.090270° 、北纬27.866630°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622" w:type="dxa"/>
                  <w:tcBorders>
                    <w:tl2br w:val="nil"/>
                    <w:tr2bl w:val="nil"/>
                  </w:tcBorders>
                  <w:vAlign w:val="center"/>
                </w:tcPr>
                <w:p>
                  <w:pPr>
                    <w:pStyle w:val="214"/>
                    <w:spacing w:line="240" w:lineRule="auto"/>
                    <w:ind w:firstLine="0"/>
                    <w:jc w:val="center"/>
                    <w:rPr>
                      <w:rFonts w:hint="default" w:ascii="Times New Roman" w:hAnsi="Times New Roman" w:eastAsia="宋体"/>
                      <w:color w:val="000000"/>
                      <w:sz w:val="21"/>
                      <w:szCs w:val="21"/>
                      <w:u w:val="none"/>
                      <w:lang w:val="en-US" w:eastAsia="zh-CN"/>
                    </w:rPr>
                  </w:pPr>
                  <w:r>
                    <w:rPr>
                      <w:rFonts w:hint="default" w:ascii="Times New Roman" w:hAnsi="Times New Roman" w:eastAsia="宋体"/>
                      <w:color w:val="000000"/>
                      <w:sz w:val="21"/>
                      <w:szCs w:val="21"/>
                      <w:u w:val="none"/>
                      <w:lang w:val="en-US" w:eastAsia="zh-CN"/>
                    </w:rPr>
                    <w:t>主要危险物质及分布</w:t>
                  </w:r>
                </w:p>
              </w:tc>
              <w:tc>
                <w:tcPr>
                  <w:tcW w:w="6120" w:type="dxa"/>
                  <w:tcBorders>
                    <w:tl2br w:val="nil"/>
                    <w:tr2bl w:val="nil"/>
                  </w:tcBorders>
                  <w:vAlign w:val="center"/>
                </w:tcPr>
                <w:p>
                  <w:pPr>
                    <w:pStyle w:val="214"/>
                    <w:spacing w:line="240" w:lineRule="auto"/>
                    <w:ind w:firstLine="0"/>
                    <w:jc w:val="center"/>
                    <w:rPr>
                      <w:rFonts w:hint="default" w:ascii="Times New Roman" w:hAnsi="Times New Roman" w:eastAsia="宋体"/>
                      <w:color w:val="000000"/>
                      <w:sz w:val="21"/>
                      <w:szCs w:val="21"/>
                      <w:u w:val="none"/>
                      <w:lang w:val="en-US" w:eastAsia="zh-CN"/>
                    </w:rPr>
                  </w:pPr>
                  <w:r>
                    <w:rPr>
                      <w:rFonts w:hint="default" w:ascii="Times New Roman" w:hAnsi="Times New Roman" w:eastAsia="宋体"/>
                      <w:color w:val="000000"/>
                      <w:sz w:val="21"/>
                      <w:szCs w:val="21"/>
                      <w:u w:val="none"/>
                      <w:lang w:val="en-US" w:eastAsia="zh-CN"/>
                    </w:rPr>
                    <w:t>危险物质：</w:t>
                  </w:r>
                  <w:r>
                    <w:rPr>
                      <w:rFonts w:hint="eastAsia" w:ascii="Times New Roman" w:hAnsi="Times New Roman" w:eastAsia="宋体"/>
                      <w:color w:val="000000"/>
                      <w:sz w:val="21"/>
                      <w:szCs w:val="21"/>
                      <w:u w:val="none"/>
                      <w:lang w:val="en-US" w:eastAsia="zh-CN"/>
                    </w:rPr>
                    <w:t>无</w:t>
                  </w:r>
                  <w:r>
                    <w:rPr>
                      <w:rFonts w:hint="default" w:ascii="Times New Roman" w:hAnsi="Times New Roman" w:eastAsia="宋体"/>
                      <w:color w:val="000000"/>
                      <w:sz w:val="21"/>
                      <w:szCs w:val="21"/>
                      <w:u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622" w:type="dxa"/>
                  <w:tcBorders>
                    <w:tl2br w:val="nil"/>
                    <w:tr2bl w:val="nil"/>
                  </w:tcBorders>
                  <w:vAlign w:val="center"/>
                </w:tcPr>
                <w:p>
                  <w:pPr>
                    <w:pStyle w:val="214"/>
                    <w:spacing w:line="240" w:lineRule="auto"/>
                    <w:ind w:firstLine="0"/>
                    <w:jc w:val="center"/>
                    <w:rPr>
                      <w:rFonts w:hint="default" w:ascii="Times New Roman" w:hAnsi="Times New Roman" w:eastAsia="宋体"/>
                      <w:color w:val="000000"/>
                      <w:sz w:val="21"/>
                      <w:szCs w:val="21"/>
                      <w:u w:val="none"/>
                      <w:lang w:val="en-US" w:eastAsia="zh-CN"/>
                    </w:rPr>
                  </w:pPr>
                  <w:r>
                    <w:rPr>
                      <w:rFonts w:hint="default" w:ascii="Times New Roman" w:hAnsi="Times New Roman" w:eastAsia="宋体"/>
                      <w:color w:val="000000"/>
                      <w:sz w:val="21"/>
                      <w:szCs w:val="21"/>
                      <w:u w:val="none"/>
                      <w:lang w:val="en-US" w:eastAsia="zh-CN"/>
                    </w:rPr>
                    <w:t>环境影响途径及危害后果</w:t>
                  </w:r>
                </w:p>
              </w:tc>
              <w:tc>
                <w:tcPr>
                  <w:tcW w:w="6120" w:type="dxa"/>
                  <w:tcBorders>
                    <w:tl2br w:val="nil"/>
                    <w:tr2bl w:val="nil"/>
                  </w:tcBorders>
                  <w:vAlign w:val="center"/>
                </w:tcPr>
                <w:p>
                  <w:pPr>
                    <w:pStyle w:val="214"/>
                    <w:spacing w:line="240" w:lineRule="auto"/>
                    <w:ind w:firstLine="0"/>
                    <w:jc w:val="center"/>
                    <w:rPr>
                      <w:rFonts w:hint="default" w:ascii="Times New Roman" w:hAnsi="Times New Roman" w:eastAsia="宋体"/>
                      <w:color w:val="000000"/>
                      <w:sz w:val="21"/>
                      <w:szCs w:val="21"/>
                      <w:u w:val="none"/>
                      <w:lang w:val="en-US" w:eastAsia="zh-CN"/>
                    </w:rPr>
                  </w:pPr>
                  <w:r>
                    <w:rPr>
                      <w:rFonts w:hint="default" w:ascii="Times New Roman" w:hAnsi="Times New Roman" w:eastAsia="宋体"/>
                      <w:color w:val="000000"/>
                      <w:sz w:val="21"/>
                      <w:szCs w:val="21"/>
                      <w:u w:val="none"/>
                      <w:lang w:eastAsia="zh-CN"/>
                    </w:rPr>
                    <w:t>见</w:t>
                  </w:r>
                  <w:r>
                    <w:rPr>
                      <w:rFonts w:hint="default" w:ascii="Times New Roman" w:hAnsi="Times New Roman" w:eastAsia="宋体"/>
                      <w:color w:val="000000"/>
                      <w:sz w:val="21"/>
                      <w:szCs w:val="21"/>
                      <w:u w:val="none"/>
                      <w:lang w:val="en-US" w:eastAsia="zh-CN"/>
                    </w:rPr>
                    <w:t>环境风险分析章节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622" w:type="dxa"/>
                  <w:tcBorders>
                    <w:tl2br w:val="nil"/>
                    <w:tr2bl w:val="nil"/>
                  </w:tcBorders>
                  <w:vAlign w:val="center"/>
                </w:tcPr>
                <w:p>
                  <w:pPr>
                    <w:pStyle w:val="214"/>
                    <w:spacing w:line="240" w:lineRule="auto"/>
                    <w:ind w:firstLine="0"/>
                    <w:jc w:val="center"/>
                    <w:rPr>
                      <w:rFonts w:hint="default" w:ascii="Times New Roman" w:hAnsi="Times New Roman" w:eastAsia="宋体"/>
                      <w:color w:val="000000"/>
                      <w:sz w:val="21"/>
                      <w:szCs w:val="21"/>
                      <w:u w:val="none"/>
                      <w:lang w:val="en-US" w:eastAsia="zh-CN"/>
                    </w:rPr>
                  </w:pPr>
                  <w:r>
                    <w:rPr>
                      <w:rFonts w:hint="default" w:ascii="Times New Roman" w:hAnsi="Times New Roman" w:eastAsia="宋体"/>
                      <w:color w:val="000000"/>
                      <w:sz w:val="21"/>
                      <w:szCs w:val="21"/>
                      <w:u w:val="none"/>
                      <w:lang w:val="en-US" w:eastAsia="zh-CN"/>
                    </w:rPr>
                    <w:t>风险防范措施要求</w:t>
                  </w:r>
                </w:p>
              </w:tc>
              <w:tc>
                <w:tcPr>
                  <w:tcW w:w="6120" w:type="dxa"/>
                  <w:tcBorders>
                    <w:tl2br w:val="nil"/>
                    <w:tr2bl w:val="nil"/>
                  </w:tcBorders>
                  <w:vAlign w:val="center"/>
                </w:tcPr>
                <w:p>
                  <w:pPr>
                    <w:pStyle w:val="214"/>
                    <w:spacing w:line="240" w:lineRule="auto"/>
                    <w:ind w:firstLine="0"/>
                    <w:jc w:val="center"/>
                    <w:rPr>
                      <w:rFonts w:hint="default" w:ascii="Times New Roman" w:hAnsi="Times New Roman" w:eastAsia="宋体"/>
                      <w:color w:val="000000"/>
                      <w:sz w:val="21"/>
                      <w:szCs w:val="21"/>
                      <w:u w:val="none"/>
                      <w:lang w:val="en-US" w:eastAsia="zh-CN"/>
                    </w:rPr>
                  </w:pPr>
                  <w:r>
                    <w:rPr>
                      <w:rFonts w:hint="default" w:ascii="Times New Roman" w:hAnsi="Times New Roman" w:eastAsia="宋体"/>
                      <w:color w:val="000000"/>
                      <w:sz w:val="21"/>
                      <w:szCs w:val="21"/>
                      <w:u w:val="none"/>
                      <w:lang w:val="en-US" w:eastAsia="zh-CN"/>
                    </w:rPr>
                    <w:t>见环境风险防范措施及应急要求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622" w:type="dxa"/>
                  <w:tcBorders>
                    <w:tl2br w:val="nil"/>
                    <w:tr2bl w:val="nil"/>
                  </w:tcBorders>
                  <w:vAlign w:val="center"/>
                </w:tcPr>
                <w:p>
                  <w:pPr>
                    <w:pStyle w:val="214"/>
                    <w:spacing w:line="240" w:lineRule="auto"/>
                    <w:ind w:firstLine="0"/>
                    <w:jc w:val="center"/>
                    <w:rPr>
                      <w:rFonts w:hint="default" w:ascii="Times New Roman" w:hAnsi="Times New Roman" w:eastAsia="宋体"/>
                      <w:color w:val="000000"/>
                      <w:sz w:val="21"/>
                      <w:szCs w:val="21"/>
                      <w:u w:val="none"/>
                      <w:lang w:val="en-US" w:eastAsia="zh-CN"/>
                    </w:rPr>
                  </w:pPr>
                  <w:r>
                    <w:rPr>
                      <w:rFonts w:hint="default" w:ascii="Times New Roman" w:hAnsi="Times New Roman" w:eastAsia="宋体"/>
                      <w:color w:val="000000"/>
                      <w:sz w:val="21"/>
                      <w:szCs w:val="21"/>
                      <w:u w:val="none"/>
                      <w:lang w:val="en-US" w:eastAsia="zh-CN"/>
                    </w:rPr>
                    <w:t>填表说明</w:t>
                  </w:r>
                </w:p>
              </w:tc>
              <w:tc>
                <w:tcPr>
                  <w:tcW w:w="6120" w:type="dxa"/>
                  <w:tcBorders>
                    <w:tl2br w:val="nil"/>
                    <w:tr2bl w:val="nil"/>
                  </w:tcBorders>
                  <w:vAlign w:val="center"/>
                </w:tcPr>
                <w:p>
                  <w:pPr>
                    <w:pStyle w:val="214"/>
                    <w:spacing w:line="240" w:lineRule="auto"/>
                    <w:ind w:firstLine="0"/>
                    <w:jc w:val="center"/>
                    <w:rPr>
                      <w:rFonts w:hint="default" w:ascii="Times New Roman" w:hAnsi="Times New Roman" w:eastAsia="宋体"/>
                      <w:color w:val="000000"/>
                      <w:sz w:val="21"/>
                      <w:szCs w:val="21"/>
                      <w:u w:val="none"/>
                      <w:lang w:val="en-US" w:eastAsia="zh-CN"/>
                    </w:rPr>
                  </w:pPr>
                  <w:r>
                    <w:rPr>
                      <w:rFonts w:hint="default" w:ascii="Times New Roman" w:hAnsi="Times New Roman" w:eastAsia="宋体"/>
                      <w:color w:val="000000"/>
                      <w:sz w:val="21"/>
                      <w:szCs w:val="21"/>
                      <w:u w:val="none"/>
                      <w:lang w:val="en-US" w:eastAsia="zh-CN"/>
                    </w:rPr>
                    <w:t>1）认真执行《危险化学品装卸作业一般安全守则》，建立可操作的安全管理制度，有专职人员负责安全消防工作；2）储罐区要配备消防设备和消防器材，一切消防器材不准动乱用，并要定期检查；3）储罐区内严禁烟火。入厂人员不得携带易燃、易爆物品。站内动用明火时，必须经安全保卫部门检查批准，并要有安全措施；4）各种设备要做到定员、定岗、定机管理，对有特殊要求的设备，操作人员必须经过岗位训，并持有操作证方可上岗；</w:t>
                  </w:r>
                </w:p>
                <w:p>
                  <w:pPr>
                    <w:pStyle w:val="214"/>
                    <w:spacing w:line="240" w:lineRule="auto"/>
                    <w:ind w:firstLine="0"/>
                    <w:jc w:val="center"/>
                    <w:rPr>
                      <w:rFonts w:hint="default" w:ascii="Times New Roman" w:hAnsi="Times New Roman" w:eastAsia="宋体"/>
                      <w:color w:val="000000"/>
                      <w:sz w:val="21"/>
                      <w:szCs w:val="21"/>
                      <w:u w:val="none"/>
                      <w:lang w:val="en-US" w:eastAsia="zh-CN"/>
                    </w:rPr>
                  </w:pPr>
                  <w:r>
                    <w:rPr>
                      <w:rFonts w:hint="default" w:ascii="Times New Roman" w:hAnsi="Times New Roman" w:eastAsia="宋体"/>
                      <w:color w:val="000000"/>
                      <w:sz w:val="21"/>
                      <w:szCs w:val="21"/>
                      <w:u w:val="none"/>
                      <w:lang w:val="en-US" w:eastAsia="zh-CN"/>
                    </w:rPr>
                    <w:t>5）在现场备回收容器及吸油毡，备足砂子、石棉被、泡沫灭火机，作业前，要检查确认所有设备设施及环境处于安全工作状态。发生火灾时用铁铲或水桶将砂子散开，覆盖火焰，使其熄灭；6）相关人员应认真巡视检查。严防跑、冒、滴、漏、凝管等情况发生，油罐地坑内如有油、积水，应及排净；7）作业结束后，将残留在管线内的沥青集中在回收容器中；8）不回标号的沥青不能混装；9）储罐区设置围堰，其中燃油罐与沥青罐分隔。</w:t>
                  </w:r>
                </w:p>
              </w:tc>
            </w:tr>
          </w:tbl>
          <w:p>
            <w:pPr>
              <w:adjustRightInd w:val="0"/>
              <w:snapToGrid w:val="0"/>
              <w:spacing w:line="440" w:lineRule="exact"/>
              <w:ind w:firstLine="480" w:firstLineChars="200"/>
              <w:rPr>
                <w:rFonts w:hint="default" w:ascii="Times New Roman" w:hAnsi="Times New Roman" w:cs="Times New Roman"/>
                <w:snapToGrid w:val="0"/>
                <w:kern w:val="0"/>
                <w:sz w:val="24"/>
              </w:rPr>
            </w:pPr>
            <w:r>
              <w:rPr>
                <w:rFonts w:hint="default" w:ascii="Times New Roman" w:hAnsi="Times New Roman" w:cs="Times New Roman"/>
                <w:snapToGrid w:val="0"/>
                <w:kern w:val="0"/>
                <w:sz w:val="24"/>
              </w:rPr>
              <w:t>综上所述，本项目在落实环境风险防范措施和应急预案的基础上，其环境风险是可接受的。</w:t>
            </w:r>
          </w:p>
          <w:p>
            <w:pPr>
              <w:ind w:firstLine="482" w:firstLineChars="200"/>
              <w:rPr>
                <w:sz w:val="24"/>
              </w:rPr>
            </w:pPr>
            <w:r>
              <w:rPr>
                <w:rFonts w:hint="eastAsia"/>
                <w:b/>
                <w:sz w:val="24"/>
                <w:lang w:eastAsia="zh-CN"/>
              </w:rPr>
              <w:t>七</w:t>
            </w:r>
            <w:r>
              <w:rPr>
                <w:b/>
                <w:sz w:val="24"/>
              </w:rPr>
              <w:t>、产业政策相符性、区域发展规划、选址相符性分析</w:t>
            </w:r>
          </w:p>
          <w:p>
            <w:pPr>
              <w:ind w:firstLine="480" w:firstLineChars="200"/>
              <w:rPr>
                <w:sz w:val="24"/>
              </w:rPr>
            </w:pPr>
            <w:r>
              <w:rPr>
                <w:sz w:val="24"/>
              </w:rPr>
              <w:t>拟建项目为</w:t>
            </w:r>
            <w:r>
              <w:rPr>
                <w:rFonts w:hint="eastAsia"/>
                <w:sz w:val="24"/>
              </w:rPr>
              <w:t>防水建筑材料制造、沥青搅拌站、干粉砂浆搅拌站建设项目的</w:t>
            </w:r>
            <w:r>
              <w:rPr>
                <w:sz w:val="24"/>
              </w:rPr>
              <w:t>建设，不属于《产业结构调整指导目录（2011年本）（2013年修正）》中的淘汰类和限制类，属于“</w:t>
            </w:r>
            <w:r>
              <w:rPr>
                <w:rFonts w:hint="eastAsia"/>
                <w:sz w:val="24"/>
                <w:lang w:eastAsia="zh-CN"/>
              </w:rPr>
              <w:t>允许</w:t>
            </w:r>
            <w:r>
              <w:rPr>
                <w:sz w:val="24"/>
              </w:rPr>
              <w:t>类”</w:t>
            </w:r>
            <w:r>
              <w:rPr>
                <w:rFonts w:hint="eastAsia"/>
                <w:sz w:val="24"/>
              </w:rPr>
              <w:t>，</w:t>
            </w:r>
            <w:r>
              <w:rPr>
                <w:sz w:val="24"/>
              </w:rPr>
              <w:t>符合相关产业政策的要求。同时，不违反《限制用地项目目录（2012 年本）》和《禁止用地项目目录（2012 年本）》。</w:t>
            </w:r>
          </w:p>
          <w:p>
            <w:pPr>
              <w:ind w:firstLine="480" w:firstLineChars="200"/>
              <w:rPr>
                <w:sz w:val="24"/>
              </w:rPr>
            </w:pPr>
            <w:r>
              <w:rPr>
                <w:rFonts w:hint="eastAsia"/>
                <w:sz w:val="24"/>
              </w:rPr>
              <w:t>本项目属于市政道路配套工程，根据</w:t>
            </w:r>
            <w:r>
              <w:rPr>
                <w:sz w:val="24"/>
              </w:rPr>
              <w:t>《株洲清水塘生态科技新城控规调整》</w:t>
            </w:r>
            <w:r>
              <w:rPr>
                <w:rFonts w:hint="eastAsia"/>
                <w:sz w:val="24"/>
              </w:rPr>
              <w:t>，本项目建设符合区域用地规划。本项目的建设有利于完善清水塘生态科技新城的交通路网，并对沿线及周边地区的经济、社会发展产生积极影响。</w:t>
            </w:r>
            <w:r>
              <w:rPr>
                <w:sz w:val="24"/>
              </w:rPr>
              <w:t>本项目建设符合当地区域发展规划。</w:t>
            </w:r>
          </w:p>
          <w:p>
            <w:pPr>
              <w:ind w:firstLine="480" w:firstLineChars="200"/>
              <w:rPr>
                <w:sz w:val="24"/>
              </w:rPr>
            </w:pPr>
            <w:r>
              <w:rPr>
                <w:sz w:val="24"/>
              </w:rPr>
              <w:t>本项目用地不涉及基本农田保护区和水源保护区等禁止开发的区域，评价范围内无野生动植物保护物种或成片原生植被，不涉及自然保护区或风景名胜区；用地符合要求。本项目所需原材料均可就近购取，施工条件、基础设施方便。本项目建设</w:t>
            </w:r>
            <w:r>
              <w:rPr>
                <w:rFonts w:hint="eastAsia"/>
                <w:sz w:val="24"/>
              </w:rPr>
              <w:t>选址合理。</w:t>
            </w:r>
          </w:p>
          <w:p>
            <w:pPr>
              <w:ind w:firstLine="480" w:firstLineChars="200"/>
              <w:rPr>
                <w:sz w:val="24"/>
              </w:rPr>
            </w:pPr>
            <w:r>
              <w:rPr>
                <w:sz w:val="24"/>
              </w:rPr>
              <w:t>经环境影响分析，在落实环评提出措施的前提下，项目建设不会对外环境产生明显不利影响，因此项目在选址规划方面是合理可行的。</w:t>
            </w:r>
          </w:p>
          <w:p>
            <w:pPr>
              <w:ind w:firstLine="482" w:firstLineChars="200"/>
              <w:rPr>
                <w:b/>
                <w:sz w:val="24"/>
                <w:u w:val="none"/>
              </w:rPr>
            </w:pPr>
            <w:r>
              <w:rPr>
                <w:rFonts w:hint="eastAsia"/>
                <w:b/>
                <w:sz w:val="24"/>
                <w:u w:val="none"/>
                <w:lang w:eastAsia="zh-CN"/>
              </w:rPr>
              <w:t>九</w:t>
            </w:r>
            <w:r>
              <w:rPr>
                <w:b/>
                <w:sz w:val="24"/>
                <w:u w:val="none"/>
              </w:rPr>
              <w:t>、环保投资估算</w:t>
            </w:r>
          </w:p>
          <w:p>
            <w:pPr>
              <w:tabs>
                <w:tab w:val="left" w:pos="1900"/>
              </w:tabs>
              <w:ind w:firstLine="480" w:firstLineChars="200"/>
              <w:rPr>
                <w:color w:val="FF0000"/>
                <w:spacing w:val="4"/>
                <w:sz w:val="24"/>
                <w:highlight w:val="yellow"/>
                <w:u w:val="none"/>
              </w:rPr>
            </w:pPr>
            <w:r>
              <w:rPr>
                <w:sz w:val="24"/>
                <w:u w:val="none"/>
              </w:rPr>
              <w:t>本项目环保投资主要为施工期污染控制措施，具体见表</w:t>
            </w:r>
            <w:r>
              <w:rPr>
                <w:rFonts w:hint="eastAsia"/>
                <w:sz w:val="24"/>
                <w:u w:val="none"/>
                <w:lang w:val="en-US" w:eastAsia="zh-CN"/>
              </w:rPr>
              <w:t>7-24</w:t>
            </w:r>
            <w:r>
              <w:rPr>
                <w:sz w:val="24"/>
                <w:u w:val="none"/>
              </w:rPr>
              <w:t>。本项目</w:t>
            </w:r>
            <w:r>
              <w:rPr>
                <w:rFonts w:hint="eastAsia"/>
                <w:sz w:val="24"/>
                <w:u w:val="none"/>
              </w:rPr>
              <w:t>总投资</w:t>
            </w:r>
            <w:r>
              <w:rPr>
                <w:rFonts w:hint="eastAsia"/>
                <w:sz w:val="24"/>
                <w:u w:val="none"/>
                <w:lang w:val="en-US" w:eastAsia="zh-CN"/>
              </w:rPr>
              <w:t>860</w:t>
            </w:r>
            <w:r>
              <w:rPr>
                <w:rFonts w:hint="eastAsia"/>
                <w:sz w:val="24"/>
                <w:u w:val="none"/>
              </w:rPr>
              <w:t>万元，</w:t>
            </w:r>
            <w:r>
              <w:rPr>
                <w:sz w:val="24"/>
                <w:u w:val="none"/>
              </w:rPr>
              <w:t>环保投资</w:t>
            </w:r>
            <w:r>
              <w:rPr>
                <w:rFonts w:hint="eastAsia"/>
                <w:sz w:val="24"/>
                <w:u w:val="none"/>
                <w:lang w:val="en-US" w:eastAsia="zh-CN"/>
              </w:rPr>
              <w:t>1</w:t>
            </w:r>
            <w:r>
              <w:rPr>
                <w:rFonts w:hint="eastAsia"/>
                <w:sz w:val="24"/>
                <w:u w:val="none"/>
              </w:rPr>
              <w:t>63</w:t>
            </w:r>
            <w:r>
              <w:rPr>
                <w:sz w:val="24"/>
                <w:u w:val="none"/>
              </w:rPr>
              <w:t>万元，占总投资的</w:t>
            </w:r>
            <w:r>
              <w:rPr>
                <w:rFonts w:hint="eastAsia"/>
                <w:sz w:val="24"/>
                <w:u w:val="none"/>
                <w:lang w:val="en-US" w:eastAsia="zh-CN"/>
              </w:rPr>
              <w:t>18.5</w:t>
            </w:r>
            <w:r>
              <w:rPr>
                <w:sz w:val="24"/>
                <w:u w:val="none"/>
              </w:rPr>
              <w:t>%。</w:t>
            </w:r>
          </w:p>
          <w:p>
            <w:pPr>
              <w:jc w:val="center"/>
              <w:rPr>
                <w:b/>
                <w:bCs/>
                <w:sz w:val="24"/>
                <w:u w:val="none"/>
              </w:rPr>
            </w:pPr>
            <w:r>
              <w:rPr>
                <w:b/>
                <w:bCs/>
                <w:sz w:val="24"/>
                <w:u w:val="none"/>
              </w:rPr>
              <w:t>表</w:t>
            </w:r>
            <w:r>
              <w:rPr>
                <w:rFonts w:hint="eastAsia"/>
                <w:b/>
                <w:bCs/>
                <w:sz w:val="24"/>
                <w:u w:val="none"/>
                <w:lang w:val="en-US" w:eastAsia="zh-CN"/>
              </w:rPr>
              <w:t>7-24</w:t>
            </w:r>
            <w:r>
              <w:rPr>
                <w:b/>
                <w:bCs/>
                <w:sz w:val="24"/>
                <w:u w:val="none"/>
              </w:rPr>
              <w:t xml:space="preserve">  项目环保投资一览表</w:t>
            </w:r>
          </w:p>
          <w:tbl>
            <w:tblPr>
              <w:tblStyle w:val="43"/>
              <w:tblW w:w="90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2367"/>
              <w:gridCol w:w="3261"/>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90" w:type="dxa"/>
                  <w:vAlign w:val="center"/>
                </w:tcPr>
                <w:p>
                  <w:pPr>
                    <w:jc w:val="center"/>
                    <w:rPr>
                      <w:sz w:val="21"/>
                      <w:szCs w:val="21"/>
                      <w:u w:val="single"/>
                    </w:rPr>
                  </w:pPr>
                  <w:r>
                    <w:rPr>
                      <w:sz w:val="21"/>
                      <w:szCs w:val="21"/>
                      <w:u w:val="single"/>
                    </w:rPr>
                    <w:t>时期</w:t>
                  </w:r>
                </w:p>
              </w:tc>
              <w:tc>
                <w:tcPr>
                  <w:tcW w:w="2367" w:type="dxa"/>
                  <w:vAlign w:val="center"/>
                </w:tcPr>
                <w:p>
                  <w:pPr>
                    <w:jc w:val="center"/>
                    <w:rPr>
                      <w:sz w:val="21"/>
                      <w:szCs w:val="21"/>
                      <w:u w:val="single"/>
                    </w:rPr>
                  </w:pPr>
                  <w:r>
                    <w:rPr>
                      <w:sz w:val="21"/>
                      <w:szCs w:val="21"/>
                      <w:u w:val="single"/>
                    </w:rPr>
                    <w:t>污染控制类型</w:t>
                  </w:r>
                </w:p>
              </w:tc>
              <w:tc>
                <w:tcPr>
                  <w:tcW w:w="3261" w:type="dxa"/>
                  <w:vAlign w:val="center"/>
                </w:tcPr>
                <w:p>
                  <w:pPr>
                    <w:jc w:val="center"/>
                    <w:rPr>
                      <w:sz w:val="21"/>
                      <w:szCs w:val="21"/>
                      <w:u w:val="single"/>
                    </w:rPr>
                  </w:pPr>
                  <w:r>
                    <w:rPr>
                      <w:sz w:val="21"/>
                      <w:szCs w:val="21"/>
                      <w:u w:val="single"/>
                    </w:rPr>
                    <w:t>控制措施</w:t>
                  </w:r>
                </w:p>
              </w:tc>
              <w:tc>
                <w:tcPr>
                  <w:tcW w:w="1945" w:type="dxa"/>
                  <w:vAlign w:val="center"/>
                </w:tcPr>
                <w:p>
                  <w:pPr>
                    <w:jc w:val="center"/>
                    <w:rPr>
                      <w:sz w:val="21"/>
                      <w:szCs w:val="21"/>
                      <w:u w:val="single"/>
                    </w:rPr>
                  </w:pPr>
                  <w:r>
                    <w:rPr>
                      <w:sz w:val="21"/>
                      <w:szCs w:val="21"/>
                      <w:u w:val="single"/>
                    </w:rPr>
                    <w:t>环保投资（万元）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90" w:type="dxa"/>
                  <w:vMerge w:val="restart"/>
                  <w:vAlign w:val="center"/>
                </w:tcPr>
                <w:p>
                  <w:pPr>
                    <w:jc w:val="center"/>
                    <w:rPr>
                      <w:sz w:val="21"/>
                      <w:szCs w:val="21"/>
                      <w:u w:val="single"/>
                    </w:rPr>
                  </w:pPr>
                  <w:r>
                    <w:rPr>
                      <w:sz w:val="21"/>
                      <w:szCs w:val="21"/>
                      <w:u w:val="single"/>
                    </w:rPr>
                    <w:t>施工期</w:t>
                  </w:r>
                </w:p>
              </w:tc>
              <w:tc>
                <w:tcPr>
                  <w:tcW w:w="2367" w:type="dxa"/>
                  <w:vMerge w:val="restart"/>
                  <w:vAlign w:val="center"/>
                </w:tcPr>
                <w:p>
                  <w:pPr>
                    <w:jc w:val="center"/>
                    <w:rPr>
                      <w:sz w:val="21"/>
                      <w:szCs w:val="21"/>
                      <w:u w:val="single"/>
                    </w:rPr>
                  </w:pPr>
                  <w:r>
                    <w:rPr>
                      <w:sz w:val="21"/>
                      <w:szCs w:val="21"/>
                      <w:u w:val="single"/>
                    </w:rPr>
                    <w:t>废气防治工程</w:t>
                  </w:r>
                </w:p>
              </w:tc>
              <w:tc>
                <w:tcPr>
                  <w:tcW w:w="3261" w:type="dxa"/>
                  <w:vAlign w:val="center"/>
                </w:tcPr>
                <w:p>
                  <w:pPr>
                    <w:jc w:val="center"/>
                    <w:rPr>
                      <w:sz w:val="21"/>
                      <w:szCs w:val="21"/>
                      <w:u w:val="single"/>
                    </w:rPr>
                  </w:pPr>
                  <w:r>
                    <w:rPr>
                      <w:sz w:val="21"/>
                      <w:szCs w:val="21"/>
                      <w:u w:val="single"/>
                    </w:rPr>
                    <w:t>围栏、洒水</w:t>
                  </w:r>
                  <w:r>
                    <w:rPr>
                      <w:rFonts w:hint="eastAsia"/>
                      <w:sz w:val="21"/>
                      <w:szCs w:val="21"/>
                      <w:u w:val="single"/>
                    </w:rPr>
                    <w:t>机等</w:t>
                  </w:r>
                </w:p>
              </w:tc>
              <w:tc>
                <w:tcPr>
                  <w:tcW w:w="1945" w:type="dxa"/>
                  <w:vAlign w:val="center"/>
                </w:tcPr>
                <w:p>
                  <w:pPr>
                    <w:jc w:val="center"/>
                    <w:rPr>
                      <w:rFonts w:hint="eastAsia" w:eastAsia="宋体"/>
                      <w:sz w:val="21"/>
                      <w:szCs w:val="21"/>
                      <w:u w:val="single"/>
                      <w:lang w:eastAsia="zh-CN"/>
                    </w:rPr>
                  </w:pPr>
                  <w:r>
                    <w:rPr>
                      <w:rFonts w:hint="eastAsia"/>
                      <w:sz w:val="21"/>
                      <w:szCs w:val="21"/>
                      <w:u w:val="singl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90" w:type="dxa"/>
                  <w:vMerge w:val="continue"/>
                  <w:vAlign w:val="center"/>
                </w:tcPr>
                <w:p>
                  <w:pPr>
                    <w:jc w:val="center"/>
                    <w:rPr>
                      <w:sz w:val="21"/>
                      <w:szCs w:val="21"/>
                      <w:u w:val="single"/>
                    </w:rPr>
                  </w:pPr>
                </w:p>
              </w:tc>
              <w:tc>
                <w:tcPr>
                  <w:tcW w:w="2367" w:type="dxa"/>
                  <w:vMerge w:val="continue"/>
                  <w:vAlign w:val="center"/>
                </w:tcPr>
                <w:p>
                  <w:pPr>
                    <w:jc w:val="center"/>
                    <w:rPr>
                      <w:sz w:val="21"/>
                      <w:szCs w:val="21"/>
                      <w:u w:val="single"/>
                    </w:rPr>
                  </w:pPr>
                </w:p>
              </w:tc>
              <w:tc>
                <w:tcPr>
                  <w:tcW w:w="3261" w:type="dxa"/>
                  <w:vAlign w:val="center"/>
                </w:tcPr>
                <w:p>
                  <w:pPr>
                    <w:jc w:val="center"/>
                    <w:rPr>
                      <w:sz w:val="21"/>
                      <w:szCs w:val="21"/>
                      <w:u w:val="single"/>
                    </w:rPr>
                  </w:pPr>
                  <w:r>
                    <w:rPr>
                      <w:sz w:val="21"/>
                      <w:szCs w:val="21"/>
                      <w:u w:val="single"/>
                    </w:rPr>
                    <w:t>洗车台及冲洗设备</w:t>
                  </w:r>
                </w:p>
              </w:tc>
              <w:tc>
                <w:tcPr>
                  <w:tcW w:w="1945" w:type="dxa"/>
                  <w:vAlign w:val="center"/>
                </w:tcPr>
                <w:p>
                  <w:pPr>
                    <w:jc w:val="center"/>
                    <w:rPr>
                      <w:sz w:val="21"/>
                      <w:szCs w:val="21"/>
                      <w:u w:val="single"/>
                    </w:rPr>
                  </w:pPr>
                  <w:r>
                    <w:rPr>
                      <w:rFonts w:hint="eastAsia"/>
                      <w:sz w:val="21"/>
                      <w:szCs w:val="21"/>
                      <w:u w:val="singl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90" w:type="dxa"/>
                  <w:vMerge w:val="continue"/>
                  <w:vAlign w:val="center"/>
                </w:tcPr>
                <w:p>
                  <w:pPr>
                    <w:jc w:val="center"/>
                    <w:rPr>
                      <w:sz w:val="21"/>
                      <w:szCs w:val="21"/>
                      <w:u w:val="single"/>
                    </w:rPr>
                  </w:pPr>
                </w:p>
              </w:tc>
              <w:tc>
                <w:tcPr>
                  <w:tcW w:w="2367" w:type="dxa"/>
                  <w:vAlign w:val="center"/>
                </w:tcPr>
                <w:p>
                  <w:pPr>
                    <w:jc w:val="center"/>
                    <w:rPr>
                      <w:sz w:val="21"/>
                      <w:szCs w:val="21"/>
                      <w:u w:val="single"/>
                    </w:rPr>
                  </w:pPr>
                  <w:r>
                    <w:rPr>
                      <w:sz w:val="21"/>
                      <w:szCs w:val="21"/>
                      <w:u w:val="single"/>
                    </w:rPr>
                    <w:t>废水防治工程</w:t>
                  </w:r>
                </w:p>
              </w:tc>
              <w:tc>
                <w:tcPr>
                  <w:tcW w:w="3261" w:type="dxa"/>
                  <w:vAlign w:val="center"/>
                </w:tcPr>
                <w:p>
                  <w:pPr>
                    <w:jc w:val="center"/>
                    <w:rPr>
                      <w:sz w:val="21"/>
                      <w:szCs w:val="21"/>
                      <w:u w:val="single"/>
                    </w:rPr>
                  </w:pPr>
                  <w:r>
                    <w:rPr>
                      <w:rFonts w:hint="eastAsia"/>
                      <w:sz w:val="21"/>
                      <w:szCs w:val="21"/>
                      <w:u w:val="single"/>
                    </w:rPr>
                    <w:t>隔油池、</w:t>
                  </w:r>
                  <w:r>
                    <w:rPr>
                      <w:sz w:val="21"/>
                      <w:szCs w:val="21"/>
                      <w:u w:val="single"/>
                    </w:rPr>
                    <w:t>沉淀池</w:t>
                  </w:r>
                </w:p>
              </w:tc>
              <w:tc>
                <w:tcPr>
                  <w:tcW w:w="1945" w:type="dxa"/>
                  <w:vAlign w:val="center"/>
                </w:tcPr>
                <w:p>
                  <w:pPr>
                    <w:jc w:val="center"/>
                    <w:rPr>
                      <w:sz w:val="21"/>
                      <w:szCs w:val="21"/>
                      <w:u w:val="single"/>
                    </w:rPr>
                  </w:pPr>
                  <w:r>
                    <w:rPr>
                      <w:rFonts w:hint="eastAsia"/>
                      <w:sz w:val="21"/>
                      <w:szCs w:val="21"/>
                      <w:u w:val="singl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90" w:type="dxa"/>
                  <w:vMerge w:val="continue"/>
                  <w:vAlign w:val="center"/>
                </w:tcPr>
                <w:p>
                  <w:pPr>
                    <w:jc w:val="center"/>
                    <w:rPr>
                      <w:sz w:val="21"/>
                      <w:szCs w:val="21"/>
                      <w:u w:val="single"/>
                    </w:rPr>
                  </w:pPr>
                </w:p>
              </w:tc>
              <w:tc>
                <w:tcPr>
                  <w:tcW w:w="2367" w:type="dxa"/>
                  <w:vAlign w:val="center"/>
                </w:tcPr>
                <w:p>
                  <w:pPr>
                    <w:jc w:val="center"/>
                    <w:rPr>
                      <w:sz w:val="21"/>
                      <w:szCs w:val="21"/>
                      <w:u w:val="single"/>
                    </w:rPr>
                  </w:pPr>
                  <w:r>
                    <w:rPr>
                      <w:sz w:val="21"/>
                      <w:szCs w:val="21"/>
                      <w:u w:val="single"/>
                    </w:rPr>
                    <w:t>噪声防治工程</w:t>
                  </w:r>
                </w:p>
              </w:tc>
              <w:tc>
                <w:tcPr>
                  <w:tcW w:w="3261" w:type="dxa"/>
                  <w:vAlign w:val="center"/>
                </w:tcPr>
                <w:p>
                  <w:pPr>
                    <w:jc w:val="center"/>
                    <w:rPr>
                      <w:sz w:val="21"/>
                      <w:szCs w:val="21"/>
                      <w:u w:val="single"/>
                    </w:rPr>
                  </w:pPr>
                  <w:r>
                    <w:rPr>
                      <w:sz w:val="21"/>
                      <w:szCs w:val="21"/>
                      <w:u w:val="single"/>
                    </w:rPr>
                    <w:t>围挡</w:t>
                  </w:r>
                </w:p>
              </w:tc>
              <w:tc>
                <w:tcPr>
                  <w:tcW w:w="1945" w:type="dxa"/>
                  <w:vAlign w:val="center"/>
                </w:tcPr>
                <w:p>
                  <w:pPr>
                    <w:jc w:val="center"/>
                    <w:rPr>
                      <w:sz w:val="21"/>
                      <w:szCs w:val="21"/>
                      <w:u w:val="single"/>
                    </w:rPr>
                  </w:pPr>
                  <w:r>
                    <w:rPr>
                      <w:rFonts w:hint="eastAsia"/>
                      <w:sz w:val="21"/>
                      <w:szCs w:val="21"/>
                      <w:u w:val="singl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90" w:type="dxa"/>
                  <w:vMerge w:val="restart"/>
                  <w:vAlign w:val="center"/>
                </w:tcPr>
                <w:p>
                  <w:pPr>
                    <w:jc w:val="center"/>
                    <w:rPr>
                      <w:sz w:val="21"/>
                      <w:szCs w:val="21"/>
                      <w:u w:val="single"/>
                    </w:rPr>
                  </w:pPr>
                  <w:r>
                    <w:rPr>
                      <w:sz w:val="21"/>
                      <w:szCs w:val="21"/>
                      <w:u w:val="single"/>
                    </w:rPr>
                    <w:t>营运期</w:t>
                  </w:r>
                </w:p>
              </w:tc>
              <w:tc>
                <w:tcPr>
                  <w:tcW w:w="2367" w:type="dxa"/>
                  <w:vAlign w:val="center"/>
                </w:tcPr>
                <w:p>
                  <w:pPr>
                    <w:jc w:val="center"/>
                    <w:rPr>
                      <w:sz w:val="21"/>
                      <w:szCs w:val="21"/>
                      <w:u w:val="single"/>
                    </w:rPr>
                  </w:pPr>
                  <w:r>
                    <w:rPr>
                      <w:sz w:val="21"/>
                      <w:szCs w:val="21"/>
                      <w:u w:val="single"/>
                    </w:rPr>
                    <w:t>大气防治工程</w:t>
                  </w:r>
                </w:p>
              </w:tc>
              <w:tc>
                <w:tcPr>
                  <w:tcW w:w="3261" w:type="dxa"/>
                  <w:vAlign w:val="center"/>
                </w:tcPr>
                <w:p>
                  <w:pPr>
                    <w:jc w:val="center"/>
                    <w:rPr>
                      <w:rFonts w:hint="eastAsia" w:eastAsia="宋体"/>
                      <w:sz w:val="21"/>
                      <w:szCs w:val="21"/>
                      <w:u w:val="single"/>
                      <w:lang w:eastAsia="zh-CN"/>
                    </w:rPr>
                  </w:pPr>
                  <w:r>
                    <w:rPr>
                      <w:rFonts w:hint="eastAsia"/>
                      <w:sz w:val="21"/>
                      <w:szCs w:val="21"/>
                      <w:u w:val="single"/>
                      <w:lang w:eastAsia="zh-CN"/>
                    </w:rPr>
                    <w:t>配套除尘装置、活性炭吸附装置</w:t>
                  </w:r>
                </w:p>
              </w:tc>
              <w:tc>
                <w:tcPr>
                  <w:tcW w:w="1945" w:type="dxa"/>
                  <w:vAlign w:val="center"/>
                </w:tcPr>
                <w:p>
                  <w:pPr>
                    <w:jc w:val="center"/>
                    <w:rPr>
                      <w:rFonts w:hint="default" w:eastAsia="宋体"/>
                      <w:sz w:val="21"/>
                      <w:szCs w:val="21"/>
                      <w:u w:val="single"/>
                      <w:lang w:val="en-US" w:eastAsia="zh-CN"/>
                    </w:rPr>
                  </w:pPr>
                  <w:r>
                    <w:rPr>
                      <w:rFonts w:hint="eastAsia"/>
                      <w:sz w:val="21"/>
                      <w:szCs w:val="21"/>
                      <w:u w:val="singl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90" w:type="dxa"/>
                  <w:vMerge w:val="continue"/>
                  <w:vAlign w:val="center"/>
                </w:tcPr>
                <w:p>
                  <w:pPr>
                    <w:jc w:val="center"/>
                    <w:rPr>
                      <w:sz w:val="21"/>
                      <w:szCs w:val="21"/>
                      <w:u w:val="single"/>
                    </w:rPr>
                  </w:pPr>
                </w:p>
              </w:tc>
              <w:tc>
                <w:tcPr>
                  <w:tcW w:w="2367" w:type="dxa"/>
                  <w:vAlign w:val="center"/>
                </w:tcPr>
                <w:p>
                  <w:pPr>
                    <w:jc w:val="center"/>
                    <w:rPr>
                      <w:sz w:val="21"/>
                      <w:szCs w:val="21"/>
                      <w:u w:val="single"/>
                    </w:rPr>
                  </w:pPr>
                  <w:r>
                    <w:rPr>
                      <w:sz w:val="21"/>
                      <w:szCs w:val="21"/>
                      <w:u w:val="single"/>
                    </w:rPr>
                    <w:t>水污染防治工程</w:t>
                  </w:r>
                </w:p>
              </w:tc>
              <w:tc>
                <w:tcPr>
                  <w:tcW w:w="3261" w:type="dxa"/>
                  <w:vAlign w:val="center"/>
                </w:tcPr>
                <w:p>
                  <w:pPr>
                    <w:jc w:val="center"/>
                    <w:rPr>
                      <w:sz w:val="21"/>
                      <w:szCs w:val="21"/>
                      <w:u w:val="single"/>
                    </w:rPr>
                  </w:pPr>
                  <w:r>
                    <w:rPr>
                      <w:sz w:val="21"/>
                      <w:szCs w:val="21"/>
                      <w:u w:val="single"/>
                    </w:rPr>
                    <w:t>雨水</w:t>
                  </w:r>
                  <w:r>
                    <w:rPr>
                      <w:rFonts w:hint="eastAsia"/>
                      <w:sz w:val="21"/>
                      <w:szCs w:val="21"/>
                      <w:u w:val="single"/>
                    </w:rPr>
                    <w:t>、</w:t>
                  </w:r>
                  <w:r>
                    <w:rPr>
                      <w:sz w:val="21"/>
                      <w:szCs w:val="21"/>
                      <w:u w:val="single"/>
                    </w:rPr>
                    <w:t>污水管网</w:t>
                  </w:r>
                </w:p>
              </w:tc>
              <w:tc>
                <w:tcPr>
                  <w:tcW w:w="1945" w:type="dxa"/>
                  <w:vAlign w:val="center"/>
                </w:tcPr>
                <w:p>
                  <w:pPr>
                    <w:jc w:val="center"/>
                    <w:rPr>
                      <w:rFonts w:hint="eastAsia" w:eastAsia="宋体"/>
                      <w:sz w:val="21"/>
                      <w:szCs w:val="21"/>
                      <w:highlight w:val="yellow"/>
                      <w:u w:val="single"/>
                      <w:lang w:eastAsia="zh-CN"/>
                    </w:rPr>
                  </w:pPr>
                  <w:r>
                    <w:rPr>
                      <w:rFonts w:hint="eastAsia"/>
                      <w:sz w:val="21"/>
                      <w:szCs w:val="21"/>
                      <w:u w:val="singl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90" w:type="dxa"/>
                  <w:vMerge w:val="continue"/>
                  <w:vAlign w:val="center"/>
                </w:tcPr>
                <w:p>
                  <w:pPr>
                    <w:jc w:val="center"/>
                    <w:rPr>
                      <w:sz w:val="21"/>
                      <w:szCs w:val="21"/>
                      <w:u w:val="single"/>
                    </w:rPr>
                  </w:pPr>
                </w:p>
              </w:tc>
              <w:tc>
                <w:tcPr>
                  <w:tcW w:w="2367" w:type="dxa"/>
                  <w:vAlign w:val="center"/>
                </w:tcPr>
                <w:p>
                  <w:pPr>
                    <w:jc w:val="center"/>
                    <w:rPr>
                      <w:sz w:val="21"/>
                      <w:szCs w:val="21"/>
                      <w:u w:val="single"/>
                    </w:rPr>
                  </w:pPr>
                  <w:r>
                    <w:rPr>
                      <w:sz w:val="21"/>
                      <w:szCs w:val="21"/>
                      <w:u w:val="single"/>
                    </w:rPr>
                    <w:t>噪声污染治理工程</w:t>
                  </w:r>
                </w:p>
              </w:tc>
              <w:tc>
                <w:tcPr>
                  <w:tcW w:w="3261" w:type="dxa"/>
                  <w:vAlign w:val="center"/>
                </w:tcPr>
                <w:p>
                  <w:pPr>
                    <w:jc w:val="center"/>
                    <w:rPr>
                      <w:sz w:val="21"/>
                      <w:szCs w:val="21"/>
                      <w:u w:val="single"/>
                    </w:rPr>
                  </w:pPr>
                  <w:r>
                    <w:rPr>
                      <w:rFonts w:hint="eastAsia"/>
                      <w:sz w:val="21"/>
                      <w:szCs w:val="21"/>
                      <w:u w:val="single"/>
                      <w:lang w:eastAsia="zh-CN"/>
                    </w:rPr>
                    <w:t>减震</w:t>
                  </w:r>
                  <w:r>
                    <w:rPr>
                      <w:sz w:val="21"/>
                      <w:szCs w:val="21"/>
                      <w:u w:val="single"/>
                    </w:rPr>
                    <w:t>等</w:t>
                  </w:r>
                </w:p>
              </w:tc>
              <w:tc>
                <w:tcPr>
                  <w:tcW w:w="1945" w:type="dxa"/>
                  <w:vAlign w:val="center"/>
                </w:tcPr>
                <w:p>
                  <w:pPr>
                    <w:jc w:val="center"/>
                    <w:rPr>
                      <w:rFonts w:hint="default" w:eastAsia="宋体"/>
                      <w:sz w:val="21"/>
                      <w:szCs w:val="21"/>
                      <w:u w:val="single"/>
                      <w:lang w:val="en-US" w:eastAsia="zh-CN"/>
                    </w:rPr>
                  </w:pPr>
                  <w:r>
                    <w:rPr>
                      <w:rFonts w:hint="eastAsia"/>
                      <w:sz w:val="21"/>
                      <w:szCs w:val="21"/>
                      <w:u w:val="singl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90" w:type="dxa"/>
                  <w:vMerge w:val="continue"/>
                  <w:vAlign w:val="center"/>
                </w:tcPr>
                <w:p>
                  <w:pPr>
                    <w:jc w:val="center"/>
                    <w:rPr>
                      <w:sz w:val="21"/>
                      <w:szCs w:val="21"/>
                      <w:u w:val="single"/>
                    </w:rPr>
                  </w:pPr>
                </w:p>
              </w:tc>
              <w:tc>
                <w:tcPr>
                  <w:tcW w:w="2367" w:type="dxa"/>
                  <w:vAlign w:val="center"/>
                </w:tcPr>
                <w:p>
                  <w:pPr>
                    <w:jc w:val="center"/>
                    <w:rPr>
                      <w:sz w:val="21"/>
                      <w:szCs w:val="21"/>
                      <w:u w:val="single"/>
                    </w:rPr>
                  </w:pPr>
                  <w:r>
                    <w:rPr>
                      <w:sz w:val="21"/>
                      <w:szCs w:val="21"/>
                      <w:u w:val="single"/>
                    </w:rPr>
                    <w:t>固体废物处置工程</w:t>
                  </w:r>
                </w:p>
              </w:tc>
              <w:tc>
                <w:tcPr>
                  <w:tcW w:w="3261" w:type="dxa"/>
                  <w:vAlign w:val="center"/>
                </w:tcPr>
                <w:p>
                  <w:pPr>
                    <w:jc w:val="center"/>
                    <w:rPr>
                      <w:sz w:val="21"/>
                      <w:szCs w:val="21"/>
                      <w:u w:val="single"/>
                    </w:rPr>
                  </w:pPr>
                  <w:r>
                    <w:rPr>
                      <w:sz w:val="21"/>
                      <w:szCs w:val="21"/>
                      <w:u w:val="single"/>
                    </w:rPr>
                    <w:t>垃圾桶</w:t>
                  </w:r>
                </w:p>
              </w:tc>
              <w:tc>
                <w:tcPr>
                  <w:tcW w:w="1945" w:type="dxa"/>
                  <w:vAlign w:val="center"/>
                </w:tcPr>
                <w:p>
                  <w:pPr>
                    <w:jc w:val="center"/>
                    <w:rPr>
                      <w:sz w:val="21"/>
                      <w:szCs w:val="21"/>
                      <w:u w:val="single"/>
                    </w:rPr>
                  </w:pPr>
                  <w:r>
                    <w:rPr>
                      <w:rFonts w:hint="eastAsia"/>
                      <w:sz w:val="21"/>
                      <w:szCs w:val="21"/>
                      <w:u w:val="singl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18" w:type="dxa"/>
                  <w:gridSpan w:val="3"/>
                  <w:vAlign w:val="center"/>
                </w:tcPr>
                <w:p>
                  <w:pPr>
                    <w:jc w:val="center"/>
                    <w:rPr>
                      <w:sz w:val="21"/>
                      <w:szCs w:val="21"/>
                      <w:u w:val="single"/>
                    </w:rPr>
                  </w:pPr>
                  <w:r>
                    <w:rPr>
                      <w:sz w:val="21"/>
                      <w:szCs w:val="21"/>
                      <w:u w:val="single"/>
                    </w:rPr>
                    <w:t>合计</w:t>
                  </w:r>
                </w:p>
              </w:tc>
              <w:tc>
                <w:tcPr>
                  <w:tcW w:w="1945" w:type="dxa"/>
                  <w:vAlign w:val="center"/>
                </w:tcPr>
                <w:p>
                  <w:pPr>
                    <w:jc w:val="center"/>
                    <w:rPr>
                      <w:rFonts w:hint="default" w:eastAsia="宋体"/>
                      <w:sz w:val="21"/>
                      <w:szCs w:val="21"/>
                      <w:u w:val="single"/>
                      <w:lang w:val="en-US" w:eastAsia="zh-CN"/>
                    </w:rPr>
                  </w:pPr>
                  <w:r>
                    <w:rPr>
                      <w:rFonts w:hint="eastAsia"/>
                      <w:sz w:val="21"/>
                      <w:szCs w:val="21"/>
                      <w:u w:val="single"/>
                      <w:lang w:val="en-US" w:eastAsia="zh-CN"/>
                    </w:rPr>
                    <w:t>163</w:t>
                  </w:r>
                </w:p>
              </w:tc>
            </w:tr>
          </w:tbl>
          <w:p>
            <w:pPr>
              <w:ind w:firstLine="482" w:firstLineChars="200"/>
              <w:rPr>
                <w:b/>
                <w:sz w:val="24"/>
                <w:szCs w:val="28"/>
                <w:u w:val="none"/>
              </w:rPr>
            </w:pPr>
            <w:r>
              <w:rPr>
                <w:rFonts w:hint="eastAsia"/>
                <w:b/>
                <w:sz w:val="24"/>
                <w:szCs w:val="28"/>
                <w:u w:val="none"/>
                <w:lang w:eastAsia="zh-CN"/>
              </w:rPr>
              <w:t>十</w:t>
            </w:r>
            <w:r>
              <w:rPr>
                <w:b/>
                <w:sz w:val="24"/>
                <w:szCs w:val="28"/>
                <w:u w:val="none"/>
              </w:rPr>
              <w:t>、竣工环境保护验收</w:t>
            </w:r>
          </w:p>
          <w:p>
            <w:pPr>
              <w:pStyle w:val="95"/>
              <w:spacing w:line="240" w:lineRule="auto"/>
              <w:rPr>
                <w:rFonts w:hAnsi="Times New Roman" w:cs="Times New Roman"/>
                <w:u w:val="none"/>
              </w:rPr>
            </w:pPr>
            <w:r>
              <w:rPr>
                <w:rFonts w:hAnsi="Times New Roman" w:cs="Times New Roman"/>
                <w:u w:val="none"/>
              </w:rPr>
              <w:t>为指导建设单位加强项目的环境管理，使项目的环境保护工作落到实处，项目竣工环境保护验收的主要内容和管理目标见表</w:t>
            </w:r>
            <w:r>
              <w:rPr>
                <w:rFonts w:hint="eastAsia" w:hAnsi="Times New Roman" w:cs="Times New Roman"/>
                <w:u w:val="none"/>
                <w:lang w:val="en-US" w:eastAsia="zh-CN"/>
              </w:rPr>
              <w:t>7-16</w:t>
            </w:r>
            <w:r>
              <w:rPr>
                <w:rFonts w:hAnsi="Times New Roman" w:cs="Times New Roman"/>
                <w:u w:val="none"/>
              </w:rPr>
              <w:t>。</w:t>
            </w:r>
          </w:p>
          <w:p>
            <w:pPr>
              <w:pStyle w:val="104"/>
              <w:rPr>
                <w:rFonts w:eastAsia="宋体"/>
                <w:b/>
                <w:bCs/>
                <w:u w:val="none"/>
              </w:rPr>
            </w:pPr>
            <w:r>
              <w:rPr>
                <w:rFonts w:eastAsia="宋体"/>
                <w:b/>
                <w:bCs/>
                <w:u w:val="none"/>
              </w:rPr>
              <w:t>表</w:t>
            </w:r>
            <w:r>
              <w:rPr>
                <w:rFonts w:hint="eastAsia" w:eastAsia="宋体"/>
                <w:b/>
                <w:bCs/>
                <w:u w:val="none"/>
                <w:lang w:val="en-US" w:eastAsia="zh-CN"/>
              </w:rPr>
              <w:t>7-25</w:t>
            </w:r>
            <w:r>
              <w:rPr>
                <w:rFonts w:eastAsia="宋体"/>
                <w:b/>
                <w:bCs/>
                <w:u w:val="none"/>
              </w:rPr>
              <w:t xml:space="preserve">   项目竣工环境保护验收一览表</w:t>
            </w:r>
          </w:p>
          <w:tbl>
            <w:tblPr>
              <w:tblStyle w:val="43"/>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704"/>
              <w:gridCol w:w="30"/>
              <w:gridCol w:w="1745"/>
              <w:gridCol w:w="3842"/>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 w:hRule="atLeast"/>
                <w:jc w:val="center"/>
              </w:trPr>
              <w:tc>
                <w:tcPr>
                  <w:tcW w:w="880" w:type="dxa"/>
                  <w:noWrap w:val="0"/>
                  <w:vAlign w:val="center"/>
                </w:tcPr>
                <w:p>
                  <w:pPr>
                    <w:adjustRightInd w:val="0"/>
                    <w:snapToGrid w:val="0"/>
                    <w:jc w:val="center"/>
                    <w:rPr>
                      <w:rFonts w:eastAsia="宋体"/>
                      <w:sz w:val="21"/>
                      <w:szCs w:val="21"/>
                      <w:u w:val="single"/>
                    </w:rPr>
                  </w:pPr>
                  <w:r>
                    <w:rPr>
                      <w:rFonts w:hint="eastAsia" w:eastAsia="宋体"/>
                      <w:sz w:val="21"/>
                      <w:szCs w:val="21"/>
                      <w:u w:val="single"/>
                    </w:rPr>
                    <w:t>时段</w:t>
                  </w:r>
                </w:p>
              </w:tc>
              <w:tc>
                <w:tcPr>
                  <w:tcW w:w="734" w:type="dxa"/>
                  <w:gridSpan w:val="2"/>
                  <w:noWrap w:val="0"/>
                  <w:vAlign w:val="center"/>
                </w:tcPr>
                <w:p>
                  <w:pPr>
                    <w:adjustRightInd w:val="0"/>
                    <w:snapToGrid w:val="0"/>
                    <w:jc w:val="center"/>
                    <w:rPr>
                      <w:rFonts w:eastAsia="宋体"/>
                      <w:sz w:val="21"/>
                      <w:szCs w:val="21"/>
                      <w:u w:val="single"/>
                    </w:rPr>
                  </w:pPr>
                  <w:r>
                    <w:rPr>
                      <w:rFonts w:eastAsia="宋体"/>
                      <w:sz w:val="21"/>
                      <w:szCs w:val="21"/>
                      <w:u w:val="single"/>
                    </w:rPr>
                    <w:t>治理</w:t>
                  </w:r>
                </w:p>
                <w:p>
                  <w:pPr>
                    <w:adjustRightInd w:val="0"/>
                    <w:snapToGrid w:val="0"/>
                    <w:jc w:val="center"/>
                    <w:rPr>
                      <w:rFonts w:eastAsia="宋体"/>
                      <w:sz w:val="21"/>
                      <w:szCs w:val="21"/>
                      <w:u w:val="single"/>
                    </w:rPr>
                  </w:pPr>
                  <w:r>
                    <w:rPr>
                      <w:rFonts w:eastAsia="宋体"/>
                      <w:sz w:val="21"/>
                      <w:szCs w:val="21"/>
                      <w:u w:val="single"/>
                    </w:rPr>
                    <w:t>对象</w:t>
                  </w:r>
                </w:p>
              </w:tc>
              <w:tc>
                <w:tcPr>
                  <w:tcW w:w="1745" w:type="dxa"/>
                  <w:noWrap w:val="0"/>
                  <w:vAlign w:val="center"/>
                </w:tcPr>
                <w:p>
                  <w:pPr>
                    <w:adjustRightInd w:val="0"/>
                    <w:snapToGrid w:val="0"/>
                    <w:jc w:val="center"/>
                    <w:rPr>
                      <w:rFonts w:eastAsia="宋体"/>
                      <w:sz w:val="21"/>
                      <w:szCs w:val="21"/>
                      <w:u w:val="single"/>
                    </w:rPr>
                  </w:pPr>
                  <w:r>
                    <w:rPr>
                      <w:rFonts w:eastAsia="宋体"/>
                      <w:sz w:val="21"/>
                      <w:szCs w:val="21"/>
                      <w:u w:val="single"/>
                    </w:rPr>
                    <w:t>污染物</w:t>
                  </w:r>
                </w:p>
              </w:tc>
              <w:tc>
                <w:tcPr>
                  <w:tcW w:w="3842" w:type="dxa"/>
                  <w:noWrap w:val="0"/>
                  <w:vAlign w:val="center"/>
                </w:tcPr>
                <w:p>
                  <w:pPr>
                    <w:adjustRightInd w:val="0"/>
                    <w:snapToGrid w:val="0"/>
                    <w:jc w:val="center"/>
                    <w:rPr>
                      <w:rFonts w:eastAsia="宋体"/>
                      <w:sz w:val="21"/>
                      <w:szCs w:val="21"/>
                      <w:u w:val="single"/>
                    </w:rPr>
                  </w:pPr>
                  <w:r>
                    <w:rPr>
                      <w:rFonts w:eastAsia="宋体"/>
                      <w:sz w:val="21"/>
                      <w:szCs w:val="21"/>
                      <w:u w:val="single"/>
                    </w:rPr>
                    <w:t>治理措施</w:t>
                  </w:r>
                </w:p>
              </w:tc>
              <w:tc>
                <w:tcPr>
                  <w:tcW w:w="2041" w:type="dxa"/>
                  <w:noWrap w:val="0"/>
                  <w:vAlign w:val="center"/>
                </w:tcPr>
                <w:p>
                  <w:pPr>
                    <w:adjustRightInd w:val="0"/>
                    <w:snapToGrid w:val="0"/>
                    <w:jc w:val="center"/>
                    <w:rPr>
                      <w:rFonts w:eastAsia="宋体"/>
                      <w:sz w:val="21"/>
                      <w:szCs w:val="21"/>
                      <w:u w:val="single"/>
                    </w:rPr>
                  </w:pPr>
                  <w:r>
                    <w:rPr>
                      <w:rFonts w:hint="eastAsia" w:eastAsia="宋体"/>
                      <w:sz w:val="21"/>
                      <w:szCs w:val="21"/>
                      <w:u w:val="single"/>
                    </w:rPr>
                    <w:t>验收</w:t>
                  </w:r>
                  <w:r>
                    <w:rPr>
                      <w:rFonts w:eastAsia="宋体"/>
                      <w:sz w:val="21"/>
                      <w:szCs w:val="21"/>
                      <w:u w:val="single"/>
                    </w:rPr>
                    <w:t>内容及验收依据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 w:hRule="atLeast"/>
                <w:jc w:val="center"/>
              </w:trPr>
              <w:tc>
                <w:tcPr>
                  <w:tcW w:w="880" w:type="dxa"/>
                  <w:vMerge w:val="restart"/>
                  <w:noWrap w:val="0"/>
                  <w:vAlign w:val="center"/>
                </w:tcPr>
                <w:p>
                  <w:pPr>
                    <w:adjustRightInd w:val="0"/>
                    <w:snapToGrid w:val="0"/>
                    <w:jc w:val="center"/>
                    <w:rPr>
                      <w:rFonts w:eastAsia="宋体"/>
                      <w:sz w:val="21"/>
                      <w:szCs w:val="21"/>
                      <w:u w:val="single"/>
                    </w:rPr>
                  </w:pPr>
                  <w:r>
                    <w:rPr>
                      <w:rFonts w:hint="eastAsia" w:eastAsia="宋体"/>
                      <w:sz w:val="21"/>
                      <w:szCs w:val="21"/>
                      <w:u w:val="single"/>
                    </w:rPr>
                    <w:t>施工期</w:t>
                  </w:r>
                </w:p>
              </w:tc>
              <w:tc>
                <w:tcPr>
                  <w:tcW w:w="734" w:type="dxa"/>
                  <w:gridSpan w:val="2"/>
                  <w:noWrap w:val="0"/>
                  <w:vAlign w:val="center"/>
                </w:tcPr>
                <w:p>
                  <w:pPr>
                    <w:adjustRightInd w:val="0"/>
                    <w:snapToGrid w:val="0"/>
                    <w:jc w:val="center"/>
                    <w:rPr>
                      <w:rFonts w:hint="eastAsia" w:eastAsia="宋体"/>
                      <w:sz w:val="21"/>
                      <w:szCs w:val="21"/>
                      <w:u w:val="single"/>
                    </w:rPr>
                  </w:pPr>
                  <w:r>
                    <w:rPr>
                      <w:rFonts w:hint="eastAsia" w:eastAsia="宋体"/>
                      <w:sz w:val="21"/>
                      <w:szCs w:val="21"/>
                      <w:u w:val="single"/>
                    </w:rPr>
                    <w:t>废气</w:t>
                  </w:r>
                </w:p>
              </w:tc>
              <w:tc>
                <w:tcPr>
                  <w:tcW w:w="1745" w:type="dxa"/>
                  <w:noWrap w:val="0"/>
                  <w:vAlign w:val="center"/>
                </w:tcPr>
                <w:p>
                  <w:pPr>
                    <w:adjustRightInd w:val="0"/>
                    <w:snapToGrid w:val="0"/>
                    <w:jc w:val="center"/>
                    <w:rPr>
                      <w:rFonts w:hint="eastAsia" w:eastAsia="宋体"/>
                      <w:sz w:val="21"/>
                      <w:szCs w:val="21"/>
                      <w:u w:val="single"/>
                    </w:rPr>
                  </w:pPr>
                  <w:r>
                    <w:rPr>
                      <w:rFonts w:hint="eastAsia" w:eastAsia="宋体"/>
                      <w:sz w:val="21"/>
                      <w:szCs w:val="21"/>
                      <w:u w:val="single"/>
                    </w:rPr>
                    <w:t>扬尘</w:t>
                  </w:r>
                  <w:r>
                    <w:rPr>
                      <w:rFonts w:eastAsia="宋体"/>
                      <w:sz w:val="21"/>
                      <w:szCs w:val="21"/>
                      <w:u w:val="single"/>
                    </w:rPr>
                    <w:t>、</w:t>
                  </w:r>
                  <w:r>
                    <w:rPr>
                      <w:rFonts w:hint="eastAsia" w:eastAsia="宋体"/>
                      <w:sz w:val="21"/>
                      <w:szCs w:val="21"/>
                      <w:u w:val="single"/>
                    </w:rPr>
                    <w:t>CO</w:t>
                  </w:r>
                </w:p>
              </w:tc>
              <w:tc>
                <w:tcPr>
                  <w:tcW w:w="3842" w:type="dxa"/>
                  <w:noWrap w:val="0"/>
                  <w:vAlign w:val="center"/>
                </w:tcPr>
                <w:p>
                  <w:pPr>
                    <w:adjustRightInd w:val="0"/>
                    <w:snapToGrid w:val="0"/>
                    <w:jc w:val="center"/>
                    <w:rPr>
                      <w:rFonts w:eastAsia="宋体"/>
                      <w:sz w:val="21"/>
                      <w:szCs w:val="21"/>
                      <w:u w:val="single"/>
                    </w:rPr>
                  </w:pPr>
                  <w:r>
                    <w:rPr>
                      <w:rFonts w:eastAsia="宋体"/>
                      <w:sz w:val="21"/>
                      <w:szCs w:val="21"/>
                      <w:u w:val="single"/>
                    </w:rPr>
                    <w:t>洗车</w:t>
                  </w:r>
                  <w:r>
                    <w:rPr>
                      <w:rFonts w:hint="eastAsia" w:eastAsia="宋体"/>
                      <w:sz w:val="21"/>
                      <w:szCs w:val="21"/>
                      <w:u w:val="single"/>
                    </w:rPr>
                    <w:t>台</w:t>
                  </w:r>
                  <w:r>
                    <w:rPr>
                      <w:rFonts w:eastAsia="宋体"/>
                      <w:sz w:val="21"/>
                      <w:szCs w:val="21"/>
                      <w:u w:val="single"/>
                    </w:rPr>
                    <w:t>及冲洗洒水设备</w:t>
                  </w:r>
                  <w:r>
                    <w:rPr>
                      <w:rFonts w:hint="eastAsia" w:eastAsia="宋体"/>
                      <w:sz w:val="21"/>
                      <w:szCs w:val="21"/>
                      <w:u w:val="single"/>
                    </w:rPr>
                    <w:t>；</w:t>
                  </w:r>
                </w:p>
                <w:p>
                  <w:pPr>
                    <w:adjustRightInd w:val="0"/>
                    <w:snapToGrid w:val="0"/>
                    <w:jc w:val="center"/>
                    <w:rPr>
                      <w:rFonts w:eastAsia="宋体"/>
                      <w:sz w:val="21"/>
                      <w:szCs w:val="21"/>
                      <w:u w:val="single"/>
                    </w:rPr>
                  </w:pPr>
                  <w:r>
                    <w:rPr>
                      <w:rFonts w:eastAsia="宋体"/>
                      <w:sz w:val="21"/>
                      <w:szCs w:val="21"/>
                      <w:u w:val="single"/>
                    </w:rPr>
                    <w:t>施工围挡；物料堆放场设置挡风墙；车辆采用篷覆式遮盖，设置围挡</w:t>
                  </w:r>
                  <w:r>
                    <w:rPr>
                      <w:rFonts w:hint="eastAsia" w:eastAsia="宋体"/>
                      <w:sz w:val="21"/>
                      <w:szCs w:val="21"/>
                      <w:u w:val="single"/>
                    </w:rPr>
                    <w:t>；在项目施工场地、主要运输路段设置雾炮机，进行扬尘控制。</w:t>
                  </w:r>
                </w:p>
              </w:tc>
              <w:tc>
                <w:tcPr>
                  <w:tcW w:w="2041" w:type="dxa"/>
                  <w:noWrap w:val="0"/>
                  <w:vAlign w:val="center"/>
                </w:tcPr>
                <w:p>
                  <w:pPr>
                    <w:adjustRightInd w:val="0"/>
                    <w:snapToGrid w:val="0"/>
                    <w:jc w:val="center"/>
                    <w:rPr>
                      <w:rFonts w:eastAsia="宋体"/>
                      <w:sz w:val="21"/>
                      <w:szCs w:val="21"/>
                      <w:u w:val="single"/>
                    </w:rPr>
                  </w:pPr>
                  <w:r>
                    <w:rPr>
                      <w:rFonts w:eastAsia="宋体"/>
                      <w:sz w:val="21"/>
                      <w:szCs w:val="21"/>
                      <w:u w:val="single"/>
                    </w:rPr>
                    <w:t>配套建设情况，车辆不带泥上路，并</w:t>
                  </w:r>
                  <w:r>
                    <w:rPr>
                      <w:rFonts w:hint="eastAsia" w:eastAsia="宋体"/>
                      <w:sz w:val="21"/>
                      <w:szCs w:val="21"/>
                      <w:u w:val="single"/>
                    </w:rPr>
                    <w:t>达到</w:t>
                  </w:r>
                  <w:r>
                    <w:rPr>
                      <w:rFonts w:eastAsia="宋体"/>
                      <w:sz w:val="21"/>
                      <w:szCs w:val="21"/>
                      <w:u w:val="single"/>
                    </w:rPr>
                    <w:t>GB16297-1996中的无组织排放监控浓度限值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 w:hRule="atLeast"/>
                <w:jc w:val="center"/>
              </w:trPr>
              <w:tc>
                <w:tcPr>
                  <w:tcW w:w="880" w:type="dxa"/>
                  <w:vMerge w:val="continue"/>
                  <w:noWrap w:val="0"/>
                  <w:vAlign w:val="center"/>
                </w:tcPr>
                <w:p>
                  <w:pPr>
                    <w:adjustRightInd w:val="0"/>
                    <w:snapToGrid w:val="0"/>
                    <w:jc w:val="center"/>
                    <w:rPr>
                      <w:rFonts w:eastAsia="宋体"/>
                      <w:sz w:val="21"/>
                      <w:szCs w:val="21"/>
                      <w:u w:val="single"/>
                    </w:rPr>
                  </w:pPr>
                </w:p>
              </w:tc>
              <w:tc>
                <w:tcPr>
                  <w:tcW w:w="734" w:type="dxa"/>
                  <w:gridSpan w:val="2"/>
                  <w:noWrap w:val="0"/>
                  <w:vAlign w:val="center"/>
                </w:tcPr>
                <w:p>
                  <w:pPr>
                    <w:adjustRightInd w:val="0"/>
                    <w:snapToGrid w:val="0"/>
                    <w:jc w:val="center"/>
                    <w:rPr>
                      <w:rFonts w:eastAsia="宋体"/>
                      <w:sz w:val="21"/>
                      <w:szCs w:val="21"/>
                      <w:u w:val="single"/>
                    </w:rPr>
                  </w:pPr>
                  <w:r>
                    <w:rPr>
                      <w:rFonts w:hint="eastAsia" w:eastAsia="宋体"/>
                      <w:sz w:val="21"/>
                      <w:szCs w:val="21"/>
                      <w:u w:val="single"/>
                    </w:rPr>
                    <w:t>废水</w:t>
                  </w:r>
                </w:p>
              </w:tc>
              <w:tc>
                <w:tcPr>
                  <w:tcW w:w="1745" w:type="dxa"/>
                  <w:noWrap w:val="0"/>
                  <w:vAlign w:val="center"/>
                </w:tcPr>
                <w:p>
                  <w:pPr>
                    <w:adjustRightInd w:val="0"/>
                    <w:snapToGrid w:val="0"/>
                    <w:jc w:val="center"/>
                    <w:rPr>
                      <w:rFonts w:hint="eastAsia" w:eastAsia="宋体"/>
                      <w:sz w:val="21"/>
                      <w:szCs w:val="21"/>
                      <w:u w:val="single"/>
                    </w:rPr>
                  </w:pPr>
                  <w:r>
                    <w:rPr>
                      <w:rFonts w:hint="eastAsia" w:eastAsia="宋体"/>
                      <w:sz w:val="21"/>
                      <w:szCs w:val="21"/>
                      <w:u w:val="single"/>
                    </w:rPr>
                    <w:t>施工</w:t>
                  </w:r>
                  <w:r>
                    <w:rPr>
                      <w:rFonts w:eastAsia="宋体"/>
                      <w:sz w:val="21"/>
                      <w:szCs w:val="21"/>
                      <w:u w:val="single"/>
                    </w:rPr>
                    <w:t>废水</w:t>
                  </w:r>
                </w:p>
              </w:tc>
              <w:tc>
                <w:tcPr>
                  <w:tcW w:w="3842" w:type="dxa"/>
                  <w:noWrap w:val="0"/>
                  <w:vAlign w:val="center"/>
                </w:tcPr>
                <w:p>
                  <w:pPr>
                    <w:adjustRightInd w:val="0"/>
                    <w:snapToGrid w:val="0"/>
                    <w:jc w:val="center"/>
                    <w:rPr>
                      <w:rFonts w:eastAsia="宋体"/>
                      <w:sz w:val="21"/>
                      <w:szCs w:val="21"/>
                      <w:u w:val="single"/>
                    </w:rPr>
                  </w:pPr>
                  <w:r>
                    <w:rPr>
                      <w:rFonts w:eastAsia="宋体"/>
                      <w:sz w:val="21"/>
                      <w:szCs w:val="21"/>
                      <w:u w:val="single"/>
                    </w:rPr>
                    <w:t>施工废水经</w:t>
                  </w:r>
                  <w:r>
                    <w:rPr>
                      <w:rFonts w:hint="eastAsia" w:eastAsia="宋体"/>
                      <w:sz w:val="21"/>
                      <w:szCs w:val="21"/>
                      <w:u w:val="single"/>
                    </w:rPr>
                    <w:t>隔油</w:t>
                  </w:r>
                  <w:r>
                    <w:rPr>
                      <w:rFonts w:eastAsia="宋体"/>
                      <w:sz w:val="21"/>
                      <w:szCs w:val="21"/>
                      <w:u w:val="single"/>
                    </w:rPr>
                    <w:t>沉淀池处理，</w:t>
                  </w:r>
                  <w:r>
                    <w:rPr>
                      <w:rFonts w:hint="eastAsia" w:eastAsia="宋体"/>
                      <w:sz w:val="21"/>
                      <w:szCs w:val="21"/>
                      <w:u w:val="single"/>
                    </w:rPr>
                    <w:t>回用于场地内洒水抑尘</w:t>
                  </w:r>
                </w:p>
              </w:tc>
              <w:tc>
                <w:tcPr>
                  <w:tcW w:w="2041" w:type="dxa"/>
                  <w:noWrap w:val="0"/>
                  <w:vAlign w:val="center"/>
                </w:tcPr>
                <w:p>
                  <w:pPr>
                    <w:adjustRightInd w:val="0"/>
                    <w:snapToGrid w:val="0"/>
                    <w:jc w:val="center"/>
                    <w:rPr>
                      <w:rFonts w:eastAsia="宋体"/>
                      <w:sz w:val="21"/>
                      <w:szCs w:val="21"/>
                      <w:u w:val="single"/>
                    </w:rPr>
                  </w:pPr>
                  <w:r>
                    <w:rPr>
                      <w:rFonts w:eastAsia="宋体"/>
                      <w:sz w:val="21"/>
                      <w:szCs w:val="21"/>
                      <w:u w:val="single"/>
                    </w:rPr>
                    <w:t>污水执行（GB8978-</w:t>
                  </w:r>
                  <w:r>
                    <w:rPr>
                      <w:rFonts w:hint="eastAsia" w:eastAsia="宋体"/>
                      <w:sz w:val="21"/>
                      <w:szCs w:val="21"/>
                      <w:u w:val="single"/>
                    </w:rPr>
                    <w:t>19</w:t>
                  </w:r>
                  <w:r>
                    <w:rPr>
                      <w:rFonts w:eastAsia="宋体"/>
                      <w:sz w:val="21"/>
                      <w:szCs w:val="21"/>
                      <w:u w:val="single"/>
                    </w:rPr>
                    <w:t>96）</w:t>
                  </w:r>
                  <w:r>
                    <w:rPr>
                      <w:rFonts w:hint="eastAsia" w:eastAsia="宋体"/>
                      <w:sz w:val="21"/>
                      <w:szCs w:val="21"/>
                      <w:u w:val="single"/>
                    </w:rPr>
                    <w:t>一</w:t>
                  </w:r>
                  <w:r>
                    <w:rPr>
                      <w:rFonts w:eastAsia="宋体"/>
                      <w:sz w:val="21"/>
                      <w:szCs w:val="21"/>
                      <w:u w:val="single"/>
                    </w:rPr>
                    <w:t>级标准，并调查施工期对水环境的保护措施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 w:hRule="atLeast"/>
                <w:jc w:val="center"/>
              </w:trPr>
              <w:tc>
                <w:tcPr>
                  <w:tcW w:w="880" w:type="dxa"/>
                  <w:vMerge w:val="continue"/>
                  <w:noWrap w:val="0"/>
                  <w:vAlign w:val="center"/>
                </w:tcPr>
                <w:p>
                  <w:pPr>
                    <w:adjustRightInd w:val="0"/>
                    <w:snapToGrid w:val="0"/>
                    <w:jc w:val="center"/>
                    <w:rPr>
                      <w:rFonts w:eastAsia="宋体"/>
                      <w:sz w:val="21"/>
                      <w:szCs w:val="21"/>
                      <w:u w:val="single"/>
                    </w:rPr>
                  </w:pPr>
                </w:p>
              </w:tc>
              <w:tc>
                <w:tcPr>
                  <w:tcW w:w="734" w:type="dxa"/>
                  <w:gridSpan w:val="2"/>
                  <w:noWrap w:val="0"/>
                  <w:vAlign w:val="center"/>
                </w:tcPr>
                <w:p>
                  <w:pPr>
                    <w:adjustRightInd w:val="0"/>
                    <w:snapToGrid w:val="0"/>
                    <w:jc w:val="center"/>
                    <w:rPr>
                      <w:rFonts w:eastAsia="宋体"/>
                      <w:sz w:val="21"/>
                      <w:szCs w:val="21"/>
                      <w:u w:val="single"/>
                    </w:rPr>
                  </w:pPr>
                  <w:r>
                    <w:rPr>
                      <w:rFonts w:hint="eastAsia" w:eastAsia="宋体"/>
                      <w:sz w:val="21"/>
                      <w:szCs w:val="21"/>
                      <w:u w:val="single"/>
                    </w:rPr>
                    <w:t>噪声</w:t>
                  </w:r>
                </w:p>
              </w:tc>
              <w:tc>
                <w:tcPr>
                  <w:tcW w:w="1745" w:type="dxa"/>
                  <w:noWrap w:val="0"/>
                  <w:vAlign w:val="center"/>
                </w:tcPr>
                <w:p>
                  <w:pPr>
                    <w:adjustRightInd w:val="0"/>
                    <w:snapToGrid w:val="0"/>
                    <w:jc w:val="center"/>
                    <w:rPr>
                      <w:rFonts w:hint="eastAsia" w:eastAsia="宋体"/>
                      <w:sz w:val="21"/>
                      <w:szCs w:val="21"/>
                      <w:u w:val="single"/>
                    </w:rPr>
                  </w:pPr>
                  <w:r>
                    <w:rPr>
                      <w:rFonts w:hint="eastAsia" w:eastAsia="宋体"/>
                      <w:sz w:val="21"/>
                      <w:szCs w:val="21"/>
                      <w:u w:val="single"/>
                    </w:rPr>
                    <w:t>机械</w:t>
                  </w:r>
                  <w:r>
                    <w:rPr>
                      <w:rFonts w:eastAsia="宋体"/>
                      <w:sz w:val="21"/>
                      <w:szCs w:val="21"/>
                      <w:u w:val="single"/>
                    </w:rPr>
                    <w:t>噪声</w:t>
                  </w:r>
                </w:p>
              </w:tc>
              <w:tc>
                <w:tcPr>
                  <w:tcW w:w="3842" w:type="dxa"/>
                  <w:noWrap w:val="0"/>
                  <w:vAlign w:val="center"/>
                </w:tcPr>
                <w:p>
                  <w:pPr>
                    <w:adjustRightInd w:val="0"/>
                    <w:snapToGrid w:val="0"/>
                    <w:jc w:val="center"/>
                    <w:rPr>
                      <w:rFonts w:eastAsia="宋体"/>
                      <w:sz w:val="21"/>
                      <w:szCs w:val="21"/>
                      <w:u w:val="single"/>
                    </w:rPr>
                  </w:pPr>
                  <w:r>
                    <w:rPr>
                      <w:rFonts w:eastAsia="宋体"/>
                      <w:sz w:val="21"/>
                      <w:szCs w:val="21"/>
                      <w:u w:val="single"/>
                    </w:rPr>
                    <w:t>物料堆场周围设置临时围挡；机械设备噪声较大的设备尽量远离居民点；加强施工机械管理</w:t>
                  </w:r>
                </w:p>
              </w:tc>
              <w:tc>
                <w:tcPr>
                  <w:tcW w:w="2041" w:type="dxa"/>
                  <w:noWrap w:val="0"/>
                  <w:vAlign w:val="center"/>
                </w:tcPr>
                <w:p>
                  <w:pPr>
                    <w:adjustRightInd w:val="0"/>
                    <w:snapToGrid w:val="0"/>
                    <w:jc w:val="center"/>
                    <w:rPr>
                      <w:rFonts w:eastAsia="宋体"/>
                      <w:sz w:val="21"/>
                      <w:szCs w:val="21"/>
                      <w:u w:val="single"/>
                    </w:rPr>
                  </w:pPr>
                  <w:r>
                    <w:rPr>
                      <w:rFonts w:eastAsia="宋体"/>
                      <w:sz w:val="21"/>
                      <w:szCs w:val="21"/>
                      <w:u w:val="single"/>
                    </w:rPr>
                    <w:t>按照GB12523</w:t>
                  </w:r>
                  <w:r>
                    <w:rPr>
                      <w:rFonts w:hint="eastAsia" w:eastAsia="宋体"/>
                      <w:sz w:val="21"/>
                      <w:szCs w:val="21"/>
                      <w:u w:val="single"/>
                    </w:rPr>
                    <w:t>-</w:t>
                  </w:r>
                  <w:r>
                    <w:rPr>
                      <w:rFonts w:eastAsia="宋体"/>
                      <w:sz w:val="21"/>
                      <w:szCs w:val="21"/>
                      <w:u w:val="single"/>
                    </w:rPr>
                    <w:t>2011进行控制，防治噪声扰民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 w:hRule="atLeast"/>
                <w:jc w:val="center"/>
              </w:trPr>
              <w:tc>
                <w:tcPr>
                  <w:tcW w:w="880" w:type="dxa"/>
                  <w:vMerge w:val="continue"/>
                  <w:noWrap w:val="0"/>
                  <w:vAlign w:val="center"/>
                </w:tcPr>
                <w:p>
                  <w:pPr>
                    <w:adjustRightInd w:val="0"/>
                    <w:snapToGrid w:val="0"/>
                    <w:jc w:val="center"/>
                    <w:rPr>
                      <w:rFonts w:eastAsia="宋体"/>
                      <w:sz w:val="21"/>
                      <w:szCs w:val="21"/>
                      <w:u w:val="single"/>
                    </w:rPr>
                  </w:pPr>
                </w:p>
              </w:tc>
              <w:tc>
                <w:tcPr>
                  <w:tcW w:w="734" w:type="dxa"/>
                  <w:gridSpan w:val="2"/>
                  <w:noWrap w:val="0"/>
                  <w:vAlign w:val="center"/>
                </w:tcPr>
                <w:p>
                  <w:pPr>
                    <w:adjustRightInd w:val="0"/>
                    <w:snapToGrid w:val="0"/>
                    <w:jc w:val="center"/>
                    <w:rPr>
                      <w:rFonts w:hint="eastAsia" w:eastAsia="宋体"/>
                      <w:sz w:val="21"/>
                      <w:szCs w:val="21"/>
                      <w:u w:val="single"/>
                    </w:rPr>
                  </w:pPr>
                  <w:r>
                    <w:rPr>
                      <w:rFonts w:hint="eastAsia" w:eastAsia="宋体"/>
                      <w:sz w:val="21"/>
                      <w:szCs w:val="21"/>
                      <w:u w:val="single"/>
                    </w:rPr>
                    <w:t>固体</w:t>
                  </w:r>
                  <w:r>
                    <w:rPr>
                      <w:rFonts w:eastAsia="宋体"/>
                      <w:sz w:val="21"/>
                      <w:szCs w:val="21"/>
                      <w:u w:val="single"/>
                    </w:rPr>
                    <w:t>废物</w:t>
                  </w:r>
                </w:p>
              </w:tc>
              <w:tc>
                <w:tcPr>
                  <w:tcW w:w="1745" w:type="dxa"/>
                  <w:noWrap w:val="0"/>
                  <w:vAlign w:val="center"/>
                </w:tcPr>
                <w:p>
                  <w:pPr>
                    <w:adjustRightInd w:val="0"/>
                    <w:snapToGrid w:val="0"/>
                    <w:jc w:val="center"/>
                    <w:rPr>
                      <w:rFonts w:eastAsia="宋体"/>
                      <w:sz w:val="21"/>
                      <w:szCs w:val="21"/>
                      <w:u w:val="single"/>
                    </w:rPr>
                  </w:pPr>
                  <w:r>
                    <w:rPr>
                      <w:rFonts w:eastAsia="宋体"/>
                      <w:sz w:val="21"/>
                      <w:szCs w:val="21"/>
                      <w:u w:val="single"/>
                    </w:rPr>
                    <w:t>建筑弃渣、生活垃圾</w:t>
                  </w:r>
                </w:p>
              </w:tc>
              <w:tc>
                <w:tcPr>
                  <w:tcW w:w="3842" w:type="dxa"/>
                  <w:noWrap w:val="0"/>
                  <w:vAlign w:val="center"/>
                </w:tcPr>
                <w:p>
                  <w:pPr>
                    <w:adjustRightInd w:val="0"/>
                    <w:snapToGrid w:val="0"/>
                    <w:jc w:val="center"/>
                    <w:rPr>
                      <w:rFonts w:eastAsia="宋体"/>
                      <w:sz w:val="21"/>
                      <w:szCs w:val="21"/>
                      <w:u w:val="single"/>
                    </w:rPr>
                  </w:pPr>
                  <w:r>
                    <w:rPr>
                      <w:rFonts w:hint="eastAsia" w:eastAsia="宋体"/>
                      <w:sz w:val="21"/>
                      <w:szCs w:val="21"/>
                      <w:u w:val="single"/>
                    </w:rPr>
                    <w:t>剥离</w:t>
                  </w:r>
                  <w:r>
                    <w:rPr>
                      <w:rFonts w:eastAsia="宋体"/>
                      <w:sz w:val="21"/>
                      <w:szCs w:val="21"/>
                      <w:u w:val="single"/>
                    </w:rPr>
                    <w:t>的表层耕作土进行单独存放</w:t>
                  </w:r>
                  <w:r>
                    <w:rPr>
                      <w:rFonts w:hint="eastAsia" w:eastAsia="宋体"/>
                      <w:sz w:val="21"/>
                      <w:szCs w:val="21"/>
                      <w:u w:val="single"/>
                    </w:rPr>
                    <w:t>，</w:t>
                  </w:r>
                  <w:r>
                    <w:rPr>
                      <w:rFonts w:eastAsia="宋体"/>
                      <w:sz w:val="21"/>
                      <w:szCs w:val="21"/>
                      <w:u w:val="single"/>
                    </w:rPr>
                    <w:t>采取设置截排水沟和覆盖的措施；建设产生的废弃材料尽量回收利用；生活垃圾环卫部门统一收集处理。</w:t>
                  </w:r>
                </w:p>
              </w:tc>
              <w:tc>
                <w:tcPr>
                  <w:tcW w:w="2041" w:type="dxa"/>
                  <w:noWrap w:val="0"/>
                  <w:vAlign w:val="center"/>
                </w:tcPr>
                <w:p>
                  <w:pPr>
                    <w:adjustRightInd w:val="0"/>
                    <w:snapToGrid w:val="0"/>
                    <w:jc w:val="center"/>
                    <w:rPr>
                      <w:rFonts w:hint="eastAsia" w:eastAsia="宋体"/>
                      <w:sz w:val="21"/>
                      <w:szCs w:val="21"/>
                      <w:u w:val="single"/>
                    </w:rPr>
                  </w:pPr>
                  <w:r>
                    <w:rPr>
                      <w:rFonts w:hint="eastAsia" w:eastAsia="宋体"/>
                      <w:sz w:val="21"/>
                      <w:szCs w:val="21"/>
                      <w:u w:val="single"/>
                    </w:rPr>
                    <w:t>是否合理处置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880" w:type="dxa"/>
                  <w:vMerge w:val="restart"/>
                  <w:noWrap w:val="0"/>
                  <w:vAlign w:val="center"/>
                </w:tcPr>
                <w:p>
                  <w:pPr>
                    <w:adjustRightInd w:val="0"/>
                    <w:snapToGrid w:val="0"/>
                    <w:jc w:val="center"/>
                    <w:rPr>
                      <w:rFonts w:hint="eastAsia" w:eastAsia="宋体"/>
                      <w:sz w:val="21"/>
                      <w:szCs w:val="21"/>
                      <w:u w:val="single"/>
                      <w:lang w:eastAsia="zh-CN"/>
                    </w:rPr>
                  </w:pPr>
                  <w:r>
                    <w:rPr>
                      <w:rFonts w:hint="eastAsia"/>
                      <w:sz w:val="21"/>
                      <w:szCs w:val="21"/>
                      <w:u w:val="single"/>
                      <w:lang w:eastAsia="zh-CN"/>
                    </w:rPr>
                    <w:t>运营期</w:t>
                  </w:r>
                </w:p>
              </w:tc>
              <w:tc>
                <w:tcPr>
                  <w:tcW w:w="734" w:type="dxa"/>
                  <w:gridSpan w:val="2"/>
                  <w:vMerge w:val="restart"/>
                  <w:noWrap w:val="0"/>
                  <w:vAlign w:val="center"/>
                </w:tcPr>
                <w:p>
                  <w:pPr>
                    <w:adjustRightInd w:val="0"/>
                    <w:snapToGrid w:val="0"/>
                    <w:jc w:val="center"/>
                    <w:rPr>
                      <w:rFonts w:hint="eastAsia" w:eastAsia="宋体"/>
                      <w:sz w:val="21"/>
                      <w:szCs w:val="21"/>
                      <w:u w:val="single"/>
                      <w:lang w:eastAsia="zh-CN"/>
                    </w:rPr>
                  </w:pPr>
                  <w:r>
                    <w:rPr>
                      <w:rFonts w:hint="eastAsia"/>
                      <w:sz w:val="21"/>
                      <w:szCs w:val="21"/>
                      <w:u w:val="single"/>
                      <w:lang w:eastAsia="zh-CN"/>
                    </w:rPr>
                    <w:t>废气</w:t>
                  </w:r>
                </w:p>
              </w:tc>
              <w:tc>
                <w:tcPr>
                  <w:tcW w:w="1745" w:type="dxa"/>
                  <w:noWrap w:val="0"/>
                  <w:vAlign w:val="center"/>
                </w:tcPr>
                <w:p>
                  <w:pPr>
                    <w:adjustRightInd w:val="0"/>
                    <w:snapToGrid w:val="0"/>
                    <w:jc w:val="center"/>
                    <w:rPr>
                      <w:rFonts w:eastAsia="宋体"/>
                      <w:sz w:val="21"/>
                      <w:szCs w:val="21"/>
                      <w:u w:val="single"/>
                    </w:rPr>
                  </w:pPr>
                  <w:r>
                    <w:rPr>
                      <w:rFonts w:eastAsia="宋体"/>
                      <w:sz w:val="21"/>
                      <w:szCs w:val="21"/>
                      <w:u w:val="single"/>
                    </w:rPr>
                    <w:t>无组织</w:t>
                  </w:r>
                </w:p>
                <w:p>
                  <w:pPr>
                    <w:adjustRightInd w:val="0"/>
                    <w:snapToGrid w:val="0"/>
                    <w:jc w:val="center"/>
                    <w:rPr>
                      <w:rFonts w:eastAsia="宋体"/>
                      <w:sz w:val="21"/>
                      <w:szCs w:val="21"/>
                      <w:u w:val="single"/>
                    </w:rPr>
                  </w:pPr>
                  <w:r>
                    <w:rPr>
                      <w:rFonts w:eastAsia="宋体"/>
                      <w:sz w:val="21"/>
                      <w:szCs w:val="21"/>
                      <w:u w:val="single"/>
                    </w:rPr>
                    <w:t>粉尘</w:t>
                  </w:r>
                </w:p>
              </w:tc>
              <w:tc>
                <w:tcPr>
                  <w:tcW w:w="3842" w:type="dxa"/>
                  <w:noWrap w:val="0"/>
                  <w:vAlign w:val="center"/>
                </w:tcPr>
                <w:p>
                  <w:pPr>
                    <w:adjustRightInd w:val="0"/>
                    <w:snapToGrid w:val="0"/>
                    <w:jc w:val="center"/>
                    <w:rPr>
                      <w:rFonts w:eastAsia="宋体"/>
                      <w:sz w:val="21"/>
                      <w:szCs w:val="21"/>
                      <w:u w:val="single"/>
                    </w:rPr>
                  </w:pPr>
                  <w:r>
                    <w:rPr>
                      <w:rFonts w:eastAsia="宋体"/>
                      <w:sz w:val="21"/>
                      <w:szCs w:val="21"/>
                      <w:u w:val="single"/>
                    </w:rPr>
                    <w:t>采用料仓储存砂石料，配料仓洒水，</w:t>
                  </w:r>
                  <w:r>
                    <w:rPr>
                      <w:rFonts w:hint="eastAsia" w:eastAsia="宋体"/>
                      <w:sz w:val="21"/>
                      <w:szCs w:val="21"/>
                      <w:u w:val="single"/>
                    </w:rPr>
                    <w:t>配备3辆</w:t>
                  </w:r>
                  <w:r>
                    <w:rPr>
                      <w:rFonts w:eastAsia="宋体"/>
                      <w:sz w:val="21"/>
                      <w:szCs w:val="21"/>
                      <w:u w:val="single"/>
                    </w:rPr>
                    <w:t>洒水车洒水，</w:t>
                  </w:r>
                  <w:r>
                    <w:rPr>
                      <w:rFonts w:hint="eastAsia" w:eastAsia="宋体"/>
                      <w:sz w:val="21"/>
                      <w:szCs w:val="21"/>
                      <w:u w:val="single"/>
                    </w:rPr>
                    <w:t>配备</w:t>
                  </w:r>
                  <w:r>
                    <w:rPr>
                      <w:rFonts w:eastAsia="宋体"/>
                      <w:sz w:val="21"/>
                      <w:szCs w:val="21"/>
                      <w:u w:val="single"/>
                    </w:rPr>
                    <w:t>雾化喷淋除尘装置，</w:t>
                  </w:r>
                </w:p>
              </w:tc>
              <w:tc>
                <w:tcPr>
                  <w:tcW w:w="2041" w:type="dxa"/>
                  <w:noWrap w:val="0"/>
                  <w:vAlign w:val="center"/>
                </w:tcPr>
                <w:p>
                  <w:pPr>
                    <w:adjustRightInd w:val="0"/>
                    <w:snapToGrid w:val="0"/>
                    <w:jc w:val="center"/>
                    <w:rPr>
                      <w:rFonts w:hint="default" w:ascii="Times New Roman" w:hAnsi="Times New Roman" w:cs="Times New Roman" w:eastAsiaTheme="minorEastAsia"/>
                      <w:kern w:val="0"/>
                      <w:sz w:val="21"/>
                      <w:szCs w:val="21"/>
                      <w:u w:val="single"/>
                      <w:lang w:val="en-US" w:eastAsia="zh-CN" w:bidi="ar-SA"/>
                    </w:rPr>
                  </w:pPr>
                  <w:r>
                    <w:rPr>
                      <w:rFonts w:hint="default" w:ascii="Times New Roman" w:hAnsi="Times New Roman" w:cs="Times New Roman" w:eastAsiaTheme="minorEastAsia"/>
                      <w:kern w:val="0"/>
                      <w:sz w:val="21"/>
                      <w:szCs w:val="21"/>
                      <w:u w:val="single"/>
                      <w:lang w:val="en-US" w:eastAsia="zh-CN" w:bidi="ar-SA"/>
                    </w:rPr>
                    <w:t>达到《大气污染物综合排放</w:t>
                  </w:r>
                  <w:r>
                    <w:rPr>
                      <w:rFonts w:hint="eastAsia" w:ascii="Times New Roman" w:hAnsi="Times New Roman" w:cs="Times New Roman"/>
                      <w:kern w:val="0"/>
                      <w:sz w:val="21"/>
                      <w:szCs w:val="21"/>
                      <w:u w:val="single"/>
                      <w:lang w:val="en-US" w:eastAsia="zh-CN" w:bidi="ar-SA"/>
                    </w:rPr>
                    <w:t>标准</w:t>
                  </w:r>
                  <w:r>
                    <w:rPr>
                      <w:rFonts w:hint="default" w:ascii="Times New Roman" w:hAnsi="Times New Roman" w:cs="Times New Roman" w:eastAsiaTheme="minorEastAsia"/>
                      <w:kern w:val="0"/>
                      <w:sz w:val="21"/>
                      <w:szCs w:val="21"/>
                      <w:u w:val="single"/>
                      <w:lang w:val="en-US" w:eastAsia="zh-CN" w:bidi="ar-SA"/>
                    </w:rPr>
                    <w:t>》（GB16297-1996）</w:t>
                  </w:r>
                </w:p>
                <w:p>
                  <w:pPr>
                    <w:adjustRightInd w:val="0"/>
                    <w:snapToGrid w:val="0"/>
                    <w:jc w:val="center"/>
                    <w:rPr>
                      <w:rFonts w:eastAsia="宋体"/>
                      <w:sz w:val="21"/>
                      <w:szCs w:val="21"/>
                      <w:u w:val="single"/>
                    </w:rPr>
                  </w:pPr>
                  <w:r>
                    <w:rPr>
                      <w:rFonts w:hint="default" w:ascii="Times New Roman" w:hAnsi="Times New Roman" w:cs="Times New Roman" w:eastAsiaTheme="minorEastAsia"/>
                      <w:kern w:val="0"/>
                      <w:sz w:val="21"/>
                      <w:szCs w:val="21"/>
                      <w:u w:val="single"/>
                      <w:lang w:val="en-US" w:eastAsia="zh-CN" w:bidi="ar-SA"/>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880" w:type="dxa"/>
                  <w:vMerge w:val="continue"/>
                  <w:noWrap w:val="0"/>
                  <w:vAlign w:val="center"/>
                </w:tcPr>
                <w:p>
                  <w:pPr>
                    <w:adjustRightInd w:val="0"/>
                    <w:snapToGrid w:val="0"/>
                    <w:jc w:val="center"/>
                    <w:rPr>
                      <w:rFonts w:hint="eastAsia"/>
                      <w:sz w:val="21"/>
                      <w:szCs w:val="21"/>
                      <w:u w:val="single"/>
                      <w:lang w:eastAsia="zh-CN"/>
                    </w:rPr>
                  </w:pPr>
                </w:p>
              </w:tc>
              <w:tc>
                <w:tcPr>
                  <w:tcW w:w="734" w:type="dxa"/>
                  <w:gridSpan w:val="2"/>
                  <w:vMerge w:val="continue"/>
                  <w:noWrap w:val="0"/>
                  <w:vAlign w:val="center"/>
                </w:tcPr>
                <w:p>
                  <w:pPr>
                    <w:adjustRightInd w:val="0"/>
                    <w:snapToGrid w:val="0"/>
                    <w:jc w:val="center"/>
                    <w:rPr>
                      <w:rFonts w:hint="eastAsia"/>
                      <w:sz w:val="21"/>
                      <w:szCs w:val="21"/>
                      <w:u w:val="single"/>
                      <w:lang w:eastAsia="zh-CN"/>
                    </w:rPr>
                  </w:pPr>
                </w:p>
              </w:tc>
              <w:tc>
                <w:tcPr>
                  <w:tcW w:w="1745" w:type="dxa"/>
                  <w:noWrap w:val="0"/>
                  <w:vAlign w:val="center"/>
                </w:tcPr>
                <w:p>
                  <w:pPr>
                    <w:pStyle w:val="220"/>
                    <w:spacing w:line="320" w:lineRule="exact"/>
                    <w:jc w:val="both"/>
                    <w:rPr>
                      <w:rFonts w:eastAsia="宋体"/>
                      <w:sz w:val="21"/>
                      <w:szCs w:val="21"/>
                      <w:u w:val="single"/>
                    </w:rPr>
                  </w:pPr>
                  <w:r>
                    <w:rPr>
                      <w:rFonts w:ascii="Times New Roman" w:hAnsi="Times New Roman" w:eastAsia="宋体"/>
                      <w:color w:val="auto"/>
                      <w:kern w:val="2"/>
                      <w:u w:val="single"/>
                    </w:rPr>
                    <w:t>沥青烟</w:t>
                  </w:r>
                  <w:r>
                    <w:rPr>
                      <w:rFonts w:hint="eastAsia" w:ascii="Times New Roman" w:hAnsi="Times New Roman" w:eastAsia="宋体"/>
                      <w:color w:val="auto"/>
                      <w:kern w:val="2"/>
                      <w:sz w:val="21"/>
                      <w:szCs w:val="21"/>
                      <w:u w:val="single"/>
                    </w:rPr>
                    <w:t>、</w:t>
                  </w:r>
                  <w:r>
                    <w:rPr>
                      <w:rFonts w:ascii="Times New Roman" w:hAnsi="Times New Roman" w:eastAsia="宋体"/>
                      <w:color w:val="auto"/>
                      <w:kern w:val="2"/>
                      <w:sz w:val="21"/>
                      <w:szCs w:val="21"/>
                      <w:u w:val="single"/>
                    </w:rPr>
                    <w:t>苯并[a]芘</w:t>
                  </w:r>
                </w:p>
              </w:tc>
              <w:tc>
                <w:tcPr>
                  <w:tcW w:w="3842" w:type="dxa"/>
                  <w:noWrap w:val="0"/>
                  <w:vAlign w:val="center"/>
                </w:tcPr>
                <w:p>
                  <w:pPr>
                    <w:pStyle w:val="151"/>
                    <w:spacing w:line="320" w:lineRule="exact"/>
                    <w:ind w:left="0" w:leftChars="0" w:firstLine="0" w:firstLineChars="0"/>
                    <w:rPr>
                      <w:rFonts w:eastAsia="宋体"/>
                      <w:sz w:val="21"/>
                      <w:szCs w:val="21"/>
                      <w:u w:val="single"/>
                    </w:rPr>
                  </w:pPr>
                  <w:r>
                    <w:rPr>
                      <w:rFonts w:hint="eastAsia" w:ascii="Times New Roman" w:hAnsi="Times New Roman" w:eastAsia="宋体" w:cs="Times New Roman"/>
                      <w:kern w:val="2"/>
                      <w:sz w:val="21"/>
                      <w:szCs w:val="21"/>
                      <w:lang w:val="en-US" w:eastAsia="zh-CN" w:bidi="ar-SA"/>
                    </w:rPr>
                    <w:t>集气罩+</w:t>
                  </w:r>
                  <w:r>
                    <w:rPr>
                      <w:rFonts w:hint="eastAsia" w:eastAsia="宋体" w:cs="Times New Roman"/>
                      <w:kern w:val="2"/>
                      <w:sz w:val="21"/>
                      <w:szCs w:val="21"/>
                      <w:lang w:val="en-US" w:eastAsia="zh-CN" w:bidi="ar-SA"/>
                    </w:rPr>
                    <w:t>布袋</w:t>
                  </w:r>
                  <w:r>
                    <w:rPr>
                      <w:rFonts w:hint="eastAsia" w:ascii="Times New Roman" w:hAnsi="Times New Roman" w:eastAsia="宋体" w:cs="Times New Roman"/>
                      <w:kern w:val="2"/>
                      <w:sz w:val="21"/>
                      <w:szCs w:val="21"/>
                      <w:lang w:val="en-US" w:eastAsia="zh-CN" w:bidi="ar-SA"/>
                    </w:rPr>
                    <w:t>除尘器</w:t>
                  </w:r>
                  <w:r>
                    <w:rPr>
                      <w:rFonts w:hint="eastAsia" w:eastAsia="宋体" w:cs="Times New Roman"/>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过滤棉+活性炭吸附箱+15m高排气筒</w:t>
                  </w:r>
                </w:p>
              </w:tc>
              <w:tc>
                <w:tcPr>
                  <w:tcW w:w="2041" w:type="dxa"/>
                  <w:noWrap w:val="0"/>
                  <w:vAlign w:val="center"/>
                </w:tcPr>
                <w:p>
                  <w:pPr>
                    <w:adjustRightInd w:val="0"/>
                    <w:snapToGrid w:val="0"/>
                    <w:jc w:val="center"/>
                    <w:rPr>
                      <w:rFonts w:hint="default" w:ascii="Times New Roman" w:hAnsi="Times New Roman" w:cs="Times New Roman" w:eastAsiaTheme="minorEastAsia"/>
                      <w:kern w:val="0"/>
                      <w:sz w:val="21"/>
                      <w:szCs w:val="21"/>
                      <w:u w:val="single"/>
                      <w:lang w:val="en-US" w:eastAsia="zh-CN" w:bidi="ar-SA"/>
                    </w:rPr>
                  </w:pPr>
                  <w:r>
                    <w:rPr>
                      <w:rFonts w:hint="eastAsia" w:ascii="Times New Roman" w:hAnsi="Times New Roman" w:eastAsia="宋体"/>
                      <w:color w:val="auto"/>
                      <w:sz w:val="21"/>
                      <w:szCs w:val="21"/>
                      <w:u w:val="single"/>
                    </w:rPr>
                    <w:t>《大气污染物综合排放标准》（</w:t>
                  </w:r>
                  <w:r>
                    <w:rPr>
                      <w:rFonts w:ascii="Times New Roman" w:hAnsi="Times New Roman" w:eastAsia="宋体"/>
                      <w:color w:val="auto"/>
                      <w:sz w:val="21"/>
                      <w:szCs w:val="21"/>
                      <w:u w:val="single"/>
                    </w:rPr>
                    <w:t>GB16297-1996</w:t>
                  </w:r>
                  <w:r>
                    <w:rPr>
                      <w:rFonts w:hint="eastAsia" w:ascii="Times New Roman" w:hAnsi="Times New Roman" w:eastAsia="宋体"/>
                      <w:color w:val="auto"/>
                      <w:sz w:val="21"/>
                      <w:szCs w:val="21"/>
                      <w:u w:val="single"/>
                    </w:rPr>
                    <w:t>）表</w:t>
                  </w:r>
                  <w:r>
                    <w:rPr>
                      <w:rFonts w:ascii="Times New Roman" w:hAnsi="Times New Roman" w:eastAsia="宋体"/>
                      <w:color w:val="auto"/>
                      <w:sz w:val="21"/>
                      <w:szCs w:val="21"/>
                      <w:u w:val="single"/>
                    </w:rPr>
                    <w:t>2</w:t>
                  </w:r>
                  <w:r>
                    <w:rPr>
                      <w:rFonts w:hint="eastAsia" w:ascii="Times New Roman" w:hAnsi="Times New Roman" w:eastAsia="宋体"/>
                      <w:color w:val="auto"/>
                      <w:sz w:val="21"/>
                      <w:szCs w:val="21"/>
                      <w:u w:val="single"/>
                    </w:rPr>
                    <w:t>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 w:hRule="atLeast"/>
                <w:jc w:val="center"/>
              </w:trPr>
              <w:tc>
                <w:tcPr>
                  <w:tcW w:w="880" w:type="dxa"/>
                  <w:vMerge w:val="continue"/>
                  <w:noWrap w:val="0"/>
                  <w:vAlign w:val="center"/>
                </w:tcPr>
                <w:p>
                  <w:pPr>
                    <w:adjustRightInd w:val="0"/>
                    <w:snapToGrid w:val="0"/>
                    <w:jc w:val="center"/>
                    <w:rPr>
                      <w:rFonts w:eastAsia="宋体"/>
                      <w:sz w:val="21"/>
                      <w:szCs w:val="21"/>
                      <w:u w:val="single"/>
                    </w:rPr>
                  </w:pPr>
                </w:p>
              </w:tc>
              <w:tc>
                <w:tcPr>
                  <w:tcW w:w="734" w:type="dxa"/>
                  <w:gridSpan w:val="2"/>
                  <w:vMerge w:val="continue"/>
                  <w:noWrap w:val="0"/>
                  <w:vAlign w:val="center"/>
                </w:tcPr>
                <w:p>
                  <w:pPr>
                    <w:adjustRightInd w:val="0"/>
                    <w:snapToGrid w:val="0"/>
                    <w:jc w:val="center"/>
                    <w:rPr>
                      <w:rFonts w:eastAsia="宋体"/>
                      <w:sz w:val="21"/>
                      <w:szCs w:val="21"/>
                      <w:u w:val="single"/>
                    </w:rPr>
                  </w:pPr>
                </w:p>
              </w:tc>
              <w:tc>
                <w:tcPr>
                  <w:tcW w:w="1745" w:type="dxa"/>
                  <w:noWrap w:val="0"/>
                  <w:vAlign w:val="center"/>
                </w:tcPr>
                <w:p>
                  <w:pPr>
                    <w:adjustRightInd w:val="0"/>
                    <w:snapToGrid w:val="0"/>
                    <w:jc w:val="center"/>
                    <w:rPr>
                      <w:rFonts w:eastAsia="宋体"/>
                      <w:sz w:val="21"/>
                      <w:szCs w:val="21"/>
                      <w:u w:val="single"/>
                    </w:rPr>
                  </w:pPr>
                  <w:r>
                    <w:rPr>
                      <w:rFonts w:eastAsia="宋体"/>
                      <w:sz w:val="21"/>
                      <w:szCs w:val="21"/>
                      <w:u w:val="single"/>
                    </w:rPr>
                    <w:t>车辆尾气、</w:t>
                  </w:r>
                </w:p>
                <w:p>
                  <w:pPr>
                    <w:adjustRightInd w:val="0"/>
                    <w:snapToGrid w:val="0"/>
                    <w:jc w:val="center"/>
                    <w:rPr>
                      <w:rFonts w:eastAsia="宋体"/>
                      <w:sz w:val="21"/>
                      <w:szCs w:val="21"/>
                      <w:u w:val="single"/>
                    </w:rPr>
                  </w:pPr>
                  <w:r>
                    <w:rPr>
                      <w:rFonts w:eastAsia="宋体"/>
                      <w:sz w:val="21"/>
                      <w:szCs w:val="21"/>
                      <w:u w:val="single"/>
                    </w:rPr>
                    <w:t>扬尘</w:t>
                  </w:r>
                </w:p>
              </w:tc>
              <w:tc>
                <w:tcPr>
                  <w:tcW w:w="3842" w:type="dxa"/>
                  <w:noWrap w:val="0"/>
                  <w:vAlign w:val="center"/>
                </w:tcPr>
                <w:p>
                  <w:pPr>
                    <w:adjustRightInd w:val="0"/>
                    <w:snapToGrid w:val="0"/>
                    <w:jc w:val="center"/>
                    <w:rPr>
                      <w:rFonts w:eastAsia="宋体"/>
                      <w:sz w:val="21"/>
                      <w:szCs w:val="21"/>
                      <w:u w:val="single"/>
                    </w:rPr>
                  </w:pPr>
                  <w:r>
                    <w:rPr>
                      <w:rFonts w:eastAsia="宋体"/>
                      <w:sz w:val="21"/>
                      <w:szCs w:val="21"/>
                      <w:u w:val="single"/>
                    </w:rPr>
                    <w:t>厂内限速5m/h、采用水泥罐车运输水泥和粉煤灰、砂石料运输过程遮盖篷布</w:t>
                  </w:r>
                </w:p>
              </w:tc>
              <w:tc>
                <w:tcPr>
                  <w:tcW w:w="2041" w:type="dxa"/>
                  <w:noWrap w:val="0"/>
                  <w:vAlign w:val="center"/>
                </w:tcPr>
                <w:p>
                  <w:pPr>
                    <w:adjustRightInd w:val="0"/>
                    <w:snapToGrid w:val="0"/>
                    <w:jc w:val="center"/>
                    <w:rPr>
                      <w:rFonts w:eastAsia="宋体"/>
                      <w:sz w:val="21"/>
                      <w:szCs w:val="21"/>
                      <w:u w:val="single"/>
                    </w:rPr>
                  </w:pPr>
                  <w:r>
                    <w:rPr>
                      <w:rFonts w:hint="default" w:ascii="Times New Roman" w:hAnsi="Times New Roman" w:cs="Times New Roman"/>
                      <w:kern w:val="0"/>
                      <w:sz w:val="21"/>
                      <w:szCs w:val="21"/>
                      <w:u w:val="single"/>
                    </w:rPr>
                    <w:t>达到环保要求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 w:hRule="atLeast"/>
                <w:jc w:val="center"/>
              </w:trPr>
              <w:tc>
                <w:tcPr>
                  <w:tcW w:w="880" w:type="dxa"/>
                  <w:vMerge w:val="continue"/>
                  <w:noWrap w:val="0"/>
                  <w:vAlign w:val="center"/>
                </w:tcPr>
                <w:p>
                  <w:pPr>
                    <w:adjustRightInd w:val="0"/>
                    <w:snapToGrid w:val="0"/>
                    <w:jc w:val="center"/>
                    <w:rPr>
                      <w:rFonts w:eastAsia="宋体"/>
                      <w:sz w:val="21"/>
                      <w:szCs w:val="21"/>
                      <w:u w:val="single"/>
                    </w:rPr>
                  </w:pPr>
                </w:p>
              </w:tc>
              <w:tc>
                <w:tcPr>
                  <w:tcW w:w="734" w:type="dxa"/>
                  <w:gridSpan w:val="2"/>
                  <w:vMerge w:val="restart"/>
                  <w:noWrap w:val="0"/>
                  <w:vAlign w:val="center"/>
                </w:tcPr>
                <w:p>
                  <w:pPr>
                    <w:adjustRightInd w:val="0"/>
                    <w:snapToGrid w:val="0"/>
                    <w:jc w:val="center"/>
                    <w:rPr>
                      <w:rFonts w:eastAsia="宋体"/>
                      <w:sz w:val="21"/>
                      <w:szCs w:val="21"/>
                      <w:u w:val="single"/>
                    </w:rPr>
                  </w:pPr>
                  <w:r>
                    <w:rPr>
                      <w:rFonts w:eastAsia="宋体"/>
                      <w:sz w:val="21"/>
                      <w:szCs w:val="21"/>
                      <w:u w:val="single"/>
                    </w:rPr>
                    <w:t>废水</w:t>
                  </w:r>
                </w:p>
              </w:tc>
              <w:tc>
                <w:tcPr>
                  <w:tcW w:w="1745" w:type="dxa"/>
                  <w:noWrap w:val="0"/>
                  <w:vAlign w:val="center"/>
                </w:tcPr>
                <w:p>
                  <w:pPr>
                    <w:adjustRightInd w:val="0"/>
                    <w:snapToGrid w:val="0"/>
                    <w:jc w:val="center"/>
                    <w:rPr>
                      <w:rFonts w:eastAsia="宋体"/>
                      <w:sz w:val="21"/>
                      <w:szCs w:val="21"/>
                      <w:u w:val="single"/>
                    </w:rPr>
                  </w:pPr>
                  <w:r>
                    <w:rPr>
                      <w:rFonts w:eastAsia="宋体"/>
                      <w:sz w:val="21"/>
                      <w:szCs w:val="21"/>
                      <w:u w:val="single"/>
                    </w:rPr>
                    <w:t>生活废水</w:t>
                  </w:r>
                </w:p>
              </w:tc>
              <w:tc>
                <w:tcPr>
                  <w:tcW w:w="3842" w:type="dxa"/>
                  <w:noWrap w:val="0"/>
                  <w:vAlign w:val="center"/>
                </w:tcPr>
                <w:p>
                  <w:pPr>
                    <w:adjustRightInd w:val="0"/>
                    <w:snapToGrid w:val="0"/>
                    <w:jc w:val="center"/>
                    <w:rPr>
                      <w:rFonts w:hint="eastAsia" w:eastAsia="宋体"/>
                      <w:sz w:val="21"/>
                      <w:szCs w:val="21"/>
                      <w:u w:val="single"/>
                      <w:lang w:eastAsia="zh-CN"/>
                    </w:rPr>
                  </w:pPr>
                  <w:r>
                    <w:rPr>
                      <w:rFonts w:hint="eastAsia" w:eastAsia="宋体"/>
                      <w:sz w:val="21"/>
                      <w:szCs w:val="21"/>
                      <w:u w:val="single"/>
                    </w:rPr>
                    <w:t>设置</w:t>
                  </w:r>
                  <w:r>
                    <w:rPr>
                      <w:rFonts w:eastAsia="宋体"/>
                      <w:sz w:val="21"/>
                      <w:szCs w:val="21"/>
                      <w:u w:val="single"/>
                    </w:rPr>
                    <w:t>化粪池，生活污水排至</w:t>
                  </w:r>
                  <w:r>
                    <w:rPr>
                      <w:rFonts w:hint="eastAsia" w:eastAsia="宋体"/>
                      <w:sz w:val="21"/>
                      <w:szCs w:val="21"/>
                      <w:u w:val="single"/>
                    </w:rPr>
                    <w:t>化粪池</w:t>
                  </w:r>
                  <w:r>
                    <w:rPr>
                      <w:rFonts w:hint="eastAsia" w:eastAsia="宋体"/>
                      <w:sz w:val="21"/>
                      <w:szCs w:val="21"/>
                      <w:u w:val="single"/>
                      <w:lang w:eastAsia="zh-CN"/>
                    </w:rPr>
                    <w:t>处理后排入市政污水管网</w:t>
                  </w:r>
                </w:p>
              </w:tc>
              <w:tc>
                <w:tcPr>
                  <w:tcW w:w="2041" w:type="dxa"/>
                  <w:noWrap w:val="0"/>
                  <w:vAlign w:val="center"/>
                </w:tcPr>
                <w:p>
                  <w:pPr>
                    <w:adjustRightInd w:val="0"/>
                    <w:snapToGrid w:val="0"/>
                    <w:jc w:val="center"/>
                    <w:rPr>
                      <w:rFonts w:hint="eastAsia" w:eastAsia="宋体"/>
                      <w:sz w:val="21"/>
                      <w:szCs w:val="21"/>
                      <w:u w:val="single"/>
                    </w:rPr>
                  </w:pPr>
                  <w:r>
                    <w:rPr>
                      <w:rFonts w:hint="default" w:ascii="Times New Roman" w:hAnsi="Times New Roman" w:cs="Times New Roman"/>
                      <w:kern w:val="0"/>
                      <w:sz w:val="21"/>
                      <w:szCs w:val="21"/>
                      <w:u w:val="single"/>
                    </w:rPr>
                    <w:t>达到GB8978-1996 中三级标准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 w:hRule="atLeast"/>
                <w:jc w:val="center"/>
              </w:trPr>
              <w:tc>
                <w:tcPr>
                  <w:tcW w:w="880" w:type="dxa"/>
                  <w:vMerge w:val="continue"/>
                  <w:noWrap w:val="0"/>
                  <w:vAlign w:val="center"/>
                </w:tcPr>
                <w:p>
                  <w:pPr>
                    <w:adjustRightInd w:val="0"/>
                    <w:snapToGrid w:val="0"/>
                    <w:jc w:val="center"/>
                    <w:rPr>
                      <w:rFonts w:eastAsia="宋体"/>
                      <w:sz w:val="21"/>
                      <w:szCs w:val="21"/>
                      <w:u w:val="single"/>
                    </w:rPr>
                  </w:pPr>
                </w:p>
              </w:tc>
              <w:tc>
                <w:tcPr>
                  <w:tcW w:w="734" w:type="dxa"/>
                  <w:gridSpan w:val="2"/>
                  <w:vMerge w:val="continue"/>
                  <w:noWrap w:val="0"/>
                  <w:vAlign w:val="center"/>
                </w:tcPr>
                <w:p>
                  <w:pPr>
                    <w:adjustRightInd w:val="0"/>
                    <w:snapToGrid w:val="0"/>
                    <w:jc w:val="center"/>
                    <w:rPr>
                      <w:rFonts w:eastAsia="宋体"/>
                      <w:sz w:val="21"/>
                      <w:szCs w:val="21"/>
                      <w:u w:val="single"/>
                    </w:rPr>
                  </w:pPr>
                </w:p>
              </w:tc>
              <w:tc>
                <w:tcPr>
                  <w:tcW w:w="1745" w:type="dxa"/>
                  <w:vMerge w:val="restart"/>
                  <w:noWrap w:val="0"/>
                  <w:vAlign w:val="center"/>
                </w:tcPr>
                <w:p>
                  <w:pPr>
                    <w:adjustRightInd w:val="0"/>
                    <w:snapToGrid w:val="0"/>
                    <w:jc w:val="center"/>
                    <w:rPr>
                      <w:rFonts w:eastAsia="宋体"/>
                      <w:sz w:val="21"/>
                      <w:szCs w:val="21"/>
                      <w:u w:val="single"/>
                    </w:rPr>
                  </w:pPr>
                  <w:r>
                    <w:rPr>
                      <w:rFonts w:eastAsia="宋体"/>
                      <w:sz w:val="21"/>
                      <w:szCs w:val="21"/>
                      <w:u w:val="single"/>
                    </w:rPr>
                    <w:t>生产废水</w:t>
                  </w:r>
                </w:p>
              </w:tc>
              <w:tc>
                <w:tcPr>
                  <w:tcW w:w="3842" w:type="dxa"/>
                  <w:noWrap w:val="0"/>
                  <w:vAlign w:val="center"/>
                </w:tcPr>
                <w:p>
                  <w:pPr>
                    <w:adjustRightInd w:val="0"/>
                    <w:snapToGrid w:val="0"/>
                    <w:jc w:val="center"/>
                    <w:rPr>
                      <w:rFonts w:hint="eastAsia" w:eastAsia="宋体"/>
                      <w:sz w:val="21"/>
                      <w:szCs w:val="21"/>
                      <w:u w:val="single"/>
                    </w:rPr>
                  </w:pPr>
                  <w:r>
                    <w:rPr>
                      <w:rFonts w:hint="eastAsia" w:eastAsia="宋体"/>
                      <w:sz w:val="21"/>
                      <w:szCs w:val="21"/>
                      <w:u w:val="single"/>
                    </w:rPr>
                    <w:t>场地</w:t>
                  </w:r>
                  <w:r>
                    <w:rPr>
                      <w:rFonts w:eastAsia="宋体"/>
                      <w:sz w:val="21"/>
                      <w:szCs w:val="21"/>
                      <w:u w:val="single"/>
                    </w:rPr>
                    <w:t>四周设置排水沟，场内设置</w:t>
                  </w:r>
                  <w:r>
                    <w:rPr>
                      <w:rFonts w:hint="eastAsia" w:eastAsia="宋体"/>
                      <w:sz w:val="21"/>
                      <w:szCs w:val="21"/>
                      <w:u w:val="single"/>
                    </w:rPr>
                    <w:t>2处三级沉淀池</w:t>
                  </w:r>
                </w:p>
              </w:tc>
              <w:tc>
                <w:tcPr>
                  <w:tcW w:w="2041" w:type="dxa"/>
                  <w:noWrap w:val="0"/>
                  <w:vAlign w:val="center"/>
                </w:tcPr>
                <w:p>
                  <w:pPr>
                    <w:adjustRightInd w:val="0"/>
                    <w:snapToGrid w:val="0"/>
                    <w:jc w:val="center"/>
                    <w:rPr>
                      <w:rFonts w:hint="eastAsia" w:eastAsia="宋体"/>
                      <w:sz w:val="21"/>
                      <w:szCs w:val="21"/>
                      <w:u w:val="single"/>
                    </w:rPr>
                  </w:pPr>
                  <w:r>
                    <w:rPr>
                      <w:rFonts w:hint="default" w:ascii="Times New Roman" w:hAnsi="Times New Roman" w:cs="Times New Roman"/>
                      <w:kern w:val="0"/>
                      <w:sz w:val="21"/>
                      <w:szCs w:val="21"/>
                      <w:u w:val="single"/>
                    </w:rPr>
                    <w:t>达到环保要求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 w:hRule="atLeast"/>
                <w:jc w:val="center"/>
              </w:trPr>
              <w:tc>
                <w:tcPr>
                  <w:tcW w:w="880" w:type="dxa"/>
                  <w:vMerge w:val="continue"/>
                  <w:noWrap w:val="0"/>
                  <w:vAlign w:val="center"/>
                </w:tcPr>
                <w:p>
                  <w:pPr>
                    <w:adjustRightInd w:val="0"/>
                    <w:snapToGrid w:val="0"/>
                    <w:jc w:val="center"/>
                    <w:rPr>
                      <w:rFonts w:eastAsia="宋体"/>
                      <w:sz w:val="21"/>
                      <w:szCs w:val="21"/>
                      <w:u w:val="single"/>
                    </w:rPr>
                  </w:pPr>
                </w:p>
              </w:tc>
              <w:tc>
                <w:tcPr>
                  <w:tcW w:w="734" w:type="dxa"/>
                  <w:gridSpan w:val="2"/>
                  <w:vMerge w:val="continue"/>
                  <w:noWrap w:val="0"/>
                  <w:vAlign w:val="center"/>
                </w:tcPr>
                <w:p>
                  <w:pPr>
                    <w:adjustRightInd w:val="0"/>
                    <w:snapToGrid w:val="0"/>
                    <w:jc w:val="center"/>
                    <w:rPr>
                      <w:rFonts w:eastAsia="宋体"/>
                      <w:sz w:val="21"/>
                      <w:szCs w:val="21"/>
                      <w:u w:val="single"/>
                    </w:rPr>
                  </w:pPr>
                </w:p>
              </w:tc>
              <w:tc>
                <w:tcPr>
                  <w:tcW w:w="1745" w:type="dxa"/>
                  <w:vMerge w:val="continue"/>
                  <w:noWrap w:val="0"/>
                  <w:vAlign w:val="center"/>
                </w:tcPr>
                <w:p>
                  <w:pPr>
                    <w:adjustRightInd w:val="0"/>
                    <w:snapToGrid w:val="0"/>
                    <w:jc w:val="center"/>
                    <w:rPr>
                      <w:rFonts w:eastAsia="宋体"/>
                      <w:sz w:val="21"/>
                      <w:szCs w:val="21"/>
                      <w:u w:val="single"/>
                    </w:rPr>
                  </w:pPr>
                </w:p>
              </w:tc>
              <w:tc>
                <w:tcPr>
                  <w:tcW w:w="3842" w:type="dxa"/>
                  <w:noWrap w:val="0"/>
                  <w:vAlign w:val="center"/>
                </w:tcPr>
                <w:p>
                  <w:pPr>
                    <w:adjustRightInd w:val="0"/>
                    <w:snapToGrid w:val="0"/>
                    <w:jc w:val="center"/>
                    <w:rPr>
                      <w:rFonts w:eastAsia="宋体"/>
                      <w:sz w:val="21"/>
                      <w:szCs w:val="21"/>
                      <w:u w:val="single"/>
                    </w:rPr>
                  </w:pPr>
                  <w:r>
                    <w:rPr>
                      <w:rFonts w:eastAsia="宋体"/>
                      <w:sz w:val="21"/>
                      <w:szCs w:val="21"/>
                      <w:u w:val="single"/>
                    </w:rPr>
                    <w:t>机械停放区设置清洗平台</w:t>
                  </w:r>
                </w:p>
              </w:tc>
              <w:tc>
                <w:tcPr>
                  <w:tcW w:w="2041" w:type="dxa"/>
                  <w:noWrap w:val="0"/>
                  <w:vAlign w:val="center"/>
                </w:tcPr>
                <w:p>
                  <w:pPr>
                    <w:adjustRightInd w:val="0"/>
                    <w:snapToGrid w:val="0"/>
                    <w:jc w:val="center"/>
                    <w:rPr>
                      <w:rFonts w:eastAsia="宋体"/>
                      <w:sz w:val="21"/>
                      <w:szCs w:val="21"/>
                      <w:u w:val="single"/>
                    </w:rPr>
                  </w:pPr>
                  <w:r>
                    <w:rPr>
                      <w:rFonts w:hint="default" w:ascii="Times New Roman" w:hAnsi="Times New Roman" w:cs="Times New Roman"/>
                      <w:kern w:val="0"/>
                      <w:sz w:val="21"/>
                      <w:szCs w:val="21"/>
                      <w:u w:val="single"/>
                    </w:rPr>
                    <w:t>达到环保要求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 w:hRule="atLeast"/>
                <w:jc w:val="center"/>
              </w:trPr>
              <w:tc>
                <w:tcPr>
                  <w:tcW w:w="880" w:type="dxa"/>
                  <w:vMerge w:val="continue"/>
                  <w:noWrap w:val="0"/>
                  <w:vAlign w:val="center"/>
                </w:tcPr>
                <w:p>
                  <w:pPr>
                    <w:adjustRightInd w:val="0"/>
                    <w:snapToGrid w:val="0"/>
                    <w:jc w:val="center"/>
                    <w:rPr>
                      <w:rFonts w:eastAsia="宋体"/>
                      <w:sz w:val="21"/>
                      <w:szCs w:val="21"/>
                      <w:u w:val="single"/>
                    </w:rPr>
                  </w:pPr>
                </w:p>
              </w:tc>
              <w:tc>
                <w:tcPr>
                  <w:tcW w:w="734" w:type="dxa"/>
                  <w:gridSpan w:val="2"/>
                  <w:vMerge w:val="restart"/>
                  <w:noWrap w:val="0"/>
                  <w:vAlign w:val="center"/>
                </w:tcPr>
                <w:p>
                  <w:pPr>
                    <w:adjustRightInd w:val="0"/>
                    <w:snapToGrid w:val="0"/>
                    <w:jc w:val="center"/>
                    <w:rPr>
                      <w:rFonts w:eastAsia="宋体"/>
                      <w:sz w:val="21"/>
                      <w:szCs w:val="21"/>
                      <w:u w:val="single"/>
                    </w:rPr>
                  </w:pPr>
                  <w:r>
                    <w:rPr>
                      <w:rFonts w:eastAsia="宋体"/>
                      <w:sz w:val="21"/>
                      <w:szCs w:val="21"/>
                      <w:u w:val="single"/>
                    </w:rPr>
                    <w:t>固废</w:t>
                  </w:r>
                </w:p>
              </w:tc>
              <w:tc>
                <w:tcPr>
                  <w:tcW w:w="1745" w:type="dxa"/>
                  <w:noWrap w:val="0"/>
                  <w:vAlign w:val="center"/>
                </w:tcPr>
                <w:p>
                  <w:pPr>
                    <w:adjustRightInd w:val="0"/>
                    <w:snapToGrid w:val="0"/>
                    <w:jc w:val="center"/>
                    <w:rPr>
                      <w:rFonts w:eastAsia="宋体"/>
                      <w:sz w:val="21"/>
                      <w:szCs w:val="21"/>
                      <w:u w:val="single"/>
                    </w:rPr>
                  </w:pPr>
                  <w:r>
                    <w:rPr>
                      <w:rFonts w:eastAsia="宋体"/>
                      <w:sz w:val="21"/>
                      <w:szCs w:val="21"/>
                      <w:u w:val="single"/>
                    </w:rPr>
                    <w:t>收集的粉尘</w:t>
                  </w:r>
                </w:p>
              </w:tc>
              <w:tc>
                <w:tcPr>
                  <w:tcW w:w="3842" w:type="dxa"/>
                  <w:noWrap w:val="0"/>
                  <w:vAlign w:val="center"/>
                </w:tcPr>
                <w:p>
                  <w:pPr>
                    <w:adjustRightInd w:val="0"/>
                    <w:snapToGrid w:val="0"/>
                    <w:jc w:val="center"/>
                    <w:rPr>
                      <w:rFonts w:eastAsia="宋体"/>
                      <w:sz w:val="21"/>
                      <w:szCs w:val="21"/>
                      <w:u w:val="single"/>
                    </w:rPr>
                  </w:pPr>
                  <w:r>
                    <w:rPr>
                      <w:rFonts w:eastAsia="宋体"/>
                      <w:sz w:val="21"/>
                      <w:szCs w:val="21"/>
                      <w:u w:val="single"/>
                    </w:rPr>
                    <w:t>收集后回用于生产</w:t>
                  </w:r>
                </w:p>
              </w:tc>
              <w:tc>
                <w:tcPr>
                  <w:tcW w:w="2041" w:type="dxa"/>
                  <w:noWrap w:val="0"/>
                  <w:vAlign w:val="center"/>
                </w:tcPr>
                <w:p>
                  <w:pPr>
                    <w:adjustRightInd w:val="0"/>
                    <w:snapToGrid w:val="0"/>
                    <w:jc w:val="center"/>
                    <w:rPr>
                      <w:rFonts w:eastAsia="宋体"/>
                      <w:sz w:val="21"/>
                      <w:szCs w:val="21"/>
                      <w:u w:val="single"/>
                    </w:rPr>
                  </w:pPr>
                  <w:r>
                    <w:rPr>
                      <w:rFonts w:hint="eastAsia" w:eastAsia="宋体"/>
                      <w:sz w:val="21"/>
                      <w:szCs w:val="21"/>
                      <w:u w:val="single"/>
                    </w:rPr>
                    <w:t>是否合理处置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 w:hRule="atLeast"/>
                <w:jc w:val="center"/>
              </w:trPr>
              <w:tc>
                <w:tcPr>
                  <w:tcW w:w="880" w:type="dxa"/>
                  <w:vMerge w:val="continue"/>
                  <w:noWrap w:val="0"/>
                  <w:vAlign w:val="center"/>
                </w:tcPr>
                <w:p>
                  <w:pPr>
                    <w:adjustRightInd w:val="0"/>
                    <w:snapToGrid w:val="0"/>
                    <w:jc w:val="center"/>
                    <w:rPr>
                      <w:rFonts w:eastAsia="宋体"/>
                      <w:sz w:val="21"/>
                      <w:szCs w:val="21"/>
                      <w:u w:val="single"/>
                    </w:rPr>
                  </w:pPr>
                </w:p>
              </w:tc>
              <w:tc>
                <w:tcPr>
                  <w:tcW w:w="734" w:type="dxa"/>
                  <w:gridSpan w:val="2"/>
                  <w:vMerge w:val="continue"/>
                  <w:noWrap w:val="0"/>
                  <w:vAlign w:val="center"/>
                </w:tcPr>
                <w:p>
                  <w:pPr>
                    <w:adjustRightInd w:val="0"/>
                    <w:snapToGrid w:val="0"/>
                    <w:jc w:val="center"/>
                    <w:rPr>
                      <w:rFonts w:eastAsia="宋体"/>
                      <w:sz w:val="21"/>
                      <w:szCs w:val="21"/>
                      <w:u w:val="single"/>
                    </w:rPr>
                  </w:pPr>
                </w:p>
              </w:tc>
              <w:tc>
                <w:tcPr>
                  <w:tcW w:w="1745" w:type="dxa"/>
                  <w:noWrap w:val="0"/>
                  <w:vAlign w:val="center"/>
                </w:tcPr>
                <w:p>
                  <w:pPr>
                    <w:adjustRightInd w:val="0"/>
                    <w:snapToGrid w:val="0"/>
                    <w:jc w:val="center"/>
                    <w:rPr>
                      <w:rFonts w:eastAsia="宋体"/>
                      <w:sz w:val="21"/>
                      <w:szCs w:val="21"/>
                      <w:u w:val="single"/>
                    </w:rPr>
                  </w:pPr>
                  <w:r>
                    <w:rPr>
                      <w:rFonts w:eastAsia="宋体"/>
                      <w:sz w:val="21"/>
                      <w:szCs w:val="21"/>
                      <w:u w:val="single"/>
                    </w:rPr>
                    <w:t>沉渣</w:t>
                  </w:r>
                </w:p>
              </w:tc>
              <w:tc>
                <w:tcPr>
                  <w:tcW w:w="3842" w:type="dxa"/>
                  <w:noWrap w:val="0"/>
                  <w:vAlign w:val="center"/>
                </w:tcPr>
                <w:p>
                  <w:pPr>
                    <w:adjustRightInd w:val="0"/>
                    <w:snapToGrid w:val="0"/>
                    <w:jc w:val="center"/>
                    <w:rPr>
                      <w:rFonts w:eastAsia="宋体"/>
                      <w:sz w:val="21"/>
                      <w:szCs w:val="21"/>
                      <w:u w:val="single"/>
                    </w:rPr>
                  </w:pPr>
                  <w:r>
                    <w:rPr>
                      <w:rFonts w:eastAsia="宋体"/>
                      <w:sz w:val="21"/>
                      <w:szCs w:val="21"/>
                      <w:u w:val="single"/>
                    </w:rPr>
                    <w:t>作为原料用于生产低强度商砼</w:t>
                  </w:r>
                </w:p>
              </w:tc>
              <w:tc>
                <w:tcPr>
                  <w:tcW w:w="2041" w:type="dxa"/>
                  <w:noWrap w:val="0"/>
                  <w:vAlign w:val="center"/>
                </w:tcPr>
                <w:p>
                  <w:pPr>
                    <w:adjustRightInd w:val="0"/>
                    <w:snapToGrid w:val="0"/>
                    <w:jc w:val="center"/>
                    <w:rPr>
                      <w:rFonts w:eastAsia="宋体"/>
                      <w:sz w:val="21"/>
                      <w:szCs w:val="21"/>
                      <w:u w:val="single"/>
                    </w:rPr>
                  </w:pPr>
                  <w:r>
                    <w:rPr>
                      <w:rFonts w:hint="eastAsia" w:eastAsia="宋体"/>
                      <w:sz w:val="21"/>
                      <w:szCs w:val="21"/>
                      <w:u w:val="single"/>
                    </w:rPr>
                    <w:t>是否合理处置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 w:hRule="atLeast"/>
                <w:jc w:val="center"/>
              </w:trPr>
              <w:tc>
                <w:tcPr>
                  <w:tcW w:w="880" w:type="dxa"/>
                  <w:vMerge w:val="continue"/>
                  <w:noWrap w:val="0"/>
                  <w:vAlign w:val="center"/>
                </w:tcPr>
                <w:p>
                  <w:pPr>
                    <w:adjustRightInd w:val="0"/>
                    <w:snapToGrid w:val="0"/>
                    <w:jc w:val="center"/>
                    <w:rPr>
                      <w:rFonts w:eastAsia="宋体"/>
                      <w:sz w:val="21"/>
                      <w:szCs w:val="21"/>
                      <w:u w:val="single"/>
                    </w:rPr>
                  </w:pPr>
                </w:p>
              </w:tc>
              <w:tc>
                <w:tcPr>
                  <w:tcW w:w="734" w:type="dxa"/>
                  <w:gridSpan w:val="2"/>
                  <w:vMerge w:val="continue"/>
                  <w:noWrap w:val="0"/>
                  <w:vAlign w:val="center"/>
                </w:tcPr>
                <w:p>
                  <w:pPr>
                    <w:adjustRightInd w:val="0"/>
                    <w:snapToGrid w:val="0"/>
                    <w:jc w:val="center"/>
                    <w:rPr>
                      <w:rFonts w:eastAsia="宋体"/>
                      <w:sz w:val="21"/>
                      <w:szCs w:val="21"/>
                      <w:u w:val="single"/>
                    </w:rPr>
                  </w:pPr>
                </w:p>
              </w:tc>
              <w:tc>
                <w:tcPr>
                  <w:tcW w:w="1745" w:type="dxa"/>
                  <w:noWrap w:val="0"/>
                  <w:vAlign w:val="center"/>
                </w:tcPr>
                <w:p>
                  <w:pPr>
                    <w:adjustRightInd w:val="0"/>
                    <w:snapToGrid w:val="0"/>
                    <w:jc w:val="center"/>
                    <w:rPr>
                      <w:rFonts w:eastAsia="宋体"/>
                      <w:sz w:val="21"/>
                      <w:szCs w:val="21"/>
                      <w:u w:val="single"/>
                    </w:rPr>
                  </w:pPr>
                  <w:r>
                    <w:rPr>
                      <w:rFonts w:eastAsia="宋体"/>
                      <w:sz w:val="21"/>
                      <w:szCs w:val="21"/>
                      <w:u w:val="single"/>
                    </w:rPr>
                    <w:t>实验废料</w:t>
                  </w:r>
                </w:p>
              </w:tc>
              <w:tc>
                <w:tcPr>
                  <w:tcW w:w="3842" w:type="dxa"/>
                  <w:noWrap w:val="0"/>
                  <w:vAlign w:val="center"/>
                </w:tcPr>
                <w:p>
                  <w:pPr>
                    <w:adjustRightInd w:val="0"/>
                    <w:snapToGrid w:val="0"/>
                    <w:jc w:val="center"/>
                    <w:rPr>
                      <w:rFonts w:eastAsia="宋体"/>
                      <w:sz w:val="21"/>
                      <w:szCs w:val="21"/>
                      <w:u w:val="single"/>
                    </w:rPr>
                  </w:pPr>
                  <w:r>
                    <w:rPr>
                      <w:rFonts w:eastAsia="宋体"/>
                      <w:sz w:val="21"/>
                      <w:szCs w:val="21"/>
                      <w:u w:val="single"/>
                    </w:rPr>
                    <w:t>作为原料回用</w:t>
                  </w:r>
                </w:p>
              </w:tc>
              <w:tc>
                <w:tcPr>
                  <w:tcW w:w="2041" w:type="dxa"/>
                  <w:noWrap w:val="0"/>
                  <w:vAlign w:val="center"/>
                </w:tcPr>
                <w:p>
                  <w:pPr>
                    <w:adjustRightInd w:val="0"/>
                    <w:snapToGrid w:val="0"/>
                    <w:jc w:val="center"/>
                    <w:rPr>
                      <w:rFonts w:hint="eastAsia" w:eastAsia="宋体"/>
                      <w:sz w:val="21"/>
                      <w:szCs w:val="21"/>
                      <w:u w:val="single"/>
                      <w:lang w:val="en-US" w:eastAsia="zh-CN"/>
                    </w:rPr>
                  </w:pPr>
                  <w:r>
                    <w:rPr>
                      <w:rFonts w:hint="eastAsia" w:eastAsia="宋体"/>
                      <w:sz w:val="21"/>
                      <w:szCs w:val="21"/>
                      <w:u w:val="single"/>
                    </w:rPr>
                    <w:t>是否合理处置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 w:hRule="atLeast"/>
                <w:jc w:val="center"/>
              </w:trPr>
              <w:tc>
                <w:tcPr>
                  <w:tcW w:w="880" w:type="dxa"/>
                  <w:vMerge w:val="continue"/>
                  <w:noWrap w:val="0"/>
                  <w:vAlign w:val="center"/>
                </w:tcPr>
                <w:p>
                  <w:pPr>
                    <w:adjustRightInd w:val="0"/>
                    <w:snapToGrid w:val="0"/>
                    <w:jc w:val="center"/>
                    <w:rPr>
                      <w:rFonts w:eastAsia="宋体"/>
                      <w:sz w:val="21"/>
                      <w:szCs w:val="21"/>
                      <w:u w:val="single"/>
                    </w:rPr>
                  </w:pPr>
                </w:p>
              </w:tc>
              <w:tc>
                <w:tcPr>
                  <w:tcW w:w="734" w:type="dxa"/>
                  <w:gridSpan w:val="2"/>
                  <w:vMerge w:val="continue"/>
                  <w:noWrap w:val="0"/>
                  <w:vAlign w:val="center"/>
                </w:tcPr>
                <w:p>
                  <w:pPr>
                    <w:adjustRightInd w:val="0"/>
                    <w:snapToGrid w:val="0"/>
                    <w:jc w:val="center"/>
                    <w:rPr>
                      <w:rFonts w:eastAsia="宋体"/>
                      <w:sz w:val="21"/>
                      <w:szCs w:val="21"/>
                      <w:u w:val="single"/>
                    </w:rPr>
                  </w:pPr>
                </w:p>
              </w:tc>
              <w:tc>
                <w:tcPr>
                  <w:tcW w:w="1745" w:type="dxa"/>
                  <w:noWrap w:val="0"/>
                  <w:vAlign w:val="center"/>
                </w:tcPr>
                <w:p>
                  <w:pPr>
                    <w:adjustRightInd w:val="0"/>
                    <w:snapToGrid w:val="0"/>
                    <w:jc w:val="center"/>
                    <w:rPr>
                      <w:rFonts w:eastAsia="宋体"/>
                      <w:sz w:val="21"/>
                      <w:szCs w:val="21"/>
                      <w:u w:val="single"/>
                    </w:rPr>
                  </w:pPr>
                  <w:r>
                    <w:rPr>
                      <w:rFonts w:eastAsia="宋体"/>
                      <w:sz w:val="21"/>
                      <w:szCs w:val="21"/>
                      <w:u w:val="single"/>
                    </w:rPr>
                    <w:t>生活垃圾</w:t>
                  </w:r>
                </w:p>
              </w:tc>
              <w:tc>
                <w:tcPr>
                  <w:tcW w:w="3842" w:type="dxa"/>
                  <w:noWrap w:val="0"/>
                  <w:vAlign w:val="center"/>
                </w:tcPr>
                <w:p>
                  <w:pPr>
                    <w:adjustRightInd w:val="0"/>
                    <w:snapToGrid w:val="0"/>
                    <w:jc w:val="center"/>
                    <w:rPr>
                      <w:rFonts w:eastAsia="宋体"/>
                      <w:sz w:val="21"/>
                      <w:szCs w:val="21"/>
                      <w:u w:val="single"/>
                    </w:rPr>
                  </w:pPr>
                  <w:r>
                    <w:rPr>
                      <w:rFonts w:eastAsia="宋体"/>
                      <w:sz w:val="21"/>
                      <w:szCs w:val="21"/>
                      <w:u w:val="single"/>
                    </w:rPr>
                    <w:t>集中收集至垃圾收集点后由环卫部门日产日清</w:t>
                  </w:r>
                </w:p>
              </w:tc>
              <w:tc>
                <w:tcPr>
                  <w:tcW w:w="2041" w:type="dxa"/>
                  <w:noWrap w:val="0"/>
                  <w:vAlign w:val="center"/>
                </w:tcPr>
                <w:p>
                  <w:pPr>
                    <w:adjustRightInd w:val="0"/>
                    <w:snapToGrid w:val="0"/>
                    <w:jc w:val="center"/>
                    <w:rPr>
                      <w:rFonts w:eastAsia="宋体"/>
                      <w:sz w:val="21"/>
                      <w:szCs w:val="21"/>
                      <w:u w:val="single"/>
                    </w:rPr>
                  </w:pPr>
                  <w:r>
                    <w:rPr>
                      <w:rFonts w:hint="eastAsia" w:eastAsia="宋体"/>
                      <w:sz w:val="21"/>
                      <w:szCs w:val="21"/>
                      <w:u w:val="single"/>
                    </w:rPr>
                    <w:t>是否合理处置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 w:hRule="atLeast"/>
                <w:jc w:val="center"/>
              </w:trPr>
              <w:tc>
                <w:tcPr>
                  <w:tcW w:w="880" w:type="dxa"/>
                  <w:vMerge w:val="continue"/>
                  <w:noWrap w:val="0"/>
                  <w:vAlign w:val="center"/>
                </w:tcPr>
                <w:p>
                  <w:pPr>
                    <w:adjustRightInd w:val="0"/>
                    <w:snapToGrid w:val="0"/>
                    <w:jc w:val="center"/>
                    <w:rPr>
                      <w:rFonts w:eastAsia="宋体"/>
                      <w:sz w:val="21"/>
                      <w:szCs w:val="21"/>
                      <w:u w:val="single"/>
                    </w:rPr>
                  </w:pPr>
                </w:p>
              </w:tc>
              <w:tc>
                <w:tcPr>
                  <w:tcW w:w="2479" w:type="dxa"/>
                  <w:gridSpan w:val="3"/>
                  <w:noWrap w:val="0"/>
                  <w:vAlign w:val="center"/>
                </w:tcPr>
                <w:p>
                  <w:pPr>
                    <w:adjustRightInd w:val="0"/>
                    <w:snapToGrid w:val="0"/>
                    <w:jc w:val="center"/>
                    <w:rPr>
                      <w:rFonts w:eastAsia="宋体"/>
                      <w:sz w:val="21"/>
                      <w:szCs w:val="21"/>
                      <w:u w:val="single"/>
                    </w:rPr>
                  </w:pPr>
                  <w:r>
                    <w:rPr>
                      <w:rFonts w:eastAsia="宋体"/>
                      <w:sz w:val="21"/>
                      <w:szCs w:val="21"/>
                      <w:u w:val="single"/>
                    </w:rPr>
                    <w:t>噪声</w:t>
                  </w:r>
                </w:p>
              </w:tc>
              <w:tc>
                <w:tcPr>
                  <w:tcW w:w="3842" w:type="dxa"/>
                  <w:noWrap w:val="0"/>
                  <w:vAlign w:val="center"/>
                </w:tcPr>
                <w:p>
                  <w:pPr>
                    <w:adjustRightInd w:val="0"/>
                    <w:snapToGrid w:val="0"/>
                    <w:jc w:val="center"/>
                    <w:rPr>
                      <w:rFonts w:hint="eastAsia" w:eastAsia="宋体"/>
                      <w:sz w:val="21"/>
                      <w:szCs w:val="21"/>
                      <w:u w:val="single"/>
                    </w:rPr>
                  </w:pPr>
                  <w:r>
                    <w:rPr>
                      <w:rFonts w:eastAsia="宋体"/>
                      <w:sz w:val="21"/>
                      <w:szCs w:val="21"/>
                      <w:u w:val="single"/>
                    </w:rPr>
                    <w:t>主机主楼密闭，搅拌机和输送机设减震垫，车辆限速禁鸣牌</w:t>
                  </w:r>
                  <w:r>
                    <w:rPr>
                      <w:rFonts w:hint="eastAsia" w:eastAsia="宋体"/>
                      <w:sz w:val="21"/>
                      <w:szCs w:val="21"/>
                      <w:u w:val="single"/>
                    </w:rPr>
                    <w:t>，</w:t>
                  </w:r>
                  <w:r>
                    <w:rPr>
                      <w:rFonts w:eastAsia="宋体"/>
                      <w:sz w:val="21"/>
                      <w:szCs w:val="21"/>
                      <w:u w:val="single"/>
                    </w:rPr>
                    <w:t>机型设备安装减震基座</w:t>
                  </w:r>
                </w:p>
              </w:tc>
              <w:tc>
                <w:tcPr>
                  <w:tcW w:w="2041" w:type="dxa"/>
                  <w:noWrap w:val="0"/>
                  <w:vAlign w:val="center"/>
                </w:tcPr>
                <w:p>
                  <w:pPr>
                    <w:adjustRightInd w:val="0"/>
                    <w:snapToGrid w:val="0"/>
                    <w:jc w:val="center"/>
                    <w:rPr>
                      <w:rFonts w:eastAsia="宋体"/>
                      <w:sz w:val="21"/>
                      <w:szCs w:val="21"/>
                      <w:u w:val="single"/>
                    </w:rPr>
                  </w:pPr>
                  <w:r>
                    <w:rPr>
                      <w:rFonts w:hint="eastAsia" w:eastAsia="宋体"/>
                      <w:sz w:val="21"/>
                      <w:szCs w:val="21"/>
                      <w:u w:val="single"/>
                    </w:rPr>
                    <w:t>是否合理处置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 w:hRule="atLeast"/>
                <w:jc w:val="center"/>
              </w:trPr>
              <w:tc>
                <w:tcPr>
                  <w:tcW w:w="880" w:type="dxa"/>
                  <w:noWrap w:val="0"/>
                  <w:vAlign w:val="center"/>
                </w:tcPr>
                <w:p>
                  <w:pPr>
                    <w:adjustRightInd w:val="0"/>
                    <w:snapToGrid w:val="0"/>
                    <w:jc w:val="center"/>
                    <w:rPr>
                      <w:rFonts w:hint="eastAsia" w:eastAsia="宋体"/>
                      <w:sz w:val="21"/>
                      <w:szCs w:val="21"/>
                      <w:u w:val="single"/>
                    </w:rPr>
                  </w:pPr>
                  <w:r>
                    <w:rPr>
                      <w:rFonts w:hint="eastAsia" w:eastAsia="宋体"/>
                      <w:sz w:val="21"/>
                      <w:szCs w:val="21"/>
                      <w:u w:val="single"/>
                    </w:rPr>
                    <w:t>服务</w:t>
                  </w:r>
                  <w:r>
                    <w:rPr>
                      <w:rFonts w:eastAsia="宋体"/>
                      <w:sz w:val="21"/>
                      <w:szCs w:val="21"/>
                      <w:u w:val="single"/>
                    </w:rPr>
                    <w:t>期满</w:t>
                  </w:r>
                </w:p>
              </w:tc>
              <w:tc>
                <w:tcPr>
                  <w:tcW w:w="704" w:type="dxa"/>
                  <w:noWrap w:val="0"/>
                  <w:vAlign w:val="center"/>
                </w:tcPr>
                <w:p>
                  <w:pPr>
                    <w:adjustRightInd w:val="0"/>
                    <w:snapToGrid w:val="0"/>
                    <w:jc w:val="center"/>
                    <w:rPr>
                      <w:rFonts w:hint="eastAsia" w:eastAsia="宋体"/>
                      <w:sz w:val="21"/>
                      <w:szCs w:val="21"/>
                      <w:u w:val="single"/>
                    </w:rPr>
                  </w:pPr>
                  <w:r>
                    <w:rPr>
                      <w:rFonts w:eastAsia="宋体"/>
                      <w:sz w:val="21"/>
                      <w:szCs w:val="21"/>
                      <w:u w:val="single"/>
                    </w:rPr>
                    <w:t>环境</w:t>
                  </w:r>
                  <w:r>
                    <w:rPr>
                      <w:rFonts w:hint="eastAsia" w:eastAsia="宋体"/>
                      <w:sz w:val="21"/>
                      <w:szCs w:val="21"/>
                      <w:u w:val="single"/>
                    </w:rPr>
                    <w:t>生态</w:t>
                  </w:r>
                </w:p>
              </w:tc>
              <w:tc>
                <w:tcPr>
                  <w:tcW w:w="1775" w:type="dxa"/>
                  <w:gridSpan w:val="2"/>
                  <w:noWrap w:val="0"/>
                  <w:vAlign w:val="center"/>
                </w:tcPr>
                <w:p>
                  <w:pPr>
                    <w:adjustRightInd w:val="0"/>
                    <w:snapToGrid w:val="0"/>
                    <w:jc w:val="center"/>
                    <w:rPr>
                      <w:rFonts w:hint="eastAsia" w:eastAsia="宋体"/>
                      <w:sz w:val="21"/>
                      <w:szCs w:val="21"/>
                      <w:u w:val="single"/>
                      <w:lang w:eastAsia="zh-CN"/>
                    </w:rPr>
                  </w:pPr>
                  <w:r>
                    <w:rPr>
                      <w:rFonts w:hint="eastAsia" w:eastAsia="宋体"/>
                      <w:sz w:val="21"/>
                      <w:szCs w:val="21"/>
                      <w:u w:val="single"/>
                      <w:lang w:eastAsia="zh-CN"/>
                    </w:rPr>
                    <w:t>地面复原</w:t>
                  </w:r>
                </w:p>
              </w:tc>
              <w:tc>
                <w:tcPr>
                  <w:tcW w:w="3842" w:type="dxa"/>
                  <w:noWrap w:val="0"/>
                  <w:vAlign w:val="center"/>
                </w:tcPr>
                <w:p>
                  <w:pPr>
                    <w:adjustRightInd w:val="0"/>
                    <w:snapToGrid w:val="0"/>
                    <w:jc w:val="center"/>
                    <w:rPr>
                      <w:rFonts w:hint="eastAsia" w:eastAsia="宋体"/>
                      <w:sz w:val="21"/>
                      <w:szCs w:val="21"/>
                      <w:u w:val="single"/>
                    </w:rPr>
                  </w:pPr>
                  <w:r>
                    <w:rPr>
                      <w:rFonts w:hint="eastAsia" w:eastAsia="宋体"/>
                      <w:sz w:val="21"/>
                      <w:szCs w:val="21"/>
                      <w:u w:val="single"/>
                    </w:rPr>
                    <w:t>将项目</w:t>
                  </w:r>
                  <w:r>
                    <w:rPr>
                      <w:rFonts w:eastAsia="宋体"/>
                      <w:sz w:val="21"/>
                      <w:szCs w:val="21"/>
                      <w:u w:val="single"/>
                    </w:rPr>
                    <w:t>建设的各种建筑物拆除，</w:t>
                  </w:r>
                  <w:r>
                    <w:rPr>
                      <w:rFonts w:hint="eastAsia" w:eastAsia="宋体"/>
                      <w:sz w:val="21"/>
                      <w:szCs w:val="21"/>
                      <w:u w:val="single"/>
                    </w:rPr>
                    <w:t>地面</w:t>
                  </w:r>
                  <w:r>
                    <w:rPr>
                      <w:rFonts w:eastAsia="宋体"/>
                      <w:sz w:val="21"/>
                      <w:szCs w:val="21"/>
                      <w:u w:val="single"/>
                    </w:rPr>
                    <w:t>恢复原状</w:t>
                  </w:r>
                </w:p>
              </w:tc>
              <w:tc>
                <w:tcPr>
                  <w:tcW w:w="2041" w:type="dxa"/>
                  <w:noWrap w:val="0"/>
                  <w:vAlign w:val="center"/>
                </w:tcPr>
                <w:p>
                  <w:pPr>
                    <w:adjustRightInd w:val="0"/>
                    <w:snapToGrid w:val="0"/>
                    <w:jc w:val="center"/>
                    <w:rPr>
                      <w:rFonts w:hint="eastAsia" w:eastAsia="宋体"/>
                      <w:sz w:val="21"/>
                      <w:szCs w:val="21"/>
                      <w:u w:val="single"/>
                    </w:rPr>
                  </w:pPr>
                </w:p>
              </w:tc>
            </w:tr>
          </w:tbl>
          <w:p>
            <w:pPr>
              <w:pStyle w:val="104"/>
              <w:jc w:val="both"/>
              <w:rPr>
                <w:rFonts w:cs="宋体"/>
                <w:highlight w:val="yellow"/>
              </w:rPr>
            </w:pPr>
          </w:p>
          <w:p>
            <w:pPr>
              <w:pStyle w:val="104"/>
              <w:jc w:val="both"/>
              <w:rPr>
                <w:rFonts w:cs="宋体"/>
                <w:highlight w:val="yellow"/>
              </w:rPr>
            </w:pPr>
          </w:p>
          <w:p>
            <w:pPr>
              <w:pStyle w:val="104"/>
              <w:jc w:val="both"/>
              <w:rPr>
                <w:rFonts w:cs="宋体"/>
                <w:highlight w:val="yellow"/>
              </w:rPr>
            </w:pPr>
          </w:p>
        </w:tc>
      </w:tr>
    </w:tbl>
    <w:p>
      <w:pPr>
        <w:rPr>
          <w:rFonts w:hint="eastAsia" w:cs="宋体"/>
          <w:b/>
          <w:bCs/>
          <w:sz w:val="28"/>
        </w:rPr>
      </w:pPr>
      <w:r>
        <w:rPr>
          <w:rFonts w:hint="eastAsia" w:cs="宋体"/>
          <w:b/>
          <w:bCs/>
          <w:sz w:val="28"/>
        </w:rPr>
        <w:br w:type="page"/>
      </w:r>
    </w:p>
    <w:p>
      <w:pPr>
        <w:jc w:val="left"/>
        <w:outlineLvl w:val="0"/>
        <w:rPr>
          <w:rFonts w:hint="eastAsia" w:cs="宋体"/>
          <w:b/>
          <w:bCs/>
          <w:sz w:val="28"/>
        </w:rPr>
      </w:pPr>
      <w:bookmarkStart w:id="119" w:name="_Toc30724"/>
      <w:r>
        <w:rPr>
          <w:rFonts w:hint="eastAsia" w:cs="宋体"/>
          <w:b/>
          <w:bCs/>
          <w:sz w:val="28"/>
        </w:rPr>
        <w:t>建设项目拟采取的防治措施及预期治理效果</w:t>
      </w:r>
      <w:bookmarkEnd w:id="119"/>
    </w:p>
    <w:tbl>
      <w:tblPr>
        <w:tblStyle w:val="43"/>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882"/>
        <w:gridCol w:w="1249"/>
        <w:gridCol w:w="2651"/>
        <w:gridCol w:w="2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exact"/>
        </w:trPr>
        <w:tc>
          <w:tcPr>
            <w:tcW w:w="882"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pStyle w:val="216"/>
              <w:jc w:val="right"/>
              <w:rPr>
                <w:rFonts w:hAnsi="宋体"/>
                <w:b/>
                <w:bCs/>
                <w:kern w:val="2"/>
                <w:sz w:val="21"/>
                <w:szCs w:val="21"/>
              </w:rPr>
            </w:pPr>
            <w:r>
              <w:rPr>
                <w:rFonts w:hAnsi="宋体"/>
                <w:b/>
                <w:bCs/>
                <w:kern w:val="2"/>
                <w:sz w:val="21"/>
                <w:szCs w:val="21"/>
              </w:rPr>
              <w:t>内容</w:t>
            </w:r>
          </w:p>
          <w:p>
            <w:pPr>
              <w:pStyle w:val="216"/>
              <w:jc w:val="both"/>
              <w:rPr>
                <w:rFonts w:hAnsi="宋体"/>
                <w:b/>
                <w:bCs/>
                <w:kern w:val="2"/>
                <w:sz w:val="21"/>
                <w:szCs w:val="21"/>
              </w:rPr>
            </w:pPr>
          </w:p>
          <w:p>
            <w:pPr>
              <w:pStyle w:val="216"/>
              <w:jc w:val="left"/>
              <w:rPr>
                <w:b/>
                <w:bCs/>
                <w:kern w:val="2"/>
                <w:sz w:val="21"/>
                <w:szCs w:val="21"/>
              </w:rPr>
            </w:pPr>
            <w:r>
              <w:rPr>
                <w:rFonts w:hAnsi="宋体"/>
                <w:b/>
                <w:bCs/>
                <w:kern w:val="2"/>
                <w:sz w:val="21"/>
                <w:szCs w:val="21"/>
              </w:rPr>
              <w:t>类型</w:t>
            </w:r>
          </w:p>
        </w:tc>
        <w:tc>
          <w:tcPr>
            <w:tcW w:w="1882" w:type="dxa"/>
            <w:tcBorders>
              <w:top w:val="single" w:color="auto" w:sz="4" w:space="0"/>
              <w:left w:val="single" w:color="auto" w:sz="4" w:space="0"/>
              <w:bottom w:val="single" w:color="auto" w:sz="4" w:space="0"/>
              <w:right w:val="single" w:color="auto" w:sz="4" w:space="0"/>
            </w:tcBorders>
            <w:noWrap w:val="0"/>
            <w:vAlign w:val="center"/>
          </w:tcPr>
          <w:p>
            <w:pPr>
              <w:pStyle w:val="216"/>
              <w:rPr>
                <w:b/>
                <w:bCs/>
                <w:kern w:val="2"/>
                <w:sz w:val="21"/>
                <w:szCs w:val="21"/>
              </w:rPr>
            </w:pPr>
            <w:r>
              <w:rPr>
                <w:rFonts w:hAnsi="宋体"/>
                <w:b/>
                <w:bCs/>
                <w:kern w:val="2"/>
                <w:sz w:val="21"/>
                <w:szCs w:val="21"/>
              </w:rPr>
              <w:t>排放源</w:t>
            </w:r>
          </w:p>
          <w:p>
            <w:pPr>
              <w:pStyle w:val="216"/>
              <w:rPr>
                <w:b/>
                <w:bCs/>
                <w:kern w:val="2"/>
                <w:sz w:val="21"/>
                <w:szCs w:val="21"/>
              </w:rPr>
            </w:pPr>
            <w:r>
              <w:rPr>
                <w:b/>
                <w:bCs/>
                <w:kern w:val="2"/>
                <w:sz w:val="21"/>
                <w:szCs w:val="21"/>
              </w:rPr>
              <w:t>(</w:t>
            </w:r>
            <w:r>
              <w:rPr>
                <w:rFonts w:hAnsi="宋体"/>
                <w:b/>
                <w:bCs/>
                <w:kern w:val="2"/>
                <w:sz w:val="21"/>
                <w:szCs w:val="21"/>
              </w:rPr>
              <w:t>编号</w:t>
            </w:r>
            <w:r>
              <w:rPr>
                <w:b/>
                <w:bCs/>
                <w:kern w:val="2"/>
                <w:sz w:val="21"/>
                <w:szCs w:val="21"/>
              </w:rPr>
              <w:t>)</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pStyle w:val="216"/>
              <w:rPr>
                <w:b/>
                <w:bCs/>
                <w:kern w:val="2"/>
                <w:sz w:val="21"/>
                <w:szCs w:val="21"/>
              </w:rPr>
            </w:pPr>
            <w:r>
              <w:rPr>
                <w:rFonts w:hAnsi="宋体"/>
                <w:b/>
                <w:bCs/>
                <w:kern w:val="2"/>
                <w:sz w:val="21"/>
                <w:szCs w:val="21"/>
              </w:rPr>
              <w:t>污染物名称</w:t>
            </w:r>
          </w:p>
        </w:tc>
        <w:tc>
          <w:tcPr>
            <w:tcW w:w="2651" w:type="dxa"/>
            <w:tcBorders>
              <w:top w:val="single" w:color="auto" w:sz="4" w:space="0"/>
              <w:left w:val="single" w:color="auto" w:sz="4" w:space="0"/>
              <w:bottom w:val="single" w:color="auto" w:sz="4" w:space="0"/>
              <w:right w:val="single" w:color="auto" w:sz="4" w:space="0"/>
            </w:tcBorders>
            <w:noWrap w:val="0"/>
            <w:vAlign w:val="center"/>
          </w:tcPr>
          <w:p>
            <w:pPr>
              <w:jc w:val="center"/>
              <w:rPr>
                <w:b/>
                <w:bCs/>
                <w:sz w:val="21"/>
                <w:szCs w:val="21"/>
              </w:rPr>
            </w:pPr>
            <w:r>
              <w:rPr>
                <w:rFonts w:hAnsi="宋体"/>
                <w:b/>
                <w:bCs/>
                <w:sz w:val="21"/>
                <w:szCs w:val="21"/>
              </w:rPr>
              <w:t>防治措施</w:t>
            </w:r>
          </w:p>
        </w:tc>
        <w:tc>
          <w:tcPr>
            <w:tcW w:w="2984" w:type="dxa"/>
            <w:tcBorders>
              <w:top w:val="single" w:color="auto" w:sz="4" w:space="0"/>
              <w:left w:val="single" w:color="auto" w:sz="4" w:space="0"/>
              <w:bottom w:val="single" w:color="auto" w:sz="4" w:space="0"/>
              <w:right w:val="single" w:color="auto" w:sz="4" w:space="0"/>
            </w:tcBorders>
            <w:noWrap w:val="0"/>
            <w:vAlign w:val="center"/>
          </w:tcPr>
          <w:p>
            <w:pPr>
              <w:jc w:val="center"/>
              <w:rPr>
                <w:b/>
                <w:bCs/>
                <w:sz w:val="21"/>
                <w:szCs w:val="21"/>
              </w:rPr>
            </w:pPr>
            <w:r>
              <w:rPr>
                <w:rFonts w:hAnsi="宋体"/>
                <w:b/>
                <w:bCs/>
                <w:sz w:val="21"/>
                <w:szCs w:val="21"/>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8" w:hRule="atLeast"/>
        </w:trPr>
        <w:tc>
          <w:tcPr>
            <w:tcW w:w="882" w:type="dxa"/>
            <w:vMerge w:val="restart"/>
            <w:tcBorders>
              <w:top w:val="single" w:color="auto" w:sz="4" w:space="0"/>
              <w:left w:val="single" w:color="auto" w:sz="4" w:space="0"/>
              <w:right w:val="single" w:color="auto" w:sz="4" w:space="0"/>
            </w:tcBorders>
            <w:noWrap w:val="0"/>
            <w:textDirection w:val="tbRlV"/>
            <w:vAlign w:val="center"/>
          </w:tcPr>
          <w:p>
            <w:pPr>
              <w:jc w:val="center"/>
              <w:rPr>
                <w:rFonts w:eastAsia="宋体"/>
                <w:sz w:val="21"/>
                <w:szCs w:val="21"/>
              </w:rPr>
            </w:pPr>
            <w:r>
              <w:rPr>
                <w:rFonts w:eastAsia="宋体"/>
                <w:sz w:val="21"/>
                <w:szCs w:val="21"/>
              </w:rPr>
              <w:t>大气污染物</w:t>
            </w:r>
          </w:p>
        </w:tc>
        <w:tc>
          <w:tcPr>
            <w:tcW w:w="1882" w:type="dxa"/>
            <w:tcBorders>
              <w:top w:val="single" w:color="auto" w:sz="4" w:space="0"/>
              <w:left w:val="single" w:color="auto" w:sz="4" w:space="0"/>
              <w:right w:val="single" w:color="auto" w:sz="4" w:space="0"/>
            </w:tcBorders>
            <w:noWrap w:val="0"/>
            <w:vAlign w:val="center"/>
          </w:tcPr>
          <w:p>
            <w:pPr>
              <w:jc w:val="center"/>
              <w:rPr>
                <w:rFonts w:hint="eastAsia" w:eastAsia="宋体"/>
                <w:sz w:val="21"/>
                <w:szCs w:val="21"/>
                <w:lang w:val="en-US" w:eastAsia="zh-CN"/>
              </w:rPr>
            </w:pPr>
            <w:r>
              <w:rPr>
                <w:rFonts w:hint="eastAsia" w:eastAsia="宋体"/>
                <w:sz w:val="21"/>
                <w:szCs w:val="21"/>
                <w:lang w:val="en-US" w:eastAsia="zh-CN"/>
              </w:rPr>
              <w:t>生产区</w:t>
            </w:r>
          </w:p>
        </w:tc>
        <w:tc>
          <w:tcPr>
            <w:tcW w:w="1249" w:type="dxa"/>
            <w:tcBorders>
              <w:top w:val="single" w:color="auto" w:sz="4" w:space="0"/>
              <w:left w:val="single" w:color="auto" w:sz="4" w:space="0"/>
              <w:right w:val="single" w:color="auto" w:sz="4" w:space="0"/>
            </w:tcBorders>
            <w:noWrap w:val="0"/>
            <w:vAlign w:val="center"/>
          </w:tcPr>
          <w:p>
            <w:pPr>
              <w:jc w:val="center"/>
              <w:rPr>
                <w:rFonts w:hint="eastAsia" w:eastAsia="宋体"/>
                <w:sz w:val="21"/>
                <w:szCs w:val="21"/>
                <w:lang w:val="en-US" w:eastAsia="zh-CN"/>
              </w:rPr>
            </w:pPr>
            <w:r>
              <w:rPr>
                <w:rFonts w:hint="eastAsia" w:eastAsia="宋体"/>
                <w:sz w:val="21"/>
                <w:szCs w:val="21"/>
                <w:lang w:val="en-US" w:eastAsia="zh-CN"/>
              </w:rPr>
              <w:t>无组织颗粒物</w:t>
            </w:r>
          </w:p>
        </w:tc>
        <w:tc>
          <w:tcPr>
            <w:tcW w:w="2651" w:type="dxa"/>
            <w:tcBorders>
              <w:top w:val="single" w:color="auto" w:sz="4" w:space="0"/>
              <w:left w:val="single" w:color="auto" w:sz="4" w:space="0"/>
              <w:right w:val="single" w:color="auto" w:sz="4" w:space="0"/>
            </w:tcBorders>
            <w:noWrap w:val="0"/>
            <w:vAlign w:val="center"/>
          </w:tcPr>
          <w:p>
            <w:pPr>
              <w:jc w:val="center"/>
              <w:rPr>
                <w:rFonts w:hint="eastAsia" w:eastAsia="宋体"/>
                <w:sz w:val="21"/>
                <w:szCs w:val="21"/>
              </w:rPr>
            </w:pPr>
            <w:r>
              <w:rPr>
                <w:rFonts w:hint="eastAsia" w:eastAsia="宋体"/>
                <w:sz w:val="21"/>
                <w:szCs w:val="21"/>
              </w:rPr>
              <w:t>布袋除尘器</w:t>
            </w:r>
          </w:p>
        </w:tc>
        <w:tc>
          <w:tcPr>
            <w:tcW w:w="2984" w:type="dxa"/>
            <w:tcBorders>
              <w:top w:val="single" w:color="auto" w:sz="4" w:space="0"/>
              <w:left w:val="single" w:color="auto" w:sz="4" w:space="0"/>
              <w:right w:val="single" w:color="auto" w:sz="4" w:space="0"/>
            </w:tcBorders>
            <w:noWrap w:val="0"/>
            <w:vAlign w:val="center"/>
          </w:tcPr>
          <w:p>
            <w:pPr>
              <w:jc w:val="center"/>
              <w:rPr>
                <w:rFonts w:hint="eastAsia" w:eastAsia="宋体"/>
                <w:sz w:val="21"/>
                <w:szCs w:val="21"/>
                <w:lang w:val="en-US" w:eastAsia="zh-CN"/>
              </w:rPr>
            </w:pPr>
            <w:r>
              <w:rPr>
                <w:rFonts w:eastAsia="宋体"/>
                <w:sz w:val="21"/>
                <w:szCs w:val="21"/>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8" w:hRule="atLeast"/>
        </w:trPr>
        <w:tc>
          <w:tcPr>
            <w:tcW w:w="882" w:type="dxa"/>
            <w:vMerge w:val="continue"/>
            <w:tcBorders>
              <w:left w:val="single" w:color="auto" w:sz="4" w:space="0"/>
              <w:right w:val="single" w:color="auto" w:sz="4" w:space="0"/>
            </w:tcBorders>
            <w:noWrap w:val="0"/>
            <w:textDirection w:val="tbRlV"/>
            <w:vAlign w:val="center"/>
          </w:tcPr>
          <w:p>
            <w:pPr>
              <w:jc w:val="center"/>
              <w:rPr>
                <w:rFonts w:eastAsia="宋体"/>
                <w:sz w:val="21"/>
                <w:szCs w:val="21"/>
              </w:rPr>
            </w:pPr>
          </w:p>
        </w:tc>
        <w:tc>
          <w:tcPr>
            <w:tcW w:w="1882" w:type="dxa"/>
            <w:tcBorders>
              <w:top w:val="single" w:color="auto" w:sz="4" w:space="0"/>
              <w:left w:val="single" w:color="auto" w:sz="4" w:space="0"/>
              <w:right w:val="single" w:color="auto" w:sz="4" w:space="0"/>
            </w:tcBorders>
            <w:noWrap w:val="0"/>
            <w:vAlign w:val="center"/>
          </w:tcPr>
          <w:p>
            <w:pPr>
              <w:jc w:val="center"/>
              <w:rPr>
                <w:rFonts w:hint="eastAsia" w:eastAsia="宋体"/>
                <w:sz w:val="21"/>
                <w:szCs w:val="21"/>
                <w:lang w:val="en-US" w:eastAsia="zh-CN"/>
              </w:rPr>
            </w:pPr>
            <w:r>
              <w:rPr>
                <w:rFonts w:hint="eastAsia"/>
                <w:sz w:val="21"/>
                <w:szCs w:val="21"/>
                <w:lang w:val="en-US" w:eastAsia="zh-CN"/>
              </w:rPr>
              <w:t>沥青搅拌站</w:t>
            </w:r>
          </w:p>
        </w:tc>
        <w:tc>
          <w:tcPr>
            <w:tcW w:w="1249" w:type="dxa"/>
            <w:tcBorders>
              <w:top w:val="single" w:color="auto" w:sz="4" w:space="0"/>
              <w:left w:val="single" w:color="auto" w:sz="4" w:space="0"/>
              <w:right w:val="single" w:color="auto" w:sz="4" w:space="0"/>
            </w:tcBorders>
            <w:noWrap w:val="0"/>
            <w:vAlign w:val="center"/>
          </w:tcPr>
          <w:p>
            <w:pPr>
              <w:jc w:val="center"/>
              <w:rPr>
                <w:rFonts w:hint="eastAsia" w:eastAsia="宋体"/>
                <w:sz w:val="21"/>
                <w:szCs w:val="21"/>
                <w:lang w:val="en-US" w:eastAsia="zh-CN"/>
              </w:rPr>
            </w:pPr>
            <w:r>
              <w:rPr>
                <w:rFonts w:hint="eastAsia" w:eastAsia="宋体"/>
                <w:sz w:val="21"/>
                <w:szCs w:val="21"/>
                <w:lang w:val="en-US" w:eastAsia="zh-CN"/>
              </w:rPr>
              <w:t>沥青烟气、苯并[a]芘、沥青储罐区呼吸废气</w:t>
            </w:r>
          </w:p>
        </w:tc>
        <w:tc>
          <w:tcPr>
            <w:tcW w:w="2651" w:type="dxa"/>
            <w:tcBorders>
              <w:top w:val="single" w:color="auto" w:sz="4" w:space="0"/>
              <w:left w:val="single" w:color="auto" w:sz="4" w:space="0"/>
              <w:right w:val="single" w:color="auto" w:sz="4" w:space="0"/>
            </w:tcBorders>
            <w:noWrap w:val="0"/>
            <w:vAlign w:val="center"/>
          </w:tcPr>
          <w:p>
            <w:pPr>
              <w:pStyle w:val="151"/>
              <w:spacing w:line="320" w:lineRule="exact"/>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集气罩+</w:t>
            </w:r>
            <w:r>
              <w:rPr>
                <w:rFonts w:hint="eastAsia" w:eastAsia="宋体" w:cs="Times New Roman"/>
                <w:kern w:val="2"/>
                <w:sz w:val="21"/>
                <w:szCs w:val="21"/>
                <w:lang w:val="en-US" w:eastAsia="zh-CN" w:bidi="ar-SA"/>
              </w:rPr>
              <w:t>布袋</w:t>
            </w:r>
            <w:r>
              <w:rPr>
                <w:rFonts w:hint="eastAsia" w:ascii="Times New Roman" w:hAnsi="Times New Roman" w:eastAsia="宋体" w:cs="Times New Roman"/>
                <w:kern w:val="2"/>
                <w:sz w:val="21"/>
                <w:szCs w:val="21"/>
                <w:lang w:val="en-US" w:eastAsia="zh-CN" w:bidi="ar-SA"/>
              </w:rPr>
              <w:t>除尘器</w:t>
            </w:r>
            <w:r>
              <w:rPr>
                <w:rFonts w:hint="eastAsia" w:eastAsia="宋体" w:cs="Times New Roman"/>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过滤棉+活性炭吸附箱+15m高排气筒</w:t>
            </w:r>
          </w:p>
        </w:tc>
        <w:tc>
          <w:tcPr>
            <w:tcW w:w="2984" w:type="dxa"/>
            <w:tcBorders>
              <w:top w:val="single" w:color="auto" w:sz="4" w:space="0"/>
              <w:left w:val="single" w:color="auto" w:sz="4" w:space="0"/>
              <w:right w:val="single" w:color="auto" w:sz="4" w:space="0"/>
            </w:tcBorders>
            <w:noWrap w:val="0"/>
            <w:vAlign w:val="center"/>
          </w:tcPr>
          <w:p>
            <w:pPr>
              <w:jc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rPr>
        <w:tc>
          <w:tcPr>
            <w:tcW w:w="882" w:type="dxa"/>
            <w:vMerge w:val="continue"/>
            <w:tcBorders>
              <w:left w:val="single" w:color="auto" w:sz="4" w:space="0"/>
              <w:right w:val="single" w:color="auto" w:sz="4" w:space="0"/>
            </w:tcBorders>
            <w:noWrap w:val="0"/>
            <w:textDirection w:val="tbRlV"/>
            <w:vAlign w:val="center"/>
          </w:tcPr>
          <w:p>
            <w:pPr>
              <w:jc w:val="center"/>
              <w:rPr>
                <w:rFonts w:eastAsia="宋体"/>
                <w:sz w:val="21"/>
                <w:szCs w:val="21"/>
              </w:rPr>
            </w:pPr>
          </w:p>
        </w:tc>
        <w:tc>
          <w:tcPr>
            <w:tcW w:w="1882" w:type="dxa"/>
            <w:tcBorders>
              <w:top w:val="single" w:color="auto" w:sz="4" w:space="0"/>
              <w:left w:val="single" w:color="auto" w:sz="4" w:space="0"/>
              <w:right w:val="single" w:color="auto" w:sz="4" w:space="0"/>
            </w:tcBorders>
            <w:noWrap w:val="0"/>
            <w:vAlign w:val="center"/>
          </w:tcPr>
          <w:p>
            <w:pPr>
              <w:jc w:val="center"/>
              <w:rPr>
                <w:rFonts w:hint="eastAsia" w:eastAsia="宋体"/>
                <w:sz w:val="21"/>
                <w:szCs w:val="21"/>
                <w:lang w:val="en-US" w:eastAsia="zh-CN"/>
              </w:rPr>
            </w:pPr>
            <w:r>
              <w:rPr>
                <w:rFonts w:hint="eastAsia" w:eastAsia="宋体"/>
                <w:sz w:val="21"/>
                <w:szCs w:val="21"/>
                <w:lang w:val="en-US" w:eastAsia="zh-CN"/>
              </w:rPr>
              <w:t>原料堆场</w:t>
            </w:r>
          </w:p>
        </w:tc>
        <w:tc>
          <w:tcPr>
            <w:tcW w:w="1249" w:type="dxa"/>
            <w:tcBorders>
              <w:top w:val="single" w:color="auto" w:sz="4" w:space="0"/>
              <w:left w:val="single" w:color="auto" w:sz="4" w:space="0"/>
              <w:right w:val="single" w:color="auto" w:sz="4" w:space="0"/>
            </w:tcBorders>
            <w:noWrap w:val="0"/>
            <w:vAlign w:val="center"/>
          </w:tcPr>
          <w:p>
            <w:pPr>
              <w:jc w:val="center"/>
              <w:rPr>
                <w:rFonts w:hint="eastAsia" w:eastAsia="宋体"/>
                <w:sz w:val="21"/>
                <w:szCs w:val="21"/>
                <w:lang w:val="en-US" w:eastAsia="zh-CN"/>
              </w:rPr>
            </w:pPr>
            <w:r>
              <w:rPr>
                <w:rFonts w:hint="eastAsia" w:eastAsia="宋体"/>
                <w:sz w:val="21"/>
                <w:szCs w:val="21"/>
                <w:lang w:val="en-US" w:eastAsia="zh-CN"/>
              </w:rPr>
              <w:t>颗粒物</w:t>
            </w:r>
          </w:p>
        </w:tc>
        <w:tc>
          <w:tcPr>
            <w:tcW w:w="2651" w:type="dxa"/>
            <w:tcBorders>
              <w:top w:val="single" w:color="auto" w:sz="4" w:space="0"/>
              <w:left w:val="single" w:color="auto" w:sz="4" w:space="0"/>
              <w:right w:val="single" w:color="auto" w:sz="4" w:space="0"/>
            </w:tcBorders>
            <w:noWrap w:val="0"/>
            <w:vAlign w:val="center"/>
          </w:tcPr>
          <w:p>
            <w:pPr>
              <w:jc w:val="center"/>
              <w:rPr>
                <w:rFonts w:hint="eastAsia" w:eastAsia="宋体"/>
                <w:sz w:val="21"/>
                <w:szCs w:val="21"/>
              </w:rPr>
            </w:pPr>
            <w:r>
              <w:rPr>
                <w:rFonts w:hint="eastAsia" w:eastAsia="宋体"/>
                <w:sz w:val="21"/>
                <w:szCs w:val="21"/>
              </w:rPr>
              <w:t>安装轻钢屋顶，四周设置轻钢墙体，安装喷淋装置，加强厂区绿化</w:t>
            </w:r>
          </w:p>
        </w:tc>
        <w:tc>
          <w:tcPr>
            <w:tcW w:w="2984" w:type="dxa"/>
            <w:vMerge w:val="restart"/>
            <w:tcBorders>
              <w:top w:val="single" w:color="auto" w:sz="4" w:space="0"/>
              <w:left w:val="single" w:color="auto" w:sz="4" w:space="0"/>
              <w:right w:val="single" w:color="auto" w:sz="4" w:space="0"/>
            </w:tcBorders>
            <w:noWrap w:val="0"/>
            <w:vAlign w:val="center"/>
          </w:tcPr>
          <w:p>
            <w:pPr>
              <w:jc w:val="center"/>
              <w:rPr>
                <w:rFonts w:hint="eastAsia" w:eastAsia="宋体"/>
                <w:sz w:val="21"/>
                <w:szCs w:val="21"/>
                <w:lang w:val="en-US" w:eastAsia="zh-CN"/>
              </w:rPr>
            </w:pPr>
            <w:r>
              <w:rPr>
                <w:rFonts w:hint="eastAsia"/>
                <w:sz w:val="21"/>
                <w:szCs w:val="21"/>
                <w:lang w:val="en-US" w:eastAsia="zh-CN"/>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trPr>
        <w:tc>
          <w:tcPr>
            <w:tcW w:w="882" w:type="dxa"/>
            <w:vMerge w:val="continue"/>
            <w:tcBorders>
              <w:left w:val="single" w:color="auto" w:sz="4" w:space="0"/>
              <w:right w:val="single" w:color="auto" w:sz="4" w:space="0"/>
            </w:tcBorders>
            <w:noWrap w:val="0"/>
            <w:textDirection w:val="tbRlV"/>
            <w:vAlign w:val="center"/>
          </w:tcPr>
          <w:p>
            <w:pPr>
              <w:jc w:val="center"/>
              <w:rPr>
                <w:rFonts w:eastAsia="宋体"/>
                <w:sz w:val="21"/>
                <w:szCs w:val="21"/>
              </w:rPr>
            </w:pPr>
          </w:p>
        </w:tc>
        <w:tc>
          <w:tcPr>
            <w:tcW w:w="1882" w:type="dxa"/>
            <w:tcBorders>
              <w:left w:val="single" w:color="auto" w:sz="4" w:space="0"/>
              <w:right w:val="single" w:color="auto" w:sz="4" w:space="0"/>
            </w:tcBorders>
            <w:noWrap w:val="0"/>
            <w:vAlign w:val="center"/>
          </w:tcPr>
          <w:p>
            <w:pPr>
              <w:jc w:val="center"/>
              <w:rPr>
                <w:rFonts w:hint="eastAsia" w:eastAsia="宋体"/>
                <w:sz w:val="21"/>
                <w:szCs w:val="21"/>
                <w:lang w:val="en-US" w:eastAsia="zh-CN"/>
              </w:rPr>
            </w:pPr>
            <w:r>
              <w:rPr>
                <w:rFonts w:hint="eastAsia" w:eastAsia="宋体"/>
                <w:sz w:val="21"/>
                <w:szCs w:val="21"/>
                <w:lang w:val="en-US" w:eastAsia="zh-CN"/>
              </w:rPr>
              <w:t>原料输送</w:t>
            </w:r>
            <w:r>
              <w:rPr>
                <w:rFonts w:hint="eastAsia"/>
                <w:sz w:val="21"/>
                <w:szCs w:val="21"/>
                <w:lang w:val="en-US" w:eastAsia="zh-CN"/>
              </w:rPr>
              <w:t>、及生产</w:t>
            </w:r>
          </w:p>
        </w:tc>
        <w:tc>
          <w:tcPr>
            <w:tcW w:w="1249" w:type="dxa"/>
            <w:tcBorders>
              <w:left w:val="single" w:color="auto" w:sz="4" w:space="0"/>
              <w:right w:val="single" w:color="auto" w:sz="4" w:space="0"/>
            </w:tcBorders>
            <w:noWrap w:val="0"/>
            <w:vAlign w:val="center"/>
          </w:tcPr>
          <w:p>
            <w:pPr>
              <w:jc w:val="center"/>
              <w:rPr>
                <w:rFonts w:hint="eastAsia" w:eastAsia="宋体"/>
                <w:sz w:val="21"/>
                <w:szCs w:val="21"/>
              </w:rPr>
            </w:pPr>
            <w:r>
              <w:rPr>
                <w:rFonts w:hint="eastAsia" w:eastAsia="宋体"/>
                <w:sz w:val="21"/>
                <w:szCs w:val="21"/>
              </w:rPr>
              <w:t>颗粒物</w:t>
            </w:r>
          </w:p>
        </w:tc>
        <w:tc>
          <w:tcPr>
            <w:tcW w:w="2651" w:type="dxa"/>
            <w:tcBorders>
              <w:left w:val="single" w:color="auto" w:sz="4" w:space="0"/>
              <w:right w:val="single" w:color="auto" w:sz="4" w:space="0"/>
            </w:tcBorders>
            <w:noWrap w:val="0"/>
            <w:vAlign w:val="center"/>
          </w:tcPr>
          <w:p>
            <w:pPr>
              <w:jc w:val="center"/>
              <w:rPr>
                <w:rFonts w:hint="eastAsia" w:eastAsia="宋体"/>
                <w:sz w:val="21"/>
                <w:szCs w:val="21"/>
              </w:rPr>
            </w:pPr>
            <w:r>
              <w:rPr>
                <w:rFonts w:hint="eastAsia" w:eastAsia="宋体"/>
                <w:sz w:val="21"/>
                <w:szCs w:val="21"/>
              </w:rPr>
              <w:t>装料口喷雾加湿，输送带密封设置，厂区道路及车辆出口处定期洒水</w:t>
            </w:r>
          </w:p>
        </w:tc>
        <w:tc>
          <w:tcPr>
            <w:tcW w:w="2984" w:type="dxa"/>
            <w:vMerge w:val="continue"/>
            <w:tcBorders>
              <w:left w:val="single" w:color="auto" w:sz="4" w:space="0"/>
              <w:right w:val="single" w:color="auto" w:sz="4" w:space="0"/>
            </w:tcBorders>
            <w:noWrap w:val="0"/>
            <w:vAlign w:val="center"/>
          </w:tcPr>
          <w:p>
            <w:pPr>
              <w:jc w:val="center"/>
              <w:rPr>
                <w:rFonts w:eastAsia="宋体"/>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5" w:hRule="atLeast"/>
        </w:trPr>
        <w:tc>
          <w:tcPr>
            <w:tcW w:w="882" w:type="dxa"/>
            <w:tcBorders>
              <w:top w:val="single" w:color="auto" w:sz="4" w:space="0"/>
              <w:left w:val="single" w:color="auto" w:sz="4" w:space="0"/>
              <w:right w:val="single" w:color="auto" w:sz="4" w:space="0"/>
            </w:tcBorders>
            <w:noWrap w:val="0"/>
            <w:textDirection w:val="tbRlV"/>
            <w:vAlign w:val="center"/>
          </w:tcPr>
          <w:p>
            <w:pPr>
              <w:jc w:val="center"/>
              <w:rPr>
                <w:rFonts w:hint="eastAsia" w:eastAsia="宋体"/>
                <w:sz w:val="21"/>
                <w:szCs w:val="21"/>
              </w:rPr>
            </w:pPr>
            <w:r>
              <w:rPr>
                <w:rFonts w:hint="eastAsia" w:eastAsia="宋体"/>
                <w:sz w:val="21"/>
                <w:szCs w:val="21"/>
              </w:rPr>
              <w:t>水污染物</w:t>
            </w:r>
          </w:p>
        </w:tc>
        <w:tc>
          <w:tcPr>
            <w:tcW w:w="1882" w:type="dxa"/>
            <w:tcBorders>
              <w:top w:val="single" w:color="auto" w:sz="4" w:space="0"/>
              <w:left w:val="single" w:color="auto" w:sz="4" w:space="0"/>
              <w:right w:val="single" w:color="auto" w:sz="4" w:space="0"/>
            </w:tcBorders>
            <w:noWrap w:val="0"/>
            <w:vAlign w:val="center"/>
          </w:tcPr>
          <w:p>
            <w:pPr>
              <w:jc w:val="center"/>
              <w:rPr>
                <w:rFonts w:hint="eastAsia" w:eastAsia="宋体"/>
                <w:sz w:val="21"/>
                <w:szCs w:val="21"/>
              </w:rPr>
            </w:pPr>
            <w:r>
              <w:rPr>
                <w:rFonts w:hint="eastAsia" w:eastAsia="宋体"/>
                <w:sz w:val="21"/>
                <w:szCs w:val="21"/>
              </w:rPr>
              <w:t>生活废水</w:t>
            </w:r>
          </w:p>
        </w:tc>
        <w:tc>
          <w:tcPr>
            <w:tcW w:w="1249" w:type="dxa"/>
            <w:tcBorders>
              <w:top w:val="single" w:color="auto" w:sz="4" w:space="0"/>
              <w:left w:val="single" w:color="auto" w:sz="4" w:space="0"/>
              <w:right w:val="single" w:color="auto" w:sz="4" w:space="0"/>
            </w:tcBorders>
            <w:noWrap w:val="0"/>
            <w:vAlign w:val="center"/>
          </w:tcPr>
          <w:p>
            <w:pPr>
              <w:jc w:val="center"/>
              <w:rPr>
                <w:rFonts w:eastAsia="宋体"/>
                <w:sz w:val="21"/>
                <w:szCs w:val="21"/>
              </w:rPr>
            </w:pPr>
            <w:r>
              <w:rPr>
                <w:rFonts w:eastAsia="宋体"/>
                <w:sz w:val="21"/>
                <w:szCs w:val="21"/>
              </w:rPr>
              <w:t>COD</w:t>
            </w:r>
          </w:p>
          <w:p>
            <w:pPr>
              <w:jc w:val="center"/>
              <w:rPr>
                <w:rFonts w:eastAsia="宋体"/>
                <w:sz w:val="21"/>
                <w:szCs w:val="21"/>
              </w:rPr>
            </w:pPr>
            <w:r>
              <w:rPr>
                <w:rFonts w:eastAsia="宋体"/>
                <w:sz w:val="21"/>
                <w:szCs w:val="21"/>
              </w:rPr>
              <w:t>NH</w:t>
            </w:r>
            <w:r>
              <w:rPr>
                <w:rFonts w:eastAsia="宋体"/>
                <w:sz w:val="21"/>
                <w:szCs w:val="21"/>
                <w:vertAlign w:val="subscript"/>
              </w:rPr>
              <w:t>3</w:t>
            </w:r>
            <w:r>
              <w:rPr>
                <w:rFonts w:eastAsia="宋体"/>
                <w:sz w:val="21"/>
                <w:szCs w:val="21"/>
              </w:rPr>
              <w:t>-N</w:t>
            </w:r>
          </w:p>
        </w:tc>
        <w:tc>
          <w:tcPr>
            <w:tcW w:w="2651" w:type="dxa"/>
            <w:tcBorders>
              <w:top w:val="single" w:color="auto" w:sz="4" w:space="0"/>
              <w:left w:val="single" w:color="auto" w:sz="4" w:space="0"/>
              <w:right w:val="single" w:color="auto" w:sz="4" w:space="0"/>
            </w:tcBorders>
            <w:noWrap w:val="0"/>
            <w:vAlign w:val="center"/>
          </w:tcPr>
          <w:p>
            <w:pPr>
              <w:jc w:val="center"/>
              <w:rPr>
                <w:rFonts w:hint="eastAsia" w:eastAsia="宋体"/>
                <w:sz w:val="21"/>
                <w:szCs w:val="21"/>
                <w:lang w:eastAsia="zh-CN"/>
              </w:rPr>
            </w:pPr>
            <w:r>
              <w:rPr>
                <w:rFonts w:hint="eastAsia" w:eastAsia="宋体"/>
                <w:sz w:val="21"/>
                <w:szCs w:val="21"/>
              </w:rPr>
              <w:t>经化粪池处理后，</w:t>
            </w:r>
            <w:r>
              <w:rPr>
                <w:rFonts w:hint="eastAsia" w:eastAsia="宋体"/>
                <w:sz w:val="21"/>
                <w:szCs w:val="21"/>
                <w:lang w:eastAsia="zh-CN"/>
              </w:rPr>
              <w:t>排入市政污水管网</w:t>
            </w:r>
          </w:p>
        </w:tc>
        <w:tc>
          <w:tcPr>
            <w:tcW w:w="2984" w:type="dxa"/>
            <w:tcBorders>
              <w:top w:val="single" w:color="auto" w:sz="4" w:space="0"/>
              <w:left w:val="single" w:color="auto" w:sz="4" w:space="0"/>
              <w:right w:val="single" w:color="auto" w:sz="4" w:space="0"/>
            </w:tcBorders>
            <w:noWrap w:val="0"/>
            <w:vAlign w:val="center"/>
          </w:tcPr>
          <w:p>
            <w:pPr>
              <w:jc w:val="center"/>
              <w:rPr>
                <w:rFonts w:hint="eastAsia" w:eastAsia="宋体"/>
                <w:sz w:val="21"/>
                <w:szCs w:val="21"/>
              </w:rPr>
            </w:pPr>
            <w:r>
              <w:rPr>
                <w:rFonts w:eastAsia="宋体"/>
                <w:sz w:val="21"/>
                <w:szCs w:val="21"/>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3" w:hRule="atLeast"/>
        </w:trPr>
        <w:tc>
          <w:tcPr>
            <w:tcW w:w="882" w:type="dxa"/>
            <w:vMerge w:val="restart"/>
            <w:tcBorders>
              <w:top w:val="single" w:color="auto" w:sz="4" w:space="0"/>
              <w:left w:val="single" w:color="auto" w:sz="4" w:space="0"/>
              <w:right w:val="single" w:color="auto" w:sz="4" w:space="0"/>
            </w:tcBorders>
            <w:noWrap w:val="0"/>
            <w:textDirection w:val="tbRlV"/>
            <w:vAlign w:val="center"/>
          </w:tcPr>
          <w:p>
            <w:pPr>
              <w:jc w:val="center"/>
              <w:rPr>
                <w:rFonts w:eastAsia="宋体"/>
                <w:sz w:val="21"/>
                <w:szCs w:val="21"/>
              </w:rPr>
            </w:pPr>
            <w:r>
              <w:rPr>
                <w:rFonts w:eastAsia="宋体"/>
                <w:sz w:val="21"/>
                <w:szCs w:val="21"/>
              </w:rPr>
              <w:t>固</w:t>
            </w:r>
            <w:r>
              <w:rPr>
                <w:rFonts w:hint="eastAsia" w:eastAsia="宋体"/>
                <w:sz w:val="21"/>
                <w:szCs w:val="21"/>
              </w:rPr>
              <w:t>体</w:t>
            </w:r>
            <w:r>
              <w:rPr>
                <w:rFonts w:eastAsia="宋体"/>
                <w:sz w:val="21"/>
                <w:szCs w:val="21"/>
              </w:rPr>
              <w:t>废物</w:t>
            </w:r>
          </w:p>
        </w:tc>
        <w:tc>
          <w:tcPr>
            <w:tcW w:w="1882" w:type="dxa"/>
            <w:tcBorders>
              <w:top w:val="single" w:color="auto" w:sz="4" w:space="0"/>
              <w:left w:val="single" w:color="auto" w:sz="4" w:space="0"/>
              <w:right w:val="single" w:color="auto" w:sz="4" w:space="0"/>
            </w:tcBorders>
            <w:noWrap w:val="0"/>
            <w:vAlign w:val="center"/>
          </w:tcPr>
          <w:p>
            <w:pPr>
              <w:jc w:val="center"/>
              <w:rPr>
                <w:rFonts w:hint="eastAsia" w:eastAsia="宋体"/>
                <w:sz w:val="21"/>
                <w:szCs w:val="21"/>
              </w:rPr>
            </w:pPr>
            <w:r>
              <w:rPr>
                <w:rFonts w:hint="eastAsia" w:eastAsia="宋体"/>
                <w:sz w:val="21"/>
                <w:szCs w:val="21"/>
              </w:rPr>
              <w:t>除尘器粉尘</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sz w:val="21"/>
                <w:szCs w:val="21"/>
              </w:rPr>
            </w:pPr>
            <w:r>
              <w:rPr>
                <w:rFonts w:hint="eastAsia" w:eastAsia="宋体"/>
                <w:sz w:val="21"/>
                <w:szCs w:val="21"/>
              </w:rPr>
              <w:t>粉尘</w:t>
            </w:r>
          </w:p>
        </w:tc>
        <w:tc>
          <w:tcPr>
            <w:tcW w:w="2651" w:type="dxa"/>
            <w:tcBorders>
              <w:top w:val="single" w:color="auto" w:sz="4" w:space="0"/>
              <w:left w:val="single" w:color="auto" w:sz="4" w:space="0"/>
              <w:right w:val="single" w:color="auto" w:sz="4" w:space="0"/>
            </w:tcBorders>
            <w:noWrap w:val="0"/>
            <w:vAlign w:val="center"/>
          </w:tcPr>
          <w:p>
            <w:pPr>
              <w:jc w:val="center"/>
              <w:rPr>
                <w:rFonts w:hint="eastAsia" w:eastAsia="宋体"/>
                <w:sz w:val="21"/>
                <w:szCs w:val="21"/>
                <w:lang w:val="en-US" w:eastAsia="zh-CN"/>
              </w:rPr>
            </w:pPr>
            <w:r>
              <w:rPr>
                <w:rFonts w:hint="eastAsia" w:eastAsia="宋体"/>
                <w:sz w:val="21"/>
                <w:szCs w:val="21"/>
                <w:lang w:val="en-US" w:eastAsia="zh-CN"/>
              </w:rPr>
              <w:t>收集后回用于生产</w:t>
            </w:r>
          </w:p>
        </w:tc>
        <w:tc>
          <w:tcPr>
            <w:tcW w:w="2984" w:type="dxa"/>
            <w:vMerge w:val="restart"/>
            <w:tcBorders>
              <w:top w:val="single" w:color="auto" w:sz="4" w:space="0"/>
              <w:left w:val="single" w:color="auto" w:sz="4" w:space="0"/>
              <w:right w:val="single" w:color="auto" w:sz="4" w:space="0"/>
            </w:tcBorders>
            <w:noWrap w:val="0"/>
            <w:vAlign w:val="center"/>
          </w:tcPr>
          <w:p>
            <w:pPr>
              <w:jc w:val="center"/>
              <w:rPr>
                <w:rFonts w:hint="eastAsia" w:eastAsia="宋体"/>
                <w:sz w:val="21"/>
                <w:szCs w:val="21"/>
                <w:lang w:eastAsia="zh-CN"/>
              </w:rPr>
            </w:pPr>
            <w:r>
              <w:rPr>
                <w:rFonts w:eastAsia="宋体"/>
                <w:sz w:val="21"/>
                <w:szCs w:val="21"/>
              </w:rPr>
              <w:t>不构成二次污染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3" w:hRule="atLeast"/>
        </w:trPr>
        <w:tc>
          <w:tcPr>
            <w:tcW w:w="882" w:type="dxa"/>
            <w:vMerge w:val="continue"/>
            <w:tcBorders>
              <w:left w:val="single" w:color="auto" w:sz="4" w:space="0"/>
              <w:right w:val="single" w:color="auto" w:sz="4" w:space="0"/>
            </w:tcBorders>
            <w:noWrap w:val="0"/>
            <w:textDirection w:val="tbRlV"/>
            <w:vAlign w:val="center"/>
          </w:tcPr>
          <w:p>
            <w:pPr>
              <w:jc w:val="center"/>
              <w:rPr>
                <w:rFonts w:eastAsia="宋体"/>
                <w:sz w:val="21"/>
                <w:szCs w:val="21"/>
              </w:rPr>
            </w:pPr>
          </w:p>
        </w:tc>
        <w:tc>
          <w:tcPr>
            <w:tcW w:w="1882" w:type="dxa"/>
            <w:tcBorders>
              <w:top w:val="single" w:color="auto" w:sz="4" w:space="0"/>
              <w:left w:val="single" w:color="auto" w:sz="4" w:space="0"/>
              <w:right w:val="single" w:color="auto" w:sz="4" w:space="0"/>
            </w:tcBorders>
            <w:noWrap w:val="0"/>
            <w:vAlign w:val="center"/>
          </w:tcPr>
          <w:p>
            <w:pPr>
              <w:jc w:val="center"/>
              <w:rPr>
                <w:rFonts w:hint="eastAsia" w:eastAsia="宋体"/>
                <w:sz w:val="21"/>
                <w:szCs w:val="21"/>
              </w:rPr>
            </w:pPr>
            <w:r>
              <w:rPr>
                <w:rFonts w:hint="eastAsia" w:eastAsia="宋体"/>
                <w:sz w:val="21"/>
                <w:szCs w:val="21"/>
              </w:rPr>
              <w:t>沉淀池沉渣</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sz w:val="21"/>
                <w:szCs w:val="21"/>
              </w:rPr>
            </w:pPr>
            <w:r>
              <w:rPr>
                <w:rFonts w:hint="eastAsia" w:eastAsia="宋体"/>
                <w:sz w:val="21"/>
                <w:szCs w:val="21"/>
              </w:rPr>
              <w:t>沉渣</w:t>
            </w:r>
          </w:p>
        </w:tc>
        <w:tc>
          <w:tcPr>
            <w:tcW w:w="2651" w:type="dxa"/>
            <w:vMerge w:val="restart"/>
            <w:tcBorders>
              <w:left w:val="single" w:color="auto" w:sz="4" w:space="0"/>
              <w:right w:val="single" w:color="auto" w:sz="4" w:space="0"/>
            </w:tcBorders>
            <w:noWrap w:val="0"/>
            <w:vAlign w:val="center"/>
          </w:tcPr>
          <w:p>
            <w:pPr>
              <w:jc w:val="center"/>
              <w:rPr>
                <w:rFonts w:hint="eastAsia" w:eastAsia="宋体"/>
                <w:sz w:val="21"/>
                <w:szCs w:val="21"/>
                <w:lang w:val="en-US" w:eastAsia="zh-CN"/>
              </w:rPr>
            </w:pPr>
            <w:r>
              <w:rPr>
                <w:rFonts w:hint="eastAsia" w:eastAsia="宋体"/>
                <w:sz w:val="21"/>
                <w:szCs w:val="21"/>
                <w:lang w:val="en-US" w:eastAsia="zh-CN"/>
              </w:rPr>
              <w:t>收集后用于建材利用或路基填埋</w:t>
            </w:r>
          </w:p>
        </w:tc>
        <w:tc>
          <w:tcPr>
            <w:tcW w:w="2984" w:type="dxa"/>
            <w:vMerge w:val="continue"/>
            <w:tcBorders>
              <w:left w:val="single" w:color="auto" w:sz="4" w:space="0"/>
              <w:right w:val="single" w:color="auto" w:sz="4" w:space="0"/>
            </w:tcBorders>
            <w:noWrap w:val="0"/>
            <w:vAlign w:val="center"/>
          </w:tcPr>
          <w:p>
            <w:pPr>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3" w:hRule="atLeast"/>
        </w:trPr>
        <w:tc>
          <w:tcPr>
            <w:tcW w:w="882" w:type="dxa"/>
            <w:vMerge w:val="continue"/>
            <w:tcBorders>
              <w:left w:val="single" w:color="auto" w:sz="4" w:space="0"/>
              <w:right w:val="single" w:color="auto" w:sz="4" w:space="0"/>
            </w:tcBorders>
            <w:noWrap w:val="0"/>
            <w:textDirection w:val="tbRlV"/>
            <w:vAlign w:val="center"/>
          </w:tcPr>
          <w:p>
            <w:pPr>
              <w:jc w:val="center"/>
              <w:rPr>
                <w:rFonts w:eastAsia="宋体"/>
                <w:sz w:val="21"/>
                <w:szCs w:val="21"/>
              </w:rPr>
            </w:pPr>
          </w:p>
        </w:tc>
        <w:tc>
          <w:tcPr>
            <w:tcW w:w="1882" w:type="dxa"/>
            <w:tcBorders>
              <w:top w:val="single" w:color="auto" w:sz="4" w:space="0"/>
              <w:left w:val="single" w:color="auto" w:sz="4" w:space="0"/>
              <w:right w:val="single" w:color="auto" w:sz="4" w:space="0"/>
            </w:tcBorders>
            <w:noWrap w:val="0"/>
            <w:vAlign w:val="center"/>
          </w:tcPr>
          <w:p>
            <w:pPr>
              <w:jc w:val="center"/>
              <w:rPr>
                <w:rFonts w:hint="eastAsia" w:eastAsia="宋体"/>
                <w:sz w:val="21"/>
                <w:szCs w:val="21"/>
              </w:rPr>
            </w:pPr>
            <w:r>
              <w:rPr>
                <w:rFonts w:hint="eastAsia" w:eastAsia="宋体"/>
                <w:sz w:val="21"/>
                <w:szCs w:val="21"/>
              </w:rPr>
              <w:t>实验固废</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sz w:val="21"/>
                <w:szCs w:val="21"/>
              </w:rPr>
            </w:pPr>
            <w:r>
              <w:rPr>
                <w:rFonts w:hint="eastAsia" w:eastAsia="宋体"/>
                <w:sz w:val="21"/>
                <w:szCs w:val="21"/>
              </w:rPr>
              <w:t>废料</w:t>
            </w:r>
          </w:p>
        </w:tc>
        <w:tc>
          <w:tcPr>
            <w:tcW w:w="2651" w:type="dxa"/>
            <w:vMerge w:val="continue"/>
            <w:tcBorders>
              <w:left w:val="single" w:color="auto" w:sz="4" w:space="0"/>
              <w:right w:val="single" w:color="auto" w:sz="4" w:space="0"/>
            </w:tcBorders>
            <w:noWrap w:val="0"/>
            <w:vAlign w:val="center"/>
          </w:tcPr>
          <w:p>
            <w:pPr>
              <w:jc w:val="center"/>
              <w:rPr>
                <w:rFonts w:hint="eastAsia" w:eastAsia="宋体"/>
                <w:sz w:val="21"/>
                <w:szCs w:val="21"/>
                <w:lang w:val="en-US" w:eastAsia="zh-CN"/>
              </w:rPr>
            </w:pPr>
          </w:p>
        </w:tc>
        <w:tc>
          <w:tcPr>
            <w:tcW w:w="2984" w:type="dxa"/>
            <w:vMerge w:val="continue"/>
            <w:tcBorders>
              <w:left w:val="single" w:color="auto" w:sz="4" w:space="0"/>
              <w:right w:val="single" w:color="auto" w:sz="4" w:space="0"/>
            </w:tcBorders>
            <w:noWrap w:val="0"/>
            <w:vAlign w:val="center"/>
          </w:tcPr>
          <w:p>
            <w:pPr>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7" w:hRule="atLeast"/>
        </w:trPr>
        <w:tc>
          <w:tcPr>
            <w:tcW w:w="882" w:type="dxa"/>
            <w:vMerge w:val="continue"/>
            <w:tcBorders>
              <w:left w:val="single" w:color="auto" w:sz="4" w:space="0"/>
              <w:right w:val="single" w:color="auto" w:sz="4" w:space="0"/>
            </w:tcBorders>
            <w:noWrap w:val="0"/>
            <w:textDirection w:val="tbRlV"/>
            <w:vAlign w:val="center"/>
          </w:tcPr>
          <w:p>
            <w:pPr>
              <w:jc w:val="center"/>
              <w:rPr>
                <w:rFonts w:eastAsia="宋体"/>
                <w:sz w:val="21"/>
                <w:szCs w:val="21"/>
              </w:rPr>
            </w:pPr>
          </w:p>
        </w:tc>
        <w:tc>
          <w:tcPr>
            <w:tcW w:w="1882" w:type="dxa"/>
            <w:tcBorders>
              <w:top w:val="single" w:color="auto" w:sz="4" w:space="0"/>
              <w:left w:val="single" w:color="auto" w:sz="4" w:space="0"/>
              <w:right w:val="single" w:color="auto" w:sz="4" w:space="0"/>
            </w:tcBorders>
            <w:noWrap w:val="0"/>
            <w:vAlign w:val="center"/>
          </w:tcPr>
          <w:p>
            <w:pPr>
              <w:jc w:val="center"/>
              <w:rPr>
                <w:rFonts w:hint="eastAsia" w:eastAsia="宋体"/>
                <w:sz w:val="21"/>
                <w:szCs w:val="21"/>
              </w:rPr>
            </w:pPr>
            <w:r>
              <w:rPr>
                <w:rFonts w:hint="eastAsia" w:eastAsia="宋体"/>
                <w:sz w:val="21"/>
                <w:szCs w:val="21"/>
              </w:rPr>
              <w:t>办公、生活</w:t>
            </w:r>
          </w:p>
        </w:tc>
        <w:tc>
          <w:tcPr>
            <w:tcW w:w="1249" w:type="dxa"/>
            <w:tcBorders>
              <w:top w:val="single" w:color="auto" w:sz="4" w:space="0"/>
              <w:left w:val="single" w:color="auto" w:sz="4" w:space="0"/>
              <w:right w:val="single" w:color="auto" w:sz="4" w:space="0"/>
            </w:tcBorders>
            <w:noWrap w:val="0"/>
            <w:vAlign w:val="center"/>
          </w:tcPr>
          <w:p>
            <w:pPr>
              <w:jc w:val="center"/>
              <w:rPr>
                <w:rFonts w:hint="eastAsia" w:eastAsia="宋体"/>
                <w:sz w:val="21"/>
                <w:szCs w:val="21"/>
              </w:rPr>
            </w:pPr>
            <w:r>
              <w:rPr>
                <w:rFonts w:hint="eastAsia" w:eastAsia="宋体"/>
                <w:sz w:val="21"/>
                <w:szCs w:val="21"/>
              </w:rPr>
              <w:t>生活垃圾</w:t>
            </w:r>
          </w:p>
        </w:tc>
        <w:tc>
          <w:tcPr>
            <w:tcW w:w="2651" w:type="dxa"/>
            <w:tcBorders>
              <w:top w:val="single" w:color="auto" w:sz="4" w:space="0"/>
              <w:left w:val="single" w:color="auto" w:sz="4" w:space="0"/>
              <w:right w:val="single" w:color="auto" w:sz="4" w:space="0"/>
            </w:tcBorders>
            <w:noWrap w:val="0"/>
            <w:vAlign w:val="center"/>
          </w:tcPr>
          <w:p>
            <w:pPr>
              <w:jc w:val="center"/>
              <w:rPr>
                <w:rFonts w:hint="eastAsia" w:eastAsia="宋体"/>
                <w:sz w:val="21"/>
                <w:szCs w:val="21"/>
                <w:lang w:val="en-US" w:eastAsia="zh-CN"/>
              </w:rPr>
            </w:pPr>
            <w:r>
              <w:rPr>
                <w:rFonts w:eastAsia="宋体"/>
                <w:sz w:val="21"/>
                <w:szCs w:val="21"/>
                <w:lang w:val="en-US" w:eastAsia="zh-CN"/>
              </w:rPr>
              <w:t>分类收集后由环卫部门统一外运处理</w:t>
            </w:r>
          </w:p>
        </w:tc>
        <w:tc>
          <w:tcPr>
            <w:tcW w:w="2984" w:type="dxa"/>
            <w:vMerge w:val="continue"/>
            <w:tcBorders>
              <w:left w:val="single" w:color="auto" w:sz="4" w:space="0"/>
              <w:right w:val="single" w:color="auto" w:sz="4" w:space="0"/>
            </w:tcBorders>
            <w:noWrap w:val="0"/>
            <w:vAlign w:val="center"/>
          </w:tcPr>
          <w:p>
            <w:pPr>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4" w:hRule="atLeast"/>
        </w:trPr>
        <w:tc>
          <w:tcPr>
            <w:tcW w:w="882" w:type="dxa"/>
            <w:tcBorders>
              <w:left w:val="single" w:color="auto" w:sz="4" w:space="0"/>
              <w:right w:val="single" w:color="auto" w:sz="4" w:space="0"/>
            </w:tcBorders>
            <w:noWrap w:val="0"/>
            <w:textDirection w:val="tbRlV"/>
            <w:vAlign w:val="center"/>
          </w:tcPr>
          <w:p>
            <w:pPr>
              <w:jc w:val="center"/>
              <w:rPr>
                <w:rFonts w:eastAsia="宋体"/>
                <w:sz w:val="21"/>
                <w:szCs w:val="21"/>
              </w:rPr>
            </w:pPr>
            <w:r>
              <w:rPr>
                <w:rFonts w:eastAsia="宋体"/>
                <w:sz w:val="21"/>
                <w:szCs w:val="21"/>
              </w:rPr>
              <w:t>噪  声</w:t>
            </w:r>
          </w:p>
        </w:tc>
        <w:tc>
          <w:tcPr>
            <w:tcW w:w="1882" w:type="dxa"/>
            <w:tcBorders>
              <w:top w:val="single" w:color="auto" w:sz="4" w:space="0"/>
              <w:left w:val="single" w:color="auto" w:sz="4" w:space="0"/>
              <w:right w:val="single" w:color="auto" w:sz="4" w:space="0"/>
            </w:tcBorders>
            <w:noWrap w:val="0"/>
            <w:vAlign w:val="center"/>
          </w:tcPr>
          <w:p>
            <w:pPr>
              <w:jc w:val="center"/>
              <w:rPr>
                <w:rFonts w:eastAsia="宋体"/>
                <w:sz w:val="21"/>
                <w:szCs w:val="21"/>
              </w:rPr>
            </w:pPr>
            <w:r>
              <w:rPr>
                <w:rFonts w:hint="eastAsia" w:eastAsia="宋体"/>
                <w:sz w:val="21"/>
                <w:szCs w:val="21"/>
                <w:lang w:eastAsia="zh-CN"/>
              </w:rPr>
              <w:t>机械设备</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1"/>
                <w:szCs w:val="21"/>
              </w:rPr>
            </w:pPr>
            <w:r>
              <w:rPr>
                <w:rFonts w:hint="eastAsia" w:eastAsia="宋体"/>
                <w:sz w:val="21"/>
                <w:szCs w:val="21"/>
                <w:lang w:eastAsia="zh-CN"/>
              </w:rPr>
              <w:t>设备</w:t>
            </w:r>
            <w:r>
              <w:rPr>
                <w:rFonts w:eastAsia="宋体"/>
                <w:sz w:val="21"/>
                <w:szCs w:val="21"/>
              </w:rPr>
              <w:t>噪声</w:t>
            </w:r>
          </w:p>
        </w:tc>
        <w:tc>
          <w:tcPr>
            <w:tcW w:w="26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sz w:val="21"/>
                <w:szCs w:val="21"/>
              </w:rPr>
            </w:pPr>
            <w:r>
              <w:rPr>
                <w:rFonts w:eastAsia="宋体"/>
                <w:sz w:val="21"/>
                <w:szCs w:val="21"/>
              </w:rPr>
              <w:t>减震、消音+距离衰减</w:t>
            </w:r>
          </w:p>
        </w:tc>
        <w:tc>
          <w:tcPr>
            <w:tcW w:w="2984" w:type="dxa"/>
            <w:tcBorders>
              <w:left w:val="single" w:color="auto" w:sz="4" w:space="0"/>
              <w:right w:val="single" w:color="auto" w:sz="4" w:space="0"/>
            </w:tcBorders>
            <w:noWrap w:val="0"/>
            <w:vAlign w:val="center"/>
          </w:tcPr>
          <w:p>
            <w:pPr>
              <w:jc w:val="center"/>
              <w:rPr>
                <w:rFonts w:eastAsia="宋体"/>
                <w:sz w:val="21"/>
                <w:szCs w:val="21"/>
              </w:rPr>
            </w:pPr>
            <w:r>
              <w:rPr>
                <w:rFonts w:hint="eastAsia" w:eastAsia="宋体"/>
                <w:sz w:val="21"/>
                <w:szCs w:val="21"/>
                <w:lang w:eastAsia="zh-CN"/>
              </w:rPr>
              <w:t>满足</w:t>
            </w:r>
            <w:r>
              <w:rPr>
                <w:rFonts w:eastAsia="宋体"/>
                <w:sz w:val="21"/>
                <w:szCs w:val="21"/>
              </w:rPr>
              <w:t>《工业企业厂界环境噪声排放标准》(GB12348-2008)中的</w:t>
            </w:r>
            <w:r>
              <w:rPr>
                <w:rFonts w:hint="eastAsia" w:eastAsia="宋体"/>
                <w:sz w:val="21"/>
                <w:szCs w:val="21"/>
                <w:lang w:val="en-US" w:eastAsia="zh-CN"/>
              </w:rPr>
              <w:t>2</w:t>
            </w:r>
            <w:r>
              <w:rPr>
                <w:rFonts w:eastAsia="宋体"/>
                <w:sz w:val="21"/>
                <w:szCs w:val="21"/>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9648" w:type="dxa"/>
            <w:gridSpan w:val="5"/>
            <w:tcBorders>
              <w:top w:val="single" w:color="auto" w:sz="4" w:space="0"/>
              <w:left w:val="single" w:color="auto" w:sz="4" w:space="0"/>
              <w:bottom w:val="single" w:color="auto" w:sz="4" w:space="0"/>
              <w:right w:val="single" w:color="auto" w:sz="4" w:space="0"/>
            </w:tcBorders>
            <w:noWrap w:val="0"/>
            <w:vAlign w:val="top"/>
          </w:tcPr>
          <w:p>
            <w:pPr>
              <w:pStyle w:val="21"/>
              <w:spacing w:before="0" w:line="500" w:lineRule="exact"/>
              <w:ind w:left="0" w:firstLine="0"/>
              <w:rPr>
                <w:rFonts w:ascii="Times New Roman" w:eastAsia="宋体"/>
                <w:sz w:val="21"/>
                <w:szCs w:val="21"/>
                <w:lang w:eastAsia="zh-CN"/>
              </w:rPr>
            </w:pPr>
            <w:r>
              <w:rPr>
                <w:rFonts w:ascii="Times New Roman" w:hAnsi="宋体" w:eastAsia="宋体"/>
                <w:b/>
                <w:bCs/>
                <w:sz w:val="21"/>
                <w:szCs w:val="21"/>
              </w:rPr>
              <w:t>生态保护措施及预期效果：</w:t>
            </w:r>
          </w:p>
          <w:p>
            <w:pPr>
              <w:spacing w:line="500" w:lineRule="exact"/>
              <w:ind w:firstLine="420" w:firstLineChars="200"/>
              <w:jc w:val="left"/>
              <w:rPr>
                <w:rFonts w:hint="eastAsia"/>
                <w:sz w:val="21"/>
                <w:szCs w:val="21"/>
              </w:rPr>
            </w:pPr>
            <w:r>
              <w:rPr>
                <w:sz w:val="21"/>
                <w:szCs w:val="21"/>
              </w:rPr>
              <w:t>项目针对生产过程中产生的废气、废水、噪声、固废等污染物均采取了适宜的治理措施，外排各项污染物均能达到国家规定的排放标准，对生态环境不会造成明显负面影响</w:t>
            </w:r>
            <w:r>
              <w:rPr>
                <w:rFonts w:hint="eastAsia"/>
                <w:sz w:val="21"/>
                <w:szCs w:val="21"/>
              </w:rPr>
              <w:t>。</w:t>
            </w:r>
          </w:p>
          <w:p>
            <w:pPr>
              <w:spacing w:line="500" w:lineRule="exact"/>
              <w:ind w:firstLine="420" w:firstLineChars="200"/>
              <w:jc w:val="left"/>
              <w:rPr>
                <w:rFonts w:hint="eastAsia"/>
                <w:sz w:val="21"/>
                <w:szCs w:val="21"/>
              </w:rPr>
            </w:pPr>
          </w:p>
          <w:p>
            <w:pPr>
              <w:spacing w:line="500" w:lineRule="exact"/>
              <w:ind w:firstLine="420" w:firstLineChars="200"/>
              <w:jc w:val="left"/>
              <w:rPr>
                <w:rFonts w:hint="eastAsia"/>
                <w:sz w:val="21"/>
                <w:szCs w:val="21"/>
              </w:rPr>
            </w:pPr>
          </w:p>
          <w:p>
            <w:pPr>
              <w:spacing w:line="500" w:lineRule="exact"/>
              <w:ind w:firstLine="420" w:firstLineChars="200"/>
              <w:jc w:val="left"/>
              <w:rPr>
                <w:rFonts w:hint="eastAsia"/>
                <w:sz w:val="21"/>
                <w:szCs w:val="21"/>
              </w:rPr>
            </w:pPr>
          </w:p>
        </w:tc>
      </w:tr>
    </w:tbl>
    <w:p>
      <w:pPr>
        <w:pStyle w:val="36"/>
      </w:pPr>
    </w:p>
    <w:p>
      <w:pPr>
        <w:jc w:val="left"/>
        <w:outlineLvl w:val="0"/>
        <w:rPr>
          <w:rFonts w:cs="宋体"/>
          <w:b/>
          <w:bCs/>
          <w:sz w:val="28"/>
        </w:rPr>
      </w:pPr>
      <w:bookmarkStart w:id="120" w:name="_Toc7248"/>
      <w:r>
        <w:rPr>
          <w:rFonts w:hint="eastAsia" w:cs="宋体"/>
          <w:b/>
          <w:bCs/>
          <w:sz w:val="28"/>
        </w:rPr>
        <w:t>结论与建议</w:t>
      </w:r>
      <w:bookmarkEnd w:id="120"/>
    </w:p>
    <w:tbl>
      <w:tblPr>
        <w:tblStyle w:val="43"/>
        <w:tblW w:w="92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2"/>
        <w:gridCol w:w="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7" w:type="dxa"/>
          <w:trHeight w:val="11741" w:hRule="atLeast"/>
          <w:jc w:val="center"/>
        </w:trPr>
        <w:tc>
          <w:tcPr>
            <w:tcW w:w="9112" w:type="dxa"/>
          </w:tcPr>
          <w:p>
            <w:pPr>
              <w:ind w:firstLine="482" w:firstLineChars="200"/>
              <w:rPr>
                <w:b/>
                <w:bCs/>
                <w:sz w:val="24"/>
              </w:rPr>
            </w:pPr>
            <w:r>
              <w:rPr>
                <w:rFonts w:hint="eastAsia"/>
                <w:b/>
                <w:bCs/>
                <w:sz w:val="24"/>
              </w:rPr>
              <w:t>一</w:t>
            </w:r>
            <w:r>
              <w:rPr>
                <w:b/>
                <w:bCs/>
                <w:sz w:val="24"/>
              </w:rPr>
              <w:t>、结论</w:t>
            </w:r>
          </w:p>
          <w:p>
            <w:pPr>
              <w:ind w:firstLine="482" w:firstLineChars="200"/>
              <w:jc w:val="left"/>
              <w:rPr>
                <w:b/>
                <w:bCs/>
                <w:sz w:val="24"/>
              </w:rPr>
            </w:pPr>
            <w:r>
              <w:rPr>
                <w:rFonts w:hint="eastAsia"/>
                <w:b/>
                <w:bCs/>
                <w:sz w:val="24"/>
              </w:rPr>
              <w:t>1、</w:t>
            </w:r>
            <w:r>
              <w:rPr>
                <w:b/>
                <w:bCs/>
                <w:sz w:val="24"/>
              </w:rPr>
              <w:t>建设项目概况</w:t>
            </w:r>
          </w:p>
          <w:p>
            <w:pPr>
              <w:ind w:firstLine="480" w:firstLineChars="200"/>
              <w:rPr>
                <w:sz w:val="24"/>
              </w:rPr>
            </w:pPr>
            <w:r>
              <w:rPr>
                <w:rFonts w:hint="eastAsia" w:cs="Times New Roman"/>
                <w:sz w:val="24"/>
                <w:lang w:val="en-US" w:eastAsia="zh-CN"/>
              </w:rPr>
              <w:t>项目主要建设</w:t>
            </w:r>
            <w:r>
              <w:rPr>
                <w:rFonts w:hint="default" w:ascii="Times New Roman" w:hAnsi="Times New Roman" w:cs="Times New Roman"/>
                <w:sz w:val="24"/>
                <w:lang w:val="en-US" w:eastAsia="zh-CN"/>
              </w:rPr>
              <w:t>混凝土拌合站</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钢筋加工场</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预制</w:t>
            </w:r>
            <w:r>
              <w:rPr>
                <w:rFonts w:hint="eastAsia" w:cs="Times New Roman"/>
                <w:sz w:val="24"/>
                <w:lang w:val="en-US" w:eastAsia="zh-CN"/>
              </w:rPr>
              <w:t>厂</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水稳拌合站</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碎石场</w:t>
            </w:r>
            <w:r>
              <w:rPr>
                <w:rFonts w:hint="eastAsia" w:cs="Times New Roman"/>
                <w:sz w:val="24"/>
                <w:lang w:val="en-US" w:eastAsia="zh-CN"/>
              </w:rPr>
              <w:t>沥青拌合站、实验室</w:t>
            </w:r>
            <w:r>
              <w:rPr>
                <w:rFonts w:hint="eastAsia" w:ascii="Times New Roman" w:hAnsi="Times New Roman" w:cs="Times New Roman"/>
                <w:sz w:val="24"/>
              </w:rPr>
              <w:t>等。</w:t>
            </w:r>
            <w:r>
              <w:rPr>
                <w:rFonts w:hint="eastAsia"/>
                <w:sz w:val="24"/>
              </w:rPr>
              <w:t>项目占地面积约为</w:t>
            </w:r>
            <w:r>
              <w:rPr>
                <w:rFonts w:hint="eastAsia"/>
                <w:sz w:val="24"/>
                <w:lang w:val="en-US" w:eastAsia="zh-CN"/>
              </w:rPr>
              <w:t>40829</w:t>
            </w:r>
            <w:r>
              <w:rPr>
                <w:sz w:val="24"/>
              </w:rPr>
              <w:t>m</w:t>
            </w:r>
            <w:r>
              <w:rPr>
                <w:sz w:val="24"/>
                <w:vertAlign w:val="superscript"/>
              </w:rPr>
              <w:t>2</w:t>
            </w:r>
            <w:r>
              <w:rPr>
                <w:rFonts w:hint="eastAsia"/>
                <w:sz w:val="24"/>
              </w:rPr>
              <w:t>，建设内容包括</w:t>
            </w:r>
            <w:r>
              <w:rPr>
                <w:rFonts w:hint="eastAsia"/>
                <w:sz w:val="24"/>
                <w:lang w:eastAsia="zh-CN"/>
              </w:rPr>
              <w:t>主体</w:t>
            </w:r>
            <w:r>
              <w:rPr>
                <w:rFonts w:hint="eastAsia"/>
                <w:sz w:val="24"/>
              </w:rPr>
              <w:t>工程、</w:t>
            </w:r>
            <w:r>
              <w:rPr>
                <w:rFonts w:hint="eastAsia"/>
                <w:sz w:val="24"/>
                <w:lang w:eastAsia="zh-CN"/>
              </w:rPr>
              <w:t>辅助</w:t>
            </w:r>
            <w:r>
              <w:rPr>
                <w:rFonts w:hint="eastAsia"/>
                <w:sz w:val="24"/>
              </w:rPr>
              <w:t>工程、</w:t>
            </w:r>
            <w:r>
              <w:rPr>
                <w:rFonts w:hint="eastAsia"/>
                <w:sz w:val="24"/>
                <w:lang w:eastAsia="zh-CN"/>
              </w:rPr>
              <w:t>公用</w:t>
            </w:r>
            <w:r>
              <w:rPr>
                <w:rFonts w:hint="eastAsia"/>
                <w:sz w:val="24"/>
              </w:rPr>
              <w:t>工程、</w:t>
            </w:r>
            <w:r>
              <w:rPr>
                <w:rFonts w:hint="eastAsia"/>
                <w:sz w:val="24"/>
                <w:lang w:eastAsia="zh-CN"/>
              </w:rPr>
              <w:t>储运</w:t>
            </w:r>
            <w:r>
              <w:rPr>
                <w:rFonts w:hint="eastAsia"/>
                <w:sz w:val="24"/>
              </w:rPr>
              <w:t>工程、</w:t>
            </w:r>
            <w:r>
              <w:rPr>
                <w:rFonts w:hint="eastAsia"/>
                <w:sz w:val="24"/>
                <w:lang w:eastAsia="zh-CN"/>
              </w:rPr>
              <w:t>环保</w:t>
            </w:r>
            <w:r>
              <w:rPr>
                <w:rFonts w:hint="eastAsia"/>
                <w:sz w:val="24"/>
              </w:rPr>
              <w:t>工程等。</w:t>
            </w:r>
          </w:p>
          <w:p>
            <w:pPr>
              <w:ind w:firstLine="482" w:firstLineChars="200"/>
              <w:jc w:val="left"/>
              <w:rPr>
                <w:b/>
                <w:sz w:val="24"/>
              </w:rPr>
            </w:pPr>
            <w:r>
              <w:rPr>
                <w:rFonts w:hint="eastAsia"/>
                <w:b/>
                <w:sz w:val="24"/>
              </w:rPr>
              <w:t>2、</w:t>
            </w:r>
            <w:r>
              <w:rPr>
                <w:b/>
                <w:sz w:val="24"/>
              </w:rPr>
              <w:t>区域环境现状</w:t>
            </w:r>
          </w:p>
          <w:p>
            <w:pPr>
              <w:adjustRightInd w:val="0"/>
              <w:snapToGrid w:val="0"/>
              <w:spacing w:line="360" w:lineRule="auto"/>
              <w:ind w:firstLine="480" w:firstLineChars="200"/>
              <w:rPr>
                <w:color w:val="000000"/>
                <w:sz w:val="24"/>
              </w:rPr>
            </w:pPr>
            <w:r>
              <w:rPr>
                <w:sz w:val="24"/>
              </w:rPr>
              <w:t>（1）大气环境现状：</w:t>
            </w:r>
            <w:r>
              <w:rPr>
                <w:rFonts w:hint="eastAsia"/>
                <w:sz w:val="24"/>
              </w:rPr>
              <w:t>区域监测点位——</w:t>
            </w:r>
            <w:r>
              <w:rPr>
                <w:color w:val="000000"/>
                <w:sz w:val="24"/>
              </w:rPr>
              <w:t>株冶医院测点污染物SO</w:t>
            </w:r>
            <w:r>
              <w:rPr>
                <w:color w:val="000000"/>
                <w:sz w:val="24"/>
                <w:vertAlign w:val="subscript"/>
              </w:rPr>
              <w:t>2</w:t>
            </w:r>
            <w:r>
              <w:rPr>
                <w:color w:val="000000"/>
                <w:sz w:val="24"/>
              </w:rPr>
              <w:t>、NO</w:t>
            </w:r>
            <w:r>
              <w:rPr>
                <w:color w:val="000000"/>
                <w:sz w:val="24"/>
                <w:vertAlign w:val="subscript"/>
              </w:rPr>
              <w:t>2</w:t>
            </w:r>
            <w:r>
              <w:rPr>
                <w:color w:val="000000"/>
                <w:sz w:val="24"/>
              </w:rPr>
              <w:t>、PM</w:t>
            </w:r>
            <w:r>
              <w:rPr>
                <w:color w:val="000000"/>
                <w:sz w:val="24"/>
                <w:vertAlign w:val="subscript"/>
              </w:rPr>
              <w:t>10</w:t>
            </w:r>
            <w:r>
              <w:rPr>
                <w:color w:val="000000"/>
                <w:sz w:val="24"/>
              </w:rPr>
              <w:t>、PM</w:t>
            </w:r>
            <w:r>
              <w:rPr>
                <w:color w:val="000000"/>
                <w:sz w:val="24"/>
                <w:vertAlign w:val="subscript"/>
              </w:rPr>
              <w:t>2.5</w:t>
            </w:r>
            <w:r>
              <w:rPr>
                <w:color w:val="000000"/>
                <w:sz w:val="24"/>
              </w:rPr>
              <w:t>、CO、O</w:t>
            </w:r>
            <w:r>
              <w:rPr>
                <w:color w:val="000000"/>
                <w:sz w:val="24"/>
                <w:vertAlign w:val="subscript"/>
              </w:rPr>
              <w:t>3</w:t>
            </w:r>
            <w:r>
              <w:rPr>
                <w:color w:val="000000"/>
                <w:sz w:val="24"/>
              </w:rPr>
              <w:t>年均浓度分别为</w:t>
            </w:r>
            <w:r>
              <w:rPr>
                <w:rFonts w:hint="eastAsia"/>
                <w:color w:val="000000"/>
                <w:sz w:val="24"/>
              </w:rPr>
              <w:t>17</w:t>
            </w:r>
            <w:r>
              <w:rPr>
                <w:color w:val="000000"/>
                <w:sz w:val="24"/>
              </w:rPr>
              <w:t>ug/m</w:t>
            </w:r>
            <w:r>
              <w:rPr>
                <w:color w:val="000000"/>
                <w:sz w:val="24"/>
                <w:vertAlign w:val="superscript"/>
              </w:rPr>
              <w:t>3</w:t>
            </w:r>
            <w:r>
              <w:rPr>
                <w:color w:val="000000"/>
                <w:sz w:val="24"/>
              </w:rPr>
              <w:t>、</w:t>
            </w:r>
            <w:r>
              <w:rPr>
                <w:rFonts w:hint="eastAsia"/>
                <w:color w:val="000000"/>
                <w:sz w:val="24"/>
              </w:rPr>
              <w:t>35</w:t>
            </w:r>
            <w:r>
              <w:rPr>
                <w:color w:val="000000"/>
                <w:sz w:val="24"/>
              </w:rPr>
              <w:t xml:space="preserve"> ug/m</w:t>
            </w:r>
            <w:r>
              <w:rPr>
                <w:color w:val="000000"/>
                <w:sz w:val="24"/>
                <w:vertAlign w:val="superscript"/>
              </w:rPr>
              <w:t>3</w:t>
            </w:r>
            <w:r>
              <w:rPr>
                <w:color w:val="000000"/>
                <w:sz w:val="24"/>
              </w:rPr>
              <w:t>、</w:t>
            </w:r>
            <w:r>
              <w:rPr>
                <w:rFonts w:hint="eastAsia"/>
                <w:color w:val="000000"/>
                <w:sz w:val="24"/>
              </w:rPr>
              <w:t>74</w:t>
            </w:r>
            <w:r>
              <w:rPr>
                <w:color w:val="000000"/>
                <w:sz w:val="24"/>
              </w:rPr>
              <w:t>ug/m</w:t>
            </w:r>
            <w:r>
              <w:rPr>
                <w:color w:val="000000"/>
                <w:sz w:val="24"/>
                <w:vertAlign w:val="superscript"/>
              </w:rPr>
              <w:t>3</w:t>
            </w:r>
            <w:r>
              <w:rPr>
                <w:color w:val="000000"/>
                <w:sz w:val="24"/>
              </w:rPr>
              <w:t>、</w:t>
            </w:r>
            <w:r>
              <w:rPr>
                <w:rFonts w:hint="eastAsia"/>
                <w:color w:val="000000"/>
                <w:sz w:val="24"/>
              </w:rPr>
              <w:t>46</w:t>
            </w:r>
            <w:r>
              <w:rPr>
                <w:color w:val="000000"/>
                <w:sz w:val="24"/>
              </w:rPr>
              <w:t>ug/m</w:t>
            </w:r>
            <w:r>
              <w:rPr>
                <w:color w:val="000000"/>
                <w:sz w:val="24"/>
                <w:vertAlign w:val="superscript"/>
              </w:rPr>
              <w:t>3</w:t>
            </w:r>
            <w:r>
              <w:rPr>
                <w:color w:val="000000"/>
                <w:sz w:val="24"/>
              </w:rPr>
              <w:t>、</w:t>
            </w:r>
            <w:r>
              <w:rPr>
                <w:rFonts w:hint="eastAsia"/>
                <w:color w:val="000000"/>
                <w:sz w:val="24"/>
              </w:rPr>
              <w:t>1.5</w:t>
            </w:r>
            <w:r>
              <w:rPr>
                <w:color w:val="000000"/>
                <w:sz w:val="24"/>
              </w:rPr>
              <w:t>mg/m</w:t>
            </w:r>
            <w:r>
              <w:rPr>
                <w:color w:val="000000"/>
                <w:sz w:val="24"/>
                <w:vertAlign w:val="superscript"/>
              </w:rPr>
              <w:t>3</w:t>
            </w:r>
            <w:r>
              <w:rPr>
                <w:color w:val="000000"/>
                <w:sz w:val="24"/>
              </w:rPr>
              <w:t>和</w:t>
            </w:r>
            <w:r>
              <w:rPr>
                <w:rFonts w:hint="eastAsia"/>
                <w:color w:val="000000"/>
                <w:sz w:val="24"/>
              </w:rPr>
              <w:t>165</w:t>
            </w:r>
            <w:r>
              <w:rPr>
                <w:color w:val="000000"/>
                <w:sz w:val="24"/>
              </w:rPr>
              <w:t>ug/m</w:t>
            </w:r>
            <w:r>
              <w:rPr>
                <w:color w:val="000000"/>
                <w:sz w:val="24"/>
                <w:vertAlign w:val="superscript"/>
              </w:rPr>
              <w:t>3</w:t>
            </w:r>
            <w:r>
              <w:rPr>
                <w:color w:val="000000"/>
                <w:sz w:val="24"/>
              </w:rPr>
              <w:t>。以污染物年均浓度值评价， SO</w:t>
            </w:r>
            <w:r>
              <w:rPr>
                <w:color w:val="000000"/>
                <w:sz w:val="24"/>
                <w:vertAlign w:val="subscript"/>
              </w:rPr>
              <w:t>2</w:t>
            </w:r>
            <w:r>
              <w:rPr>
                <w:color w:val="000000"/>
                <w:sz w:val="24"/>
              </w:rPr>
              <w:t>和NO</w:t>
            </w:r>
            <w:r>
              <w:rPr>
                <w:color w:val="000000"/>
                <w:sz w:val="24"/>
                <w:vertAlign w:val="subscript"/>
              </w:rPr>
              <w:t>2</w:t>
            </w:r>
            <w:r>
              <w:rPr>
                <w:color w:val="000000"/>
                <w:sz w:val="24"/>
              </w:rPr>
              <w:t>年均浓度均达到GB3095-2012《环境空气质量标准》中的二级标准；PM</w:t>
            </w:r>
            <w:r>
              <w:rPr>
                <w:color w:val="000000"/>
                <w:sz w:val="24"/>
                <w:vertAlign w:val="subscript"/>
              </w:rPr>
              <w:t>10</w:t>
            </w:r>
            <w:r>
              <w:rPr>
                <w:color w:val="000000"/>
                <w:sz w:val="24"/>
              </w:rPr>
              <w:t>和PM</w:t>
            </w:r>
            <w:r>
              <w:rPr>
                <w:color w:val="000000"/>
                <w:sz w:val="24"/>
                <w:vertAlign w:val="subscript"/>
              </w:rPr>
              <w:t>2.5</w:t>
            </w:r>
            <w:r>
              <w:rPr>
                <w:color w:val="000000"/>
                <w:sz w:val="24"/>
              </w:rPr>
              <w:t>年均浓度均未能达到GB3095-2012《环境空气质量标准》中的二级标准，O</w:t>
            </w:r>
            <w:r>
              <w:rPr>
                <w:color w:val="000000"/>
                <w:sz w:val="24"/>
                <w:vertAlign w:val="subscript"/>
              </w:rPr>
              <w:t>3</w:t>
            </w:r>
            <w:r>
              <w:rPr>
                <w:color w:val="000000"/>
                <w:sz w:val="24"/>
              </w:rPr>
              <w:t>和CO年均浓度没有评价标准。项目所在区域为不达标区。</w:t>
            </w:r>
          </w:p>
          <w:p>
            <w:pPr>
              <w:adjustRightInd w:val="0"/>
              <w:snapToGrid w:val="0"/>
              <w:spacing w:line="360" w:lineRule="auto"/>
              <w:ind w:firstLine="480" w:firstLineChars="200"/>
              <w:rPr>
                <w:color w:val="000000"/>
                <w:sz w:val="24"/>
              </w:rPr>
            </w:pPr>
            <w:r>
              <w:rPr>
                <w:sz w:val="24"/>
              </w:rPr>
              <w:t>（2）水环境现状：</w:t>
            </w:r>
            <w:r>
              <w:rPr>
                <w:sz w:val="24"/>
                <w:szCs w:val="20"/>
              </w:rPr>
              <w:t>201</w:t>
            </w:r>
            <w:r>
              <w:rPr>
                <w:rFonts w:hint="eastAsia"/>
                <w:sz w:val="24"/>
                <w:szCs w:val="20"/>
              </w:rPr>
              <w:t>8</w:t>
            </w:r>
            <w:r>
              <w:rPr>
                <w:sz w:val="24"/>
                <w:szCs w:val="20"/>
              </w:rPr>
              <w:t>年</w:t>
            </w:r>
            <w:r>
              <w:rPr>
                <w:rFonts w:hint="eastAsia"/>
                <w:sz w:val="24"/>
                <w:szCs w:val="20"/>
              </w:rPr>
              <w:t>湘江霞湾断面和马家河断面</w:t>
            </w:r>
            <w:r>
              <w:rPr>
                <w:sz w:val="24"/>
                <w:szCs w:val="20"/>
              </w:rPr>
              <w:t>水质能完全</w:t>
            </w:r>
            <w:r>
              <w:rPr>
                <w:rFonts w:hint="eastAsia"/>
                <w:sz w:val="24"/>
                <w:szCs w:val="20"/>
              </w:rPr>
              <w:t>满足</w:t>
            </w:r>
            <w:r>
              <w:rPr>
                <w:sz w:val="24"/>
                <w:szCs w:val="20"/>
              </w:rPr>
              <w:t>GB3838-2002《地表水环境质量标准》中</w:t>
            </w:r>
            <w:r>
              <w:rPr>
                <w:rFonts w:hint="eastAsia"/>
                <w:sz w:val="24"/>
                <w:szCs w:val="20"/>
              </w:rPr>
              <w:t>Ⅲ类标准要求。</w:t>
            </w:r>
            <w:r>
              <w:rPr>
                <w:sz w:val="24"/>
              </w:rPr>
              <w:t>霞湾港</w:t>
            </w:r>
            <w:r>
              <w:rPr>
                <w:rFonts w:hint="eastAsia"/>
                <w:sz w:val="24"/>
              </w:rPr>
              <w:t>和老霞湾港</w:t>
            </w:r>
            <w:r>
              <w:rPr>
                <w:sz w:val="24"/>
              </w:rPr>
              <w:t>各水质监测因子均满足《污水综合排放标准》（GB8987-1996）中一级标准</w:t>
            </w:r>
            <w:r>
              <w:rPr>
                <w:rFonts w:hint="eastAsia"/>
                <w:sz w:val="24"/>
              </w:rPr>
              <w:t>，水环境质量较好</w:t>
            </w:r>
            <w:r>
              <w:rPr>
                <w:rFonts w:hint="eastAsia"/>
                <w:color w:val="000000"/>
                <w:sz w:val="24"/>
              </w:rPr>
              <w:t>。</w:t>
            </w:r>
          </w:p>
          <w:p>
            <w:pPr>
              <w:pStyle w:val="63"/>
              <w:snapToGrid w:val="0"/>
              <w:spacing w:line="360" w:lineRule="auto"/>
              <w:ind w:firstLine="480" w:firstLineChars="200"/>
              <w:rPr>
                <w:rFonts w:ascii="Times New Roman" w:cs="Times New Roman"/>
              </w:rPr>
            </w:pPr>
            <w:r>
              <w:rPr>
                <w:rFonts w:ascii="Times New Roman" w:cs="Times New Roman"/>
                <w:color w:val="auto"/>
              </w:rPr>
              <w:t>（3）</w:t>
            </w:r>
            <w:r>
              <w:rPr>
                <w:rFonts w:ascii="Times New Roman" w:cs="Times New Roman"/>
              </w:rPr>
              <w:t>声环境质量现状：</w:t>
            </w:r>
            <w:r>
              <w:rPr>
                <w:rFonts w:ascii="Times New Roman"/>
              </w:rPr>
              <w:t>各监测点昼夜间噪声均可满足《声环境质量标准》GB309</w:t>
            </w:r>
            <w:r>
              <w:rPr>
                <w:rFonts w:hint="eastAsia" w:ascii="Times New Roman"/>
              </w:rPr>
              <w:t>6</w:t>
            </w:r>
            <w:r>
              <w:rPr>
                <w:rFonts w:ascii="Times New Roman"/>
              </w:rPr>
              <w:t>-2008中</w:t>
            </w:r>
            <w:r>
              <w:rPr>
                <w:rFonts w:hint="eastAsia" w:ascii="Times New Roman"/>
              </w:rPr>
              <w:t>2</w:t>
            </w:r>
            <w:r>
              <w:rPr>
                <w:rFonts w:ascii="Times New Roman"/>
              </w:rPr>
              <w:t>类标准要求。</w:t>
            </w:r>
          </w:p>
          <w:p>
            <w:pPr>
              <w:ind w:firstLine="482" w:firstLineChars="200"/>
              <w:jc w:val="left"/>
              <w:rPr>
                <w:b/>
                <w:sz w:val="24"/>
              </w:rPr>
            </w:pPr>
            <w:r>
              <w:rPr>
                <w:rFonts w:hint="eastAsia"/>
                <w:b/>
                <w:sz w:val="24"/>
              </w:rPr>
              <w:t>3、施工期</w:t>
            </w:r>
            <w:r>
              <w:rPr>
                <w:b/>
                <w:sz w:val="24"/>
              </w:rPr>
              <w:t>环境影响分析</w:t>
            </w:r>
          </w:p>
          <w:p>
            <w:pPr>
              <w:ind w:firstLine="480" w:firstLineChars="200"/>
              <w:jc w:val="left"/>
              <w:rPr>
                <w:sz w:val="24"/>
              </w:rPr>
            </w:pPr>
            <w:r>
              <w:rPr>
                <w:sz w:val="24"/>
              </w:rPr>
              <w:t>（1）施工期水环境影响分析</w:t>
            </w:r>
          </w:p>
          <w:p>
            <w:pPr>
              <w:ind w:firstLine="480" w:firstLineChars="200"/>
              <w:rPr>
                <w:sz w:val="24"/>
              </w:rPr>
            </w:pPr>
            <w:r>
              <w:rPr>
                <w:rFonts w:hint="eastAsia"/>
                <w:sz w:val="24"/>
              </w:rPr>
              <w:t>工程施工作业产生的废水影响包括施工机械洗涤用水；施工现场清洗、养护、冲洗废水；堆放的建筑材料被雨水冲刷对周围水体的污染等，这部分废水主要污染物为COD、SS和石油类。施工生产废水经隔油沉淀处理后用于生产或者路面养护。</w:t>
            </w:r>
            <w:r>
              <w:rPr>
                <w:sz w:val="24"/>
              </w:rPr>
              <w:t>建材堆场应尽量设置在道路永久征地范围内，</w:t>
            </w:r>
            <w:r>
              <w:rPr>
                <w:rFonts w:hint="eastAsia"/>
                <w:sz w:val="24"/>
              </w:rPr>
              <w:t>远离新桥河高排渠、新桥河低排渠，并</w:t>
            </w:r>
            <w:r>
              <w:rPr>
                <w:sz w:val="24"/>
              </w:rPr>
              <w:t>采取一定的防止径流冲刷和风吹起尘的措施。</w:t>
            </w:r>
            <w:r>
              <w:rPr>
                <w:rFonts w:hint="eastAsia"/>
                <w:sz w:val="24"/>
              </w:rPr>
              <w:t>施工过程中禁止将废油料、施工垃圾等弃于水体。采取上述措施后可最大限度减少施工废水对水环境的污染影响。</w:t>
            </w:r>
          </w:p>
          <w:p>
            <w:pPr>
              <w:ind w:firstLine="480" w:firstLineChars="200"/>
              <w:jc w:val="left"/>
              <w:rPr>
                <w:sz w:val="24"/>
              </w:rPr>
            </w:pPr>
            <w:r>
              <w:rPr>
                <w:sz w:val="24"/>
              </w:rPr>
              <w:t>（2）施工期环境空气影响分析</w:t>
            </w:r>
          </w:p>
          <w:p>
            <w:pPr>
              <w:ind w:firstLine="480" w:firstLineChars="200"/>
              <w:jc w:val="left"/>
              <w:rPr>
                <w:sz w:val="24"/>
              </w:rPr>
            </w:pPr>
            <w:r>
              <w:rPr>
                <w:sz w:val="24"/>
              </w:rPr>
              <w:t>本项目施工期对空气环境的污染主要来自</w:t>
            </w:r>
            <w:r>
              <w:rPr>
                <w:rFonts w:hint="eastAsia"/>
                <w:sz w:val="24"/>
              </w:rPr>
              <w:t>车辆行驶扬尘、堆场扬尘、</w:t>
            </w:r>
            <w:r>
              <w:rPr>
                <w:sz w:val="24"/>
              </w:rPr>
              <w:t>施工工地扬尘</w:t>
            </w:r>
            <w:r>
              <w:rPr>
                <w:rFonts w:hint="eastAsia"/>
                <w:sz w:val="24"/>
              </w:rPr>
              <w:t>、</w:t>
            </w:r>
            <w:r>
              <w:rPr>
                <w:sz w:val="24"/>
              </w:rPr>
              <w:t>沥青路面施工产生的沥青烟气及施工机械尾气。通过采取限制车辆行驶速度、保持路面的清洁、定期对施工场地进行洒水降尘、物料堆场四周设置围挡</w:t>
            </w:r>
            <w:r>
              <w:rPr>
                <w:rFonts w:hint="eastAsia"/>
                <w:sz w:val="24"/>
              </w:rPr>
              <w:t>、项目施工场地、主要运输路段设置雾炮机、施工期在建设工地安装扬尘在线监测装置</w:t>
            </w:r>
            <w:r>
              <w:rPr>
                <w:sz w:val="24"/>
              </w:rPr>
              <w:t>等措施后，施工扬尘可得到有效控制；本项目施工机械尾气对周围环境空气质量影响</w:t>
            </w:r>
            <w:r>
              <w:rPr>
                <w:rFonts w:hint="eastAsia"/>
                <w:sz w:val="24"/>
              </w:rPr>
              <w:t>较</w:t>
            </w:r>
            <w:r>
              <w:rPr>
                <w:sz w:val="24"/>
              </w:rPr>
              <w:t>小。</w:t>
            </w:r>
          </w:p>
          <w:p>
            <w:pPr>
              <w:ind w:firstLine="480" w:firstLineChars="200"/>
              <w:jc w:val="left"/>
              <w:rPr>
                <w:sz w:val="24"/>
              </w:rPr>
            </w:pPr>
            <w:r>
              <w:rPr>
                <w:sz w:val="24"/>
              </w:rPr>
              <w:t>（3）施工期声环境影响分析</w:t>
            </w:r>
          </w:p>
          <w:p>
            <w:pPr>
              <w:pStyle w:val="71"/>
              <w:adjustRightInd/>
              <w:snapToGrid/>
              <w:spacing w:line="240" w:lineRule="auto"/>
            </w:pPr>
            <w:r>
              <w:t>在道路施工期，各种作业机械和运输车辆产生施工噪声，对环境产生一定影响。通过采取合理安排施工时间，制定施工计划；合理布局施工现场；选用低噪声设备和工艺；尽可能避免大量高噪声设备同时施工，施工时间尽量安排在昼间，夜间（22：00～6：00）禁止施工；对运输车辆定期维修、养护，减少或杜绝鸣笛，合理安排运输路线等措施，可将施工机械噪声对周围声环境的影响可得到有效控制，且影响是短期的，随着施工的结束而消失。</w:t>
            </w:r>
          </w:p>
          <w:p>
            <w:pPr>
              <w:pStyle w:val="71"/>
              <w:tabs>
                <w:tab w:val="center" w:pos="4688"/>
              </w:tabs>
              <w:adjustRightInd/>
              <w:snapToGrid/>
              <w:spacing w:line="240" w:lineRule="auto"/>
            </w:pPr>
            <w:r>
              <w:rPr>
                <w:rFonts w:hint="eastAsia"/>
              </w:rPr>
              <w:t>（4）施工期固体废物环境分析</w:t>
            </w:r>
            <w:r>
              <w:tab/>
            </w:r>
          </w:p>
          <w:p>
            <w:pPr>
              <w:pStyle w:val="71"/>
              <w:adjustRightInd/>
              <w:snapToGrid/>
              <w:spacing w:line="240" w:lineRule="auto"/>
            </w:pPr>
            <w:r>
              <w:rPr>
                <w:rFonts w:hint="eastAsia"/>
              </w:rPr>
              <w:t>施工期产生的路基清表，表土暂时堆存于施工场地的表土堆场，作为后期道路绿化的表土回填；</w:t>
            </w:r>
            <w:r>
              <w:rPr>
                <w:rFonts w:hint="eastAsia"/>
                <w:szCs w:val="24"/>
              </w:rPr>
              <w:t>建筑垃圾应与具有相关资质的渣土处置公司签订渣土处置协议，统一清运；</w:t>
            </w:r>
            <w:r>
              <w:rPr>
                <w:rFonts w:hint="eastAsia"/>
              </w:rPr>
              <w:t>生活垃圾定点收集，集中管理，定期由环卫部门统一清运。通过采取措施，固体废物对外环境影响较小。</w:t>
            </w:r>
          </w:p>
          <w:p>
            <w:pPr>
              <w:ind w:firstLine="482" w:firstLineChars="200"/>
              <w:jc w:val="left"/>
              <w:rPr>
                <w:b/>
                <w:sz w:val="24"/>
              </w:rPr>
            </w:pPr>
            <w:r>
              <w:rPr>
                <w:rFonts w:hint="eastAsia"/>
                <w:b/>
                <w:sz w:val="24"/>
              </w:rPr>
              <w:t>4、</w:t>
            </w:r>
            <w:r>
              <w:rPr>
                <w:b/>
                <w:sz w:val="24"/>
              </w:rPr>
              <w:t>营运期环境影响分析</w:t>
            </w:r>
          </w:p>
          <w:p>
            <w:pPr>
              <w:ind w:firstLine="480" w:firstLineChars="200"/>
              <w:jc w:val="left"/>
              <w:rPr>
                <w:rFonts w:hint="eastAsia" w:eastAsia="宋体"/>
                <w:sz w:val="24"/>
              </w:rPr>
            </w:pPr>
            <w:r>
              <w:rPr>
                <w:rFonts w:hint="eastAsia" w:eastAsia="宋体"/>
                <w:sz w:val="24"/>
                <w:lang w:eastAsia="zh-CN"/>
              </w:rPr>
              <w:t>（</w:t>
            </w:r>
            <w:r>
              <w:rPr>
                <w:rFonts w:hint="eastAsia" w:eastAsia="宋体"/>
                <w:sz w:val="24"/>
                <w:lang w:val="en-US" w:eastAsia="zh-CN"/>
              </w:rPr>
              <w:t>1</w:t>
            </w:r>
            <w:r>
              <w:rPr>
                <w:rFonts w:hint="eastAsia" w:eastAsia="宋体"/>
                <w:sz w:val="24"/>
                <w:lang w:eastAsia="zh-CN"/>
              </w:rPr>
              <w:t>）</w:t>
            </w:r>
            <w:r>
              <w:rPr>
                <w:rFonts w:hint="eastAsia" w:eastAsia="宋体"/>
                <w:sz w:val="24"/>
              </w:rPr>
              <w:t>环境空气影响分析</w:t>
            </w:r>
          </w:p>
          <w:p>
            <w:pPr>
              <w:ind w:firstLine="480" w:firstLineChars="200"/>
              <w:jc w:val="left"/>
              <w:rPr>
                <w:rFonts w:hint="eastAsia" w:eastAsia="宋体"/>
                <w:sz w:val="24"/>
                <w:lang w:val="de-DE"/>
              </w:rPr>
            </w:pPr>
            <w:r>
              <w:rPr>
                <w:rFonts w:hint="default" w:ascii="Times New Roman" w:hAnsi="Times New Roman" w:eastAsia="宋体" w:cs="Times New Roman"/>
                <w:spacing w:val="0"/>
                <w:kern w:val="0"/>
                <w:sz w:val="24"/>
                <w:szCs w:val="24"/>
                <w:lang w:val="en-US" w:eastAsia="zh-CN" w:bidi="ar-SA"/>
              </w:rPr>
              <w:t>本项目营运期</w:t>
            </w:r>
            <w:r>
              <w:rPr>
                <w:rFonts w:hint="eastAsia" w:eastAsia="宋体" w:cs="Times New Roman"/>
                <w:spacing w:val="0"/>
                <w:kern w:val="0"/>
                <w:sz w:val="24"/>
                <w:szCs w:val="24"/>
                <w:lang w:val="en-US" w:eastAsia="zh-CN" w:bidi="ar-SA"/>
              </w:rPr>
              <w:t>废气主要为生产过程中产生的粉尘、运输粉尘和堆场粉尘</w:t>
            </w:r>
            <w:r>
              <w:rPr>
                <w:rFonts w:hint="default" w:ascii="Times New Roman" w:hAnsi="Times New Roman" w:eastAsia="宋体" w:cs="Times New Roman"/>
                <w:spacing w:val="0"/>
                <w:kern w:val="0"/>
                <w:sz w:val="24"/>
                <w:szCs w:val="24"/>
                <w:lang w:val="en-US" w:eastAsia="zh-CN" w:bidi="ar-SA"/>
              </w:rPr>
              <w:t>，</w:t>
            </w:r>
            <w:r>
              <w:rPr>
                <w:rFonts w:hint="eastAsia" w:eastAsia="宋体" w:cs="Times New Roman"/>
                <w:spacing w:val="0"/>
                <w:kern w:val="0"/>
                <w:sz w:val="24"/>
                <w:szCs w:val="24"/>
                <w:lang w:val="en-US" w:eastAsia="zh-CN" w:bidi="ar-SA"/>
              </w:rPr>
              <w:t>通过布袋除尘器、厂区洒水和运输车辆清洗</w:t>
            </w:r>
            <w:r>
              <w:rPr>
                <w:rFonts w:hint="default" w:ascii="Times New Roman" w:hAnsi="Times New Roman" w:eastAsia="宋体" w:cs="Times New Roman"/>
                <w:spacing w:val="0"/>
                <w:kern w:val="0"/>
                <w:sz w:val="24"/>
                <w:szCs w:val="24"/>
                <w:lang w:val="en-US" w:eastAsia="zh-CN" w:bidi="ar-SA"/>
              </w:rPr>
              <w:t>，对环境不会造成明显影响，其措施可行</w:t>
            </w:r>
            <w:r>
              <w:rPr>
                <w:rFonts w:hint="eastAsia" w:eastAsia="宋体"/>
                <w:sz w:val="24"/>
                <w:lang w:val="de-DE"/>
              </w:rPr>
              <w:t>。</w:t>
            </w:r>
          </w:p>
          <w:p>
            <w:pPr>
              <w:ind w:firstLine="480" w:firstLineChars="200"/>
              <w:jc w:val="left"/>
              <w:rPr>
                <w:rFonts w:hint="eastAsia" w:eastAsia="宋体"/>
                <w:sz w:val="24"/>
              </w:rPr>
            </w:pPr>
            <w:r>
              <w:rPr>
                <w:rFonts w:hint="eastAsia" w:eastAsia="宋体"/>
                <w:sz w:val="24"/>
              </w:rPr>
              <w:t>本项目产生的废气采取了相应的环保措施，对环境影响较小，在可接受范围内。</w:t>
            </w:r>
          </w:p>
          <w:p>
            <w:pPr>
              <w:ind w:firstLine="480" w:firstLineChars="200"/>
              <w:jc w:val="left"/>
              <w:rPr>
                <w:rFonts w:hint="eastAsia" w:eastAsia="宋体"/>
                <w:sz w:val="24"/>
              </w:rPr>
            </w:pPr>
            <w:r>
              <w:rPr>
                <w:rFonts w:hint="eastAsia" w:eastAsia="宋体"/>
                <w:sz w:val="24"/>
              </w:rPr>
              <w:fldChar w:fldCharType="begin"/>
            </w:r>
            <w:r>
              <w:rPr>
                <w:rFonts w:hint="eastAsia" w:eastAsia="宋体"/>
                <w:sz w:val="24"/>
              </w:rPr>
              <w:instrText xml:space="preserve"> = 2 \* GB3 \* MERGEFORMAT </w:instrText>
            </w:r>
            <w:r>
              <w:rPr>
                <w:rFonts w:hint="eastAsia" w:eastAsia="宋体"/>
                <w:sz w:val="24"/>
              </w:rPr>
              <w:fldChar w:fldCharType="separate"/>
            </w:r>
            <w:r>
              <w:rPr>
                <w:rFonts w:hint="eastAsia" w:eastAsia="宋体"/>
                <w:sz w:val="24"/>
              </w:rPr>
              <w:t>②</w:t>
            </w:r>
            <w:r>
              <w:rPr>
                <w:rFonts w:hint="eastAsia" w:eastAsia="宋体"/>
                <w:sz w:val="24"/>
              </w:rPr>
              <w:fldChar w:fldCharType="end"/>
            </w:r>
            <w:r>
              <w:rPr>
                <w:rFonts w:hint="eastAsia" w:eastAsia="宋体"/>
                <w:sz w:val="24"/>
              </w:rPr>
              <w:t>水环境影响分析</w:t>
            </w:r>
          </w:p>
          <w:p>
            <w:pPr>
              <w:ind w:firstLine="480" w:firstLineChars="200"/>
              <w:jc w:val="left"/>
              <w:rPr>
                <w:rFonts w:hint="eastAsia" w:eastAsia="宋体"/>
                <w:sz w:val="24"/>
              </w:rPr>
            </w:pPr>
            <w:r>
              <w:rPr>
                <w:rFonts w:hint="eastAsia" w:eastAsia="宋体"/>
                <w:sz w:val="24"/>
              </w:rPr>
              <w:t>根据本项目规划，该项目劳动定员</w:t>
            </w:r>
            <w:r>
              <w:rPr>
                <w:rFonts w:hint="eastAsia"/>
                <w:sz w:val="24"/>
                <w:lang w:val="en-US" w:eastAsia="zh-CN"/>
              </w:rPr>
              <w:t>126</w:t>
            </w:r>
            <w:r>
              <w:rPr>
                <w:rFonts w:hint="eastAsia" w:eastAsia="宋体"/>
                <w:sz w:val="24"/>
              </w:rPr>
              <w:t>人，项目不设置有宿舍，生活废水产生量为</w:t>
            </w:r>
            <w:r>
              <w:rPr>
                <w:rFonts w:hint="eastAsia" w:eastAsia="宋体"/>
                <w:sz w:val="24"/>
                <w:lang w:val="en-US" w:eastAsia="zh-CN"/>
              </w:rPr>
              <w:t>36</w:t>
            </w:r>
            <w:r>
              <w:rPr>
                <w:rFonts w:hint="eastAsia" w:eastAsia="宋体"/>
                <w:sz w:val="24"/>
              </w:rPr>
              <w:t>0m</w:t>
            </w:r>
            <w:r>
              <w:rPr>
                <w:rFonts w:hint="eastAsia" w:eastAsia="宋体"/>
                <w:sz w:val="24"/>
                <w:vertAlign w:val="superscript"/>
              </w:rPr>
              <w:t>3</w:t>
            </w:r>
            <w:r>
              <w:rPr>
                <w:rFonts w:hint="eastAsia" w:eastAsia="宋体"/>
                <w:sz w:val="24"/>
              </w:rPr>
              <w:t>/a，经化粪池处理后</w:t>
            </w:r>
            <w:r>
              <w:rPr>
                <w:rFonts w:hint="eastAsia" w:eastAsia="宋体"/>
                <w:sz w:val="24"/>
                <w:lang w:eastAsia="zh-CN"/>
              </w:rPr>
              <w:t>排入市政污水管网</w:t>
            </w:r>
            <w:r>
              <w:rPr>
                <w:rFonts w:hint="eastAsia" w:eastAsia="宋体"/>
                <w:sz w:val="24"/>
              </w:rPr>
              <w:t>。</w:t>
            </w:r>
          </w:p>
          <w:p>
            <w:pPr>
              <w:ind w:firstLine="480" w:firstLineChars="200"/>
              <w:jc w:val="left"/>
              <w:rPr>
                <w:rFonts w:hint="eastAsia" w:eastAsia="宋体"/>
                <w:sz w:val="24"/>
              </w:rPr>
            </w:pPr>
            <w:r>
              <w:rPr>
                <w:rFonts w:hint="eastAsia" w:eastAsia="宋体"/>
                <w:sz w:val="24"/>
              </w:rPr>
              <w:t>本项目废水主要为拌合站冲洗废水，经三级沉淀池沉淀后，全部用于车辆冲洗，不外排。</w:t>
            </w:r>
          </w:p>
          <w:p>
            <w:pPr>
              <w:ind w:firstLine="480" w:firstLineChars="200"/>
              <w:jc w:val="left"/>
              <w:rPr>
                <w:rFonts w:hint="eastAsia" w:eastAsia="宋体"/>
                <w:sz w:val="24"/>
              </w:rPr>
            </w:pPr>
            <w:r>
              <w:rPr>
                <w:rFonts w:hint="eastAsia" w:eastAsia="宋体"/>
                <w:sz w:val="24"/>
              </w:rPr>
              <w:t>因此，本项目运营对地表水环境影响很小。</w:t>
            </w:r>
          </w:p>
          <w:p>
            <w:pPr>
              <w:ind w:firstLine="480" w:firstLineChars="200"/>
              <w:jc w:val="left"/>
              <w:rPr>
                <w:rFonts w:hint="eastAsia" w:eastAsia="宋体"/>
                <w:sz w:val="24"/>
              </w:rPr>
            </w:pPr>
            <w:r>
              <w:rPr>
                <w:rFonts w:hint="eastAsia" w:eastAsia="宋体"/>
                <w:sz w:val="24"/>
              </w:rPr>
              <w:t>本项目厂区和仓库地面均采取硬化防渗措施，项目运行不会对区内地下水环境造成明显负面影响。</w:t>
            </w:r>
          </w:p>
          <w:p>
            <w:pPr>
              <w:ind w:firstLine="480" w:firstLineChars="200"/>
              <w:jc w:val="left"/>
              <w:rPr>
                <w:rFonts w:hint="eastAsia" w:eastAsia="宋体"/>
                <w:sz w:val="24"/>
              </w:rPr>
            </w:pPr>
            <w:r>
              <w:rPr>
                <w:rFonts w:hint="eastAsia" w:eastAsia="宋体"/>
                <w:sz w:val="24"/>
              </w:rPr>
              <w:fldChar w:fldCharType="begin"/>
            </w:r>
            <w:r>
              <w:rPr>
                <w:rFonts w:hint="eastAsia" w:eastAsia="宋体"/>
                <w:sz w:val="24"/>
              </w:rPr>
              <w:instrText xml:space="preserve"> = 3 \* GB3 \* MERGEFORMAT </w:instrText>
            </w:r>
            <w:r>
              <w:rPr>
                <w:rFonts w:hint="eastAsia" w:eastAsia="宋体"/>
                <w:sz w:val="24"/>
              </w:rPr>
              <w:fldChar w:fldCharType="separate"/>
            </w:r>
            <w:r>
              <w:rPr>
                <w:rFonts w:hint="eastAsia" w:eastAsia="宋体"/>
                <w:sz w:val="24"/>
              </w:rPr>
              <w:t>③</w:t>
            </w:r>
            <w:r>
              <w:rPr>
                <w:rFonts w:hint="eastAsia" w:eastAsia="宋体"/>
                <w:sz w:val="24"/>
              </w:rPr>
              <w:fldChar w:fldCharType="end"/>
            </w:r>
            <w:r>
              <w:rPr>
                <w:rFonts w:hint="eastAsia" w:eastAsia="宋体"/>
                <w:sz w:val="24"/>
              </w:rPr>
              <w:t>噪声环境影响分析</w:t>
            </w:r>
          </w:p>
          <w:p>
            <w:pPr>
              <w:ind w:firstLine="480" w:firstLineChars="200"/>
              <w:jc w:val="left"/>
              <w:rPr>
                <w:rFonts w:hint="eastAsia" w:eastAsia="宋体"/>
                <w:sz w:val="24"/>
              </w:rPr>
            </w:pPr>
            <w:r>
              <w:rPr>
                <w:rFonts w:hint="eastAsia" w:eastAsia="宋体"/>
                <w:sz w:val="24"/>
              </w:rPr>
              <w:t>本项目主要噪声源是拌合站及运输车辆等，源强为80-95dB(A)。</w:t>
            </w:r>
            <w:r>
              <w:rPr>
                <w:rFonts w:hint="eastAsia" w:eastAsia="宋体"/>
                <w:sz w:val="24"/>
                <w:lang w:val="de-DE"/>
              </w:rPr>
              <w:t>建议企业设备选型首先选用低噪声设备，应采用加大减震基础，安装减震装置，在设备安装及设备连接处可采用减震垫或柔性接头等措施。</w:t>
            </w:r>
            <w:r>
              <w:rPr>
                <w:rFonts w:hint="eastAsia" w:eastAsia="宋体"/>
                <w:sz w:val="24"/>
              </w:rPr>
              <w:t>建立设备定期维护、保养的管理制度，以防止设备故障形成的非正常生产噪声，同时确保环保措施发挥最有效的功能。</w:t>
            </w:r>
          </w:p>
          <w:p>
            <w:pPr>
              <w:ind w:firstLine="480" w:firstLineChars="200"/>
              <w:jc w:val="left"/>
              <w:rPr>
                <w:rFonts w:hint="eastAsia" w:eastAsia="宋体"/>
                <w:sz w:val="24"/>
              </w:rPr>
            </w:pPr>
            <w:r>
              <w:rPr>
                <w:rFonts w:hint="eastAsia" w:eastAsia="宋体"/>
                <w:sz w:val="24"/>
              </w:rPr>
              <w:fldChar w:fldCharType="begin"/>
            </w:r>
            <w:r>
              <w:rPr>
                <w:rFonts w:hint="eastAsia" w:eastAsia="宋体"/>
                <w:sz w:val="24"/>
              </w:rPr>
              <w:instrText xml:space="preserve"> = 4 \* GB3 \* MERGEFORMAT </w:instrText>
            </w:r>
            <w:r>
              <w:rPr>
                <w:rFonts w:hint="eastAsia" w:eastAsia="宋体"/>
                <w:sz w:val="24"/>
              </w:rPr>
              <w:fldChar w:fldCharType="separate"/>
            </w:r>
            <w:r>
              <w:rPr>
                <w:rFonts w:hint="eastAsia" w:eastAsia="宋体"/>
                <w:sz w:val="24"/>
              </w:rPr>
              <w:t>④</w:t>
            </w:r>
            <w:r>
              <w:rPr>
                <w:rFonts w:hint="eastAsia" w:eastAsia="宋体"/>
                <w:sz w:val="24"/>
              </w:rPr>
              <w:fldChar w:fldCharType="end"/>
            </w:r>
            <w:r>
              <w:rPr>
                <w:rFonts w:hint="eastAsia" w:eastAsia="宋体"/>
                <w:sz w:val="24"/>
              </w:rPr>
              <w:t>固废对环境的影响分析</w:t>
            </w:r>
          </w:p>
          <w:p>
            <w:pPr>
              <w:ind w:firstLine="480" w:firstLineChars="200"/>
              <w:jc w:val="left"/>
              <w:rPr>
                <w:rFonts w:hint="eastAsia" w:eastAsia="宋体"/>
                <w:sz w:val="24"/>
              </w:rPr>
            </w:pPr>
            <w:r>
              <w:rPr>
                <w:rFonts w:hint="eastAsia" w:eastAsia="宋体"/>
                <w:sz w:val="24"/>
              </w:rPr>
              <w:t>本项目产生的固体废物主要是布袋除尘器收集的粉尘、沉淀池沉渣以及工作人员办公、生活产生的生活垃圾。</w:t>
            </w:r>
          </w:p>
          <w:p>
            <w:pPr>
              <w:ind w:firstLine="480" w:firstLineChars="200"/>
              <w:jc w:val="left"/>
              <w:rPr>
                <w:rFonts w:hint="eastAsia" w:eastAsia="宋体"/>
                <w:sz w:val="24"/>
              </w:rPr>
            </w:pPr>
            <w:r>
              <w:rPr>
                <w:rFonts w:hint="eastAsia" w:eastAsia="宋体"/>
                <w:sz w:val="24"/>
              </w:rPr>
              <w:t>沉淀池产生的沉渣</w:t>
            </w:r>
            <w:r>
              <w:rPr>
                <w:rFonts w:hint="eastAsia" w:eastAsia="宋体"/>
                <w:sz w:val="24"/>
                <w:lang w:val="en-US" w:eastAsia="zh-CN"/>
              </w:rPr>
              <w:t>225</w:t>
            </w:r>
            <w:r>
              <w:rPr>
                <w:rFonts w:hint="eastAsia" w:eastAsia="宋体"/>
                <w:sz w:val="24"/>
              </w:rPr>
              <w:t>6t/a，收集后用于建材利用或路基填埋；</w:t>
            </w:r>
          </w:p>
          <w:p>
            <w:pPr>
              <w:ind w:firstLine="480" w:firstLineChars="200"/>
              <w:jc w:val="left"/>
              <w:rPr>
                <w:rFonts w:hint="eastAsia" w:eastAsia="宋体"/>
                <w:sz w:val="24"/>
              </w:rPr>
            </w:pPr>
            <w:r>
              <w:rPr>
                <w:rFonts w:hint="eastAsia" w:eastAsia="宋体"/>
                <w:sz w:val="24"/>
              </w:rPr>
              <w:t>实验过程产生的实验废料约</w:t>
            </w:r>
            <w:r>
              <w:rPr>
                <w:rFonts w:hint="eastAsia" w:eastAsia="宋体"/>
                <w:sz w:val="24"/>
                <w:lang w:val="en-US" w:eastAsia="zh-CN"/>
              </w:rPr>
              <w:t>3</w:t>
            </w:r>
            <w:r>
              <w:rPr>
                <w:rFonts w:hint="eastAsia" w:eastAsia="宋体"/>
                <w:sz w:val="24"/>
              </w:rPr>
              <w:t>.5t/a，收集后用于建材利用或路基填埋。</w:t>
            </w:r>
          </w:p>
          <w:p>
            <w:pPr>
              <w:ind w:firstLine="480" w:firstLineChars="200"/>
              <w:jc w:val="left"/>
              <w:rPr>
                <w:rFonts w:hint="eastAsia" w:eastAsia="宋体"/>
                <w:sz w:val="24"/>
              </w:rPr>
            </w:pPr>
            <w:r>
              <w:rPr>
                <w:rFonts w:hint="eastAsia" w:eastAsia="宋体"/>
                <w:sz w:val="24"/>
              </w:rPr>
              <w:t>自然沉降及布袋除尘器收集粉尘量合计为</w:t>
            </w:r>
            <w:r>
              <w:rPr>
                <w:rFonts w:hint="eastAsia" w:eastAsia="宋体"/>
                <w:sz w:val="24"/>
                <w:lang w:val="en-US" w:eastAsia="zh-CN"/>
              </w:rPr>
              <w:t>3</w:t>
            </w:r>
            <w:r>
              <w:rPr>
                <w:rFonts w:hint="eastAsia" w:eastAsia="宋体"/>
                <w:sz w:val="24"/>
              </w:rPr>
              <w:t>17.35t/a，收集后回用。</w:t>
            </w:r>
          </w:p>
          <w:p>
            <w:pPr>
              <w:ind w:firstLine="480" w:firstLineChars="200"/>
              <w:jc w:val="left"/>
              <w:rPr>
                <w:rFonts w:hint="eastAsia" w:eastAsia="宋体"/>
                <w:sz w:val="24"/>
              </w:rPr>
            </w:pPr>
            <w:r>
              <w:rPr>
                <w:rFonts w:hint="eastAsia" w:eastAsia="宋体"/>
                <w:sz w:val="24"/>
              </w:rPr>
              <w:t>该项目劳动定员</w:t>
            </w:r>
            <w:r>
              <w:rPr>
                <w:rFonts w:hint="eastAsia" w:eastAsia="宋体"/>
                <w:sz w:val="24"/>
                <w:lang w:val="en-US" w:eastAsia="zh-CN"/>
              </w:rPr>
              <w:t>3</w:t>
            </w:r>
            <w:r>
              <w:rPr>
                <w:rFonts w:hint="eastAsia" w:eastAsia="宋体"/>
                <w:sz w:val="24"/>
              </w:rPr>
              <w:t>0人，项目不设置有宿舍，按每人每天产生1.0kg生活垃圾，每年工作300天进行计算，生活垃圾产生量为</w:t>
            </w:r>
            <w:r>
              <w:rPr>
                <w:rFonts w:hint="eastAsia" w:eastAsia="宋体"/>
                <w:sz w:val="24"/>
                <w:lang w:val="en-US" w:eastAsia="zh-CN"/>
              </w:rPr>
              <w:t>9</w:t>
            </w:r>
            <w:r>
              <w:rPr>
                <w:rFonts w:hint="eastAsia" w:eastAsia="宋体"/>
                <w:sz w:val="24"/>
              </w:rPr>
              <w:t>.0t/a，经收集后由环卫部门统一外运处理。</w:t>
            </w:r>
          </w:p>
          <w:p>
            <w:pPr>
              <w:ind w:firstLine="480" w:firstLineChars="200"/>
              <w:jc w:val="left"/>
              <w:rPr>
                <w:rFonts w:hint="eastAsia" w:eastAsia="宋体"/>
                <w:sz w:val="24"/>
              </w:rPr>
            </w:pPr>
            <w:r>
              <w:rPr>
                <w:rFonts w:hint="eastAsia" w:eastAsia="宋体"/>
                <w:sz w:val="24"/>
              </w:rPr>
              <w:t>本项目产生的固体废物得到合理处置，实现了零排放，不会对环境构成二次污染。</w:t>
            </w:r>
          </w:p>
          <w:p>
            <w:pPr>
              <w:ind w:firstLine="480" w:firstLineChars="200"/>
              <w:jc w:val="left"/>
              <w:rPr>
                <w:rFonts w:hint="eastAsia" w:eastAsia="宋体"/>
                <w:sz w:val="24"/>
              </w:rPr>
            </w:pPr>
            <w:r>
              <w:rPr>
                <w:rFonts w:hint="eastAsia" w:eastAsia="宋体"/>
                <w:sz w:val="24"/>
              </w:rPr>
              <w:fldChar w:fldCharType="begin"/>
            </w:r>
            <w:r>
              <w:rPr>
                <w:rFonts w:hint="eastAsia" w:eastAsia="宋体"/>
                <w:sz w:val="24"/>
              </w:rPr>
              <w:instrText xml:space="preserve"> = 5 \* GB3 \* MERGEFORMAT </w:instrText>
            </w:r>
            <w:r>
              <w:rPr>
                <w:rFonts w:hint="eastAsia" w:eastAsia="宋体"/>
                <w:sz w:val="24"/>
              </w:rPr>
              <w:fldChar w:fldCharType="separate"/>
            </w:r>
            <w:r>
              <w:rPr>
                <w:rFonts w:hint="eastAsia" w:eastAsia="宋体"/>
                <w:sz w:val="24"/>
              </w:rPr>
              <w:t>⑤</w:t>
            </w:r>
            <w:r>
              <w:rPr>
                <w:rFonts w:hint="eastAsia" w:eastAsia="宋体"/>
                <w:sz w:val="24"/>
              </w:rPr>
              <w:fldChar w:fldCharType="end"/>
            </w:r>
            <w:r>
              <w:rPr>
                <w:rFonts w:hint="eastAsia" w:eastAsia="宋体"/>
                <w:sz w:val="24"/>
              </w:rPr>
              <w:t>环境风险</w:t>
            </w:r>
          </w:p>
          <w:p>
            <w:pPr>
              <w:ind w:firstLine="480" w:firstLineChars="200"/>
              <w:jc w:val="left"/>
              <w:rPr>
                <w:rFonts w:hint="eastAsia" w:eastAsia="宋体"/>
                <w:sz w:val="24"/>
              </w:rPr>
            </w:pPr>
            <w:r>
              <w:rPr>
                <w:rFonts w:hint="eastAsia" w:eastAsia="宋体"/>
                <w:sz w:val="24"/>
              </w:rPr>
              <w:t>针对本项目环境风险因素采取相应的环境风险防范措施后，本项目建成投入运营后，产生的环境风险完全可以控制在可接受的范围内。</w:t>
            </w:r>
          </w:p>
          <w:p>
            <w:pPr>
              <w:ind w:firstLine="480" w:firstLineChars="200"/>
              <w:jc w:val="left"/>
              <w:rPr>
                <w:sz w:val="24"/>
              </w:rPr>
            </w:pPr>
            <w:r>
              <w:rPr>
                <w:rFonts w:hint="eastAsia" w:eastAsia="宋体"/>
                <w:sz w:val="24"/>
              </w:rPr>
              <w:t>总之，本项目只要严格落实本报告表中提出的一系列环保措施，项目运营产生的废气、废水、噪声、固体废物和环境风险对环境产生的负面影响是很小的</w:t>
            </w:r>
            <w:r>
              <w:rPr>
                <w:rFonts w:hint="eastAsia"/>
                <w:sz w:val="24"/>
              </w:rPr>
              <w:t>。</w:t>
            </w:r>
          </w:p>
          <w:p>
            <w:pPr>
              <w:ind w:firstLine="482" w:firstLineChars="200"/>
              <w:jc w:val="left"/>
              <w:rPr>
                <w:b/>
                <w:sz w:val="24"/>
              </w:rPr>
            </w:pPr>
            <w:r>
              <w:rPr>
                <w:rFonts w:hint="eastAsia"/>
                <w:b/>
                <w:sz w:val="24"/>
              </w:rPr>
              <w:t>5、</w:t>
            </w:r>
            <w:r>
              <w:rPr>
                <w:b/>
                <w:sz w:val="24"/>
              </w:rPr>
              <w:t>综合结论</w:t>
            </w:r>
          </w:p>
          <w:p>
            <w:pPr>
              <w:ind w:firstLine="480" w:firstLineChars="200"/>
              <w:jc w:val="left"/>
              <w:rPr>
                <w:sz w:val="24"/>
              </w:rPr>
            </w:pPr>
            <w:r>
              <w:rPr>
                <w:rFonts w:hint="eastAsia" w:eastAsia="宋体"/>
                <w:sz w:val="24"/>
              </w:rPr>
              <w:t>本项目的建设符合国家有关产业政策，符合所在地相关城市发展规划，项目建成投运后，产生的各类正效益远大于产生的负效益。在建设和运营期只要严格落实本报告表所提出的各项措施，对周围环境也不会带来明显影响。因此，从环境保护角度论证，本项目是可行的。</w:t>
            </w:r>
          </w:p>
          <w:p>
            <w:pPr>
              <w:ind w:firstLine="482" w:firstLineChars="200"/>
              <w:jc w:val="left"/>
              <w:rPr>
                <w:b/>
                <w:sz w:val="24"/>
              </w:rPr>
            </w:pPr>
            <w:r>
              <w:rPr>
                <w:b/>
                <w:sz w:val="24"/>
              </w:rPr>
              <w:t>二、建议和要求</w:t>
            </w:r>
          </w:p>
          <w:p>
            <w:pPr>
              <w:ind w:firstLine="480" w:firstLineChars="200"/>
              <w:jc w:val="left"/>
              <w:rPr>
                <w:rFonts w:hint="eastAsia" w:eastAsia="宋体"/>
                <w:sz w:val="24"/>
              </w:rPr>
            </w:pPr>
            <w:r>
              <w:rPr>
                <w:rFonts w:hint="eastAsia" w:eastAsia="宋体"/>
                <w:sz w:val="24"/>
              </w:rPr>
              <w:t>1、组织企业管理人员和施工人员多学习环保方面的法律、法规，认知保护环境的重要性和紧迫性，将环境管理纳入生产管理轨道中去，最大限度的减少资源浪费和环境污染。</w:t>
            </w:r>
          </w:p>
          <w:p>
            <w:pPr>
              <w:ind w:firstLine="480" w:firstLineChars="200"/>
              <w:jc w:val="left"/>
              <w:rPr>
                <w:rFonts w:hint="eastAsia" w:eastAsia="宋体"/>
                <w:sz w:val="24"/>
              </w:rPr>
            </w:pPr>
            <w:r>
              <w:rPr>
                <w:rFonts w:hint="eastAsia" w:eastAsia="宋体"/>
                <w:sz w:val="24"/>
                <w:lang w:eastAsia="zh-CN"/>
              </w:rPr>
              <w:t>2</w:t>
            </w:r>
            <w:r>
              <w:rPr>
                <w:rFonts w:hint="eastAsia" w:eastAsia="宋体"/>
                <w:sz w:val="24"/>
              </w:rPr>
              <w:t>、严格落实国家有关安全、消防的各项规定。</w:t>
            </w:r>
          </w:p>
          <w:p>
            <w:pPr>
              <w:ind w:firstLine="480" w:firstLineChars="200"/>
              <w:jc w:val="left"/>
              <w:rPr>
                <w:rFonts w:hint="eastAsia" w:eastAsia="宋体"/>
                <w:sz w:val="24"/>
              </w:rPr>
            </w:pPr>
            <w:r>
              <w:rPr>
                <w:rFonts w:hint="eastAsia" w:eastAsia="宋体"/>
                <w:sz w:val="24"/>
              </w:rPr>
              <w:t>3、岗位工作人员必须经过严格的安全、操作、管理培训。</w:t>
            </w:r>
          </w:p>
          <w:p>
            <w:pPr>
              <w:ind w:firstLine="480" w:firstLineChars="200"/>
              <w:jc w:val="left"/>
              <w:rPr>
                <w:rFonts w:hint="eastAsia" w:eastAsia="宋体"/>
                <w:sz w:val="24"/>
              </w:rPr>
            </w:pPr>
            <w:r>
              <w:rPr>
                <w:rFonts w:hint="eastAsia" w:eastAsia="宋体"/>
                <w:sz w:val="24"/>
              </w:rPr>
              <w:t>4、随时接受当地环保部门的监督。</w:t>
            </w:r>
          </w:p>
          <w:p>
            <w:pPr>
              <w:pStyle w:val="35"/>
              <w:spacing w:line="240" w:lineRule="auto"/>
              <w:ind w:firstLine="560"/>
              <w:rPr>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88" w:hRule="atLeast"/>
          <w:jc w:val="center"/>
        </w:trPr>
        <w:tc>
          <w:tcPr>
            <w:tcW w:w="9289" w:type="dxa"/>
            <w:gridSpan w:val="2"/>
          </w:tcPr>
          <w:p>
            <w:pPr>
              <w:pStyle w:val="25"/>
              <w:spacing w:line="240" w:lineRule="auto"/>
              <w:rPr>
                <w:rFonts w:cs="宋体"/>
                <w:sz w:val="24"/>
                <w:szCs w:val="24"/>
              </w:rPr>
            </w:pPr>
            <w:r>
              <w:rPr>
                <w:rFonts w:hint="eastAsia" w:cs="宋体"/>
                <w:sz w:val="24"/>
                <w:szCs w:val="24"/>
              </w:rPr>
              <w:t xml:space="preserve">预审意见：   </w:t>
            </w:r>
          </w:p>
          <w:p>
            <w:pPr>
              <w:pStyle w:val="25"/>
              <w:spacing w:line="240" w:lineRule="auto"/>
              <w:rPr>
                <w:rFonts w:cs="宋体"/>
                <w:sz w:val="24"/>
                <w:szCs w:val="24"/>
              </w:rPr>
            </w:pPr>
          </w:p>
          <w:p>
            <w:pPr>
              <w:pStyle w:val="25"/>
              <w:spacing w:line="240" w:lineRule="auto"/>
              <w:rPr>
                <w:rFonts w:cs="宋体"/>
                <w:sz w:val="24"/>
                <w:szCs w:val="24"/>
              </w:rPr>
            </w:pPr>
            <w:r>
              <w:rPr>
                <w:rFonts w:hint="eastAsia" w:cs="宋体"/>
                <w:sz w:val="24"/>
                <w:szCs w:val="24"/>
              </w:rPr>
              <w:t xml:space="preserve">                 </w:t>
            </w:r>
          </w:p>
          <w:p>
            <w:pPr>
              <w:pStyle w:val="25"/>
              <w:spacing w:line="240" w:lineRule="auto"/>
              <w:rPr>
                <w:rFonts w:cs="宋体"/>
                <w:sz w:val="24"/>
                <w:szCs w:val="24"/>
              </w:rPr>
            </w:pPr>
          </w:p>
          <w:p>
            <w:pPr>
              <w:rPr>
                <w:rFonts w:cs="宋体"/>
                <w:sz w:val="24"/>
              </w:rPr>
            </w:pPr>
          </w:p>
          <w:p>
            <w:pPr>
              <w:rPr>
                <w:rFonts w:cs="宋体"/>
                <w:sz w:val="24"/>
              </w:rPr>
            </w:pPr>
          </w:p>
          <w:p>
            <w:pPr>
              <w:rPr>
                <w:rFonts w:cs="宋体"/>
                <w:sz w:val="24"/>
              </w:rPr>
            </w:pPr>
          </w:p>
          <w:p>
            <w:pPr>
              <w:rPr>
                <w:rFonts w:cs="宋体"/>
                <w:sz w:val="24"/>
              </w:rPr>
            </w:pPr>
          </w:p>
          <w:p>
            <w:pPr>
              <w:rPr>
                <w:rFonts w:cs="宋体"/>
                <w:sz w:val="24"/>
              </w:rPr>
            </w:pPr>
          </w:p>
          <w:p>
            <w:pPr>
              <w:rPr>
                <w:rFonts w:cs="宋体"/>
                <w:sz w:val="24"/>
              </w:rPr>
            </w:pPr>
          </w:p>
          <w:p>
            <w:pPr>
              <w:pStyle w:val="25"/>
              <w:spacing w:line="240" w:lineRule="auto"/>
              <w:rPr>
                <w:rFonts w:cs="宋体"/>
                <w:sz w:val="24"/>
                <w:szCs w:val="24"/>
              </w:rPr>
            </w:pPr>
            <w:r>
              <w:rPr>
                <w:rFonts w:hint="eastAsia" w:cs="宋体"/>
                <w:sz w:val="24"/>
                <w:szCs w:val="24"/>
              </w:rPr>
              <w:t xml:space="preserve">             </w:t>
            </w:r>
          </w:p>
          <w:p>
            <w:pPr>
              <w:pStyle w:val="25"/>
              <w:spacing w:line="240" w:lineRule="auto"/>
              <w:rPr>
                <w:rFonts w:cs="宋体"/>
                <w:sz w:val="24"/>
                <w:szCs w:val="24"/>
              </w:rPr>
            </w:pPr>
            <w:r>
              <w:rPr>
                <w:rFonts w:hint="eastAsia" w:cs="宋体"/>
                <w:sz w:val="24"/>
                <w:szCs w:val="24"/>
              </w:rPr>
              <w:t xml:space="preserve">                                     公  章：</w:t>
            </w:r>
          </w:p>
          <w:p>
            <w:pPr>
              <w:pStyle w:val="25"/>
              <w:spacing w:line="240" w:lineRule="auto"/>
              <w:rPr>
                <w:rFonts w:cs="宋体"/>
                <w:sz w:val="24"/>
                <w:szCs w:val="24"/>
              </w:rPr>
            </w:pPr>
            <w:r>
              <w:rPr>
                <w:rFonts w:hint="eastAsia" w:cs="宋体"/>
                <w:sz w:val="24"/>
                <w:szCs w:val="24"/>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2" w:hRule="atLeast"/>
          <w:jc w:val="center"/>
        </w:trPr>
        <w:tc>
          <w:tcPr>
            <w:tcW w:w="9289" w:type="dxa"/>
            <w:gridSpan w:val="2"/>
            <w:tcBorders>
              <w:bottom w:val="single" w:color="auto" w:sz="4" w:space="0"/>
            </w:tcBorders>
          </w:tcPr>
          <w:p>
            <w:pPr>
              <w:pStyle w:val="25"/>
              <w:spacing w:line="240" w:lineRule="auto"/>
              <w:rPr>
                <w:rFonts w:cs="宋体"/>
                <w:sz w:val="24"/>
                <w:szCs w:val="24"/>
              </w:rPr>
            </w:pPr>
            <w:r>
              <w:rPr>
                <w:rFonts w:hint="eastAsia" w:cs="宋体"/>
                <w:sz w:val="24"/>
                <w:szCs w:val="24"/>
              </w:rPr>
              <w:t xml:space="preserve">下一级环境保护行政主管部门审查意见：                                </w:t>
            </w:r>
          </w:p>
          <w:p>
            <w:pPr>
              <w:pStyle w:val="25"/>
              <w:spacing w:line="240" w:lineRule="auto"/>
              <w:rPr>
                <w:rFonts w:cs="宋体"/>
                <w:sz w:val="24"/>
                <w:szCs w:val="24"/>
              </w:rPr>
            </w:pPr>
            <w:r>
              <w:rPr>
                <w:rFonts w:hint="eastAsia" w:cs="宋体"/>
                <w:sz w:val="24"/>
                <w:szCs w:val="24"/>
              </w:rPr>
              <w:t xml:space="preserve">  </w:t>
            </w:r>
          </w:p>
          <w:p>
            <w:pPr>
              <w:pStyle w:val="25"/>
              <w:spacing w:line="240" w:lineRule="auto"/>
              <w:rPr>
                <w:rFonts w:cs="宋体"/>
                <w:sz w:val="24"/>
                <w:szCs w:val="24"/>
              </w:rPr>
            </w:pPr>
          </w:p>
          <w:p>
            <w:pPr>
              <w:pStyle w:val="25"/>
              <w:spacing w:line="240" w:lineRule="auto"/>
              <w:rPr>
                <w:rFonts w:cs="宋体"/>
                <w:sz w:val="24"/>
                <w:szCs w:val="24"/>
              </w:rPr>
            </w:pPr>
          </w:p>
          <w:p>
            <w:pPr>
              <w:pStyle w:val="25"/>
              <w:spacing w:line="240" w:lineRule="auto"/>
              <w:rPr>
                <w:rFonts w:cs="宋体"/>
                <w:sz w:val="24"/>
                <w:szCs w:val="24"/>
              </w:rPr>
            </w:pPr>
            <w:r>
              <w:rPr>
                <w:rFonts w:hint="eastAsia" w:cs="宋体"/>
                <w:sz w:val="24"/>
                <w:szCs w:val="24"/>
              </w:rPr>
              <w:t xml:space="preserve"> </w:t>
            </w:r>
          </w:p>
          <w:p>
            <w:pPr>
              <w:pStyle w:val="25"/>
              <w:spacing w:line="240" w:lineRule="auto"/>
              <w:rPr>
                <w:rFonts w:cs="宋体"/>
                <w:sz w:val="24"/>
                <w:szCs w:val="24"/>
              </w:rPr>
            </w:pPr>
          </w:p>
          <w:p>
            <w:pPr>
              <w:rPr>
                <w:rFonts w:cs="宋体"/>
                <w:sz w:val="24"/>
              </w:rPr>
            </w:pPr>
          </w:p>
          <w:p>
            <w:pPr>
              <w:pStyle w:val="25"/>
              <w:spacing w:line="240" w:lineRule="auto"/>
              <w:rPr>
                <w:rFonts w:cs="宋体"/>
                <w:sz w:val="24"/>
                <w:szCs w:val="24"/>
              </w:rPr>
            </w:pPr>
            <w:r>
              <w:rPr>
                <w:rFonts w:hint="eastAsia" w:cs="宋体"/>
                <w:sz w:val="24"/>
                <w:szCs w:val="24"/>
              </w:rPr>
              <w:t xml:space="preserve">      </w:t>
            </w:r>
          </w:p>
          <w:p>
            <w:pPr>
              <w:pStyle w:val="25"/>
              <w:spacing w:line="240" w:lineRule="auto"/>
              <w:rPr>
                <w:rFonts w:cs="宋体"/>
                <w:sz w:val="24"/>
                <w:szCs w:val="24"/>
              </w:rPr>
            </w:pPr>
            <w:r>
              <w:rPr>
                <w:rFonts w:hint="eastAsia" w:cs="宋体"/>
                <w:sz w:val="24"/>
                <w:szCs w:val="24"/>
              </w:rPr>
              <w:t xml:space="preserve">      </w:t>
            </w:r>
          </w:p>
          <w:p>
            <w:pPr>
              <w:pStyle w:val="25"/>
              <w:spacing w:line="240" w:lineRule="auto"/>
              <w:rPr>
                <w:rFonts w:cs="宋体"/>
                <w:sz w:val="24"/>
                <w:szCs w:val="24"/>
              </w:rPr>
            </w:pPr>
          </w:p>
          <w:p>
            <w:pPr>
              <w:pStyle w:val="25"/>
              <w:spacing w:line="240" w:lineRule="auto"/>
              <w:rPr>
                <w:rFonts w:cs="宋体"/>
                <w:sz w:val="24"/>
                <w:szCs w:val="24"/>
              </w:rPr>
            </w:pPr>
            <w:r>
              <w:rPr>
                <w:rFonts w:hint="eastAsia" w:cs="宋体"/>
                <w:sz w:val="24"/>
                <w:szCs w:val="24"/>
              </w:rPr>
              <w:t xml:space="preserve">                            </w:t>
            </w:r>
          </w:p>
          <w:p>
            <w:pPr>
              <w:pStyle w:val="25"/>
              <w:spacing w:line="240" w:lineRule="auto"/>
              <w:rPr>
                <w:rFonts w:cs="宋体"/>
                <w:sz w:val="24"/>
                <w:szCs w:val="24"/>
              </w:rPr>
            </w:pPr>
          </w:p>
          <w:p>
            <w:pPr>
              <w:pStyle w:val="25"/>
              <w:spacing w:line="240" w:lineRule="auto"/>
              <w:rPr>
                <w:rFonts w:cs="宋体"/>
                <w:sz w:val="24"/>
                <w:szCs w:val="24"/>
              </w:rPr>
            </w:pPr>
            <w:r>
              <w:rPr>
                <w:rFonts w:hint="eastAsia" w:cs="宋体"/>
                <w:sz w:val="24"/>
                <w:szCs w:val="24"/>
              </w:rPr>
              <w:t xml:space="preserve">                                             公  章：</w:t>
            </w:r>
          </w:p>
          <w:p>
            <w:pPr>
              <w:pStyle w:val="25"/>
              <w:spacing w:line="240" w:lineRule="auto"/>
              <w:rPr>
                <w:rFonts w:cs="宋体"/>
                <w:sz w:val="24"/>
                <w:szCs w:val="24"/>
              </w:rPr>
            </w:pPr>
            <w:r>
              <w:rPr>
                <w:rFonts w:hint="eastAsia" w:cs="宋体"/>
                <w:sz w:val="24"/>
                <w:szCs w:val="24"/>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41" w:hRule="atLeast"/>
          <w:jc w:val="center"/>
        </w:trPr>
        <w:tc>
          <w:tcPr>
            <w:tcW w:w="9289" w:type="dxa"/>
            <w:gridSpan w:val="2"/>
          </w:tcPr>
          <w:p>
            <w:pPr>
              <w:pStyle w:val="25"/>
              <w:spacing w:line="240" w:lineRule="auto"/>
              <w:rPr>
                <w:rFonts w:cs="宋体"/>
                <w:sz w:val="24"/>
                <w:szCs w:val="24"/>
              </w:rPr>
            </w:pPr>
            <w:r>
              <w:rPr>
                <w:rFonts w:hint="eastAsia" w:cs="宋体"/>
                <w:sz w:val="24"/>
                <w:szCs w:val="24"/>
              </w:rPr>
              <w:t>审批意见：</w:t>
            </w:r>
          </w:p>
          <w:p>
            <w:pPr>
              <w:pStyle w:val="25"/>
              <w:spacing w:line="240" w:lineRule="auto"/>
              <w:rPr>
                <w:rFonts w:cs="宋体"/>
                <w:sz w:val="24"/>
                <w:szCs w:val="24"/>
              </w:rPr>
            </w:pPr>
          </w:p>
          <w:p>
            <w:pPr>
              <w:pStyle w:val="25"/>
              <w:spacing w:line="240" w:lineRule="auto"/>
              <w:rPr>
                <w:rFonts w:cs="宋体"/>
                <w:sz w:val="24"/>
                <w:szCs w:val="24"/>
              </w:rPr>
            </w:pPr>
          </w:p>
          <w:p>
            <w:pPr>
              <w:pStyle w:val="25"/>
              <w:spacing w:line="240" w:lineRule="auto"/>
              <w:rPr>
                <w:rFonts w:cs="宋体"/>
                <w:sz w:val="24"/>
                <w:szCs w:val="24"/>
              </w:rPr>
            </w:pPr>
          </w:p>
          <w:p>
            <w:pPr>
              <w:pStyle w:val="25"/>
              <w:spacing w:line="240" w:lineRule="auto"/>
              <w:rPr>
                <w:rFonts w:cs="宋体"/>
                <w:sz w:val="24"/>
                <w:szCs w:val="24"/>
              </w:rPr>
            </w:pPr>
          </w:p>
          <w:p>
            <w:pPr>
              <w:pStyle w:val="25"/>
              <w:spacing w:line="240" w:lineRule="auto"/>
              <w:rPr>
                <w:rFonts w:cs="宋体"/>
                <w:sz w:val="24"/>
                <w:szCs w:val="24"/>
              </w:rPr>
            </w:pPr>
          </w:p>
          <w:p>
            <w:pPr>
              <w:pStyle w:val="25"/>
              <w:spacing w:line="240" w:lineRule="auto"/>
              <w:rPr>
                <w:rFonts w:cs="宋体"/>
                <w:sz w:val="24"/>
                <w:szCs w:val="24"/>
              </w:rPr>
            </w:pPr>
            <w:r>
              <w:rPr>
                <w:rFonts w:hint="eastAsia" w:cs="宋体"/>
                <w:sz w:val="24"/>
                <w:szCs w:val="24"/>
              </w:rPr>
              <w:t xml:space="preserve">                                              </w:t>
            </w:r>
          </w:p>
          <w:p>
            <w:pPr>
              <w:pStyle w:val="25"/>
              <w:spacing w:line="240" w:lineRule="auto"/>
              <w:rPr>
                <w:rFonts w:cs="宋体"/>
                <w:sz w:val="24"/>
                <w:szCs w:val="24"/>
              </w:rPr>
            </w:pPr>
          </w:p>
          <w:p>
            <w:pPr>
              <w:rPr>
                <w:rFonts w:cs="宋体"/>
                <w:sz w:val="24"/>
              </w:rPr>
            </w:pPr>
          </w:p>
          <w:p>
            <w:pPr>
              <w:rPr>
                <w:rFonts w:cs="宋体"/>
                <w:sz w:val="24"/>
              </w:rPr>
            </w:pPr>
          </w:p>
          <w:p>
            <w:pPr>
              <w:rPr>
                <w:rFonts w:cs="宋体"/>
                <w:sz w:val="24"/>
              </w:rPr>
            </w:pPr>
          </w:p>
          <w:p>
            <w:pPr>
              <w:rPr>
                <w:rFonts w:cs="宋体"/>
                <w:sz w:val="24"/>
              </w:rPr>
            </w:pPr>
          </w:p>
          <w:p>
            <w:pPr>
              <w:pStyle w:val="25"/>
              <w:spacing w:line="240" w:lineRule="auto"/>
              <w:rPr>
                <w:rFonts w:cs="宋体"/>
                <w:sz w:val="24"/>
                <w:szCs w:val="24"/>
              </w:rPr>
            </w:pPr>
          </w:p>
          <w:p>
            <w:pPr>
              <w:pStyle w:val="25"/>
              <w:spacing w:line="240" w:lineRule="auto"/>
              <w:rPr>
                <w:rFonts w:cs="宋体"/>
                <w:sz w:val="24"/>
                <w:szCs w:val="24"/>
              </w:rPr>
            </w:pPr>
          </w:p>
          <w:p>
            <w:pPr>
              <w:pStyle w:val="25"/>
              <w:spacing w:line="240" w:lineRule="auto"/>
              <w:rPr>
                <w:rFonts w:cs="宋体"/>
                <w:sz w:val="24"/>
                <w:szCs w:val="24"/>
              </w:rPr>
            </w:pPr>
          </w:p>
          <w:p>
            <w:pPr>
              <w:pStyle w:val="25"/>
              <w:spacing w:line="240" w:lineRule="auto"/>
              <w:rPr>
                <w:rFonts w:cs="宋体"/>
                <w:sz w:val="24"/>
                <w:szCs w:val="24"/>
              </w:rPr>
            </w:pPr>
          </w:p>
          <w:p>
            <w:pPr>
              <w:pStyle w:val="25"/>
              <w:spacing w:line="240" w:lineRule="auto"/>
              <w:rPr>
                <w:rFonts w:cs="宋体"/>
                <w:sz w:val="24"/>
                <w:szCs w:val="24"/>
              </w:rPr>
            </w:pPr>
          </w:p>
          <w:p>
            <w:pPr>
              <w:pStyle w:val="25"/>
              <w:spacing w:line="240" w:lineRule="auto"/>
              <w:rPr>
                <w:rFonts w:cs="宋体"/>
                <w:sz w:val="24"/>
                <w:szCs w:val="24"/>
              </w:rPr>
            </w:pPr>
          </w:p>
          <w:p>
            <w:pPr>
              <w:pStyle w:val="25"/>
              <w:spacing w:line="240" w:lineRule="auto"/>
              <w:rPr>
                <w:rFonts w:cs="宋体"/>
                <w:sz w:val="24"/>
                <w:szCs w:val="24"/>
              </w:rPr>
            </w:pPr>
          </w:p>
          <w:p>
            <w:pPr>
              <w:pStyle w:val="25"/>
              <w:spacing w:line="240" w:lineRule="auto"/>
              <w:rPr>
                <w:rFonts w:cs="宋体"/>
                <w:sz w:val="24"/>
                <w:szCs w:val="24"/>
              </w:rPr>
            </w:pPr>
          </w:p>
          <w:p>
            <w:pPr>
              <w:pStyle w:val="25"/>
              <w:spacing w:line="240" w:lineRule="auto"/>
              <w:rPr>
                <w:rFonts w:cs="宋体"/>
                <w:sz w:val="24"/>
                <w:szCs w:val="24"/>
              </w:rPr>
            </w:pPr>
          </w:p>
          <w:p>
            <w:pPr>
              <w:rPr>
                <w:rFonts w:cs="宋体"/>
                <w:sz w:val="24"/>
              </w:rPr>
            </w:pPr>
          </w:p>
          <w:p>
            <w:pPr>
              <w:rPr>
                <w:rFonts w:cs="宋体"/>
                <w:sz w:val="24"/>
              </w:rPr>
            </w:pPr>
          </w:p>
          <w:p>
            <w:pPr>
              <w:rPr>
                <w:rFonts w:cs="宋体"/>
                <w:sz w:val="24"/>
              </w:rPr>
            </w:pPr>
          </w:p>
          <w:p>
            <w:pPr>
              <w:rPr>
                <w:rFonts w:cs="宋体"/>
                <w:sz w:val="24"/>
              </w:rPr>
            </w:pPr>
          </w:p>
          <w:p>
            <w:pPr>
              <w:rPr>
                <w:rFonts w:cs="宋体"/>
                <w:sz w:val="24"/>
              </w:rPr>
            </w:pPr>
          </w:p>
          <w:p>
            <w:pPr>
              <w:pStyle w:val="25"/>
              <w:spacing w:line="240" w:lineRule="auto"/>
              <w:rPr>
                <w:rFonts w:cs="宋体"/>
                <w:sz w:val="24"/>
                <w:szCs w:val="24"/>
              </w:rPr>
            </w:pPr>
            <w:r>
              <w:rPr>
                <w:rFonts w:hint="eastAsia" w:cs="宋体"/>
                <w:sz w:val="24"/>
                <w:szCs w:val="24"/>
              </w:rPr>
              <w:t xml:space="preserve">                                              公  章：</w:t>
            </w:r>
          </w:p>
          <w:p>
            <w:pPr>
              <w:pStyle w:val="25"/>
              <w:spacing w:line="240" w:lineRule="auto"/>
              <w:rPr>
                <w:rFonts w:cs="宋体"/>
                <w:sz w:val="24"/>
                <w:szCs w:val="24"/>
                <w:highlight w:val="yellow"/>
              </w:rPr>
            </w:pPr>
            <w:r>
              <w:rPr>
                <w:rFonts w:hint="eastAsia" w:cs="宋体"/>
                <w:sz w:val="24"/>
                <w:szCs w:val="24"/>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41" w:hRule="atLeast"/>
          <w:jc w:val="center"/>
        </w:trPr>
        <w:tc>
          <w:tcPr>
            <w:tcW w:w="9289" w:type="dxa"/>
            <w:gridSpan w:val="2"/>
            <w:tcBorders>
              <w:bottom w:val="single" w:color="auto" w:sz="4" w:space="0"/>
            </w:tcBorders>
          </w:tcPr>
          <w:p>
            <w:pPr>
              <w:spacing w:before="218" w:beforeLines="50" w:after="218" w:afterLines="50"/>
              <w:jc w:val="center"/>
              <w:rPr>
                <w:rFonts w:cs="宋体"/>
                <w:b/>
                <w:bCs/>
                <w:szCs w:val="32"/>
              </w:rPr>
            </w:pPr>
            <w:r>
              <w:rPr>
                <w:rFonts w:hint="eastAsia" w:cs="宋体"/>
                <w:b/>
                <w:bCs/>
                <w:szCs w:val="32"/>
              </w:rPr>
              <w:t>注    释</w:t>
            </w:r>
          </w:p>
          <w:p>
            <w:pPr>
              <w:ind w:firstLine="482"/>
              <w:rPr>
                <w:sz w:val="28"/>
                <w:szCs w:val="28"/>
              </w:rPr>
            </w:pPr>
            <w:r>
              <w:rPr>
                <w:sz w:val="28"/>
                <w:szCs w:val="28"/>
              </w:rPr>
              <w:t>一、本报告表应附以下附件、附图：</w:t>
            </w:r>
          </w:p>
          <w:p>
            <w:pPr>
              <w:ind w:firstLine="482"/>
              <w:rPr>
                <w:rFonts w:hint="eastAsia" w:eastAsia="宋体"/>
                <w:sz w:val="28"/>
                <w:szCs w:val="28"/>
                <w:lang w:eastAsia="zh-CN"/>
              </w:rPr>
            </w:pPr>
            <w:r>
              <w:rPr>
                <w:sz w:val="28"/>
                <w:szCs w:val="28"/>
              </w:rPr>
              <w:t xml:space="preserve">附件1  </w:t>
            </w:r>
            <w:r>
              <w:rPr>
                <w:rFonts w:hint="eastAsia"/>
                <w:sz w:val="28"/>
                <w:szCs w:val="28"/>
                <w:lang w:eastAsia="zh-CN"/>
              </w:rPr>
              <w:t>环评委托书</w:t>
            </w:r>
          </w:p>
          <w:p>
            <w:pPr>
              <w:ind w:firstLine="482"/>
              <w:rPr>
                <w:rFonts w:hint="eastAsia" w:eastAsia="宋体"/>
                <w:sz w:val="28"/>
                <w:szCs w:val="28"/>
                <w:lang w:eastAsia="zh-CN"/>
              </w:rPr>
            </w:pPr>
            <w:r>
              <w:rPr>
                <w:sz w:val="28"/>
                <w:szCs w:val="28"/>
              </w:rPr>
              <w:t xml:space="preserve">附件2  </w:t>
            </w:r>
            <w:r>
              <w:rPr>
                <w:rFonts w:hint="eastAsia"/>
                <w:sz w:val="28"/>
                <w:szCs w:val="28"/>
                <w:lang w:eastAsia="zh-CN"/>
              </w:rPr>
              <w:t>营业执照</w:t>
            </w:r>
          </w:p>
          <w:p>
            <w:pPr>
              <w:ind w:firstLine="482"/>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附件3：请示函</w:t>
            </w:r>
          </w:p>
          <w:p>
            <w:pPr>
              <w:ind w:firstLine="482"/>
              <w:rPr>
                <w:rFonts w:hint="default" w:eastAsia="宋体"/>
                <w:sz w:val="28"/>
                <w:szCs w:val="28"/>
                <w:lang w:val="en-US" w:eastAsia="zh-CN"/>
              </w:rPr>
            </w:pPr>
            <w:r>
              <w:rPr>
                <w:rFonts w:hint="eastAsia"/>
                <w:sz w:val="28"/>
                <w:szCs w:val="28"/>
                <w:lang w:eastAsia="zh-CN"/>
              </w:rPr>
              <w:t>附件</w:t>
            </w:r>
            <w:r>
              <w:rPr>
                <w:rFonts w:hint="eastAsia"/>
                <w:sz w:val="28"/>
                <w:szCs w:val="28"/>
                <w:lang w:val="en-US" w:eastAsia="zh-CN"/>
              </w:rPr>
              <w:t>4  桥梁环评批复</w:t>
            </w:r>
          </w:p>
          <w:p>
            <w:pPr>
              <w:ind w:firstLine="482"/>
              <w:rPr>
                <w:sz w:val="28"/>
                <w:szCs w:val="28"/>
              </w:rPr>
            </w:pPr>
            <w:r>
              <w:rPr>
                <w:sz w:val="28"/>
                <w:szCs w:val="28"/>
              </w:rPr>
              <w:t>附图1  项目地理位置图</w:t>
            </w:r>
          </w:p>
          <w:p>
            <w:pPr>
              <w:ind w:firstLine="482"/>
              <w:rPr>
                <w:sz w:val="28"/>
                <w:szCs w:val="28"/>
              </w:rPr>
            </w:pPr>
            <w:r>
              <w:rPr>
                <w:sz w:val="28"/>
                <w:szCs w:val="28"/>
              </w:rPr>
              <w:t>附图2  项目平面布置图</w:t>
            </w:r>
          </w:p>
          <w:p>
            <w:pPr>
              <w:rPr>
                <w:sz w:val="28"/>
                <w:szCs w:val="28"/>
              </w:rPr>
            </w:pPr>
          </w:p>
          <w:p>
            <w:pPr>
              <w:rPr>
                <w:sz w:val="28"/>
                <w:szCs w:val="28"/>
              </w:rPr>
            </w:pPr>
          </w:p>
          <w:p>
            <w:pPr>
              <w:rPr>
                <w:sz w:val="28"/>
                <w:szCs w:val="28"/>
              </w:rPr>
            </w:pPr>
          </w:p>
          <w:p>
            <w:pPr>
              <w:ind w:firstLine="482"/>
              <w:rPr>
                <w:sz w:val="28"/>
                <w:szCs w:val="28"/>
              </w:rPr>
            </w:pPr>
            <w:r>
              <w:rPr>
                <w:sz w:val="28"/>
                <w:szCs w:val="28"/>
              </w:rPr>
              <w:t>二、如果本报告表不能说明项目产生的污染及对环境造成的影响，应进行专项评价。根据建设项目的特点和当地环境特征，应选下列1~2项进行专项评价。</w:t>
            </w:r>
          </w:p>
          <w:p>
            <w:pPr>
              <w:ind w:firstLine="482"/>
              <w:rPr>
                <w:sz w:val="28"/>
                <w:szCs w:val="28"/>
              </w:rPr>
            </w:pPr>
            <w:r>
              <w:rPr>
                <w:sz w:val="28"/>
                <w:szCs w:val="28"/>
              </w:rPr>
              <w:t>1. 大气环境影响专项评价</w:t>
            </w:r>
          </w:p>
          <w:p>
            <w:pPr>
              <w:ind w:firstLine="482"/>
              <w:rPr>
                <w:sz w:val="28"/>
                <w:szCs w:val="28"/>
              </w:rPr>
            </w:pPr>
            <w:r>
              <w:rPr>
                <w:sz w:val="28"/>
                <w:szCs w:val="28"/>
              </w:rPr>
              <w:t>2. 水环境影响专项评价（包括地表水和地面水）</w:t>
            </w:r>
          </w:p>
          <w:p>
            <w:pPr>
              <w:ind w:firstLine="482"/>
              <w:rPr>
                <w:sz w:val="28"/>
                <w:szCs w:val="28"/>
              </w:rPr>
            </w:pPr>
            <w:r>
              <w:rPr>
                <w:sz w:val="28"/>
                <w:szCs w:val="28"/>
              </w:rPr>
              <w:t>3. 生态影响专项评价</w:t>
            </w:r>
          </w:p>
          <w:p>
            <w:pPr>
              <w:ind w:firstLine="482"/>
              <w:rPr>
                <w:sz w:val="28"/>
                <w:szCs w:val="28"/>
              </w:rPr>
            </w:pPr>
            <w:r>
              <w:rPr>
                <w:sz w:val="28"/>
                <w:szCs w:val="28"/>
              </w:rPr>
              <w:t>4. 声影响专项评价</w:t>
            </w:r>
          </w:p>
          <w:p>
            <w:pPr>
              <w:ind w:firstLine="482"/>
              <w:rPr>
                <w:sz w:val="28"/>
                <w:szCs w:val="28"/>
              </w:rPr>
            </w:pPr>
            <w:r>
              <w:rPr>
                <w:sz w:val="28"/>
                <w:szCs w:val="28"/>
              </w:rPr>
              <w:t>5. 土壤影响专项评价</w:t>
            </w:r>
          </w:p>
          <w:p>
            <w:pPr>
              <w:ind w:firstLine="482"/>
              <w:rPr>
                <w:sz w:val="28"/>
                <w:szCs w:val="28"/>
              </w:rPr>
            </w:pPr>
            <w:r>
              <w:rPr>
                <w:sz w:val="28"/>
                <w:szCs w:val="28"/>
              </w:rPr>
              <w:t>6. 固体废弃物影响专项评价</w:t>
            </w:r>
          </w:p>
          <w:p>
            <w:pPr>
              <w:pStyle w:val="35"/>
              <w:spacing w:line="240" w:lineRule="auto"/>
              <w:ind w:firstLine="560"/>
              <w:rPr>
                <w:sz w:val="28"/>
                <w:szCs w:val="28"/>
              </w:rPr>
            </w:pPr>
            <w:r>
              <w:rPr>
                <w:sz w:val="28"/>
                <w:szCs w:val="28"/>
              </w:rPr>
              <w:t>以上专项评价未包括的可另列专项，专项评价按照《环境影响评价技术导则》中的要求进行。</w:t>
            </w:r>
          </w:p>
          <w:p>
            <w:pPr>
              <w:pStyle w:val="35"/>
              <w:spacing w:line="240" w:lineRule="auto"/>
              <w:ind w:firstLine="560"/>
              <w:rPr>
                <w:sz w:val="28"/>
                <w:szCs w:val="28"/>
              </w:rPr>
            </w:pPr>
          </w:p>
          <w:p>
            <w:pPr>
              <w:pStyle w:val="35"/>
              <w:spacing w:line="240" w:lineRule="auto"/>
              <w:ind w:firstLine="560"/>
              <w:rPr>
                <w:sz w:val="28"/>
                <w:szCs w:val="28"/>
              </w:rPr>
            </w:pPr>
          </w:p>
          <w:p>
            <w:pPr>
              <w:pStyle w:val="35"/>
              <w:spacing w:line="240" w:lineRule="auto"/>
              <w:ind w:firstLine="560"/>
              <w:rPr>
                <w:sz w:val="28"/>
                <w:szCs w:val="28"/>
              </w:rPr>
            </w:pPr>
          </w:p>
          <w:p>
            <w:pPr>
              <w:pStyle w:val="35"/>
              <w:spacing w:line="240" w:lineRule="auto"/>
              <w:ind w:firstLine="560"/>
              <w:rPr>
                <w:sz w:val="28"/>
                <w:szCs w:val="28"/>
              </w:rPr>
            </w:pPr>
          </w:p>
          <w:p>
            <w:pPr>
              <w:pStyle w:val="25"/>
              <w:spacing w:line="240" w:lineRule="auto"/>
              <w:rPr>
                <w:rFonts w:cs="宋体"/>
                <w:sz w:val="24"/>
                <w:szCs w:val="24"/>
              </w:rPr>
            </w:pPr>
          </w:p>
        </w:tc>
      </w:tr>
    </w:tbl>
    <w:p>
      <w:pPr>
        <w:pStyle w:val="25"/>
        <w:spacing w:line="240" w:lineRule="auto"/>
        <w:rPr>
          <w:rFonts w:cs="宋体"/>
          <w:szCs w:val="24"/>
          <w:highlight w:val="yellow"/>
        </w:rPr>
      </w:pPr>
    </w:p>
    <w:sectPr>
      <w:pgSz w:w="11907" w:h="16840"/>
      <w:pgMar w:top="1440" w:right="1417" w:bottom="1440" w:left="1417" w:header="992" w:footer="850" w:gutter="0"/>
      <w:pgBorders>
        <w:top w:val="none" w:sz="0" w:space="0"/>
        <w:left w:val="none" w:sz="0" w:space="0"/>
        <w:bottom w:val="none" w:sz="0" w:space="0"/>
        <w:right w:val="none" w:sz="0" w:space="0"/>
      </w:pgBorders>
      <w:cols w:space="720" w:num="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Futura Bk BT">
    <w:altName w:val="Lucida Sans Unicode"/>
    <w:panose1 w:val="00000000000000000000"/>
    <w:charset w:val="00"/>
    <w:family w:val="swiss"/>
    <w:pitch w:val="default"/>
    <w:sig w:usb0="00000000" w:usb1="00000000" w:usb2="00000000" w:usb3="00000000" w:csb0="0000001B"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华文细黑">
    <w:altName w:val="微软雅黑"/>
    <w:panose1 w:val="02010600040101010101"/>
    <w:charset w:val="86"/>
    <w:family w:val="auto"/>
    <w:pitch w:val="default"/>
    <w:sig w:usb0="00000000" w:usb1="00000000" w:usb2="00000010" w:usb3="00000000" w:csb0="0004009F" w:csb1="00000000"/>
  </w:font>
  <w:font w:name="方正大标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auto"/>
    <w:pitch w:val="default"/>
    <w:sig w:usb0="A10006FF" w:usb1="4000205B" w:usb2="0000001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方正书宋简体">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Yu Mincho">
    <w:altName w:val="MS Gothic"/>
    <w:panose1 w:val="00000000000000000000"/>
    <w:charset w:val="80"/>
    <w:family w:val="roman"/>
    <w:pitch w:val="default"/>
    <w:sig w:usb0="00000000" w:usb1="00000000" w:usb2="00000012" w:usb3="00000000" w:csb0="0002009F"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PAGE   \* MERGEFORMAT</w:instrText>
    </w:r>
    <w:r>
      <w:fldChar w:fldCharType="separate"/>
    </w:r>
    <w:r>
      <w:rPr>
        <w:lang w:val="zh-CN"/>
      </w:rPr>
      <w:t>123</w:t>
    </w:r>
    <w:r>
      <w:fldChar w:fldCharType="end"/>
    </w:r>
  </w:p>
  <w:p>
    <w:pPr>
      <w:pStyle w:val="28"/>
      <w:ind w:right="360"/>
      <w:rPr>
        <w:kern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PAGE   \* MERGEFORMAT</w:instrText>
    </w:r>
    <w:r>
      <w:fldChar w:fldCharType="separate"/>
    </w:r>
    <w:r>
      <w:rPr>
        <w:lang w:val="zh-CN"/>
      </w:rPr>
      <w:t>123</w:t>
    </w:r>
    <w:r>
      <w:fldChar w:fldCharType="end"/>
    </w:r>
  </w:p>
  <w:p>
    <w:pPr>
      <w:pStyle w:val="28"/>
      <w:ind w:right="360"/>
      <w:rPr>
        <w:kern w:val="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wordWrap w:val="0"/>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17B88D"/>
    <w:multiLevelType w:val="singleLevel"/>
    <w:tmpl w:val="A217B88D"/>
    <w:lvl w:ilvl="0" w:tentative="0">
      <w:start w:val="5"/>
      <w:numFmt w:val="decimal"/>
      <w:suff w:val="nothing"/>
      <w:lvlText w:val="（%1）"/>
      <w:lvlJc w:val="left"/>
    </w:lvl>
  </w:abstractNum>
  <w:abstractNum w:abstractNumId="1">
    <w:nsid w:val="B7464AAB"/>
    <w:multiLevelType w:val="singleLevel"/>
    <w:tmpl w:val="B7464AAB"/>
    <w:lvl w:ilvl="0" w:tentative="0">
      <w:start w:val="1"/>
      <w:numFmt w:val="decimal"/>
      <w:suff w:val="nothing"/>
      <w:lvlText w:val="%1）"/>
      <w:lvlJc w:val="left"/>
    </w:lvl>
  </w:abstractNum>
  <w:abstractNum w:abstractNumId="2">
    <w:nsid w:val="E005C028"/>
    <w:multiLevelType w:val="singleLevel"/>
    <w:tmpl w:val="E005C028"/>
    <w:lvl w:ilvl="0" w:tentative="0">
      <w:start w:val="2"/>
      <w:numFmt w:val="decimal"/>
      <w:suff w:val="nothing"/>
      <w:lvlText w:val="%1、"/>
      <w:lvlJc w:val="left"/>
    </w:lvl>
  </w:abstractNum>
  <w:abstractNum w:abstractNumId="3">
    <w:nsid w:val="0000000D"/>
    <w:multiLevelType w:val="multilevel"/>
    <w:tmpl w:val="0000000D"/>
    <w:lvl w:ilvl="0" w:tentative="0">
      <w:start w:val="1"/>
      <w:numFmt w:val="decimal"/>
      <w:lvlText w:val="第 %1 章"/>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129"/>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0442A1CD"/>
    <w:multiLevelType w:val="singleLevel"/>
    <w:tmpl w:val="0442A1CD"/>
    <w:lvl w:ilvl="0" w:tentative="0">
      <w:start w:val="1"/>
      <w:numFmt w:val="decimal"/>
      <w:suff w:val="nothing"/>
      <w:lvlText w:val="（%1）"/>
      <w:lvlJc w:val="left"/>
    </w:lvl>
  </w:abstractNum>
  <w:abstractNum w:abstractNumId="5">
    <w:nsid w:val="19BA7907"/>
    <w:multiLevelType w:val="singleLevel"/>
    <w:tmpl w:val="19BA7907"/>
    <w:lvl w:ilvl="0" w:tentative="0">
      <w:start w:val="1"/>
      <w:numFmt w:val="decimal"/>
      <w:suff w:val="nothing"/>
      <w:lvlText w:val="（%1）"/>
      <w:lvlJc w:val="left"/>
    </w:lvl>
  </w:abstractNum>
  <w:abstractNum w:abstractNumId="6">
    <w:nsid w:val="3B91AECE"/>
    <w:multiLevelType w:val="singleLevel"/>
    <w:tmpl w:val="3B91AECE"/>
    <w:lvl w:ilvl="0" w:tentative="0">
      <w:start w:val="3"/>
      <w:numFmt w:val="decimal"/>
      <w:suff w:val="nothing"/>
      <w:lvlText w:val="%1、"/>
      <w:lvlJc w:val="left"/>
    </w:lvl>
  </w:abstractNum>
  <w:abstractNum w:abstractNumId="7">
    <w:nsid w:val="598BCCF3"/>
    <w:multiLevelType w:val="singleLevel"/>
    <w:tmpl w:val="598BCCF3"/>
    <w:lvl w:ilvl="0" w:tentative="0">
      <w:start w:val="4"/>
      <w:numFmt w:val="decimal"/>
      <w:suff w:val="nothing"/>
      <w:lvlText w:val="%1."/>
      <w:lvlJc w:val="left"/>
    </w:lvl>
  </w:abstractNum>
  <w:abstractNum w:abstractNumId="8">
    <w:nsid w:val="7CD72610"/>
    <w:multiLevelType w:val="singleLevel"/>
    <w:tmpl w:val="7CD72610"/>
    <w:lvl w:ilvl="0" w:tentative="0">
      <w:start w:val="1"/>
      <w:numFmt w:val="decimal"/>
      <w:suff w:val="nothing"/>
      <w:lvlText w:val="（%1）"/>
      <w:lvlJc w:val="left"/>
    </w:lvl>
  </w:abstractNum>
  <w:num w:numId="1">
    <w:abstractNumId w:val="3"/>
  </w:num>
  <w:num w:numId="2">
    <w:abstractNumId w:val="5"/>
  </w:num>
  <w:num w:numId="3">
    <w:abstractNumId w:val="6"/>
  </w:num>
  <w:num w:numId="4">
    <w:abstractNumId w:val="1"/>
  </w:num>
  <w:num w:numId="5">
    <w:abstractNumId w:val="7"/>
  </w:num>
  <w:num w:numId="6">
    <w:abstractNumId w:val="2"/>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218"/>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4C1"/>
    <w:rsid w:val="00002491"/>
    <w:rsid w:val="00003612"/>
    <w:rsid w:val="00004DF4"/>
    <w:rsid w:val="000069ED"/>
    <w:rsid w:val="00006FE3"/>
    <w:rsid w:val="000110C3"/>
    <w:rsid w:val="00012605"/>
    <w:rsid w:val="000141C4"/>
    <w:rsid w:val="00016697"/>
    <w:rsid w:val="00016D59"/>
    <w:rsid w:val="00017B26"/>
    <w:rsid w:val="00020807"/>
    <w:rsid w:val="00021B0C"/>
    <w:rsid w:val="0002210B"/>
    <w:rsid w:val="00022ECC"/>
    <w:rsid w:val="00024E2B"/>
    <w:rsid w:val="0002521D"/>
    <w:rsid w:val="000307E3"/>
    <w:rsid w:val="000312C2"/>
    <w:rsid w:val="00036A95"/>
    <w:rsid w:val="00037908"/>
    <w:rsid w:val="00037AA1"/>
    <w:rsid w:val="000407DC"/>
    <w:rsid w:val="000446F6"/>
    <w:rsid w:val="0004470B"/>
    <w:rsid w:val="000462DC"/>
    <w:rsid w:val="000524FF"/>
    <w:rsid w:val="000547C1"/>
    <w:rsid w:val="000566A8"/>
    <w:rsid w:val="00057FEA"/>
    <w:rsid w:val="000613CD"/>
    <w:rsid w:val="00062B42"/>
    <w:rsid w:val="00062F9B"/>
    <w:rsid w:val="00065A11"/>
    <w:rsid w:val="00066C91"/>
    <w:rsid w:val="00070A82"/>
    <w:rsid w:val="000723CD"/>
    <w:rsid w:val="00074B91"/>
    <w:rsid w:val="00080F06"/>
    <w:rsid w:val="000814EB"/>
    <w:rsid w:val="000862B6"/>
    <w:rsid w:val="00090993"/>
    <w:rsid w:val="00090E99"/>
    <w:rsid w:val="00092090"/>
    <w:rsid w:val="000925D3"/>
    <w:rsid w:val="000937E1"/>
    <w:rsid w:val="0009615F"/>
    <w:rsid w:val="000970A6"/>
    <w:rsid w:val="000A0D72"/>
    <w:rsid w:val="000A2C43"/>
    <w:rsid w:val="000A374B"/>
    <w:rsid w:val="000A385B"/>
    <w:rsid w:val="000B0EA8"/>
    <w:rsid w:val="000B1F01"/>
    <w:rsid w:val="000B21EF"/>
    <w:rsid w:val="000B2262"/>
    <w:rsid w:val="000B479E"/>
    <w:rsid w:val="000B547F"/>
    <w:rsid w:val="000B6D89"/>
    <w:rsid w:val="000B6E78"/>
    <w:rsid w:val="000B6ED1"/>
    <w:rsid w:val="000B762B"/>
    <w:rsid w:val="000C0089"/>
    <w:rsid w:val="000C2853"/>
    <w:rsid w:val="000C3A67"/>
    <w:rsid w:val="000C3D6C"/>
    <w:rsid w:val="000C5278"/>
    <w:rsid w:val="000C74BE"/>
    <w:rsid w:val="000D2047"/>
    <w:rsid w:val="000D4018"/>
    <w:rsid w:val="000D4EB6"/>
    <w:rsid w:val="000D5340"/>
    <w:rsid w:val="000D6343"/>
    <w:rsid w:val="000D6727"/>
    <w:rsid w:val="000E0BDA"/>
    <w:rsid w:val="000E1849"/>
    <w:rsid w:val="000E4198"/>
    <w:rsid w:val="000E70E9"/>
    <w:rsid w:val="000E7D25"/>
    <w:rsid w:val="000F0C48"/>
    <w:rsid w:val="000F1799"/>
    <w:rsid w:val="000F19F1"/>
    <w:rsid w:val="000F31C4"/>
    <w:rsid w:val="000F4494"/>
    <w:rsid w:val="000F45EC"/>
    <w:rsid w:val="00100B7B"/>
    <w:rsid w:val="0010530C"/>
    <w:rsid w:val="001058E7"/>
    <w:rsid w:val="0010773D"/>
    <w:rsid w:val="00107DF1"/>
    <w:rsid w:val="00110E01"/>
    <w:rsid w:val="001117B4"/>
    <w:rsid w:val="00111831"/>
    <w:rsid w:val="001127BB"/>
    <w:rsid w:val="00113B9C"/>
    <w:rsid w:val="00114BDC"/>
    <w:rsid w:val="00114FBD"/>
    <w:rsid w:val="00115753"/>
    <w:rsid w:val="00115D05"/>
    <w:rsid w:val="00121B77"/>
    <w:rsid w:val="00134939"/>
    <w:rsid w:val="00140736"/>
    <w:rsid w:val="00143EDF"/>
    <w:rsid w:val="00146B73"/>
    <w:rsid w:val="00154320"/>
    <w:rsid w:val="00155ED1"/>
    <w:rsid w:val="00156029"/>
    <w:rsid w:val="00156809"/>
    <w:rsid w:val="00156A95"/>
    <w:rsid w:val="00157836"/>
    <w:rsid w:val="00161237"/>
    <w:rsid w:val="00161A7C"/>
    <w:rsid w:val="001655D2"/>
    <w:rsid w:val="00166165"/>
    <w:rsid w:val="0016640F"/>
    <w:rsid w:val="00166DEE"/>
    <w:rsid w:val="00172A27"/>
    <w:rsid w:val="00172B8A"/>
    <w:rsid w:val="0017342B"/>
    <w:rsid w:val="00173C42"/>
    <w:rsid w:val="0017517D"/>
    <w:rsid w:val="001763F3"/>
    <w:rsid w:val="0018256F"/>
    <w:rsid w:val="00185AB8"/>
    <w:rsid w:val="00186F3A"/>
    <w:rsid w:val="00192AE2"/>
    <w:rsid w:val="001933BA"/>
    <w:rsid w:val="0019439D"/>
    <w:rsid w:val="00195E72"/>
    <w:rsid w:val="00196475"/>
    <w:rsid w:val="00197DF8"/>
    <w:rsid w:val="001A21B3"/>
    <w:rsid w:val="001A2C69"/>
    <w:rsid w:val="001A35FD"/>
    <w:rsid w:val="001A59F3"/>
    <w:rsid w:val="001A613F"/>
    <w:rsid w:val="001A748A"/>
    <w:rsid w:val="001A7F5A"/>
    <w:rsid w:val="001B0AB4"/>
    <w:rsid w:val="001B1729"/>
    <w:rsid w:val="001B1C75"/>
    <w:rsid w:val="001B1FFA"/>
    <w:rsid w:val="001B293B"/>
    <w:rsid w:val="001B2C0C"/>
    <w:rsid w:val="001B447C"/>
    <w:rsid w:val="001C17CF"/>
    <w:rsid w:val="001C22C6"/>
    <w:rsid w:val="001C2B8A"/>
    <w:rsid w:val="001C3FA5"/>
    <w:rsid w:val="001C441E"/>
    <w:rsid w:val="001C5287"/>
    <w:rsid w:val="001C581A"/>
    <w:rsid w:val="001C5BF3"/>
    <w:rsid w:val="001C66B9"/>
    <w:rsid w:val="001C7B60"/>
    <w:rsid w:val="001D16BE"/>
    <w:rsid w:val="001D6D1C"/>
    <w:rsid w:val="001E0E26"/>
    <w:rsid w:val="001E0F0C"/>
    <w:rsid w:val="001E0F14"/>
    <w:rsid w:val="001E3D73"/>
    <w:rsid w:val="001E48AB"/>
    <w:rsid w:val="001E697D"/>
    <w:rsid w:val="001E77C0"/>
    <w:rsid w:val="001F05D2"/>
    <w:rsid w:val="001F26AE"/>
    <w:rsid w:val="001F507C"/>
    <w:rsid w:val="001F50EF"/>
    <w:rsid w:val="001F69F1"/>
    <w:rsid w:val="001F73B5"/>
    <w:rsid w:val="00200671"/>
    <w:rsid w:val="00203D91"/>
    <w:rsid w:val="002049CB"/>
    <w:rsid w:val="00207CC3"/>
    <w:rsid w:val="002116CC"/>
    <w:rsid w:val="00212B67"/>
    <w:rsid w:val="00216A05"/>
    <w:rsid w:val="00220190"/>
    <w:rsid w:val="00222D62"/>
    <w:rsid w:val="00226247"/>
    <w:rsid w:val="00227B2D"/>
    <w:rsid w:val="002329E1"/>
    <w:rsid w:val="00232DDC"/>
    <w:rsid w:val="00233C49"/>
    <w:rsid w:val="00233D17"/>
    <w:rsid w:val="00233ED6"/>
    <w:rsid w:val="002375BD"/>
    <w:rsid w:val="00240160"/>
    <w:rsid w:val="00240329"/>
    <w:rsid w:val="00240ACB"/>
    <w:rsid w:val="002417C7"/>
    <w:rsid w:val="0024374B"/>
    <w:rsid w:val="0024558D"/>
    <w:rsid w:val="002460EA"/>
    <w:rsid w:val="002463C7"/>
    <w:rsid w:val="00251C54"/>
    <w:rsid w:val="00252987"/>
    <w:rsid w:val="00252EEE"/>
    <w:rsid w:val="00253E60"/>
    <w:rsid w:val="00255497"/>
    <w:rsid w:val="00261737"/>
    <w:rsid w:val="00262338"/>
    <w:rsid w:val="00263D53"/>
    <w:rsid w:val="0026418A"/>
    <w:rsid w:val="0026647B"/>
    <w:rsid w:val="00272B5A"/>
    <w:rsid w:val="002743DB"/>
    <w:rsid w:val="00275EC3"/>
    <w:rsid w:val="00276165"/>
    <w:rsid w:val="00276258"/>
    <w:rsid w:val="0027707A"/>
    <w:rsid w:val="00281F54"/>
    <w:rsid w:val="002827EA"/>
    <w:rsid w:val="00283960"/>
    <w:rsid w:val="00283C2C"/>
    <w:rsid w:val="00285318"/>
    <w:rsid w:val="002860DA"/>
    <w:rsid w:val="00286794"/>
    <w:rsid w:val="002868D5"/>
    <w:rsid w:val="00290D34"/>
    <w:rsid w:val="0029324A"/>
    <w:rsid w:val="002971A0"/>
    <w:rsid w:val="002A0228"/>
    <w:rsid w:val="002A1B59"/>
    <w:rsid w:val="002A24C3"/>
    <w:rsid w:val="002A3E8A"/>
    <w:rsid w:val="002A618E"/>
    <w:rsid w:val="002A6F2F"/>
    <w:rsid w:val="002A7574"/>
    <w:rsid w:val="002A770C"/>
    <w:rsid w:val="002A7E41"/>
    <w:rsid w:val="002B42D7"/>
    <w:rsid w:val="002B734A"/>
    <w:rsid w:val="002B7AB3"/>
    <w:rsid w:val="002B7B62"/>
    <w:rsid w:val="002C156C"/>
    <w:rsid w:val="002C249A"/>
    <w:rsid w:val="002C3CC4"/>
    <w:rsid w:val="002C3CDF"/>
    <w:rsid w:val="002C40FC"/>
    <w:rsid w:val="002C54B6"/>
    <w:rsid w:val="002C5AC4"/>
    <w:rsid w:val="002C5E6C"/>
    <w:rsid w:val="002C70C9"/>
    <w:rsid w:val="002C754C"/>
    <w:rsid w:val="002D064A"/>
    <w:rsid w:val="002D0995"/>
    <w:rsid w:val="002D2451"/>
    <w:rsid w:val="002D45E1"/>
    <w:rsid w:val="002D49B3"/>
    <w:rsid w:val="002D6234"/>
    <w:rsid w:val="002D66E5"/>
    <w:rsid w:val="002D6EC3"/>
    <w:rsid w:val="002D7D2B"/>
    <w:rsid w:val="002E023A"/>
    <w:rsid w:val="002E11E9"/>
    <w:rsid w:val="002E14FE"/>
    <w:rsid w:val="002E3663"/>
    <w:rsid w:val="002F28B7"/>
    <w:rsid w:val="002F3F98"/>
    <w:rsid w:val="002F491D"/>
    <w:rsid w:val="00302F12"/>
    <w:rsid w:val="0030336B"/>
    <w:rsid w:val="003062F6"/>
    <w:rsid w:val="00307B6A"/>
    <w:rsid w:val="0031319F"/>
    <w:rsid w:val="00316EAD"/>
    <w:rsid w:val="003204B3"/>
    <w:rsid w:val="003207F6"/>
    <w:rsid w:val="00320C04"/>
    <w:rsid w:val="00320CF3"/>
    <w:rsid w:val="003211B7"/>
    <w:rsid w:val="00321EA0"/>
    <w:rsid w:val="00326B7D"/>
    <w:rsid w:val="00331B99"/>
    <w:rsid w:val="00332C7D"/>
    <w:rsid w:val="00332EC1"/>
    <w:rsid w:val="00334221"/>
    <w:rsid w:val="0033495D"/>
    <w:rsid w:val="0033690B"/>
    <w:rsid w:val="00336EC3"/>
    <w:rsid w:val="00337AAD"/>
    <w:rsid w:val="00344317"/>
    <w:rsid w:val="003456B8"/>
    <w:rsid w:val="00350D79"/>
    <w:rsid w:val="00351C64"/>
    <w:rsid w:val="003528F3"/>
    <w:rsid w:val="003534C1"/>
    <w:rsid w:val="003538F7"/>
    <w:rsid w:val="00354F09"/>
    <w:rsid w:val="00355029"/>
    <w:rsid w:val="0035652C"/>
    <w:rsid w:val="00370F47"/>
    <w:rsid w:val="003714C4"/>
    <w:rsid w:val="00372763"/>
    <w:rsid w:val="003771C2"/>
    <w:rsid w:val="00391F4B"/>
    <w:rsid w:val="0039284A"/>
    <w:rsid w:val="003928A1"/>
    <w:rsid w:val="003957DC"/>
    <w:rsid w:val="00396FFA"/>
    <w:rsid w:val="003A2CD4"/>
    <w:rsid w:val="003A51E3"/>
    <w:rsid w:val="003A5A0A"/>
    <w:rsid w:val="003A7293"/>
    <w:rsid w:val="003A73A2"/>
    <w:rsid w:val="003B2ED4"/>
    <w:rsid w:val="003B3E25"/>
    <w:rsid w:val="003B5B2F"/>
    <w:rsid w:val="003B6008"/>
    <w:rsid w:val="003B6A7B"/>
    <w:rsid w:val="003B7769"/>
    <w:rsid w:val="003B7C1F"/>
    <w:rsid w:val="003C00DD"/>
    <w:rsid w:val="003C335A"/>
    <w:rsid w:val="003C5CB0"/>
    <w:rsid w:val="003C699C"/>
    <w:rsid w:val="003C7204"/>
    <w:rsid w:val="003D0D95"/>
    <w:rsid w:val="003D4104"/>
    <w:rsid w:val="003D725B"/>
    <w:rsid w:val="003D77D9"/>
    <w:rsid w:val="003D7EE3"/>
    <w:rsid w:val="003E0664"/>
    <w:rsid w:val="003E0777"/>
    <w:rsid w:val="003E0E5F"/>
    <w:rsid w:val="003E1903"/>
    <w:rsid w:val="003E32C6"/>
    <w:rsid w:val="003E5636"/>
    <w:rsid w:val="003F0857"/>
    <w:rsid w:val="003F1126"/>
    <w:rsid w:val="003F11A6"/>
    <w:rsid w:val="003F1D95"/>
    <w:rsid w:val="003F66C6"/>
    <w:rsid w:val="004007E3"/>
    <w:rsid w:val="00401978"/>
    <w:rsid w:val="004035A2"/>
    <w:rsid w:val="00405107"/>
    <w:rsid w:val="0040574C"/>
    <w:rsid w:val="0040677B"/>
    <w:rsid w:val="0041010A"/>
    <w:rsid w:val="00410938"/>
    <w:rsid w:val="00410D23"/>
    <w:rsid w:val="00411120"/>
    <w:rsid w:val="00413E5E"/>
    <w:rsid w:val="00414616"/>
    <w:rsid w:val="004161B9"/>
    <w:rsid w:val="00416D1F"/>
    <w:rsid w:val="00420EEF"/>
    <w:rsid w:val="0042124A"/>
    <w:rsid w:val="00421D9D"/>
    <w:rsid w:val="00422054"/>
    <w:rsid w:val="004221B7"/>
    <w:rsid w:val="0042285B"/>
    <w:rsid w:val="00425023"/>
    <w:rsid w:val="00426472"/>
    <w:rsid w:val="00427F6E"/>
    <w:rsid w:val="004306DE"/>
    <w:rsid w:val="00432ACC"/>
    <w:rsid w:val="00434E4A"/>
    <w:rsid w:val="0043516F"/>
    <w:rsid w:val="00435782"/>
    <w:rsid w:val="00435E97"/>
    <w:rsid w:val="00440E9B"/>
    <w:rsid w:val="0044623D"/>
    <w:rsid w:val="00446B8F"/>
    <w:rsid w:val="0045003B"/>
    <w:rsid w:val="00451EC9"/>
    <w:rsid w:val="00452D18"/>
    <w:rsid w:val="004543A5"/>
    <w:rsid w:val="00456450"/>
    <w:rsid w:val="00456A8F"/>
    <w:rsid w:val="00456AC8"/>
    <w:rsid w:val="004618B9"/>
    <w:rsid w:val="0046482F"/>
    <w:rsid w:val="004648E9"/>
    <w:rsid w:val="00464962"/>
    <w:rsid w:val="004673A3"/>
    <w:rsid w:val="00467A00"/>
    <w:rsid w:val="0047017A"/>
    <w:rsid w:val="004722EA"/>
    <w:rsid w:val="004725C9"/>
    <w:rsid w:val="004750F3"/>
    <w:rsid w:val="0047636F"/>
    <w:rsid w:val="00482EDC"/>
    <w:rsid w:val="00484607"/>
    <w:rsid w:val="00484D17"/>
    <w:rsid w:val="00492196"/>
    <w:rsid w:val="004925B8"/>
    <w:rsid w:val="00492F02"/>
    <w:rsid w:val="00495108"/>
    <w:rsid w:val="00496FF5"/>
    <w:rsid w:val="004A35DB"/>
    <w:rsid w:val="004A362C"/>
    <w:rsid w:val="004A3E72"/>
    <w:rsid w:val="004A40B3"/>
    <w:rsid w:val="004A5308"/>
    <w:rsid w:val="004A537A"/>
    <w:rsid w:val="004B5E4E"/>
    <w:rsid w:val="004C15C7"/>
    <w:rsid w:val="004C1B1C"/>
    <w:rsid w:val="004C34C9"/>
    <w:rsid w:val="004C3B06"/>
    <w:rsid w:val="004C3C36"/>
    <w:rsid w:val="004C51C9"/>
    <w:rsid w:val="004C5F51"/>
    <w:rsid w:val="004D03CC"/>
    <w:rsid w:val="004D08FB"/>
    <w:rsid w:val="004D2F4C"/>
    <w:rsid w:val="004D378A"/>
    <w:rsid w:val="004D3E0F"/>
    <w:rsid w:val="004D5A00"/>
    <w:rsid w:val="004D5F0F"/>
    <w:rsid w:val="004D672C"/>
    <w:rsid w:val="004D7B1D"/>
    <w:rsid w:val="004E00BB"/>
    <w:rsid w:val="004E0577"/>
    <w:rsid w:val="004E0D94"/>
    <w:rsid w:val="004E54D6"/>
    <w:rsid w:val="004E5B86"/>
    <w:rsid w:val="004E6533"/>
    <w:rsid w:val="004F091D"/>
    <w:rsid w:val="004F255C"/>
    <w:rsid w:val="004F30EC"/>
    <w:rsid w:val="004F3BE4"/>
    <w:rsid w:val="004F6D7C"/>
    <w:rsid w:val="0050172A"/>
    <w:rsid w:val="00501923"/>
    <w:rsid w:val="00504055"/>
    <w:rsid w:val="00504638"/>
    <w:rsid w:val="0050493D"/>
    <w:rsid w:val="005068F7"/>
    <w:rsid w:val="00510749"/>
    <w:rsid w:val="005133EC"/>
    <w:rsid w:val="00513C0E"/>
    <w:rsid w:val="00514F4C"/>
    <w:rsid w:val="0051592A"/>
    <w:rsid w:val="005168ED"/>
    <w:rsid w:val="00520048"/>
    <w:rsid w:val="00521AEE"/>
    <w:rsid w:val="00522775"/>
    <w:rsid w:val="00523DD2"/>
    <w:rsid w:val="00524595"/>
    <w:rsid w:val="005267D3"/>
    <w:rsid w:val="0052695D"/>
    <w:rsid w:val="005313FC"/>
    <w:rsid w:val="00531890"/>
    <w:rsid w:val="0053532E"/>
    <w:rsid w:val="005358E0"/>
    <w:rsid w:val="00536526"/>
    <w:rsid w:val="0054018C"/>
    <w:rsid w:val="00543703"/>
    <w:rsid w:val="005440FC"/>
    <w:rsid w:val="00546464"/>
    <w:rsid w:val="005511A1"/>
    <w:rsid w:val="005512F3"/>
    <w:rsid w:val="005537F6"/>
    <w:rsid w:val="005608E0"/>
    <w:rsid w:val="0056094C"/>
    <w:rsid w:val="0056369A"/>
    <w:rsid w:val="00564645"/>
    <w:rsid w:val="00565543"/>
    <w:rsid w:val="00567D15"/>
    <w:rsid w:val="005700E6"/>
    <w:rsid w:val="00570115"/>
    <w:rsid w:val="00572614"/>
    <w:rsid w:val="00573DDB"/>
    <w:rsid w:val="00574CEB"/>
    <w:rsid w:val="00575EDF"/>
    <w:rsid w:val="00575F17"/>
    <w:rsid w:val="005768DA"/>
    <w:rsid w:val="00577FA4"/>
    <w:rsid w:val="00580987"/>
    <w:rsid w:val="00582162"/>
    <w:rsid w:val="0058458B"/>
    <w:rsid w:val="005857B8"/>
    <w:rsid w:val="005879EA"/>
    <w:rsid w:val="00591F7A"/>
    <w:rsid w:val="0059321D"/>
    <w:rsid w:val="00594E1F"/>
    <w:rsid w:val="00595390"/>
    <w:rsid w:val="005A2C05"/>
    <w:rsid w:val="005A379B"/>
    <w:rsid w:val="005A3F48"/>
    <w:rsid w:val="005A4D34"/>
    <w:rsid w:val="005A6997"/>
    <w:rsid w:val="005A7B73"/>
    <w:rsid w:val="005B31A6"/>
    <w:rsid w:val="005B7349"/>
    <w:rsid w:val="005B7E61"/>
    <w:rsid w:val="005C14D3"/>
    <w:rsid w:val="005D0922"/>
    <w:rsid w:val="005D2529"/>
    <w:rsid w:val="005D3732"/>
    <w:rsid w:val="005D6943"/>
    <w:rsid w:val="005E0040"/>
    <w:rsid w:val="005E0A47"/>
    <w:rsid w:val="005E0D21"/>
    <w:rsid w:val="005E1DDB"/>
    <w:rsid w:val="005E3584"/>
    <w:rsid w:val="005E3D79"/>
    <w:rsid w:val="005E3DA8"/>
    <w:rsid w:val="005E6C0F"/>
    <w:rsid w:val="005E77A7"/>
    <w:rsid w:val="005F73FC"/>
    <w:rsid w:val="005F7AC7"/>
    <w:rsid w:val="00601E70"/>
    <w:rsid w:val="00603304"/>
    <w:rsid w:val="00603B3D"/>
    <w:rsid w:val="006040DD"/>
    <w:rsid w:val="006041F9"/>
    <w:rsid w:val="00604D5F"/>
    <w:rsid w:val="006059E3"/>
    <w:rsid w:val="00612664"/>
    <w:rsid w:val="00613C1F"/>
    <w:rsid w:val="00614DDA"/>
    <w:rsid w:val="00614E76"/>
    <w:rsid w:val="006161A9"/>
    <w:rsid w:val="00616861"/>
    <w:rsid w:val="0061795E"/>
    <w:rsid w:val="00620555"/>
    <w:rsid w:val="00621D8D"/>
    <w:rsid w:val="00623288"/>
    <w:rsid w:val="006234A5"/>
    <w:rsid w:val="00631202"/>
    <w:rsid w:val="00631773"/>
    <w:rsid w:val="0063389E"/>
    <w:rsid w:val="0063515D"/>
    <w:rsid w:val="00635E89"/>
    <w:rsid w:val="00636BCD"/>
    <w:rsid w:val="00636E3B"/>
    <w:rsid w:val="00640E34"/>
    <w:rsid w:val="00646AA0"/>
    <w:rsid w:val="00646E7C"/>
    <w:rsid w:val="00653840"/>
    <w:rsid w:val="006549DE"/>
    <w:rsid w:val="0065512A"/>
    <w:rsid w:val="0065738B"/>
    <w:rsid w:val="00661B09"/>
    <w:rsid w:val="00663A5D"/>
    <w:rsid w:val="00664002"/>
    <w:rsid w:val="00665E89"/>
    <w:rsid w:val="00666795"/>
    <w:rsid w:val="00666888"/>
    <w:rsid w:val="00667A69"/>
    <w:rsid w:val="00671BA2"/>
    <w:rsid w:val="00671C53"/>
    <w:rsid w:val="006725BB"/>
    <w:rsid w:val="006741F1"/>
    <w:rsid w:val="006778AD"/>
    <w:rsid w:val="0068027F"/>
    <w:rsid w:val="00680C48"/>
    <w:rsid w:val="00680C6C"/>
    <w:rsid w:val="00683A9E"/>
    <w:rsid w:val="00683C3F"/>
    <w:rsid w:val="00684550"/>
    <w:rsid w:val="0068496E"/>
    <w:rsid w:val="00684F2C"/>
    <w:rsid w:val="00685E13"/>
    <w:rsid w:val="00687205"/>
    <w:rsid w:val="0069124B"/>
    <w:rsid w:val="006920BA"/>
    <w:rsid w:val="006932F9"/>
    <w:rsid w:val="00694256"/>
    <w:rsid w:val="00695A81"/>
    <w:rsid w:val="00696D6D"/>
    <w:rsid w:val="0069709C"/>
    <w:rsid w:val="006A0712"/>
    <w:rsid w:val="006A14A9"/>
    <w:rsid w:val="006A19FA"/>
    <w:rsid w:val="006A4278"/>
    <w:rsid w:val="006A4338"/>
    <w:rsid w:val="006B2B1F"/>
    <w:rsid w:val="006B39FA"/>
    <w:rsid w:val="006B58D7"/>
    <w:rsid w:val="006C04E6"/>
    <w:rsid w:val="006C1E52"/>
    <w:rsid w:val="006C2782"/>
    <w:rsid w:val="006C3200"/>
    <w:rsid w:val="006C3C87"/>
    <w:rsid w:val="006C4F4F"/>
    <w:rsid w:val="006D0456"/>
    <w:rsid w:val="006D1482"/>
    <w:rsid w:val="006D4A5A"/>
    <w:rsid w:val="006D6798"/>
    <w:rsid w:val="006D753F"/>
    <w:rsid w:val="006E08E3"/>
    <w:rsid w:val="006E0A29"/>
    <w:rsid w:val="006E2B68"/>
    <w:rsid w:val="006E2F8C"/>
    <w:rsid w:val="006E3003"/>
    <w:rsid w:val="006E3F85"/>
    <w:rsid w:val="006E440C"/>
    <w:rsid w:val="006E673C"/>
    <w:rsid w:val="006E713F"/>
    <w:rsid w:val="006E7262"/>
    <w:rsid w:val="006E7439"/>
    <w:rsid w:val="006E7539"/>
    <w:rsid w:val="006E78AB"/>
    <w:rsid w:val="006E7F4C"/>
    <w:rsid w:val="006F0AEC"/>
    <w:rsid w:val="006F12E2"/>
    <w:rsid w:val="006F1411"/>
    <w:rsid w:val="006F5240"/>
    <w:rsid w:val="006F7A15"/>
    <w:rsid w:val="00700581"/>
    <w:rsid w:val="00705AFD"/>
    <w:rsid w:val="00705DED"/>
    <w:rsid w:val="007065DC"/>
    <w:rsid w:val="00707684"/>
    <w:rsid w:val="0071053E"/>
    <w:rsid w:val="007113BA"/>
    <w:rsid w:val="00714EEB"/>
    <w:rsid w:val="007163CE"/>
    <w:rsid w:val="007173AC"/>
    <w:rsid w:val="0071792A"/>
    <w:rsid w:val="00717BF3"/>
    <w:rsid w:val="00730090"/>
    <w:rsid w:val="00730F73"/>
    <w:rsid w:val="00731574"/>
    <w:rsid w:val="00731ADD"/>
    <w:rsid w:val="00732CB4"/>
    <w:rsid w:val="00733094"/>
    <w:rsid w:val="007413EC"/>
    <w:rsid w:val="00742043"/>
    <w:rsid w:val="00743A89"/>
    <w:rsid w:val="007449FB"/>
    <w:rsid w:val="00744BF8"/>
    <w:rsid w:val="00744C88"/>
    <w:rsid w:val="00745E7F"/>
    <w:rsid w:val="007501EA"/>
    <w:rsid w:val="007546C2"/>
    <w:rsid w:val="00756347"/>
    <w:rsid w:val="007563E6"/>
    <w:rsid w:val="00757847"/>
    <w:rsid w:val="00760468"/>
    <w:rsid w:val="00761430"/>
    <w:rsid w:val="007626F1"/>
    <w:rsid w:val="00762854"/>
    <w:rsid w:val="00765E57"/>
    <w:rsid w:val="007757C8"/>
    <w:rsid w:val="007762BF"/>
    <w:rsid w:val="00776F1A"/>
    <w:rsid w:val="007812D9"/>
    <w:rsid w:val="007816D1"/>
    <w:rsid w:val="00782F11"/>
    <w:rsid w:val="00783221"/>
    <w:rsid w:val="00783B5C"/>
    <w:rsid w:val="00784168"/>
    <w:rsid w:val="00787090"/>
    <w:rsid w:val="0078710C"/>
    <w:rsid w:val="00787D88"/>
    <w:rsid w:val="00790ADC"/>
    <w:rsid w:val="00792B97"/>
    <w:rsid w:val="00793826"/>
    <w:rsid w:val="007952FB"/>
    <w:rsid w:val="007953F2"/>
    <w:rsid w:val="0079542E"/>
    <w:rsid w:val="0079614F"/>
    <w:rsid w:val="00797D3E"/>
    <w:rsid w:val="007A02C4"/>
    <w:rsid w:val="007A3B58"/>
    <w:rsid w:val="007A41C5"/>
    <w:rsid w:val="007A4CCC"/>
    <w:rsid w:val="007B1BE4"/>
    <w:rsid w:val="007B24C8"/>
    <w:rsid w:val="007B365C"/>
    <w:rsid w:val="007B4256"/>
    <w:rsid w:val="007B617E"/>
    <w:rsid w:val="007C02BB"/>
    <w:rsid w:val="007C2B29"/>
    <w:rsid w:val="007C33C0"/>
    <w:rsid w:val="007C5318"/>
    <w:rsid w:val="007C589A"/>
    <w:rsid w:val="007C5AE1"/>
    <w:rsid w:val="007C5D50"/>
    <w:rsid w:val="007C6913"/>
    <w:rsid w:val="007D41EF"/>
    <w:rsid w:val="007D423A"/>
    <w:rsid w:val="007D67FB"/>
    <w:rsid w:val="007E54DA"/>
    <w:rsid w:val="007E6641"/>
    <w:rsid w:val="007E7003"/>
    <w:rsid w:val="007F20CA"/>
    <w:rsid w:val="007F5297"/>
    <w:rsid w:val="007F55CE"/>
    <w:rsid w:val="007F65D1"/>
    <w:rsid w:val="007F7456"/>
    <w:rsid w:val="008011EB"/>
    <w:rsid w:val="0080183E"/>
    <w:rsid w:val="00802147"/>
    <w:rsid w:val="00802FE5"/>
    <w:rsid w:val="00803465"/>
    <w:rsid w:val="008053AD"/>
    <w:rsid w:val="00806042"/>
    <w:rsid w:val="00806AAD"/>
    <w:rsid w:val="00807120"/>
    <w:rsid w:val="00811E52"/>
    <w:rsid w:val="0081401C"/>
    <w:rsid w:val="00814459"/>
    <w:rsid w:val="00814D0F"/>
    <w:rsid w:val="00815415"/>
    <w:rsid w:val="008164EC"/>
    <w:rsid w:val="00820C65"/>
    <w:rsid w:val="00821684"/>
    <w:rsid w:val="008229C8"/>
    <w:rsid w:val="0082305D"/>
    <w:rsid w:val="008242D6"/>
    <w:rsid w:val="0082434B"/>
    <w:rsid w:val="00825B90"/>
    <w:rsid w:val="00825E4B"/>
    <w:rsid w:val="008278A0"/>
    <w:rsid w:val="00831369"/>
    <w:rsid w:val="00832F20"/>
    <w:rsid w:val="00834414"/>
    <w:rsid w:val="00841909"/>
    <w:rsid w:val="00842356"/>
    <w:rsid w:val="008458A6"/>
    <w:rsid w:val="00845A8E"/>
    <w:rsid w:val="00846762"/>
    <w:rsid w:val="00852E21"/>
    <w:rsid w:val="00853BF9"/>
    <w:rsid w:val="0085517D"/>
    <w:rsid w:val="0085705F"/>
    <w:rsid w:val="00864E3C"/>
    <w:rsid w:val="008679C9"/>
    <w:rsid w:val="00870439"/>
    <w:rsid w:val="008706E8"/>
    <w:rsid w:val="008719B0"/>
    <w:rsid w:val="00875873"/>
    <w:rsid w:val="00875DAE"/>
    <w:rsid w:val="00876444"/>
    <w:rsid w:val="00877DBF"/>
    <w:rsid w:val="00880566"/>
    <w:rsid w:val="00880B16"/>
    <w:rsid w:val="00881165"/>
    <w:rsid w:val="00882388"/>
    <w:rsid w:val="00883F9A"/>
    <w:rsid w:val="008867EC"/>
    <w:rsid w:val="00886AE1"/>
    <w:rsid w:val="008875A1"/>
    <w:rsid w:val="00887F55"/>
    <w:rsid w:val="00890E02"/>
    <w:rsid w:val="0089160A"/>
    <w:rsid w:val="00892024"/>
    <w:rsid w:val="00892440"/>
    <w:rsid w:val="008933D0"/>
    <w:rsid w:val="00893B8C"/>
    <w:rsid w:val="008967F6"/>
    <w:rsid w:val="00896D79"/>
    <w:rsid w:val="008A3C2B"/>
    <w:rsid w:val="008A79D0"/>
    <w:rsid w:val="008B13CC"/>
    <w:rsid w:val="008B4AB5"/>
    <w:rsid w:val="008C0808"/>
    <w:rsid w:val="008C1117"/>
    <w:rsid w:val="008C1AC2"/>
    <w:rsid w:val="008D15B7"/>
    <w:rsid w:val="008D3030"/>
    <w:rsid w:val="008D33F0"/>
    <w:rsid w:val="008D3A92"/>
    <w:rsid w:val="008D4002"/>
    <w:rsid w:val="008D4049"/>
    <w:rsid w:val="008D40E0"/>
    <w:rsid w:val="008D4B8F"/>
    <w:rsid w:val="008D5546"/>
    <w:rsid w:val="008D5E43"/>
    <w:rsid w:val="008D7737"/>
    <w:rsid w:val="008D7FDB"/>
    <w:rsid w:val="008E041F"/>
    <w:rsid w:val="008E09CB"/>
    <w:rsid w:val="008E1E03"/>
    <w:rsid w:val="008E2817"/>
    <w:rsid w:val="008E2E92"/>
    <w:rsid w:val="008E3106"/>
    <w:rsid w:val="008E6F79"/>
    <w:rsid w:val="008E7E98"/>
    <w:rsid w:val="008F0017"/>
    <w:rsid w:val="008F0C70"/>
    <w:rsid w:val="008F0E81"/>
    <w:rsid w:val="008F35EE"/>
    <w:rsid w:val="008F6924"/>
    <w:rsid w:val="009033B1"/>
    <w:rsid w:val="00904884"/>
    <w:rsid w:val="00907334"/>
    <w:rsid w:val="009109A9"/>
    <w:rsid w:val="0091120A"/>
    <w:rsid w:val="0091361F"/>
    <w:rsid w:val="0091436B"/>
    <w:rsid w:val="00914E49"/>
    <w:rsid w:val="00915857"/>
    <w:rsid w:val="009201AE"/>
    <w:rsid w:val="009209DE"/>
    <w:rsid w:val="00921F39"/>
    <w:rsid w:val="00922E13"/>
    <w:rsid w:val="0092484E"/>
    <w:rsid w:val="00927E91"/>
    <w:rsid w:val="00930502"/>
    <w:rsid w:val="009312BC"/>
    <w:rsid w:val="00934428"/>
    <w:rsid w:val="00937C89"/>
    <w:rsid w:val="00940A54"/>
    <w:rsid w:val="0094207B"/>
    <w:rsid w:val="00942756"/>
    <w:rsid w:val="00943413"/>
    <w:rsid w:val="00947197"/>
    <w:rsid w:val="0094732F"/>
    <w:rsid w:val="00951F2E"/>
    <w:rsid w:val="0095244F"/>
    <w:rsid w:val="00952785"/>
    <w:rsid w:val="00952D27"/>
    <w:rsid w:val="00953A9C"/>
    <w:rsid w:val="00954DD3"/>
    <w:rsid w:val="00954F9B"/>
    <w:rsid w:val="00955BB4"/>
    <w:rsid w:val="00960272"/>
    <w:rsid w:val="00960BE5"/>
    <w:rsid w:val="00960F55"/>
    <w:rsid w:val="00961BA4"/>
    <w:rsid w:val="009620B7"/>
    <w:rsid w:val="00970BF6"/>
    <w:rsid w:val="00970F39"/>
    <w:rsid w:val="00970F95"/>
    <w:rsid w:val="009713AE"/>
    <w:rsid w:val="009722F1"/>
    <w:rsid w:val="00973320"/>
    <w:rsid w:val="00974CA0"/>
    <w:rsid w:val="00975A36"/>
    <w:rsid w:val="00981ED6"/>
    <w:rsid w:val="00983900"/>
    <w:rsid w:val="00983EAA"/>
    <w:rsid w:val="00983F00"/>
    <w:rsid w:val="00984AED"/>
    <w:rsid w:val="00990447"/>
    <w:rsid w:val="00997508"/>
    <w:rsid w:val="0099762B"/>
    <w:rsid w:val="009A0152"/>
    <w:rsid w:val="009A0B54"/>
    <w:rsid w:val="009A11D8"/>
    <w:rsid w:val="009A6786"/>
    <w:rsid w:val="009B0F31"/>
    <w:rsid w:val="009B3E41"/>
    <w:rsid w:val="009B4174"/>
    <w:rsid w:val="009B5C80"/>
    <w:rsid w:val="009B60C7"/>
    <w:rsid w:val="009C17D8"/>
    <w:rsid w:val="009C1EF9"/>
    <w:rsid w:val="009C309D"/>
    <w:rsid w:val="009C5510"/>
    <w:rsid w:val="009C567C"/>
    <w:rsid w:val="009D0C7F"/>
    <w:rsid w:val="009D29F4"/>
    <w:rsid w:val="009D404A"/>
    <w:rsid w:val="009D5FB3"/>
    <w:rsid w:val="009D6CE4"/>
    <w:rsid w:val="009E1579"/>
    <w:rsid w:val="009E2381"/>
    <w:rsid w:val="009E2A12"/>
    <w:rsid w:val="009E3E95"/>
    <w:rsid w:val="009E3F0D"/>
    <w:rsid w:val="009E538B"/>
    <w:rsid w:val="009E5AFF"/>
    <w:rsid w:val="009E6C69"/>
    <w:rsid w:val="009F0DD6"/>
    <w:rsid w:val="009F0EBA"/>
    <w:rsid w:val="009F1936"/>
    <w:rsid w:val="009F1E71"/>
    <w:rsid w:val="009F2DCC"/>
    <w:rsid w:val="009F314F"/>
    <w:rsid w:val="009F53FF"/>
    <w:rsid w:val="009F6712"/>
    <w:rsid w:val="009F6C76"/>
    <w:rsid w:val="00A003EB"/>
    <w:rsid w:val="00A00DCA"/>
    <w:rsid w:val="00A0449B"/>
    <w:rsid w:val="00A046C7"/>
    <w:rsid w:val="00A04830"/>
    <w:rsid w:val="00A052D6"/>
    <w:rsid w:val="00A10E91"/>
    <w:rsid w:val="00A129F2"/>
    <w:rsid w:val="00A152B2"/>
    <w:rsid w:val="00A16D76"/>
    <w:rsid w:val="00A17C95"/>
    <w:rsid w:val="00A203F7"/>
    <w:rsid w:val="00A20C47"/>
    <w:rsid w:val="00A240B8"/>
    <w:rsid w:val="00A26415"/>
    <w:rsid w:val="00A26BE9"/>
    <w:rsid w:val="00A31BD0"/>
    <w:rsid w:val="00A342B5"/>
    <w:rsid w:val="00A3787D"/>
    <w:rsid w:val="00A37ED0"/>
    <w:rsid w:val="00A41C5C"/>
    <w:rsid w:val="00A44660"/>
    <w:rsid w:val="00A46688"/>
    <w:rsid w:val="00A50207"/>
    <w:rsid w:val="00A50A49"/>
    <w:rsid w:val="00A5363B"/>
    <w:rsid w:val="00A5497F"/>
    <w:rsid w:val="00A55FE8"/>
    <w:rsid w:val="00A5656F"/>
    <w:rsid w:val="00A577E8"/>
    <w:rsid w:val="00A65577"/>
    <w:rsid w:val="00A6666B"/>
    <w:rsid w:val="00A6748E"/>
    <w:rsid w:val="00A7107A"/>
    <w:rsid w:val="00A71EBC"/>
    <w:rsid w:val="00A728EA"/>
    <w:rsid w:val="00A737E7"/>
    <w:rsid w:val="00A76352"/>
    <w:rsid w:val="00A776E9"/>
    <w:rsid w:val="00A8059F"/>
    <w:rsid w:val="00A8255E"/>
    <w:rsid w:val="00A8354F"/>
    <w:rsid w:val="00A8378E"/>
    <w:rsid w:val="00A85A0D"/>
    <w:rsid w:val="00A85EEB"/>
    <w:rsid w:val="00A86CB9"/>
    <w:rsid w:val="00A8739B"/>
    <w:rsid w:val="00A93283"/>
    <w:rsid w:val="00A9443E"/>
    <w:rsid w:val="00A94C72"/>
    <w:rsid w:val="00A963A9"/>
    <w:rsid w:val="00A976D1"/>
    <w:rsid w:val="00AA3F00"/>
    <w:rsid w:val="00AA5F59"/>
    <w:rsid w:val="00AA70CE"/>
    <w:rsid w:val="00AB4E6B"/>
    <w:rsid w:val="00AB7165"/>
    <w:rsid w:val="00AC46A1"/>
    <w:rsid w:val="00AC65A4"/>
    <w:rsid w:val="00AD1470"/>
    <w:rsid w:val="00AD15D9"/>
    <w:rsid w:val="00AD2072"/>
    <w:rsid w:val="00AD3BBE"/>
    <w:rsid w:val="00AD5BF0"/>
    <w:rsid w:val="00AD5C9B"/>
    <w:rsid w:val="00AD70AB"/>
    <w:rsid w:val="00AE22D8"/>
    <w:rsid w:val="00AE23EB"/>
    <w:rsid w:val="00AE3507"/>
    <w:rsid w:val="00AE6648"/>
    <w:rsid w:val="00AE665D"/>
    <w:rsid w:val="00AE79CF"/>
    <w:rsid w:val="00AF12DE"/>
    <w:rsid w:val="00AF40C9"/>
    <w:rsid w:val="00AF4FF0"/>
    <w:rsid w:val="00AF5C7D"/>
    <w:rsid w:val="00AF611B"/>
    <w:rsid w:val="00AF775F"/>
    <w:rsid w:val="00B00F55"/>
    <w:rsid w:val="00B0101C"/>
    <w:rsid w:val="00B010B1"/>
    <w:rsid w:val="00B01AC2"/>
    <w:rsid w:val="00B01B31"/>
    <w:rsid w:val="00B02892"/>
    <w:rsid w:val="00B037A3"/>
    <w:rsid w:val="00B06824"/>
    <w:rsid w:val="00B105E9"/>
    <w:rsid w:val="00B10C0E"/>
    <w:rsid w:val="00B12371"/>
    <w:rsid w:val="00B137A5"/>
    <w:rsid w:val="00B141A2"/>
    <w:rsid w:val="00B17E66"/>
    <w:rsid w:val="00B2094B"/>
    <w:rsid w:val="00B22844"/>
    <w:rsid w:val="00B23337"/>
    <w:rsid w:val="00B25B09"/>
    <w:rsid w:val="00B263E8"/>
    <w:rsid w:val="00B27016"/>
    <w:rsid w:val="00B302F8"/>
    <w:rsid w:val="00B318D0"/>
    <w:rsid w:val="00B31BB4"/>
    <w:rsid w:val="00B3453B"/>
    <w:rsid w:val="00B34B43"/>
    <w:rsid w:val="00B37083"/>
    <w:rsid w:val="00B37AC2"/>
    <w:rsid w:val="00B40610"/>
    <w:rsid w:val="00B40DB3"/>
    <w:rsid w:val="00B4209A"/>
    <w:rsid w:val="00B440B2"/>
    <w:rsid w:val="00B468AB"/>
    <w:rsid w:val="00B47758"/>
    <w:rsid w:val="00B47A53"/>
    <w:rsid w:val="00B538F9"/>
    <w:rsid w:val="00B54B09"/>
    <w:rsid w:val="00B5685C"/>
    <w:rsid w:val="00B56A65"/>
    <w:rsid w:val="00B56D7C"/>
    <w:rsid w:val="00B5750E"/>
    <w:rsid w:val="00B644BF"/>
    <w:rsid w:val="00B667BF"/>
    <w:rsid w:val="00B718C8"/>
    <w:rsid w:val="00B72CC2"/>
    <w:rsid w:val="00B801FC"/>
    <w:rsid w:val="00B83E2E"/>
    <w:rsid w:val="00B849C9"/>
    <w:rsid w:val="00B861FD"/>
    <w:rsid w:val="00B86BF9"/>
    <w:rsid w:val="00B90159"/>
    <w:rsid w:val="00B9070B"/>
    <w:rsid w:val="00B91199"/>
    <w:rsid w:val="00B93426"/>
    <w:rsid w:val="00B97070"/>
    <w:rsid w:val="00B9708D"/>
    <w:rsid w:val="00B973A8"/>
    <w:rsid w:val="00B97CAB"/>
    <w:rsid w:val="00BA05D3"/>
    <w:rsid w:val="00BA15DC"/>
    <w:rsid w:val="00BA16C6"/>
    <w:rsid w:val="00BA29DA"/>
    <w:rsid w:val="00BA53DE"/>
    <w:rsid w:val="00BA7B3D"/>
    <w:rsid w:val="00BB0A82"/>
    <w:rsid w:val="00BB44A0"/>
    <w:rsid w:val="00BB4B65"/>
    <w:rsid w:val="00BB72CE"/>
    <w:rsid w:val="00BC047E"/>
    <w:rsid w:val="00BC4448"/>
    <w:rsid w:val="00BC4457"/>
    <w:rsid w:val="00BD0C6C"/>
    <w:rsid w:val="00BD233F"/>
    <w:rsid w:val="00BD4165"/>
    <w:rsid w:val="00BD440A"/>
    <w:rsid w:val="00BD7436"/>
    <w:rsid w:val="00BD7907"/>
    <w:rsid w:val="00BE1A5A"/>
    <w:rsid w:val="00BE216E"/>
    <w:rsid w:val="00BE2B4B"/>
    <w:rsid w:val="00BE2BCA"/>
    <w:rsid w:val="00BF0EAB"/>
    <w:rsid w:val="00BF1B55"/>
    <w:rsid w:val="00BF4C7C"/>
    <w:rsid w:val="00BF5777"/>
    <w:rsid w:val="00BF59A8"/>
    <w:rsid w:val="00BF7009"/>
    <w:rsid w:val="00C0692C"/>
    <w:rsid w:val="00C13146"/>
    <w:rsid w:val="00C1460D"/>
    <w:rsid w:val="00C17A6A"/>
    <w:rsid w:val="00C22D20"/>
    <w:rsid w:val="00C24ED3"/>
    <w:rsid w:val="00C31874"/>
    <w:rsid w:val="00C333BD"/>
    <w:rsid w:val="00C35D95"/>
    <w:rsid w:val="00C36DF2"/>
    <w:rsid w:val="00C40005"/>
    <w:rsid w:val="00C401A6"/>
    <w:rsid w:val="00C42506"/>
    <w:rsid w:val="00C43FB4"/>
    <w:rsid w:val="00C449E7"/>
    <w:rsid w:val="00C455E9"/>
    <w:rsid w:val="00C45FD8"/>
    <w:rsid w:val="00C47B9E"/>
    <w:rsid w:val="00C506FD"/>
    <w:rsid w:val="00C5184E"/>
    <w:rsid w:val="00C5377E"/>
    <w:rsid w:val="00C55262"/>
    <w:rsid w:val="00C55CB4"/>
    <w:rsid w:val="00C57BF9"/>
    <w:rsid w:val="00C60154"/>
    <w:rsid w:val="00C60D1E"/>
    <w:rsid w:val="00C61755"/>
    <w:rsid w:val="00C631F7"/>
    <w:rsid w:val="00C647B4"/>
    <w:rsid w:val="00C660CB"/>
    <w:rsid w:val="00C672DA"/>
    <w:rsid w:val="00C71264"/>
    <w:rsid w:val="00C732F0"/>
    <w:rsid w:val="00C74331"/>
    <w:rsid w:val="00C74829"/>
    <w:rsid w:val="00C75C45"/>
    <w:rsid w:val="00C76600"/>
    <w:rsid w:val="00C76D3E"/>
    <w:rsid w:val="00C81079"/>
    <w:rsid w:val="00C81D17"/>
    <w:rsid w:val="00C823F8"/>
    <w:rsid w:val="00C83C56"/>
    <w:rsid w:val="00C87287"/>
    <w:rsid w:val="00C90EBC"/>
    <w:rsid w:val="00C910C5"/>
    <w:rsid w:val="00C915B3"/>
    <w:rsid w:val="00C9290C"/>
    <w:rsid w:val="00C92D12"/>
    <w:rsid w:val="00C94EAA"/>
    <w:rsid w:val="00C954F3"/>
    <w:rsid w:val="00C96B33"/>
    <w:rsid w:val="00C97ECD"/>
    <w:rsid w:val="00CA0E89"/>
    <w:rsid w:val="00CA27F4"/>
    <w:rsid w:val="00CA2E7B"/>
    <w:rsid w:val="00CA662F"/>
    <w:rsid w:val="00CA7A6D"/>
    <w:rsid w:val="00CA7F78"/>
    <w:rsid w:val="00CB2CC4"/>
    <w:rsid w:val="00CB410D"/>
    <w:rsid w:val="00CB44F9"/>
    <w:rsid w:val="00CB70FB"/>
    <w:rsid w:val="00CB7C24"/>
    <w:rsid w:val="00CC53C3"/>
    <w:rsid w:val="00CC75A4"/>
    <w:rsid w:val="00CD1E3D"/>
    <w:rsid w:val="00CD4148"/>
    <w:rsid w:val="00CD5270"/>
    <w:rsid w:val="00CD53BC"/>
    <w:rsid w:val="00CD56BD"/>
    <w:rsid w:val="00CD5EE4"/>
    <w:rsid w:val="00CD7D73"/>
    <w:rsid w:val="00CE0671"/>
    <w:rsid w:val="00CE1450"/>
    <w:rsid w:val="00CE1987"/>
    <w:rsid w:val="00CE47DB"/>
    <w:rsid w:val="00CF1851"/>
    <w:rsid w:val="00CF2067"/>
    <w:rsid w:val="00CF251A"/>
    <w:rsid w:val="00CF37FC"/>
    <w:rsid w:val="00CF3CE2"/>
    <w:rsid w:val="00CF4F1D"/>
    <w:rsid w:val="00CF605A"/>
    <w:rsid w:val="00CF72E7"/>
    <w:rsid w:val="00D006E7"/>
    <w:rsid w:val="00D02658"/>
    <w:rsid w:val="00D034D5"/>
    <w:rsid w:val="00D03855"/>
    <w:rsid w:val="00D04041"/>
    <w:rsid w:val="00D0724A"/>
    <w:rsid w:val="00D10F47"/>
    <w:rsid w:val="00D11A0D"/>
    <w:rsid w:val="00D132B4"/>
    <w:rsid w:val="00D13C8B"/>
    <w:rsid w:val="00D17406"/>
    <w:rsid w:val="00D17C50"/>
    <w:rsid w:val="00D20278"/>
    <w:rsid w:val="00D212B4"/>
    <w:rsid w:val="00D23144"/>
    <w:rsid w:val="00D246A9"/>
    <w:rsid w:val="00D25A82"/>
    <w:rsid w:val="00D2650A"/>
    <w:rsid w:val="00D26F6F"/>
    <w:rsid w:val="00D300DD"/>
    <w:rsid w:val="00D3032B"/>
    <w:rsid w:val="00D34C61"/>
    <w:rsid w:val="00D35D44"/>
    <w:rsid w:val="00D35D62"/>
    <w:rsid w:val="00D35D6A"/>
    <w:rsid w:val="00D35E5B"/>
    <w:rsid w:val="00D36BEC"/>
    <w:rsid w:val="00D43011"/>
    <w:rsid w:val="00D431A3"/>
    <w:rsid w:val="00D440F5"/>
    <w:rsid w:val="00D45801"/>
    <w:rsid w:val="00D45A53"/>
    <w:rsid w:val="00D4663A"/>
    <w:rsid w:val="00D47AAC"/>
    <w:rsid w:val="00D47EB1"/>
    <w:rsid w:val="00D50974"/>
    <w:rsid w:val="00D51DA2"/>
    <w:rsid w:val="00D567F5"/>
    <w:rsid w:val="00D60409"/>
    <w:rsid w:val="00D60D1F"/>
    <w:rsid w:val="00D6154F"/>
    <w:rsid w:val="00D61B99"/>
    <w:rsid w:val="00D636A1"/>
    <w:rsid w:val="00D7036A"/>
    <w:rsid w:val="00D72F97"/>
    <w:rsid w:val="00D732B3"/>
    <w:rsid w:val="00D74172"/>
    <w:rsid w:val="00D807E1"/>
    <w:rsid w:val="00D81198"/>
    <w:rsid w:val="00D81392"/>
    <w:rsid w:val="00D81A6E"/>
    <w:rsid w:val="00D83F2A"/>
    <w:rsid w:val="00D90074"/>
    <w:rsid w:val="00D90E25"/>
    <w:rsid w:val="00D9158B"/>
    <w:rsid w:val="00D92CFD"/>
    <w:rsid w:val="00D94D0C"/>
    <w:rsid w:val="00D96402"/>
    <w:rsid w:val="00DA1852"/>
    <w:rsid w:val="00DA1FBF"/>
    <w:rsid w:val="00DA2816"/>
    <w:rsid w:val="00DA6D7B"/>
    <w:rsid w:val="00DA732E"/>
    <w:rsid w:val="00DB033F"/>
    <w:rsid w:val="00DB1654"/>
    <w:rsid w:val="00DB2FB8"/>
    <w:rsid w:val="00DB6BBA"/>
    <w:rsid w:val="00DB78E9"/>
    <w:rsid w:val="00DC180D"/>
    <w:rsid w:val="00DC3DCB"/>
    <w:rsid w:val="00DC4384"/>
    <w:rsid w:val="00DC59EF"/>
    <w:rsid w:val="00DD239E"/>
    <w:rsid w:val="00DD309F"/>
    <w:rsid w:val="00DD3C3B"/>
    <w:rsid w:val="00DD5014"/>
    <w:rsid w:val="00DD6AE9"/>
    <w:rsid w:val="00DD73B3"/>
    <w:rsid w:val="00DD7A39"/>
    <w:rsid w:val="00DE19C5"/>
    <w:rsid w:val="00DE35A0"/>
    <w:rsid w:val="00DE53AB"/>
    <w:rsid w:val="00DE625A"/>
    <w:rsid w:val="00DE6896"/>
    <w:rsid w:val="00DE6A58"/>
    <w:rsid w:val="00DE70EB"/>
    <w:rsid w:val="00DE7960"/>
    <w:rsid w:val="00DF0A56"/>
    <w:rsid w:val="00DF223E"/>
    <w:rsid w:val="00DF2E90"/>
    <w:rsid w:val="00DF5B27"/>
    <w:rsid w:val="00DF5E3F"/>
    <w:rsid w:val="00DF6266"/>
    <w:rsid w:val="00DF6F91"/>
    <w:rsid w:val="00DF7B81"/>
    <w:rsid w:val="00E02737"/>
    <w:rsid w:val="00E056E1"/>
    <w:rsid w:val="00E058D9"/>
    <w:rsid w:val="00E0630F"/>
    <w:rsid w:val="00E110BA"/>
    <w:rsid w:val="00E12547"/>
    <w:rsid w:val="00E131AA"/>
    <w:rsid w:val="00E14340"/>
    <w:rsid w:val="00E145BB"/>
    <w:rsid w:val="00E15403"/>
    <w:rsid w:val="00E17BC7"/>
    <w:rsid w:val="00E21149"/>
    <w:rsid w:val="00E22BE9"/>
    <w:rsid w:val="00E22CF9"/>
    <w:rsid w:val="00E235E0"/>
    <w:rsid w:val="00E24A67"/>
    <w:rsid w:val="00E24F69"/>
    <w:rsid w:val="00E24F80"/>
    <w:rsid w:val="00E27B3D"/>
    <w:rsid w:val="00E32064"/>
    <w:rsid w:val="00E3266A"/>
    <w:rsid w:val="00E36ED6"/>
    <w:rsid w:val="00E375DE"/>
    <w:rsid w:val="00E424C7"/>
    <w:rsid w:val="00E44955"/>
    <w:rsid w:val="00E45260"/>
    <w:rsid w:val="00E453D2"/>
    <w:rsid w:val="00E46055"/>
    <w:rsid w:val="00E51705"/>
    <w:rsid w:val="00E51F77"/>
    <w:rsid w:val="00E52873"/>
    <w:rsid w:val="00E53432"/>
    <w:rsid w:val="00E54305"/>
    <w:rsid w:val="00E544DD"/>
    <w:rsid w:val="00E54CD5"/>
    <w:rsid w:val="00E55117"/>
    <w:rsid w:val="00E56AE5"/>
    <w:rsid w:val="00E57B3B"/>
    <w:rsid w:val="00E6359F"/>
    <w:rsid w:val="00E708D2"/>
    <w:rsid w:val="00E712D7"/>
    <w:rsid w:val="00E7374C"/>
    <w:rsid w:val="00E764E9"/>
    <w:rsid w:val="00E76FFC"/>
    <w:rsid w:val="00E801CF"/>
    <w:rsid w:val="00E835D1"/>
    <w:rsid w:val="00E84164"/>
    <w:rsid w:val="00E8611E"/>
    <w:rsid w:val="00E87B7E"/>
    <w:rsid w:val="00E90DF4"/>
    <w:rsid w:val="00E90EAB"/>
    <w:rsid w:val="00E94BD6"/>
    <w:rsid w:val="00E9562A"/>
    <w:rsid w:val="00E968F8"/>
    <w:rsid w:val="00EA0B10"/>
    <w:rsid w:val="00EA106B"/>
    <w:rsid w:val="00EA2DEA"/>
    <w:rsid w:val="00EA513A"/>
    <w:rsid w:val="00EA59BA"/>
    <w:rsid w:val="00EA5B61"/>
    <w:rsid w:val="00EA5D97"/>
    <w:rsid w:val="00EA7CD7"/>
    <w:rsid w:val="00EB137F"/>
    <w:rsid w:val="00EB1436"/>
    <w:rsid w:val="00EB26FF"/>
    <w:rsid w:val="00EB2C9C"/>
    <w:rsid w:val="00EB4AA6"/>
    <w:rsid w:val="00EB5CF1"/>
    <w:rsid w:val="00EB6205"/>
    <w:rsid w:val="00EB64FE"/>
    <w:rsid w:val="00EB7D35"/>
    <w:rsid w:val="00EC2B86"/>
    <w:rsid w:val="00EC374F"/>
    <w:rsid w:val="00EC6144"/>
    <w:rsid w:val="00EC75E0"/>
    <w:rsid w:val="00ED0DD7"/>
    <w:rsid w:val="00ED1A25"/>
    <w:rsid w:val="00ED259B"/>
    <w:rsid w:val="00ED2A2D"/>
    <w:rsid w:val="00ED3B17"/>
    <w:rsid w:val="00ED70D3"/>
    <w:rsid w:val="00EE098F"/>
    <w:rsid w:val="00EE16B6"/>
    <w:rsid w:val="00EE7023"/>
    <w:rsid w:val="00EF099E"/>
    <w:rsid w:val="00EF0FA3"/>
    <w:rsid w:val="00EF19B2"/>
    <w:rsid w:val="00EF5C3A"/>
    <w:rsid w:val="00EF6D52"/>
    <w:rsid w:val="00F00B89"/>
    <w:rsid w:val="00F010A3"/>
    <w:rsid w:val="00F02AC7"/>
    <w:rsid w:val="00F02FB7"/>
    <w:rsid w:val="00F04950"/>
    <w:rsid w:val="00F051EB"/>
    <w:rsid w:val="00F0559C"/>
    <w:rsid w:val="00F07491"/>
    <w:rsid w:val="00F12497"/>
    <w:rsid w:val="00F12803"/>
    <w:rsid w:val="00F16B9A"/>
    <w:rsid w:val="00F16F39"/>
    <w:rsid w:val="00F205C5"/>
    <w:rsid w:val="00F20926"/>
    <w:rsid w:val="00F24C14"/>
    <w:rsid w:val="00F26BEF"/>
    <w:rsid w:val="00F331AF"/>
    <w:rsid w:val="00F35D23"/>
    <w:rsid w:val="00F36577"/>
    <w:rsid w:val="00F36691"/>
    <w:rsid w:val="00F41E83"/>
    <w:rsid w:val="00F421F1"/>
    <w:rsid w:val="00F457F2"/>
    <w:rsid w:val="00F46726"/>
    <w:rsid w:val="00F47377"/>
    <w:rsid w:val="00F52752"/>
    <w:rsid w:val="00F530EC"/>
    <w:rsid w:val="00F5330C"/>
    <w:rsid w:val="00F5471C"/>
    <w:rsid w:val="00F612C8"/>
    <w:rsid w:val="00F62482"/>
    <w:rsid w:val="00F63A76"/>
    <w:rsid w:val="00F641DA"/>
    <w:rsid w:val="00F64F59"/>
    <w:rsid w:val="00F6637C"/>
    <w:rsid w:val="00F703C7"/>
    <w:rsid w:val="00F70D5A"/>
    <w:rsid w:val="00F7209B"/>
    <w:rsid w:val="00F725A7"/>
    <w:rsid w:val="00F7355D"/>
    <w:rsid w:val="00F736EC"/>
    <w:rsid w:val="00F743A4"/>
    <w:rsid w:val="00F8066F"/>
    <w:rsid w:val="00F80759"/>
    <w:rsid w:val="00F82A67"/>
    <w:rsid w:val="00F8300F"/>
    <w:rsid w:val="00F862F9"/>
    <w:rsid w:val="00F8773E"/>
    <w:rsid w:val="00F87962"/>
    <w:rsid w:val="00F940CD"/>
    <w:rsid w:val="00F9422E"/>
    <w:rsid w:val="00F96062"/>
    <w:rsid w:val="00F97A8D"/>
    <w:rsid w:val="00FA0718"/>
    <w:rsid w:val="00FA1090"/>
    <w:rsid w:val="00FA327C"/>
    <w:rsid w:val="00FA75D2"/>
    <w:rsid w:val="00FA7D06"/>
    <w:rsid w:val="00FA7F57"/>
    <w:rsid w:val="00FB1AAB"/>
    <w:rsid w:val="00FB2E3F"/>
    <w:rsid w:val="00FC1507"/>
    <w:rsid w:val="00FC1BDD"/>
    <w:rsid w:val="00FD1134"/>
    <w:rsid w:val="00FD2E6C"/>
    <w:rsid w:val="00FD3736"/>
    <w:rsid w:val="00FD41BD"/>
    <w:rsid w:val="00FD4275"/>
    <w:rsid w:val="00FD4677"/>
    <w:rsid w:val="00FD4885"/>
    <w:rsid w:val="00FE0A5D"/>
    <w:rsid w:val="00FE260A"/>
    <w:rsid w:val="00FE260E"/>
    <w:rsid w:val="00FE2CD4"/>
    <w:rsid w:val="00FE39BB"/>
    <w:rsid w:val="00FE3CF7"/>
    <w:rsid w:val="00FE494C"/>
    <w:rsid w:val="00FE7129"/>
    <w:rsid w:val="00FF01BE"/>
    <w:rsid w:val="00FF15D2"/>
    <w:rsid w:val="00FF226D"/>
    <w:rsid w:val="00FF3E86"/>
    <w:rsid w:val="00FF4778"/>
    <w:rsid w:val="010D1CA9"/>
    <w:rsid w:val="012428DD"/>
    <w:rsid w:val="0143711F"/>
    <w:rsid w:val="015F0711"/>
    <w:rsid w:val="0165422E"/>
    <w:rsid w:val="019D6F4E"/>
    <w:rsid w:val="01A25C18"/>
    <w:rsid w:val="01A43274"/>
    <w:rsid w:val="01A4367C"/>
    <w:rsid w:val="01E271C7"/>
    <w:rsid w:val="01EA2624"/>
    <w:rsid w:val="02191C94"/>
    <w:rsid w:val="026079CC"/>
    <w:rsid w:val="026159D9"/>
    <w:rsid w:val="02770CB9"/>
    <w:rsid w:val="02AE6444"/>
    <w:rsid w:val="02C60DA6"/>
    <w:rsid w:val="02D374F2"/>
    <w:rsid w:val="02E43EFF"/>
    <w:rsid w:val="02F902D9"/>
    <w:rsid w:val="02FB3F77"/>
    <w:rsid w:val="03134EDF"/>
    <w:rsid w:val="031828A3"/>
    <w:rsid w:val="031F3366"/>
    <w:rsid w:val="031F7FB6"/>
    <w:rsid w:val="032434EB"/>
    <w:rsid w:val="0348684A"/>
    <w:rsid w:val="034A1CB1"/>
    <w:rsid w:val="0373335B"/>
    <w:rsid w:val="038F18BC"/>
    <w:rsid w:val="0390731C"/>
    <w:rsid w:val="03942491"/>
    <w:rsid w:val="0394392D"/>
    <w:rsid w:val="039D3011"/>
    <w:rsid w:val="03A333B8"/>
    <w:rsid w:val="03BA6631"/>
    <w:rsid w:val="03C93665"/>
    <w:rsid w:val="04112945"/>
    <w:rsid w:val="041A11DA"/>
    <w:rsid w:val="043B104C"/>
    <w:rsid w:val="044E304B"/>
    <w:rsid w:val="045F251D"/>
    <w:rsid w:val="0467652A"/>
    <w:rsid w:val="04692813"/>
    <w:rsid w:val="046E2CF4"/>
    <w:rsid w:val="047B268B"/>
    <w:rsid w:val="049116D8"/>
    <w:rsid w:val="04BD76A1"/>
    <w:rsid w:val="04D84450"/>
    <w:rsid w:val="04DD57BB"/>
    <w:rsid w:val="04F759F8"/>
    <w:rsid w:val="04FA3E0F"/>
    <w:rsid w:val="05045864"/>
    <w:rsid w:val="050E25C5"/>
    <w:rsid w:val="052B792A"/>
    <w:rsid w:val="053F7951"/>
    <w:rsid w:val="059B0D75"/>
    <w:rsid w:val="059B44EA"/>
    <w:rsid w:val="05A65988"/>
    <w:rsid w:val="05DA5812"/>
    <w:rsid w:val="05ED4391"/>
    <w:rsid w:val="05FF6384"/>
    <w:rsid w:val="062C5BF4"/>
    <w:rsid w:val="064B131C"/>
    <w:rsid w:val="066069E3"/>
    <w:rsid w:val="066257F1"/>
    <w:rsid w:val="067C2706"/>
    <w:rsid w:val="067D2F40"/>
    <w:rsid w:val="06B81795"/>
    <w:rsid w:val="06FC3BD0"/>
    <w:rsid w:val="06FE3BEA"/>
    <w:rsid w:val="07030547"/>
    <w:rsid w:val="07154BBD"/>
    <w:rsid w:val="07531933"/>
    <w:rsid w:val="07683C90"/>
    <w:rsid w:val="07743D3E"/>
    <w:rsid w:val="07930CAA"/>
    <w:rsid w:val="07A52D9C"/>
    <w:rsid w:val="07C264E7"/>
    <w:rsid w:val="07EA0B75"/>
    <w:rsid w:val="07F06A5B"/>
    <w:rsid w:val="08176703"/>
    <w:rsid w:val="081B69FD"/>
    <w:rsid w:val="0826553C"/>
    <w:rsid w:val="08545CA3"/>
    <w:rsid w:val="08545D28"/>
    <w:rsid w:val="086E58E1"/>
    <w:rsid w:val="08837626"/>
    <w:rsid w:val="089207C5"/>
    <w:rsid w:val="08A41060"/>
    <w:rsid w:val="08B96CF6"/>
    <w:rsid w:val="08BE72CA"/>
    <w:rsid w:val="09111BD4"/>
    <w:rsid w:val="091510C3"/>
    <w:rsid w:val="093B26B0"/>
    <w:rsid w:val="093B3F4F"/>
    <w:rsid w:val="09485FD6"/>
    <w:rsid w:val="094A3539"/>
    <w:rsid w:val="09B07DE3"/>
    <w:rsid w:val="09BD509C"/>
    <w:rsid w:val="0A2C7DAA"/>
    <w:rsid w:val="0A3230EB"/>
    <w:rsid w:val="0A3648F6"/>
    <w:rsid w:val="0A3C725F"/>
    <w:rsid w:val="0A865A05"/>
    <w:rsid w:val="0A8B7826"/>
    <w:rsid w:val="0AAC5EC9"/>
    <w:rsid w:val="0ADA7F2C"/>
    <w:rsid w:val="0ADB3263"/>
    <w:rsid w:val="0B23252C"/>
    <w:rsid w:val="0B25713D"/>
    <w:rsid w:val="0B2E3AC8"/>
    <w:rsid w:val="0B3205A4"/>
    <w:rsid w:val="0B33136E"/>
    <w:rsid w:val="0B3A1304"/>
    <w:rsid w:val="0B5E781B"/>
    <w:rsid w:val="0B706A9E"/>
    <w:rsid w:val="0BBC080F"/>
    <w:rsid w:val="0BD26282"/>
    <w:rsid w:val="0BD724DE"/>
    <w:rsid w:val="0BD738DD"/>
    <w:rsid w:val="0BE9425E"/>
    <w:rsid w:val="0C4F2D36"/>
    <w:rsid w:val="0C794741"/>
    <w:rsid w:val="0CA906D5"/>
    <w:rsid w:val="0CB011A6"/>
    <w:rsid w:val="0CB471F1"/>
    <w:rsid w:val="0CBC2C3F"/>
    <w:rsid w:val="0CF11932"/>
    <w:rsid w:val="0CF14A87"/>
    <w:rsid w:val="0CFF137D"/>
    <w:rsid w:val="0D027ED7"/>
    <w:rsid w:val="0D1A106D"/>
    <w:rsid w:val="0D975C9C"/>
    <w:rsid w:val="0D9F7E1C"/>
    <w:rsid w:val="0DCB6D33"/>
    <w:rsid w:val="0DD42C45"/>
    <w:rsid w:val="0E111605"/>
    <w:rsid w:val="0E180424"/>
    <w:rsid w:val="0E246596"/>
    <w:rsid w:val="0E395B6A"/>
    <w:rsid w:val="0E4B5B45"/>
    <w:rsid w:val="0EAC7145"/>
    <w:rsid w:val="0EB634CB"/>
    <w:rsid w:val="0ED66893"/>
    <w:rsid w:val="0EF242C6"/>
    <w:rsid w:val="0F042F93"/>
    <w:rsid w:val="0F385AF5"/>
    <w:rsid w:val="0F3A26C8"/>
    <w:rsid w:val="0F600763"/>
    <w:rsid w:val="0F7457F5"/>
    <w:rsid w:val="0F9B1058"/>
    <w:rsid w:val="0FA34FA9"/>
    <w:rsid w:val="0FA66803"/>
    <w:rsid w:val="0FAE5690"/>
    <w:rsid w:val="0FD41BBC"/>
    <w:rsid w:val="10261CD2"/>
    <w:rsid w:val="10307969"/>
    <w:rsid w:val="107B26CF"/>
    <w:rsid w:val="107F39A8"/>
    <w:rsid w:val="108A21A1"/>
    <w:rsid w:val="108C2032"/>
    <w:rsid w:val="10AC6B20"/>
    <w:rsid w:val="10E41A8C"/>
    <w:rsid w:val="110A3C2C"/>
    <w:rsid w:val="110A694C"/>
    <w:rsid w:val="11352C65"/>
    <w:rsid w:val="114D0CC2"/>
    <w:rsid w:val="114E0E81"/>
    <w:rsid w:val="116948B7"/>
    <w:rsid w:val="118C0D3C"/>
    <w:rsid w:val="11A05550"/>
    <w:rsid w:val="11F96344"/>
    <w:rsid w:val="11F96B60"/>
    <w:rsid w:val="11F97FD6"/>
    <w:rsid w:val="12154580"/>
    <w:rsid w:val="122D7028"/>
    <w:rsid w:val="12492B91"/>
    <w:rsid w:val="12527C45"/>
    <w:rsid w:val="126902EF"/>
    <w:rsid w:val="12805634"/>
    <w:rsid w:val="12A717F9"/>
    <w:rsid w:val="12A775A6"/>
    <w:rsid w:val="12BD2F03"/>
    <w:rsid w:val="12C401EA"/>
    <w:rsid w:val="12CB5BB8"/>
    <w:rsid w:val="12CE3ECB"/>
    <w:rsid w:val="12DF079E"/>
    <w:rsid w:val="12E50B9D"/>
    <w:rsid w:val="12E53333"/>
    <w:rsid w:val="12F65F14"/>
    <w:rsid w:val="13072B7A"/>
    <w:rsid w:val="13153AF0"/>
    <w:rsid w:val="132910B3"/>
    <w:rsid w:val="13511316"/>
    <w:rsid w:val="13592B84"/>
    <w:rsid w:val="13781912"/>
    <w:rsid w:val="138064D8"/>
    <w:rsid w:val="1386260E"/>
    <w:rsid w:val="13BF1427"/>
    <w:rsid w:val="13D02E70"/>
    <w:rsid w:val="13DF3550"/>
    <w:rsid w:val="13DF51AE"/>
    <w:rsid w:val="13E1716A"/>
    <w:rsid w:val="14144996"/>
    <w:rsid w:val="142306E3"/>
    <w:rsid w:val="14293A1D"/>
    <w:rsid w:val="143D32AF"/>
    <w:rsid w:val="14413B07"/>
    <w:rsid w:val="14430224"/>
    <w:rsid w:val="1451200E"/>
    <w:rsid w:val="146A40D8"/>
    <w:rsid w:val="147B4598"/>
    <w:rsid w:val="14894B38"/>
    <w:rsid w:val="14B221EE"/>
    <w:rsid w:val="14E13A88"/>
    <w:rsid w:val="14EB11A4"/>
    <w:rsid w:val="151C4E27"/>
    <w:rsid w:val="153C6252"/>
    <w:rsid w:val="1552095F"/>
    <w:rsid w:val="155C4436"/>
    <w:rsid w:val="15660029"/>
    <w:rsid w:val="15881422"/>
    <w:rsid w:val="15882507"/>
    <w:rsid w:val="15AE229C"/>
    <w:rsid w:val="15C63B59"/>
    <w:rsid w:val="15DC62B9"/>
    <w:rsid w:val="15ED25E7"/>
    <w:rsid w:val="160007CD"/>
    <w:rsid w:val="161B5C1B"/>
    <w:rsid w:val="162D1FC9"/>
    <w:rsid w:val="16430EE5"/>
    <w:rsid w:val="1646701A"/>
    <w:rsid w:val="164E7CFE"/>
    <w:rsid w:val="164F025F"/>
    <w:rsid w:val="16602FE6"/>
    <w:rsid w:val="166B797C"/>
    <w:rsid w:val="16746F1D"/>
    <w:rsid w:val="16766CF7"/>
    <w:rsid w:val="16A343EF"/>
    <w:rsid w:val="16DF76F0"/>
    <w:rsid w:val="16EF6A12"/>
    <w:rsid w:val="172E154E"/>
    <w:rsid w:val="17720FF6"/>
    <w:rsid w:val="1778740D"/>
    <w:rsid w:val="17921ED3"/>
    <w:rsid w:val="179B14DB"/>
    <w:rsid w:val="179C1464"/>
    <w:rsid w:val="179F611C"/>
    <w:rsid w:val="17AC4B03"/>
    <w:rsid w:val="17AE1A2C"/>
    <w:rsid w:val="17B50C8E"/>
    <w:rsid w:val="17D47226"/>
    <w:rsid w:val="17F70FB5"/>
    <w:rsid w:val="18041CA9"/>
    <w:rsid w:val="1820329E"/>
    <w:rsid w:val="183037F3"/>
    <w:rsid w:val="184A3AE3"/>
    <w:rsid w:val="18553DCA"/>
    <w:rsid w:val="18784251"/>
    <w:rsid w:val="188A7623"/>
    <w:rsid w:val="18A0729B"/>
    <w:rsid w:val="18AA7225"/>
    <w:rsid w:val="18D45789"/>
    <w:rsid w:val="18D92F7D"/>
    <w:rsid w:val="1907379F"/>
    <w:rsid w:val="196637EF"/>
    <w:rsid w:val="198F6A05"/>
    <w:rsid w:val="19AA12F9"/>
    <w:rsid w:val="19B54ADA"/>
    <w:rsid w:val="19C9192D"/>
    <w:rsid w:val="19F2229A"/>
    <w:rsid w:val="19F36FE4"/>
    <w:rsid w:val="19F63FFE"/>
    <w:rsid w:val="1A0D1811"/>
    <w:rsid w:val="1A10406D"/>
    <w:rsid w:val="1A291151"/>
    <w:rsid w:val="1A824D67"/>
    <w:rsid w:val="1A8A4D83"/>
    <w:rsid w:val="1AA52532"/>
    <w:rsid w:val="1AAF3179"/>
    <w:rsid w:val="1AD41CB1"/>
    <w:rsid w:val="1AE003E5"/>
    <w:rsid w:val="1AE17905"/>
    <w:rsid w:val="1AF2620D"/>
    <w:rsid w:val="1B00309B"/>
    <w:rsid w:val="1B020760"/>
    <w:rsid w:val="1B114499"/>
    <w:rsid w:val="1B2027FB"/>
    <w:rsid w:val="1B21100B"/>
    <w:rsid w:val="1B4366B0"/>
    <w:rsid w:val="1B583D98"/>
    <w:rsid w:val="1B62756A"/>
    <w:rsid w:val="1B915C50"/>
    <w:rsid w:val="1BAE4D2B"/>
    <w:rsid w:val="1BF66F84"/>
    <w:rsid w:val="1BF939B1"/>
    <w:rsid w:val="1C052AF8"/>
    <w:rsid w:val="1C0A1559"/>
    <w:rsid w:val="1C0B29BC"/>
    <w:rsid w:val="1C123877"/>
    <w:rsid w:val="1C3A2704"/>
    <w:rsid w:val="1C544B4B"/>
    <w:rsid w:val="1C60209B"/>
    <w:rsid w:val="1C66759E"/>
    <w:rsid w:val="1C702BD8"/>
    <w:rsid w:val="1C7149C6"/>
    <w:rsid w:val="1C745A6C"/>
    <w:rsid w:val="1C7C6D7C"/>
    <w:rsid w:val="1C9C02CF"/>
    <w:rsid w:val="1C9C48EA"/>
    <w:rsid w:val="1C9F1DF0"/>
    <w:rsid w:val="1CB35924"/>
    <w:rsid w:val="1D164689"/>
    <w:rsid w:val="1D3558BC"/>
    <w:rsid w:val="1D3966E0"/>
    <w:rsid w:val="1D4A2BBB"/>
    <w:rsid w:val="1D6C08A7"/>
    <w:rsid w:val="1D825AFF"/>
    <w:rsid w:val="1D8B5E1C"/>
    <w:rsid w:val="1DA20DF7"/>
    <w:rsid w:val="1DD41777"/>
    <w:rsid w:val="1DDF4F02"/>
    <w:rsid w:val="1DF72A39"/>
    <w:rsid w:val="1E00783B"/>
    <w:rsid w:val="1E007B96"/>
    <w:rsid w:val="1E420040"/>
    <w:rsid w:val="1E42015D"/>
    <w:rsid w:val="1E530E47"/>
    <w:rsid w:val="1E7E3F8E"/>
    <w:rsid w:val="1E882A87"/>
    <w:rsid w:val="1EC01B61"/>
    <w:rsid w:val="1ED519AA"/>
    <w:rsid w:val="1EEA3742"/>
    <w:rsid w:val="1EFC4C0E"/>
    <w:rsid w:val="1F14780A"/>
    <w:rsid w:val="1F6D00D1"/>
    <w:rsid w:val="1F6F35F7"/>
    <w:rsid w:val="1FAD5EB1"/>
    <w:rsid w:val="1FB55B37"/>
    <w:rsid w:val="1FB940B5"/>
    <w:rsid w:val="1FFC2532"/>
    <w:rsid w:val="20124C56"/>
    <w:rsid w:val="203005FD"/>
    <w:rsid w:val="20360A92"/>
    <w:rsid w:val="203C5F53"/>
    <w:rsid w:val="20403116"/>
    <w:rsid w:val="20581A77"/>
    <w:rsid w:val="209417A5"/>
    <w:rsid w:val="20F56EFB"/>
    <w:rsid w:val="21426880"/>
    <w:rsid w:val="2157248F"/>
    <w:rsid w:val="215D3BF7"/>
    <w:rsid w:val="21662956"/>
    <w:rsid w:val="2173757D"/>
    <w:rsid w:val="21AE3697"/>
    <w:rsid w:val="21BB0EF9"/>
    <w:rsid w:val="21BF5013"/>
    <w:rsid w:val="21C265B0"/>
    <w:rsid w:val="21C848EC"/>
    <w:rsid w:val="223113EB"/>
    <w:rsid w:val="22896344"/>
    <w:rsid w:val="22983A73"/>
    <w:rsid w:val="229B3F06"/>
    <w:rsid w:val="22C275C1"/>
    <w:rsid w:val="22C76B1B"/>
    <w:rsid w:val="22CE1CEF"/>
    <w:rsid w:val="231874E7"/>
    <w:rsid w:val="232303E8"/>
    <w:rsid w:val="233566A4"/>
    <w:rsid w:val="235E256C"/>
    <w:rsid w:val="23962A4C"/>
    <w:rsid w:val="23A938F3"/>
    <w:rsid w:val="23CB4DF8"/>
    <w:rsid w:val="23D42128"/>
    <w:rsid w:val="23DD6C48"/>
    <w:rsid w:val="24261C29"/>
    <w:rsid w:val="2433423A"/>
    <w:rsid w:val="24401F84"/>
    <w:rsid w:val="24467ED8"/>
    <w:rsid w:val="247D4AC5"/>
    <w:rsid w:val="24A16618"/>
    <w:rsid w:val="24C25C7D"/>
    <w:rsid w:val="24D94AD5"/>
    <w:rsid w:val="24DD6342"/>
    <w:rsid w:val="24E031A4"/>
    <w:rsid w:val="24F07A1A"/>
    <w:rsid w:val="25057AB0"/>
    <w:rsid w:val="252C063F"/>
    <w:rsid w:val="25377D83"/>
    <w:rsid w:val="25617AE6"/>
    <w:rsid w:val="25663310"/>
    <w:rsid w:val="257C4878"/>
    <w:rsid w:val="26121E2A"/>
    <w:rsid w:val="262A6F6B"/>
    <w:rsid w:val="2636096B"/>
    <w:rsid w:val="2645644C"/>
    <w:rsid w:val="266005EA"/>
    <w:rsid w:val="266605F5"/>
    <w:rsid w:val="266C17B9"/>
    <w:rsid w:val="26722000"/>
    <w:rsid w:val="267E461A"/>
    <w:rsid w:val="268644AD"/>
    <w:rsid w:val="268B11FC"/>
    <w:rsid w:val="268F6CC5"/>
    <w:rsid w:val="26A26990"/>
    <w:rsid w:val="26E21898"/>
    <w:rsid w:val="270D78BD"/>
    <w:rsid w:val="271C58A4"/>
    <w:rsid w:val="271D14B3"/>
    <w:rsid w:val="27522F6D"/>
    <w:rsid w:val="27576CED"/>
    <w:rsid w:val="27590336"/>
    <w:rsid w:val="27623B50"/>
    <w:rsid w:val="279D4225"/>
    <w:rsid w:val="27A4719C"/>
    <w:rsid w:val="27C8510B"/>
    <w:rsid w:val="27D350E5"/>
    <w:rsid w:val="282C61AB"/>
    <w:rsid w:val="282F06AA"/>
    <w:rsid w:val="283819F3"/>
    <w:rsid w:val="28387910"/>
    <w:rsid w:val="28425BF1"/>
    <w:rsid w:val="28523312"/>
    <w:rsid w:val="28A33388"/>
    <w:rsid w:val="28E37B95"/>
    <w:rsid w:val="29146FC7"/>
    <w:rsid w:val="29345D91"/>
    <w:rsid w:val="29471B40"/>
    <w:rsid w:val="29520917"/>
    <w:rsid w:val="295F049A"/>
    <w:rsid w:val="297614A0"/>
    <w:rsid w:val="298101BB"/>
    <w:rsid w:val="29AA22EB"/>
    <w:rsid w:val="29E90CA9"/>
    <w:rsid w:val="29FD40DA"/>
    <w:rsid w:val="2A085939"/>
    <w:rsid w:val="2A141D73"/>
    <w:rsid w:val="2A174CCA"/>
    <w:rsid w:val="2A1D4D95"/>
    <w:rsid w:val="2A28488A"/>
    <w:rsid w:val="2A5578DB"/>
    <w:rsid w:val="2A67611A"/>
    <w:rsid w:val="2A6862C4"/>
    <w:rsid w:val="2A755F07"/>
    <w:rsid w:val="2A766124"/>
    <w:rsid w:val="2A967CF0"/>
    <w:rsid w:val="2A9E4E8E"/>
    <w:rsid w:val="2AA8613E"/>
    <w:rsid w:val="2AF24AE5"/>
    <w:rsid w:val="2AF93B94"/>
    <w:rsid w:val="2B020F49"/>
    <w:rsid w:val="2B5F7125"/>
    <w:rsid w:val="2B625F0A"/>
    <w:rsid w:val="2BB9491E"/>
    <w:rsid w:val="2BDC325C"/>
    <w:rsid w:val="2C0250FD"/>
    <w:rsid w:val="2C3A7282"/>
    <w:rsid w:val="2C642394"/>
    <w:rsid w:val="2C6D403E"/>
    <w:rsid w:val="2C7A461E"/>
    <w:rsid w:val="2C7E765A"/>
    <w:rsid w:val="2C860094"/>
    <w:rsid w:val="2C8866D3"/>
    <w:rsid w:val="2CA650E0"/>
    <w:rsid w:val="2CBE538C"/>
    <w:rsid w:val="2CBE5EAC"/>
    <w:rsid w:val="2CC304C4"/>
    <w:rsid w:val="2CC86910"/>
    <w:rsid w:val="2D1E05E0"/>
    <w:rsid w:val="2D283C71"/>
    <w:rsid w:val="2D400B20"/>
    <w:rsid w:val="2D527796"/>
    <w:rsid w:val="2D607B77"/>
    <w:rsid w:val="2D6A7C94"/>
    <w:rsid w:val="2D6D1BF5"/>
    <w:rsid w:val="2D900D7F"/>
    <w:rsid w:val="2DAC5A94"/>
    <w:rsid w:val="2DC341B7"/>
    <w:rsid w:val="2DF0718E"/>
    <w:rsid w:val="2E2D4FF2"/>
    <w:rsid w:val="2E3A65E3"/>
    <w:rsid w:val="2E3D6AF1"/>
    <w:rsid w:val="2E4A7680"/>
    <w:rsid w:val="2E6D2C6F"/>
    <w:rsid w:val="2E6F2584"/>
    <w:rsid w:val="2E93471A"/>
    <w:rsid w:val="2E9F086F"/>
    <w:rsid w:val="2EA62B43"/>
    <w:rsid w:val="2EB043B9"/>
    <w:rsid w:val="2EE76D8D"/>
    <w:rsid w:val="2EF3063C"/>
    <w:rsid w:val="2EFE174C"/>
    <w:rsid w:val="2F217965"/>
    <w:rsid w:val="2F3D7183"/>
    <w:rsid w:val="2F467FB4"/>
    <w:rsid w:val="2F4B39F9"/>
    <w:rsid w:val="2F526AE0"/>
    <w:rsid w:val="2F5A5BAB"/>
    <w:rsid w:val="2F630D51"/>
    <w:rsid w:val="2F7345D9"/>
    <w:rsid w:val="2F744DB3"/>
    <w:rsid w:val="2F8E4E60"/>
    <w:rsid w:val="2FA469A1"/>
    <w:rsid w:val="2FAC72E1"/>
    <w:rsid w:val="2FBB7F73"/>
    <w:rsid w:val="2FBE603C"/>
    <w:rsid w:val="2FCD52A0"/>
    <w:rsid w:val="30362A24"/>
    <w:rsid w:val="305B4542"/>
    <w:rsid w:val="305C06EA"/>
    <w:rsid w:val="30904371"/>
    <w:rsid w:val="309E0ECD"/>
    <w:rsid w:val="30F40023"/>
    <w:rsid w:val="30F50259"/>
    <w:rsid w:val="314D0699"/>
    <w:rsid w:val="31711838"/>
    <w:rsid w:val="31823996"/>
    <w:rsid w:val="318372EB"/>
    <w:rsid w:val="319100D8"/>
    <w:rsid w:val="31C2121F"/>
    <w:rsid w:val="31C7024A"/>
    <w:rsid w:val="31D81358"/>
    <w:rsid w:val="32230012"/>
    <w:rsid w:val="322E61FC"/>
    <w:rsid w:val="32577B6E"/>
    <w:rsid w:val="325E4737"/>
    <w:rsid w:val="32851CD6"/>
    <w:rsid w:val="32892317"/>
    <w:rsid w:val="32A624F7"/>
    <w:rsid w:val="32B20E2F"/>
    <w:rsid w:val="330A1527"/>
    <w:rsid w:val="330F5DFC"/>
    <w:rsid w:val="331C5B21"/>
    <w:rsid w:val="33381783"/>
    <w:rsid w:val="33385FC0"/>
    <w:rsid w:val="335B0AD3"/>
    <w:rsid w:val="336465B3"/>
    <w:rsid w:val="33974716"/>
    <w:rsid w:val="33C64BBC"/>
    <w:rsid w:val="33CF3BA5"/>
    <w:rsid w:val="33E23047"/>
    <w:rsid w:val="33E639E0"/>
    <w:rsid w:val="33FA1CF4"/>
    <w:rsid w:val="33FB0A30"/>
    <w:rsid w:val="34162D4A"/>
    <w:rsid w:val="347A2DE0"/>
    <w:rsid w:val="34952A09"/>
    <w:rsid w:val="34C64DEA"/>
    <w:rsid w:val="34E1031B"/>
    <w:rsid w:val="34F64694"/>
    <w:rsid w:val="351A1C22"/>
    <w:rsid w:val="35261835"/>
    <w:rsid w:val="353B312B"/>
    <w:rsid w:val="353E4323"/>
    <w:rsid w:val="354521BA"/>
    <w:rsid w:val="35471C97"/>
    <w:rsid w:val="35520888"/>
    <w:rsid w:val="357457A3"/>
    <w:rsid w:val="35A82A0C"/>
    <w:rsid w:val="35B16696"/>
    <w:rsid w:val="35B831AF"/>
    <w:rsid w:val="35C06387"/>
    <w:rsid w:val="35C67D4B"/>
    <w:rsid w:val="35CC1160"/>
    <w:rsid w:val="35E4113C"/>
    <w:rsid w:val="35EE4F8C"/>
    <w:rsid w:val="35F87F59"/>
    <w:rsid w:val="35FD5169"/>
    <w:rsid w:val="35FE7CD8"/>
    <w:rsid w:val="361511A0"/>
    <w:rsid w:val="362B1161"/>
    <w:rsid w:val="364D317F"/>
    <w:rsid w:val="367A282A"/>
    <w:rsid w:val="368A79D4"/>
    <w:rsid w:val="36957D20"/>
    <w:rsid w:val="369B5BF8"/>
    <w:rsid w:val="36A93AF4"/>
    <w:rsid w:val="36E724B5"/>
    <w:rsid w:val="37022860"/>
    <w:rsid w:val="37084DF1"/>
    <w:rsid w:val="373221E7"/>
    <w:rsid w:val="373F3965"/>
    <w:rsid w:val="374D1B69"/>
    <w:rsid w:val="375A5440"/>
    <w:rsid w:val="37640AA5"/>
    <w:rsid w:val="377C5B62"/>
    <w:rsid w:val="37884724"/>
    <w:rsid w:val="37D177E7"/>
    <w:rsid w:val="37E10013"/>
    <w:rsid w:val="37EB1330"/>
    <w:rsid w:val="37FC0F82"/>
    <w:rsid w:val="38027525"/>
    <w:rsid w:val="382444E1"/>
    <w:rsid w:val="3833700D"/>
    <w:rsid w:val="383E3CAC"/>
    <w:rsid w:val="38507935"/>
    <w:rsid w:val="38895C44"/>
    <w:rsid w:val="388B71DA"/>
    <w:rsid w:val="389754C3"/>
    <w:rsid w:val="389B2E08"/>
    <w:rsid w:val="389C558D"/>
    <w:rsid w:val="38B23412"/>
    <w:rsid w:val="38DE503D"/>
    <w:rsid w:val="38F443F5"/>
    <w:rsid w:val="391E1F74"/>
    <w:rsid w:val="39501813"/>
    <w:rsid w:val="39672D7E"/>
    <w:rsid w:val="396B1896"/>
    <w:rsid w:val="397B549D"/>
    <w:rsid w:val="39971E1B"/>
    <w:rsid w:val="39BD45D1"/>
    <w:rsid w:val="39C66435"/>
    <w:rsid w:val="39EE49B0"/>
    <w:rsid w:val="3A166897"/>
    <w:rsid w:val="3A24439D"/>
    <w:rsid w:val="3A421828"/>
    <w:rsid w:val="3A5C01B5"/>
    <w:rsid w:val="3A700761"/>
    <w:rsid w:val="3A7777D5"/>
    <w:rsid w:val="3A8C4D5F"/>
    <w:rsid w:val="3A9B57F1"/>
    <w:rsid w:val="3AA1353F"/>
    <w:rsid w:val="3AA26627"/>
    <w:rsid w:val="3AB50DA7"/>
    <w:rsid w:val="3ACB0A39"/>
    <w:rsid w:val="3AE475EE"/>
    <w:rsid w:val="3B100A6C"/>
    <w:rsid w:val="3B541299"/>
    <w:rsid w:val="3B6639C6"/>
    <w:rsid w:val="3B6756AF"/>
    <w:rsid w:val="3B770648"/>
    <w:rsid w:val="3B855278"/>
    <w:rsid w:val="3B8C687E"/>
    <w:rsid w:val="3BDE463B"/>
    <w:rsid w:val="3BF37559"/>
    <w:rsid w:val="3C095FCD"/>
    <w:rsid w:val="3C1004C7"/>
    <w:rsid w:val="3C1C7CBF"/>
    <w:rsid w:val="3CB02703"/>
    <w:rsid w:val="3CB33B7A"/>
    <w:rsid w:val="3CD754D8"/>
    <w:rsid w:val="3CD82D1E"/>
    <w:rsid w:val="3CE67C64"/>
    <w:rsid w:val="3CEB3338"/>
    <w:rsid w:val="3CEE2C4E"/>
    <w:rsid w:val="3CF968DA"/>
    <w:rsid w:val="3CFB3D46"/>
    <w:rsid w:val="3CFF59CD"/>
    <w:rsid w:val="3D157A26"/>
    <w:rsid w:val="3D18420D"/>
    <w:rsid w:val="3D1F46EE"/>
    <w:rsid w:val="3D3B458F"/>
    <w:rsid w:val="3D465700"/>
    <w:rsid w:val="3D466DD9"/>
    <w:rsid w:val="3D5250EB"/>
    <w:rsid w:val="3DD015A8"/>
    <w:rsid w:val="3DE67389"/>
    <w:rsid w:val="3DEB0840"/>
    <w:rsid w:val="3DF95828"/>
    <w:rsid w:val="3E1C7757"/>
    <w:rsid w:val="3E324AA7"/>
    <w:rsid w:val="3E3F0A37"/>
    <w:rsid w:val="3E427BFA"/>
    <w:rsid w:val="3E5F2F64"/>
    <w:rsid w:val="3E7873A4"/>
    <w:rsid w:val="3EA83763"/>
    <w:rsid w:val="3EB64C8C"/>
    <w:rsid w:val="3EC20527"/>
    <w:rsid w:val="3EC3546A"/>
    <w:rsid w:val="3EF02AAF"/>
    <w:rsid w:val="3EF17A78"/>
    <w:rsid w:val="3F0E2548"/>
    <w:rsid w:val="3F1F1796"/>
    <w:rsid w:val="3F463142"/>
    <w:rsid w:val="3F5E7C69"/>
    <w:rsid w:val="3F60302B"/>
    <w:rsid w:val="3F617D32"/>
    <w:rsid w:val="3F633275"/>
    <w:rsid w:val="3F7F66A4"/>
    <w:rsid w:val="3F8135AA"/>
    <w:rsid w:val="3F8C19D3"/>
    <w:rsid w:val="3F9C7CF7"/>
    <w:rsid w:val="3FA05B7C"/>
    <w:rsid w:val="3FBE1B72"/>
    <w:rsid w:val="3FEF4EC8"/>
    <w:rsid w:val="40082F03"/>
    <w:rsid w:val="400B4551"/>
    <w:rsid w:val="40172D09"/>
    <w:rsid w:val="40284C82"/>
    <w:rsid w:val="40287948"/>
    <w:rsid w:val="402B3D0F"/>
    <w:rsid w:val="402C1FBE"/>
    <w:rsid w:val="40386493"/>
    <w:rsid w:val="403B1CD7"/>
    <w:rsid w:val="405D2807"/>
    <w:rsid w:val="40651D4A"/>
    <w:rsid w:val="40666238"/>
    <w:rsid w:val="407A25B2"/>
    <w:rsid w:val="40957AE4"/>
    <w:rsid w:val="40C011D5"/>
    <w:rsid w:val="40D949CE"/>
    <w:rsid w:val="40E23B24"/>
    <w:rsid w:val="40E6286E"/>
    <w:rsid w:val="40EE471F"/>
    <w:rsid w:val="41143810"/>
    <w:rsid w:val="411E3757"/>
    <w:rsid w:val="41244865"/>
    <w:rsid w:val="41267C7C"/>
    <w:rsid w:val="412A52BD"/>
    <w:rsid w:val="412B10F0"/>
    <w:rsid w:val="41301967"/>
    <w:rsid w:val="417D58AE"/>
    <w:rsid w:val="419E554A"/>
    <w:rsid w:val="41A66117"/>
    <w:rsid w:val="41CD5827"/>
    <w:rsid w:val="41DE424D"/>
    <w:rsid w:val="422B0E54"/>
    <w:rsid w:val="42452018"/>
    <w:rsid w:val="42546B06"/>
    <w:rsid w:val="426C4F44"/>
    <w:rsid w:val="42830851"/>
    <w:rsid w:val="428576B9"/>
    <w:rsid w:val="429238A1"/>
    <w:rsid w:val="429B04BD"/>
    <w:rsid w:val="42A109D3"/>
    <w:rsid w:val="42A67CC9"/>
    <w:rsid w:val="42A7507B"/>
    <w:rsid w:val="42C05103"/>
    <w:rsid w:val="42C2467A"/>
    <w:rsid w:val="42CC344B"/>
    <w:rsid w:val="42E92B70"/>
    <w:rsid w:val="42F32535"/>
    <w:rsid w:val="43104F64"/>
    <w:rsid w:val="43152CDC"/>
    <w:rsid w:val="43172D96"/>
    <w:rsid w:val="43431AB1"/>
    <w:rsid w:val="43493121"/>
    <w:rsid w:val="43847EB0"/>
    <w:rsid w:val="438D1045"/>
    <w:rsid w:val="43935FB9"/>
    <w:rsid w:val="43CA55FB"/>
    <w:rsid w:val="445D313D"/>
    <w:rsid w:val="4467465E"/>
    <w:rsid w:val="447B5F4E"/>
    <w:rsid w:val="44AD472E"/>
    <w:rsid w:val="44CD59A8"/>
    <w:rsid w:val="44D54E8B"/>
    <w:rsid w:val="44F713B1"/>
    <w:rsid w:val="450F5AE7"/>
    <w:rsid w:val="455F08BE"/>
    <w:rsid w:val="45BC1E54"/>
    <w:rsid w:val="45DF22CB"/>
    <w:rsid w:val="45F050E4"/>
    <w:rsid w:val="45F3536A"/>
    <w:rsid w:val="45FC5CA1"/>
    <w:rsid w:val="45FD38D7"/>
    <w:rsid w:val="46240523"/>
    <w:rsid w:val="46527A2D"/>
    <w:rsid w:val="465D2FEF"/>
    <w:rsid w:val="466E6F08"/>
    <w:rsid w:val="469E7E84"/>
    <w:rsid w:val="46CC771E"/>
    <w:rsid w:val="46D93BD9"/>
    <w:rsid w:val="46EE0ECA"/>
    <w:rsid w:val="46F54355"/>
    <w:rsid w:val="47042FE3"/>
    <w:rsid w:val="472F48F5"/>
    <w:rsid w:val="47373413"/>
    <w:rsid w:val="473C3AC1"/>
    <w:rsid w:val="47CD2360"/>
    <w:rsid w:val="47CF3EFC"/>
    <w:rsid w:val="47F46F23"/>
    <w:rsid w:val="47F94C94"/>
    <w:rsid w:val="4817592A"/>
    <w:rsid w:val="48416CFA"/>
    <w:rsid w:val="485632C8"/>
    <w:rsid w:val="485C3ACD"/>
    <w:rsid w:val="4872226D"/>
    <w:rsid w:val="487D6039"/>
    <w:rsid w:val="487E7EEB"/>
    <w:rsid w:val="488B07DE"/>
    <w:rsid w:val="488E3338"/>
    <w:rsid w:val="489049C1"/>
    <w:rsid w:val="48B93D56"/>
    <w:rsid w:val="48C84446"/>
    <w:rsid w:val="48D5112D"/>
    <w:rsid w:val="48E8742B"/>
    <w:rsid w:val="48EF5EE6"/>
    <w:rsid w:val="48F53078"/>
    <w:rsid w:val="48FC140A"/>
    <w:rsid w:val="49061A42"/>
    <w:rsid w:val="49111C3E"/>
    <w:rsid w:val="4915706F"/>
    <w:rsid w:val="492B646F"/>
    <w:rsid w:val="492E2F97"/>
    <w:rsid w:val="495069A7"/>
    <w:rsid w:val="496B4177"/>
    <w:rsid w:val="49700782"/>
    <w:rsid w:val="49912922"/>
    <w:rsid w:val="49A52D92"/>
    <w:rsid w:val="49C80E51"/>
    <w:rsid w:val="4A034236"/>
    <w:rsid w:val="4A2A1BFD"/>
    <w:rsid w:val="4A2E5247"/>
    <w:rsid w:val="4A395CA7"/>
    <w:rsid w:val="4A500CCD"/>
    <w:rsid w:val="4A615D27"/>
    <w:rsid w:val="4A657C88"/>
    <w:rsid w:val="4A6C208D"/>
    <w:rsid w:val="4A900412"/>
    <w:rsid w:val="4AB709AB"/>
    <w:rsid w:val="4AED73CB"/>
    <w:rsid w:val="4B014C0A"/>
    <w:rsid w:val="4B04702B"/>
    <w:rsid w:val="4B0C3E09"/>
    <w:rsid w:val="4B1351BD"/>
    <w:rsid w:val="4B1B1D38"/>
    <w:rsid w:val="4B1F56E4"/>
    <w:rsid w:val="4B213182"/>
    <w:rsid w:val="4B4740AF"/>
    <w:rsid w:val="4B49791C"/>
    <w:rsid w:val="4B5C62C7"/>
    <w:rsid w:val="4B964232"/>
    <w:rsid w:val="4BA84E31"/>
    <w:rsid w:val="4BB038C3"/>
    <w:rsid w:val="4BC50DF1"/>
    <w:rsid w:val="4BD3539C"/>
    <w:rsid w:val="4BD60100"/>
    <w:rsid w:val="4BE70E2C"/>
    <w:rsid w:val="4C091E35"/>
    <w:rsid w:val="4CAA39B1"/>
    <w:rsid w:val="4CBE6832"/>
    <w:rsid w:val="4CC60D49"/>
    <w:rsid w:val="4CD85E3F"/>
    <w:rsid w:val="4CEE4016"/>
    <w:rsid w:val="4CF1701B"/>
    <w:rsid w:val="4D077FB8"/>
    <w:rsid w:val="4D223956"/>
    <w:rsid w:val="4D2801B4"/>
    <w:rsid w:val="4D514B6A"/>
    <w:rsid w:val="4D5E2307"/>
    <w:rsid w:val="4D7C4CEE"/>
    <w:rsid w:val="4D8220D4"/>
    <w:rsid w:val="4D861356"/>
    <w:rsid w:val="4D8A5378"/>
    <w:rsid w:val="4D8C2ED2"/>
    <w:rsid w:val="4DBE7C70"/>
    <w:rsid w:val="4DC12757"/>
    <w:rsid w:val="4DC424D3"/>
    <w:rsid w:val="4DCF68D3"/>
    <w:rsid w:val="4DD06574"/>
    <w:rsid w:val="4E273A38"/>
    <w:rsid w:val="4E82390F"/>
    <w:rsid w:val="4EAC0ED2"/>
    <w:rsid w:val="4ECF3C94"/>
    <w:rsid w:val="4EE604E1"/>
    <w:rsid w:val="4F337997"/>
    <w:rsid w:val="4F4F7E5C"/>
    <w:rsid w:val="4F651E5A"/>
    <w:rsid w:val="4F710D53"/>
    <w:rsid w:val="4F753704"/>
    <w:rsid w:val="4F7C5CC0"/>
    <w:rsid w:val="4F8F128A"/>
    <w:rsid w:val="4F943947"/>
    <w:rsid w:val="4FB74888"/>
    <w:rsid w:val="4FCC6027"/>
    <w:rsid w:val="4FD23036"/>
    <w:rsid w:val="4FD55888"/>
    <w:rsid w:val="4FEC7D76"/>
    <w:rsid w:val="501B5B7C"/>
    <w:rsid w:val="50221E4D"/>
    <w:rsid w:val="504C2557"/>
    <w:rsid w:val="50505841"/>
    <w:rsid w:val="5072152F"/>
    <w:rsid w:val="507C28F0"/>
    <w:rsid w:val="509F6DC9"/>
    <w:rsid w:val="50EF7C82"/>
    <w:rsid w:val="50F21856"/>
    <w:rsid w:val="50FC5933"/>
    <w:rsid w:val="5105161F"/>
    <w:rsid w:val="51197305"/>
    <w:rsid w:val="512A6C2C"/>
    <w:rsid w:val="51342360"/>
    <w:rsid w:val="513516EC"/>
    <w:rsid w:val="516161A9"/>
    <w:rsid w:val="516D14BC"/>
    <w:rsid w:val="516E01FE"/>
    <w:rsid w:val="51740794"/>
    <w:rsid w:val="517E38A7"/>
    <w:rsid w:val="518A04CF"/>
    <w:rsid w:val="51A6092B"/>
    <w:rsid w:val="51C4537D"/>
    <w:rsid w:val="51F75650"/>
    <w:rsid w:val="51F876F0"/>
    <w:rsid w:val="520B3901"/>
    <w:rsid w:val="523524E5"/>
    <w:rsid w:val="524328F2"/>
    <w:rsid w:val="525E2A44"/>
    <w:rsid w:val="52625E03"/>
    <w:rsid w:val="526842C5"/>
    <w:rsid w:val="52821DB6"/>
    <w:rsid w:val="528D4554"/>
    <w:rsid w:val="528F10FA"/>
    <w:rsid w:val="529D61C7"/>
    <w:rsid w:val="52B20CD1"/>
    <w:rsid w:val="52E00B4C"/>
    <w:rsid w:val="52E041FD"/>
    <w:rsid w:val="52EC507D"/>
    <w:rsid w:val="52EE29FC"/>
    <w:rsid w:val="5332200C"/>
    <w:rsid w:val="533A6AE6"/>
    <w:rsid w:val="53501229"/>
    <w:rsid w:val="535109FD"/>
    <w:rsid w:val="53513952"/>
    <w:rsid w:val="537E7E9B"/>
    <w:rsid w:val="53A100B6"/>
    <w:rsid w:val="53AF246D"/>
    <w:rsid w:val="53FB2E91"/>
    <w:rsid w:val="540A3BD1"/>
    <w:rsid w:val="54225589"/>
    <w:rsid w:val="54291E6D"/>
    <w:rsid w:val="54383A67"/>
    <w:rsid w:val="54762982"/>
    <w:rsid w:val="54782EDB"/>
    <w:rsid w:val="549602D0"/>
    <w:rsid w:val="54997EC7"/>
    <w:rsid w:val="54BB5FA1"/>
    <w:rsid w:val="54DE68B7"/>
    <w:rsid w:val="54F8511A"/>
    <w:rsid w:val="55062434"/>
    <w:rsid w:val="550F10B3"/>
    <w:rsid w:val="553351B0"/>
    <w:rsid w:val="55355D6D"/>
    <w:rsid w:val="553B1BD9"/>
    <w:rsid w:val="55726178"/>
    <w:rsid w:val="55760C59"/>
    <w:rsid w:val="558C0429"/>
    <w:rsid w:val="559C1463"/>
    <w:rsid w:val="55A4316F"/>
    <w:rsid w:val="55A92A7B"/>
    <w:rsid w:val="55C97EE8"/>
    <w:rsid w:val="55D12314"/>
    <w:rsid w:val="55DE1D4E"/>
    <w:rsid w:val="563626CE"/>
    <w:rsid w:val="56363003"/>
    <w:rsid w:val="563666EB"/>
    <w:rsid w:val="567900A5"/>
    <w:rsid w:val="568A2A95"/>
    <w:rsid w:val="56993E99"/>
    <w:rsid w:val="56AB370D"/>
    <w:rsid w:val="56B7677E"/>
    <w:rsid w:val="56EE7E82"/>
    <w:rsid w:val="56F73A32"/>
    <w:rsid w:val="56FE0421"/>
    <w:rsid w:val="57170E46"/>
    <w:rsid w:val="573E64C4"/>
    <w:rsid w:val="582646CA"/>
    <w:rsid w:val="582E6344"/>
    <w:rsid w:val="5839140B"/>
    <w:rsid w:val="583B1AB7"/>
    <w:rsid w:val="584D0783"/>
    <w:rsid w:val="585C34F8"/>
    <w:rsid w:val="586821BD"/>
    <w:rsid w:val="58712ABA"/>
    <w:rsid w:val="58934109"/>
    <w:rsid w:val="58A91D7D"/>
    <w:rsid w:val="58C417C0"/>
    <w:rsid w:val="58F61B5D"/>
    <w:rsid w:val="59447C5A"/>
    <w:rsid w:val="59515F07"/>
    <w:rsid w:val="595631A6"/>
    <w:rsid w:val="596D0EA7"/>
    <w:rsid w:val="596E547A"/>
    <w:rsid w:val="598D75DA"/>
    <w:rsid w:val="598E503D"/>
    <w:rsid w:val="599C3132"/>
    <w:rsid w:val="599D6464"/>
    <w:rsid w:val="59B66228"/>
    <w:rsid w:val="59C40636"/>
    <w:rsid w:val="59E7474B"/>
    <w:rsid w:val="59F36442"/>
    <w:rsid w:val="59FE0094"/>
    <w:rsid w:val="5A0D1A6E"/>
    <w:rsid w:val="5A3B7609"/>
    <w:rsid w:val="5A405ED7"/>
    <w:rsid w:val="5A55380B"/>
    <w:rsid w:val="5A741216"/>
    <w:rsid w:val="5A861C2D"/>
    <w:rsid w:val="5AC01735"/>
    <w:rsid w:val="5ADF0A12"/>
    <w:rsid w:val="5AEB6A0E"/>
    <w:rsid w:val="5AEF1BB1"/>
    <w:rsid w:val="5AF72628"/>
    <w:rsid w:val="5B305DF8"/>
    <w:rsid w:val="5B3614ED"/>
    <w:rsid w:val="5B595CE0"/>
    <w:rsid w:val="5B997289"/>
    <w:rsid w:val="5BB850CF"/>
    <w:rsid w:val="5BE22EB9"/>
    <w:rsid w:val="5BEA7BDC"/>
    <w:rsid w:val="5BEC2A46"/>
    <w:rsid w:val="5C0344C3"/>
    <w:rsid w:val="5C0553B5"/>
    <w:rsid w:val="5C243BBE"/>
    <w:rsid w:val="5C6021AD"/>
    <w:rsid w:val="5C774C30"/>
    <w:rsid w:val="5C9512AF"/>
    <w:rsid w:val="5CA81A51"/>
    <w:rsid w:val="5CBF104B"/>
    <w:rsid w:val="5CF34D5C"/>
    <w:rsid w:val="5D09507E"/>
    <w:rsid w:val="5D220BB0"/>
    <w:rsid w:val="5D4776DF"/>
    <w:rsid w:val="5D706343"/>
    <w:rsid w:val="5D7F7AE4"/>
    <w:rsid w:val="5D9D5372"/>
    <w:rsid w:val="5D9E123C"/>
    <w:rsid w:val="5DB5583F"/>
    <w:rsid w:val="5DCB6A59"/>
    <w:rsid w:val="5DDA2586"/>
    <w:rsid w:val="5E333A66"/>
    <w:rsid w:val="5E3B00AE"/>
    <w:rsid w:val="5E521CF0"/>
    <w:rsid w:val="5E671B37"/>
    <w:rsid w:val="5EAF48DF"/>
    <w:rsid w:val="5ED3783C"/>
    <w:rsid w:val="5EDF77E0"/>
    <w:rsid w:val="5EFB1A11"/>
    <w:rsid w:val="5F1C4696"/>
    <w:rsid w:val="5F200B9C"/>
    <w:rsid w:val="5F2D4E9B"/>
    <w:rsid w:val="5F6902C7"/>
    <w:rsid w:val="5F91157B"/>
    <w:rsid w:val="5F915C9F"/>
    <w:rsid w:val="5F9F5681"/>
    <w:rsid w:val="5FB87D8F"/>
    <w:rsid w:val="5FDC1565"/>
    <w:rsid w:val="5FED2438"/>
    <w:rsid w:val="5FF5515D"/>
    <w:rsid w:val="6013386D"/>
    <w:rsid w:val="60164C4A"/>
    <w:rsid w:val="602854DC"/>
    <w:rsid w:val="6031092A"/>
    <w:rsid w:val="60372DAC"/>
    <w:rsid w:val="603F300A"/>
    <w:rsid w:val="60687938"/>
    <w:rsid w:val="60782A5C"/>
    <w:rsid w:val="60796CA9"/>
    <w:rsid w:val="60886F51"/>
    <w:rsid w:val="60A90F0B"/>
    <w:rsid w:val="60C02F1A"/>
    <w:rsid w:val="611B1785"/>
    <w:rsid w:val="611B3E84"/>
    <w:rsid w:val="611D7C3F"/>
    <w:rsid w:val="614526FC"/>
    <w:rsid w:val="615F3690"/>
    <w:rsid w:val="616554C4"/>
    <w:rsid w:val="616B2741"/>
    <w:rsid w:val="617A6E7C"/>
    <w:rsid w:val="61A71A1E"/>
    <w:rsid w:val="61B17280"/>
    <w:rsid w:val="61DE2BD1"/>
    <w:rsid w:val="61DF4228"/>
    <w:rsid w:val="61E25D53"/>
    <w:rsid w:val="61E850F1"/>
    <w:rsid w:val="61EC79CA"/>
    <w:rsid w:val="62021F1F"/>
    <w:rsid w:val="620915DD"/>
    <w:rsid w:val="620C7F5E"/>
    <w:rsid w:val="621317B5"/>
    <w:rsid w:val="6216066C"/>
    <w:rsid w:val="62237C91"/>
    <w:rsid w:val="62563F44"/>
    <w:rsid w:val="626066F0"/>
    <w:rsid w:val="62932F96"/>
    <w:rsid w:val="629B77C2"/>
    <w:rsid w:val="62C2688C"/>
    <w:rsid w:val="62CB4DB0"/>
    <w:rsid w:val="62E9064B"/>
    <w:rsid w:val="62EA1896"/>
    <w:rsid w:val="631B67E6"/>
    <w:rsid w:val="63256F84"/>
    <w:rsid w:val="63590BC8"/>
    <w:rsid w:val="637751B4"/>
    <w:rsid w:val="63790603"/>
    <w:rsid w:val="637D2605"/>
    <w:rsid w:val="637E5A02"/>
    <w:rsid w:val="63AC2F92"/>
    <w:rsid w:val="63F401EC"/>
    <w:rsid w:val="63FD6222"/>
    <w:rsid w:val="642360AA"/>
    <w:rsid w:val="64341005"/>
    <w:rsid w:val="644B3D41"/>
    <w:rsid w:val="644E0D00"/>
    <w:rsid w:val="646417ED"/>
    <w:rsid w:val="64A6717F"/>
    <w:rsid w:val="64A74A4D"/>
    <w:rsid w:val="64D8127A"/>
    <w:rsid w:val="64D82242"/>
    <w:rsid w:val="64E753B8"/>
    <w:rsid w:val="652B6C79"/>
    <w:rsid w:val="654D4CAD"/>
    <w:rsid w:val="65566EB6"/>
    <w:rsid w:val="656A4E19"/>
    <w:rsid w:val="65762C83"/>
    <w:rsid w:val="657878C3"/>
    <w:rsid w:val="65B35B52"/>
    <w:rsid w:val="65E04457"/>
    <w:rsid w:val="65E363FB"/>
    <w:rsid w:val="65F74D22"/>
    <w:rsid w:val="65FD6C4E"/>
    <w:rsid w:val="662649A0"/>
    <w:rsid w:val="66295C61"/>
    <w:rsid w:val="662C66BD"/>
    <w:rsid w:val="663467CF"/>
    <w:rsid w:val="664957C6"/>
    <w:rsid w:val="66637655"/>
    <w:rsid w:val="669D4A33"/>
    <w:rsid w:val="66B67E4C"/>
    <w:rsid w:val="66B97E1E"/>
    <w:rsid w:val="66BB3228"/>
    <w:rsid w:val="66C70FA8"/>
    <w:rsid w:val="66E93A4B"/>
    <w:rsid w:val="66F45A98"/>
    <w:rsid w:val="66F53316"/>
    <w:rsid w:val="6715487B"/>
    <w:rsid w:val="67186A08"/>
    <w:rsid w:val="67430A61"/>
    <w:rsid w:val="674D2F58"/>
    <w:rsid w:val="675957F3"/>
    <w:rsid w:val="675D59B0"/>
    <w:rsid w:val="67671BCF"/>
    <w:rsid w:val="67B67040"/>
    <w:rsid w:val="67CE69A6"/>
    <w:rsid w:val="67E37963"/>
    <w:rsid w:val="67F93060"/>
    <w:rsid w:val="67F93CF9"/>
    <w:rsid w:val="68076F40"/>
    <w:rsid w:val="680C5612"/>
    <w:rsid w:val="68221121"/>
    <w:rsid w:val="68385D5C"/>
    <w:rsid w:val="68445D63"/>
    <w:rsid w:val="684639ED"/>
    <w:rsid w:val="68510AE7"/>
    <w:rsid w:val="685C780C"/>
    <w:rsid w:val="68A72FDD"/>
    <w:rsid w:val="68AC05C3"/>
    <w:rsid w:val="68B8416D"/>
    <w:rsid w:val="68C67AF3"/>
    <w:rsid w:val="68E0046B"/>
    <w:rsid w:val="68F829A6"/>
    <w:rsid w:val="68F95429"/>
    <w:rsid w:val="68FB24A5"/>
    <w:rsid w:val="691B24DB"/>
    <w:rsid w:val="69275CED"/>
    <w:rsid w:val="6946173A"/>
    <w:rsid w:val="695318DB"/>
    <w:rsid w:val="696A4A44"/>
    <w:rsid w:val="697C70FC"/>
    <w:rsid w:val="6997545C"/>
    <w:rsid w:val="69A002E2"/>
    <w:rsid w:val="69AF0D9A"/>
    <w:rsid w:val="6A0E15DE"/>
    <w:rsid w:val="6A153093"/>
    <w:rsid w:val="6A5512C4"/>
    <w:rsid w:val="6A652551"/>
    <w:rsid w:val="6A7861AC"/>
    <w:rsid w:val="6AD01F90"/>
    <w:rsid w:val="6ADE0B4D"/>
    <w:rsid w:val="6AFE02D5"/>
    <w:rsid w:val="6B022A6A"/>
    <w:rsid w:val="6B053DA8"/>
    <w:rsid w:val="6B2A674F"/>
    <w:rsid w:val="6B2F57A8"/>
    <w:rsid w:val="6B5216F7"/>
    <w:rsid w:val="6B921742"/>
    <w:rsid w:val="6BBB7486"/>
    <w:rsid w:val="6BCA4964"/>
    <w:rsid w:val="6C0A1153"/>
    <w:rsid w:val="6C1E2575"/>
    <w:rsid w:val="6C364CD0"/>
    <w:rsid w:val="6C826B94"/>
    <w:rsid w:val="6C9C5F5E"/>
    <w:rsid w:val="6CD50C98"/>
    <w:rsid w:val="6CD5611B"/>
    <w:rsid w:val="6CE42B84"/>
    <w:rsid w:val="6CE458C7"/>
    <w:rsid w:val="6CF02147"/>
    <w:rsid w:val="6CF413A0"/>
    <w:rsid w:val="6D0172E8"/>
    <w:rsid w:val="6D273B53"/>
    <w:rsid w:val="6D2D191B"/>
    <w:rsid w:val="6D363331"/>
    <w:rsid w:val="6D4912A8"/>
    <w:rsid w:val="6DC30538"/>
    <w:rsid w:val="6E2536BE"/>
    <w:rsid w:val="6E392A67"/>
    <w:rsid w:val="6E3F107D"/>
    <w:rsid w:val="6E58769B"/>
    <w:rsid w:val="6E654847"/>
    <w:rsid w:val="6EAF07D7"/>
    <w:rsid w:val="6EB8388C"/>
    <w:rsid w:val="6EDA0AC7"/>
    <w:rsid w:val="6EE3609E"/>
    <w:rsid w:val="6EEE7402"/>
    <w:rsid w:val="6EF32D83"/>
    <w:rsid w:val="6F090476"/>
    <w:rsid w:val="6F1355D4"/>
    <w:rsid w:val="6F14765C"/>
    <w:rsid w:val="6F391A72"/>
    <w:rsid w:val="6F5F2239"/>
    <w:rsid w:val="6F622204"/>
    <w:rsid w:val="6F714022"/>
    <w:rsid w:val="6FA9695C"/>
    <w:rsid w:val="6FB876DF"/>
    <w:rsid w:val="6FEA2434"/>
    <w:rsid w:val="70066241"/>
    <w:rsid w:val="70160C63"/>
    <w:rsid w:val="701C4E99"/>
    <w:rsid w:val="70266249"/>
    <w:rsid w:val="70417A05"/>
    <w:rsid w:val="7059358C"/>
    <w:rsid w:val="706726A8"/>
    <w:rsid w:val="70C37273"/>
    <w:rsid w:val="70DD283A"/>
    <w:rsid w:val="70EF7D6E"/>
    <w:rsid w:val="71011DF0"/>
    <w:rsid w:val="715B198D"/>
    <w:rsid w:val="71861D94"/>
    <w:rsid w:val="718944C5"/>
    <w:rsid w:val="718A32F2"/>
    <w:rsid w:val="719C59E1"/>
    <w:rsid w:val="71AA12DB"/>
    <w:rsid w:val="71AA23C6"/>
    <w:rsid w:val="71C0777B"/>
    <w:rsid w:val="71D72592"/>
    <w:rsid w:val="71EA3F67"/>
    <w:rsid w:val="71ED1C3B"/>
    <w:rsid w:val="720659E5"/>
    <w:rsid w:val="72156B58"/>
    <w:rsid w:val="72195A8A"/>
    <w:rsid w:val="721C67BA"/>
    <w:rsid w:val="722B6F00"/>
    <w:rsid w:val="722D1D13"/>
    <w:rsid w:val="722F3749"/>
    <w:rsid w:val="724F10B3"/>
    <w:rsid w:val="727163A1"/>
    <w:rsid w:val="727D18B7"/>
    <w:rsid w:val="72B20A2B"/>
    <w:rsid w:val="72B706F9"/>
    <w:rsid w:val="72C15871"/>
    <w:rsid w:val="72C721FC"/>
    <w:rsid w:val="72D1365F"/>
    <w:rsid w:val="72D33ED1"/>
    <w:rsid w:val="72F166AD"/>
    <w:rsid w:val="72F25EBC"/>
    <w:rsid w:val="72F813F5"/>
    <w:rsid w:val="730E5C9E"/>
    <w:rsid w:val="730E7443"/>
    <w:rsid w:val="734D3B1E"/>
    <w:rsid w:val="73626884"/>
    <w:rsid w:val="736D00E7"/>
    <w:rsid w:val="73873E41"/>
    <w:rsid w:val="73882ED7"/>
    <w:rsid w:val="73A10249"/>
    <w:rsid w:val="73A1681A"/>
    <w:rsid w:val="73EB0709"/>
    <w:rsid w:val="73F21391"/>
    <w:rsid w:val="73F52806"/>
    <w:rsid w:val="74042D82"/>
    <w:rsid w:val="74515375"/>
    <w:rsid w:val="7461653E"/>
    <w:rsid w:val="7467288B"/>
    <w:rsid w:val="74694F14"/>
    <w:rsid w:val="74753F8D"/>
    <w:rsid w:val="74825DFE"/>
    <w:rsid w:val="74877C00"/>
    <w:rsid w:val="74AD1D62"/>
    <w:rsid w:val="74B172DA"/>
    <w:rsid w:val="74C822B4"/>
    <w:rsid w:val="74CC3056"/>
    <w:rsid w:val="74E31CCD"/>
    <w:rsid w:val="75004893"/>
    <w:rsid w:val="75335CA3"/>
    <w:rsid w:val="753E5B42"/>
    <w:rsid w:val="755E1A97"/>
    <w:rsid w:val="75663056"/>
    <w:rsid w:val="75707C18"/>
    <w:rsid w:val="757203DB"/>
    <w:rsid w:val="757D4610"/>
    <w:rsid w:val="75963D9E"/>
    <w:rsid w:val="75BD096C"/>
    <w:rsid w:val="75D44D9C"/>
    <w:rsid w:val="75EF5122"/>
    <w:rsid w:val="760465D5"/>
    <w:rsid w:val="760B101F"/>
    <w:rsid w:val="76137873"/>
    <w:rsid w:val="761441CE"/>
    <w:rsid w:val="76171AC8"/>
    <w:rsid w:val="761F040B"/>
    <w:rsid w:val="76674DAC"/>
    <w:rsid w:val="766F4CEE"/>
    <w:rsid w:val="76862603"/>
    <w:rsid w:val="76AC01A6"/>
    <w:rsid w:val="76B269D5"/>
    <w:rsid w:val="76CE25CB"/>
    <w:rsid w:val="76D66C12"/>
    <w:rsid w:val="76E1283A"/>
    <w:rsid w:val="76F905C1"/>
    <w:rsid w:val="77240487"/>
    <w:rsid w:val="7734461F"/>
    <w:rsid w:val="7776085C"/>
    <w:rsid w:val="777B7BE3"/>
    <w:rsid w:val="778A4DCA"/>
    <w:rsid w:val="779A71B0"/>
    <w:rsid w:val="77A75655"/>
    <w:rsid w:val="77CA6C09"/>
    <w:rsid w:val="77CD29F2"/>
    <w:rsid w:val="77F80F40"/>
    <w:rsid w:val="78540DC4"/>
    <w:rsid w:val="785B608E"/>
    <w:rsid w:val="788968B7"/>
    <w:rsid w:val="78920858"/>
    <w:rsid w:val="78B84304"/>
    <w:rsid w:val="78CA3B28"/>
    <w:rsid w:val="78DF3743"/>
    <w:rsid w:val="78FF3AEC"/>
    <w:rsid w:val="79107F5E"/>
    <w:rsid w:val="792C3714"/>
    <w:rsid w:val="793B5A75"/>
    <w:rsid w:val="79407AF8"/>
    <w:rsid w:val="7980087A"/>
    <w:rsid w:val="79C756A9"/>
    <w:rsid w:val="79DB0C4B"/>
    <w:rsid w:val="79E53113"/>
    <w:rsid w:val="7A2425B4"/>
    <w:rsid w:val="7A35722A"/>
    <w:rsid w:val="7A711C4D"/>
    <w:rsid w:val="7A7A7992"/>
    <w:rsid w:val="7A94647F"/>
    <w:rsid w:val="7A987E48"/>
    <w:rsid w:val="7AC6589C"/>
    <w:rsid w:val="7AD21984"/>
    <w:rsid w:val="7ADD23BD"/>
    <w:rsid w:val="7AE046FD"/>
    <w:rsid w:val="7AE75482"/>
    <w:rsid w:val="7AEB3667"/>
    <w:rsid w:val="7B186B09"/>
    <w:rsid w:val="7B233B29"/>
    <w:rsid w:val="7B3A6D7D"/>
    <w:rsid w:val="7B3B1734"/>
    <w:rsid w:val="7B3C47BC"/>
    <w:rsid w:val="7B407170"/>
    <w:rsid w:val="7B586C88"/>
    <w:rsid w:val="7B5A314B"/>
    <w:rsid w:val="7B606D85"/>
    <w:rsid w:val="7B640066"/>
    <w:rsid w:val="7B64051E"/>
    <w:rsid w:val="7B6E62F1"/>
    <w:rsid w:val="7BA67C24"/>
    <w:rsid w:val="7BB0777C"/>
    <w:rsid w:val="7BB12E46"/>
    <w:rsid w:val="7BC00AD6"/>
    <w:rsid w:val="7C1616A2"/>
    <w:rsid w:val="7C2361D8"/>
    <w:rsid w:val="7C2D7C8F"/>
    <w:rsid w:val="7C6375C3"/>
    <w:rsid w:val="7C642791"/>
    <w:rsid w:val="7C814987"/>
    <w:rsid w:val="7C946CEA"/>
    <w:rsid w:val="7CB74280"/>
    <w:rsid w:val="7CD445C1"/>
    <w:rsid w:val="7CDC5D83"/>
    <w:rsid w:val="7CE74275"/>
    <w:rsid w:val="7CF02307"/>
    <w:rsid w:val="7D247CBF"/>
    <w:rsid w:val="7D2E29DC"/>
    <w:rsid w:val="7D310804"/>
    <w:rsid w:val="7D32359E"/>
    <w:rsid w:val="7D883BA5"/>
    <w:rsid w:val="7DA1179B"/>
    <w:rsid w:val="7DD57D04"/>
    <w:rsid w:val="7E437ED0"/>
    <w:rsid w:val="7E525E5E"/>
    <w:rsid w:val="7E915D37"/>
    <w:rsid w:val="7EE43C45"/>
    <w:rsid w:val="7F0621BA"/>
    <w:rsid w:val="7F283502"/>
    <w:rsid w:val="7F40428B"/>
    <w:rsid w:val="7F753821"/>
    <w:rsid w:val="7FA85529"/>
    <w:rsid w:val="7FAE6727"/>
    <w:rsid w:val="7FB074A5"/>
    <w:rsid w:val="7FDF5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4">
    <w:name w:val="heading 1"/>
    <w:basedOn w:val="1"/>
    <w:next w:val="1"/>
    <w:link w:val="79"/>
    <w:qFormat/>
    <w:uiPriority w:val="0"/>
    <w:pPr>
      <w:keepNext/>
      <w:jc w:val="left"/>
      <w:outlineLvl w:val="0"/>
    </w:pPr>
    <w:rPr>
      <w:rFonts w:ascii="宋体"/>
      <w:sz w:val="28"/>
      <w:szCs w:val="20"/>
    </w:rPr>
  </w:style>
  <w:style w:type="paragraph" w:styleId="5">
    <w:name w:val="heading 2"/>
    <w:basedOn w:val="1"/>
    <w:next w:val="1"/>
    <w:link w:val="105"/>
    <w:qFormat/>
    <w:uiPriority w:val="0"/>
    <w:pPr>
      <w:keepNext/>
      <w:keepLines/>
      <w:widowControl/>
      <w:adjustRightInd w:val="0"/>
      <w:snapToGrid w:val="0"/>
      <w:spacing w:line="360" w:lineRule="auto"/>
      <w:jc w:val="left"/>
      <w:outlineLvl w:val="1"/>
    </w:pPr>
    <w:rPr>
      <w:rFonts w:eastAsia="黑体"/>
      <w:bCs/>
      <w:sz w:val="24"/>
      <w:szCs w:val="32"/>
    </w:rPr>
  </w:style>
  <w:style w:type="paragraph" w:styleId="6">
    <w:name w:val="heading 3"/>
    <w:basedOn w:val="1"/>
    <w:next w:val="1"/>
    <w:link w:val="97"/>
    <w:qFormat/>
    <w:uiPriority w:val="0"/>
    <w:pPr>
      <w:keepNext/>
      <w:keepLines/>
      <w:widowControl/>
      <w:adjustRightInd w:val="0"/>
      <w:snapToGrid w:val="0"/>
      <w:spacing w:line="360" w:lineRule="auto"/>
      <w:outlineLvl w:val="2"/>
    </w:pPr>
    <w:rPr>
      <w:bCs/>
      <w:sz w:val="24"/>
      <w:szCs w:val="32"/>
    </w:rPr>
  </w:style>
  <w:style w:type="paragraph" w:styleId="7">
    <w:name w:val="heading 4"/>
    <w:basedOn w:val="1"/>
    <w:next w:val="1"/>
    <w:link w:val="96"/>
    <w:qFormat/>
    <w:uiPriority w:val="0"/>
    <w:pPr>
      <w:keepNext/>
      <w:keepLines/>
      <w:widowControl/>
      <w:adjustRightInd w:val="0"/>
      <w:snapToGrid w:val="0"/>
      <w:spacing w:line="360" w:lineRule="auto"/>
      <w:jc w:val="left"/>
      <w:outlineLvl w:val="3"/>
    </w:pPr>
    <w:rPr>
      <w:bCs/>
      <w:sz w:val="24"/>
      <w:szCs w:val="28"/>
    </w:rPr>
  </w:style>
  <w:style w:type="paragraph" w:styleId="8">
    <w:name w:val="heading 5"/>
    <w:basedOn w:val="1"/>
    <w:next w:val="1"/>
    <w:link w:val="92"/>
    <w:qFormat/>
    <w:uiPriority w:val="0"/>
    <w:pPr>
      <w:keepNext/>
      <w:keepLines/>
      <w:widowControl/>
      <w:adjustRightInd w:val="0"/>
      <w:snapToGrid w:val="0"/>
      <w:spacing w:before="280" w:after="290" w:line="376" w:lineRule="auto"/>
      <w:ind w:left="1008" w:hanging="1008"/>
      <w:outlineLvl w:val="4"/>
    </w:pPr>
    <w:rPr>
      <w:rFonts w:ascii="Calibri" w:hAnsi="Calibri"/>
      <w:b/>
      <w:bCs/>
      <w:sz w:val="28"/>
      <w:szCs w:val="28"/>
    </w:rPr>
  </w:style>
  <w:style w:type="paragraph" w:styleId="9">
    <w:name w:val="heading 6"/>
    <w:basedOn w:val="1"/>
    <w:next w:val="1"/>
    <w:link w:val="158"/>
    <w:qFormat/>
    <w:uiPriority w:val="0"/>
    <w:pPr>
      <w:keepNext/>
      <w:keepLines/>
      <w:widowControl/>
      <w:adjustRightInd w:val="0"/>
      <w:snapToGrid w:val="0"/>
      <w:spacing w:before="240" w:after="64" w:line="320" w:lineRule="auto"/>
      <w:ind w:left="1152" w:hanging="1152"/>
      <w:outlineLvl w:val="5"/>
    </w:pPr>
    <w:rPr>
      <w:rFonts w:ascii="Cambria" w:hAnsi="Cambria"/>
      <w:b/>
      <w:bCs/>
      <w:sz w:val="24"/>
    </w:rPr>
  </w:style>
  <w:style w:type="paragraph" w:styleId="10">
    <w:name w:val="heading 7"/>
    <w:basedOn w:val="1"/>
    <w:next w:val="1"/>
    <w:link w:val="82"/>
    <w:qFormat/>
    <w:uiPriority w:val="0"/>
    <w:pPr>
      <w:keepNext/>
      <w:keepLines/>
      <w:widowControl/>
      <w:adjustRightInd w:val="0"/>
      <w:snapToGrid w:val="0"/>
      <w:spacing w:before="240" w:after="64" w:line="320" w:lineRule="auto"/>
      <w:ind w:left="1296" w:hanging="1296"/>
      <w:outlineLvl w:val="6"/>
    </w:pPr>
    <w:rPr>
      <w:rFonts w:ascii="Calibri" w:hAnsi="Calibri"/>
      <w:b/>
      <w:bCs/>
      <w:sz w:val="24"/>
    </w:rPr>
  </w:style>
  <w:style w:type="paragraph" w:styleId="11">
    <w:name w:val="heading 8"/>
    <w:basedOn w:val="1"/>
    <w:next w:val="1"/>
    <w:link w:val="73"/>
    <w:qFormat/>
    <w:uiPriority w:val="0"/>
    <w:pPr>
      <w:keepNext/>
      <w:keepLines/>
      <w:widowControl/>
      <w:adjustRightInd w:val="0"/>
      <w:snapToGrid w:val="0"/>
      <w:spacing w:before="240" w:after="64" w:line="320" w:lineRule="auto"/>
      <w:ind w:left="1440" w:hanging="1440"/>
      <w:outlineLvl w:val="7"/>
    </w:pPr>
    <w:rPr>
      <w:rFonts w:ascii="Cambria" w:hAnsi="Cambria"/>
      <w:sz w:val="24"/>
    </w:rPr>
  </w:style>
  <w:style w:type="paragraph" w:styleId="12">
    <w:name w:val="heading 9"/>
    <w:basedOn w:val="1"/>
    <w:next w:val="1"/>
    <w:link w:val="89"/>
    <w:qFormat/>
    <w:uiPriority w:val="0"/>
    <w:pPr>
      <w:keepNext/>
      <w:keepLines/>
      <w:widowControl/>
      <w:adjustRightInd w:val="0"/>
      <w:snapToGrid w:val="0"/>
      <w:spacing w:before="240" w:after="64" w:line="320" w:lineRule="auto"/>
      <w:ind w:left="1584" w:hanging="1584"/>
      <w:outlineLvl w:val="8"/>
    </w:pPr>
    <w:rPr>
      <w:rFonts w:ascii="Cambria" w:hAnsi="Cambria"/>
      <w:sz w:val="21"/>
      <w:szCs w:val="21"/>
    </w:rPr>
  </w:style>
  <w:style w:type="character" w:default="1" w:styleId="45">
    <w:name w:val="Default Paragraph Font"/>
    <w:link w:val="46"/>
    <w:semiHidden/>
    <w:unhideWhenUsed/>
    <w:qFormat/>
    <w:uiPriority w:val="1"/>
    <w:rPr>
      <w:szCs w:val="21"/>
    </w:rPr>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102"/>
    <w:qFormat/>
    <w:uiPriority w:val="99"/>
    <w:pPr>
      <w:spacing w:after="120"/>
    </w:p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rPr>
  </w:style>
  <w:style w:type="paragraph" w:styleId="13">
    <w:name w:val="List Number"/>
    <w:basedOn w:val="14"/>
    <w:qFormat/>
    <w:uiPriority w:val="0"/>
    <w:pPr>
      <w:widowControl/>
      <w:adjustRightInd w:val="0"/>
      <w:snapToGrid w:val="0"/>
      <w:spacing w:after="0" w:line="360" w:lineRule="auto"/>
      <w:ind w:firstLine="200" w:firstLineChars="200"/>
    </w:pPr>
    <w:rPr>
      <w:sz w:val="24"/>
      <w:szCs w:val="21"/>
    </w:rPr>
  </w:style>
  <w:style w:type="paragraph" w:styleId="14">
    <w:name w:val="Body Text First Indent"/>
    <w:basedOn w:val="1"/>
    <w:link w:val="110"/>
    <w:qFormat/>
    <w:uiPriority w:val="0"/>
    <w:pPr>
      <w:ind w:firstLine="420" w:firstLineChars="100"/>
    </w:pPr>
    <w:rPr>
      <w:sz w:val="21"/>
    </w:rPr>
  </w:style>
  <w:style w:type="paragraph" w:styleId="15">
    <w:name w:val="Normal Indent"/>
    <w:basedOn w:val="1"/>
    <w:link w:val="99"/>
    <w:qFormat/>
    <w:uiPriority w:val="0"/>
    <w:pPr>
      <w:ind w:firstLine="420" w:firstLineChars="200"/>
    </w:pPr>
  </w:style>
  <w:style w:type="paragraph" w:styleId="16">
    <w:name w:val="caption"/>
    <w:basedOn w:val="1"/>
    <w:next w:val="1"/>
    <w:link w:val="107"/>
    <w:qFormat/>
    <w:uiPriority w:val="0"/>
    <w:pPr>
      <w:widowControl/>
      <w:adjustRightInd w:val="0"/>
      <w:snapToGrid w:val="0"/>
      <w:jc w:val="center"/>
    </w:pPr>
    <w:rPr>
      <w:rFonts w:eastAsia="黑体"/>
      <w:sz w:val="24"/>
      <w:szCs w:val="20"/>
    </w:rPr>
  </w:style>
  <w:style w:type="paragraph" w:styleId="17">
    <w:name w:val="List Bullet"/>
    <w:basedOn w:val="1"/>
    <w:qFormat/>
    <w:uiPriority w:val="0"/>
    <w:pPr>
      <w:widowControl/>
      <w:tabs>
        <w:tab w:val="left" w:pos="360"/>
      </w:tabs>
      <w:adjustRightInd w:val="0"/>
      <w:snapToGrid w:val="0"/>
      <w:ind w:left="360" w:hanging="360"/>
      <w:contextualSpacing/>
    </w:pPr>
    <w:rPr>
      <w:rFonts w:ascii="Calibri" w:hAnsi="Calibri"/>
      <w:sz w:val="21"/>
      <w:szCs w:val="21"/>
    </w:rPr>
  </w:style>
  <w:style w:type="paragraph" w:styleId="18">
    <w:name w:val="Document Map"/>
    <w:basedOn w:val="1"/>
    <w:link w:val="172"/>
    <w:unhideWhenUsed/>
    <w:qFormat/>
    <w:uiPriority w:val="99"/>
    <w:pPr>
      <w:spacing w:line="360" w:lineRule="auto"/>
      <w:ind w:firstLine="480" w:firstLineChars="200"/>
      <w:jc w:val="left"/>
    </w:pPr>
    <w:rPr>
      <w:rFonts w:ascii="宋体" w:hAnsi="宋体"/>
      <w:color w:val="000000"/>
      <w:sz w:val="18"/>
      <w:szCs w:val="18"/>
    </w:rPr>
  </w:style>
  <w:style w:type="paragraph" w:styleId="19">
    <w:name w:val="annotation text"/>
    <w:basedOn w:val="1"/>
    <w:link w:val="191"/>
    <w:semiHidden/>
    <w:qFormat/>
    <w:uiPriority w:val="99"/>
    <w:pPr>
      <w:jc w:val="left"/>
    </w:pPr>
    <w:rPr>
      <w:sz w:val="21"/>
      <w:szCs w:val="20"/>
    </w:rPr>
  </w:style>
  <w:style w:type="paragraph" w:styleId="20">
    <w:name w:val="Body Text 3"/>
    <w:basedOn w:val="1"/>
    <w:link w:val="229"/>
    <w:qFormat/>
    <w:uiPriority w:val="0"/>
    <w:pPr>
      <w:spacing w:line="600" w:lineRule="exact"/>
      <w:jc w:val="left"/>
    </w:pPr>
    <w:rPr>
      <w:b/>
      <w:bCs/>
      <w:sz w:val="28"/>
      <w:szCs w:val="20"/>
    </w:rPr>
  </w:style>
  <w:style w:type="paragraph" w:styleId="21">
    <w:name w:val="Body Text Indent"/>
    <w:basedOn w:val="1"/>
    <w:next w:val="14"/>
    <w:link w:val="209"/>
    <w:qFormat/>
    <w:uiPriority w:val="0"/>
    <w:pPr>
      <w:spacing w:line="460" w:lineRule="exact"/>
      <w:ind w:firstLine="561"/>
      <w:jc w:val="left"/>
    </w:pPr>
    <w:rPr>
      <w:sz w:val="28"/>
    </w:rPr>
  </w:style>
  <w:style w:type="paragraph" w:styleId="22">
    <w:name w:val="Block Text"/>
    <w:basedOn w:val="1"/>
    <w:link w:val="210"/>
    <w:qFormat/>
    <w:uiPriority w:val="0"/>
    <w:pPr>
      <w:spacing w:line="520" w:lineRule="exact"/>
      <w:ind w:left="480" w:right="131"/>
    </w:pPr>
    <w:rPr>
      <w:rFonts w:ascii="宋体" w:hAnsi="宋体"/>
      <w:color w:val="000000"/>
      <w:sz w:val="24"/>
    </w:rPr>
  </w:style>
  <w:style w:type="paragraph" w:styleId="23">
    <w:name w:val="toc 3"/>
    <w:basedOn w:val="1"/>
    <w:next w:val="1"/>
    <w:unhideWhenUsed/>
    <w:qFormat/>
    <w:uiPriority w:val="39"/>
    <w:pPr>
      <w:tabs>
        <w:tab w:val="right" w:leader="dot" w:pos="8296"/>
      </w:tabs>
      <w:spacing w:line="360" w:lineRule="auto"/>
      <w:ind w:left="960" w:leftChars="400" w:firstLine="482" w:firstLineChars="200"/>
      <w:jc w:val="left"/>
    </w:pPr>
    <w:rPr>
      <w:rFonts w:hAnsi="宋体"/>
      <w:b/>
      <w:color w:val="000000"/>
      <w:sz w:val="24"/>
    </w:rPr>
  </w:style>
  <w:style w:type="paragraph" w:styleId="24">
    <w:name w:val="Plain Text"/>
    <w:basedOn w:val="1"/>
    <w:link w:val="90"/>
    <w:qFormat/>
    <w:uiPriority w:val="0"/>
    <w:rPr>
      <w:rFonts w:ascii="宋体" w:hAnsi="Courier New"/>
      <w:sz w:val="21"/>
      <w:szCs w:val="20"/>
    </w:rPr>
  </w:style>
  <w:style w:type="paragraph" w:styleId="25">
    <w:name w:val="Date"/>
    <w:basedOn w:val="1"/>
    <w:next w:val="1"/>
    <w:link w:val="169"/>
    <w:qFormat/>
    <w:uiPriority w:val="99"/>
    <w:pPr>
      <w:spacing w:line="520" w:lineRule="exact"/>
    </w:pPr>
    <w:rPr>
      <w:sz w:val="28"/>
      <w:szCs w:val="20"/>
    </w:rPr>
  </w:style>
  <w:style w:type="paragraph" w:styleId="26">
    <w:name w:val="Body Text Indent 2"/>
    <w:basedOn w:val="1"/>
    <w:next w:val="1"/>
    <w:link w:val="179"/>
    <w:qFormat/>
    <w:uiPriority w:val="0"/>
    <w:pPr>
      <w:spacing w:line="460" w:lineRule="exact"/>
      <w:ind w:right="320" w:rightChars="100" w:firstLine="480" w:firstLineChars="200"/>
      <w:outlineLvl w:val="0"/>
    </w:pPr>
    <w:rPr>
      <w:rFonts w:ascii="宋体" w:hAnsi="宋体"/>
      <w:sz w:val="24"/>
    </w:rPr>
  </w:style>
  <w:style w:type="paragraph" w:styleId="27">
    <w:name w:val="Balloon Text"/>
    <w:basedOn w:val="1"/>
    <w:link w:val="74"/>
    <w:qFormat/>
    <w:uiPriority w:val="99"/>
    <w:pPr>
      <w:widowControl/>
      <w:adjustRightInd w:val="0"/>
      <w:snapToGrid w:val="0"/>
    </w:pPr>
    <w:rPr>
      <w:rFonts w:ascii="Calibri" w:hAnsi="Calibri"/>
      <w:sz w:val="18"/>
      <w:szCs w:val="18"/>
    </w:rPr>
  </w:style>
  <w:style w:type="paragraph" w:styleId="28">
    <w:name w:val="footer"/>
    <w:basedOn w:val="1"/>
    <w:next w:val="1"/>
    <w:link w:val="113"/>
    <w:qFormat/>
    <w:uiPriority w:val="99"/>
    <w:pPr>
      <w:tabs>
        <w:tab w:val="center" w:pos="4153"/>
        <w:tab w:val="right" w:pos="8306"/>
      </w:tabs>
      <w:snapToGrid w:val="0"/>
      <w:jc w:val="left"/>
    </w:pPr>
    <w:rPr>
      <w:sz w:val="18"/>
      <w:szCs w:val="20"/>
    </w:rPr>
  </w:style>
  <w:style w:type="paragraph" w:styleId="29">
    <w:name w:val="header"/>
    <w:basedOn w:val="1"/>
    <w:next w:val="30"/>
    <w:link w:val="106"/>
    <w:qFormat/>
    <w:uiPriority w:val="99"/>
    <w:pPr>
      <w:pBdr>
        <w:bottom w:val="single" w:color="auto" w:sz="6" w:space="1"/>
      </w:pBdr>
      <w:tabs>
        <w:tab w:val="center" w:pos="4153"/>
        <w:tab w:val="right" w:pos="8306"/>
      </w:tabs>
      <w:snapToGrid w:val="0"/>
      <w:jc w:val="center"/>
    </w:pPr>
    <w:rPr>
      <w:sz w:val="18"/>
      <w:szCs w:val="20"/>
    </w:rPr>
  </w:style>
  <w:style w:type="paragraph" w:customStyle="1" w:styleId="30">
    <w:name w:val="样式5"/>
    <w:basedOn w:val="31"/>
    <w:qFormat/>
    <w:uiPriority w:val="0"/>
    <w:pPr>
      <w:snapToGrid w:val="0"/>
      <w:spacing w:line="360" w:lineRule="auto"/>
      <w:ind w:firstLine="510"/>
    </w:pPr>
    <w:rPr>
      <w:sz w:val="24"/>
    </w:rPr>
  </w:style>
  <w:style w:type="paragraph" w:customStyle="1" w:styleId="31">
    <w:name w:val="正文1"/>
    <w:basedOn w:val="1"/>
    <w:qFormat/>
    <w:uiPriority w:val="0"/>
    <w:pPr>
      <w:spacing w:line="440" w:lineRule="exact"/>
    </w:pPr>
    <w:rPr>
      <w:sz w:val="24"/>
    </w:rPr>
  </w:style>
  <w:style w:type="paragraph" w:styleId="32">
    <w:name w:val="toc 1"/>
    <w:basedOn w:val="1"/>
    <w:next w:val="1"/>
    <w:unhideWhenUsed/>
    <w:qFormat/>
    <w:uiPriority w:val="39"/>
    <w:pPr>
      <w:spacing w:line="360" w:lineRule="auto"/>
      <w:ind w:firstLine="480" w:firstLineChars="200"/>
      <w:jc w:val="left"/>
    </w:pPr>
    <w:rPr>
      <w:rFonts w:hAnsi="宋体"/>
      <w:color w:val="000000"/>
      <w:sz w:val="24"/>
    </w:rPr>
  </w:style>
  <w:style w:type="paragraph" w:styleId="33">
    <w:name w:val="Subtitle"/>
    <w:basedOn w:val="1"/>
    <w:next w:val="1"/>
    <w:link w:val="187"/>
    <w:qFormat/>
    <w:uiPriority w:val="0"/>
    <w:pPr>
      <w:spacing w:before="120" w:after="120" w:line="360" w:lineRule="auto"/>
      <w:jc w:val="left"/>
      <w:outlineLvl w:val="2"/>
    </w:pPr>
    <w:rPr>
      <w:rFonts w:ascii="Calibri" w:hAnsi="Calibri"/>
      <w:b/>
      <w:kern w:val="28"/>
      <w:sz w:val="24"/>
    </w:rPr>
  </w:style>
  <w:style w:type="paragraph" w:styleId="34">
    <w:name w:val="footnote text"/>
    <w:basedOn w:val="1"/>
    <w:link w:val="195"/>
    <w:unhideWhenUsed/>
    <w:qFormat/>
    <w:uiPriority w:val="99"/>
    <w:pPr>
      <w:snapToGrid w:val="0"/>
      <w:spacing w:line="360" w:lineRule="auto"/>
      <w:ind w:firstLine="480" w:firstLineChars="200"/>
      <w:jc w:val="left"/>
    </w:pPr>
    <w:rPr>
      <w:rFonts w:hAnsi="宋体"/>
      <w:color w:val="000000"/>
      <w:sz w:val="18"/>
      <w:szCs w:val="18"/>
    </w:rPr>
  </w:style>
  <w:style w:type="paragraph" w:styleId="35">
    <w:name w:val="Body Text Indent 3"/>
    <w:basedOn w:val="1"/>
    <w:link w:val="208"/>
    <w:qFormat/>
    <w:uiPriority w:val="0"/>
    <w:pPr>
      <w:spacing w:line="480" w:lineRule="exact"/>
      <w:ind w:right="102" w:firstLine="480" w:firstLineChars="200"/>
    </w:pPr>
    <w:rPr>
      <w:sz w:val="24"/>
    </w:rPr>
  </w:style>
  <w:style w:type="paragraph" w:styleId="36">
    <w:name w:val="table of figures"/>
    <w:basedOn w:val="1"/>
    <w:next w:val="1"/>
    <w:qFormat/>
    <w:uiPriority w:val="0"/>
    <w:pPr>
      <w:ind w:left="200" w:leftChars="200" w:hanging="200" w:hangingChars="200"/>
    </w:pPr>
  </w:style>
  <w:style w:type="paragraph" w:styleId="37">
    <w:name w:val="toc 2"/>
    <w:basedOn w:val="1"/>
    <w:next w:val="1"/>
    <w:qFormat/>
    <w:uiPriority w:val="39"/>
    <w:pPr>
      <w:ind w:left="280"/>
      <w:jc w:val="left"/>
    </w:pPr>
    <w:rPr>
      <w:smallCaps/>
      <w:sz w:val="20"/>
    </w:rPr>
  </w:style>
  <w:style w:type="paragraph" w:styleId="38">
    <w:name w:val="Body Text 2"/>
    <w:basedOn w:val="1"/>
    <w:link w:val="98"/>
    <w:qFormat/>
    <w:uiPriority w:val="0"/>
    <w:pPr>
      <w:spacing w:after="120" w:line="480" w:lineRule="auto"/>
    </w:pPr>
    <w:rPr>
      <w:sz w:val="21"/>
      <w:szCs w:val="20"/>
    </w:r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4"/>
    <w:link w:val="77"/>
    <w:qFormat/>
    <w:uiPriority w:val="0"/>
    <w:pPr>
      <w:widowControl/>
      <w:adjustRightInd w:val="0"/>
      <w:snapToGrid w:val="0"/>
      <w:spacing w:line="360" w:lineRule="auto"/>
      <w:jc w:val="center"/>
    </w:pPr>
    <w:rPr>
      <w:rFonts w:eastAsia="黑体"/>
      <w:bCs/>
      <w:sz w:val="36"/>
      <w:szCs w:val="32"/>
    </w:rPr>
  </w:style>
  <w:style w:type="paragraph" w:styleId="41">
    <w:name w:val="annotation subject"/>
    <w:basedOn w:val="19"/>
    <w:next w:val="19"/>
    <w:link w:val="192"/>
    <w:semiHidden/>
    <w:qFormat/>
    <w:uiPriority w:val="99"/>
    <w:rPr>
      <w:b/>
      <w:bCs/>
      <w:sz w:val="32"/>
      <w:szCs w:val="24"/>
    </w:rPr>
  </w:style>
  <w:style w:type="paragraph" w:styleId="42">
    <w:name w:val="Body Text First Indent 2"/>
    <w:basedOn w:val="21"/>
    <w:next w:val="1"/>
    <w:qFormat/>
    <w:uiPriority w:val="0"/>
    <w:pPr>
      <w:spacing w:after="120"/>
      <w:ind w:left="420" w:leftChars="200" w:firstLine="420" w:firstLineChars="200"/>
    </w:pPr>
    <w:rPr>
      <w:sz w:val="30"/>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6">
    <w:name w:val=" Char1"/>
    <w:basedOn w:val="1"/>
    <w:link w:val="45"/>
    <w:qFormat/>
    <w:uiPriority w:val="0"/>
    <w:rPr>
      <w:szCs w:val="21"/>
    </w:rPr>
  </w:style>
  <w:style w:type="character" w:styleId="47">
    <w:name w:val="Strong"/>
    <w:qFormat/>
    <w:uiPriority w:val="0"/>
    <w:rPr>
      <w:b/>
      <w:bCs/>
    </w:rPr>
  </w:style>
  <w:style w:type="character" w:styleId="48">
    <w:name w:val="page number"/>
    <w:basedOn w:val="45"/>
    <w:qFormat/>
    <w:uiPriority w:val="99"/>
  </w:style>
  <w:style w:type="character" w:styleId="49">
    <w:name w:val="FollowedHyperlink"/>
    <w:qFormat/>
    <w:uiPriority w:val="0"/>
    <w:rPr>
      <w:color w:val="0063C8"/>
      <w:u w:val="none"/>
    </w:rPr>
  </w:style>
  <w:style w:type="character" w:styleId="50">
    <w:name w:val="Emphasis"/>
    <w:qFormat/>
    <w:uiPriority w:val="0"/>
  </w:style>
  <w:style w:type="character" w:styleId="51">
    <w:name w:val="HTML Definition"/>
    <w:qFormat/>
    <w:uiPriority w:val="0"/>
  </w:style>
  <w:style w:type="character" w:styleId="52">
    <w:name w:val="HTML Acronym"/>
    <w:basedOn w:val="45"/>
    <w:qFormat/>
    <w:uiPriority w:val="0"/>
  </w:style>
  <w:style w:type="character" w:styleId="53">
    <w:name w:val="HTML Variable"/>
    <w:qFormat/>
    <w:uiPriority w:val="0"/>
  </w:style>
  <w:style w:type="character" w:styleId="54">
    <w:name w:val="Hyperlink"/>
    <w:qFormat/>
    <w:uiPriority w:val="99"/>
    <w:rPr>
      <w:color w:val="0063C8"/>
      <w:u w:val="none"/>
    </w:rPr>
  </w:style>
  <w:style w:type="character" w:styleId="55">
    <w:name w:val="HTML Code"/>
    <w:qFormat/>
    <w:uiPriority w:val="0"/>
    <w:rPr>
      <w:rFonts w:ascii="Courier New" w:hAnsi="Courier New"/>
      <w:sz w:val="20"/>
    </w:rPr>
  </w:style>
  <w:style w:type="character" w:styleId="56">
    <w:name w:val="annotation reference"/>
    <w:qFormat/>
    <w:uiPriority w:val="0"/>
    <w:rPr>
      <w:sz w:val="21"/>
      <w:szCs w:val="21"/>
    </w:rPr>
  </w:style>
  <w:style w:type="character" w:styleId="57">
    <w:name w:val="HTML Cite"/>
    <w:qFormat/>
    <w:uiPriority w:val="0"/>
  </w:style>
  <w:style w:type="character" w:styleId="58">
    <w:name w:val="footnote reference"/>
    <w:basedOn w:val="45"/>
    <w:unhideWhenUsed/>
    <w:qFormat/>
    <w:uiPriority w:val="99"/>
    <w:rPr>
      <w:vertAlign w:val="superscript"/>
    </w:rPr>
  </w:style>
  <w:style w:type="paragraph" w:customStyle="1" w:styleId="59">
    <w:name w:val="正文首行缩进  2字符"/>
    <w:basedOn w:val="1"/>
    <w:qFormat/>
    <w:uiPriority w:val="0"/>
    <w:pPr>
      <w:widowControl/>
      <w:ind w:firstLine="480"/>
    </w:pPr>
  </w:style>
  <w:style w:type="paragraph" w:customStyle="1" w:styleId="60">
    <w:name w:val="样式 样式 样式 四号 左侧:  1.53 厘米 + 首行缩进:  2 字符 + 居中 左侧:  2 字符 首行缩进:  2..."/>
    <w:basedOn w:val="61"/>
    <w:qFormat/>
    <w:uiPriority w:val="0"/>
    <w:pPr>
      <w:ind w:firstLine="0" w:firstLineChars="0"/>
      <w:jc w:val="center"/>
    </w:pPr>
  </w:style>
  <w:style w:type="paragraph" w:customStyle="1" w:styleId="61">
    <w:name w:val="样式 样式 四号 左侧:  1.53 厘米 + 首行缩进:  2 字符"/>
    <w:basedOn w:val="62"/>
    <w:qFormat/>
    <w:uiPriority w:val="0"/>
    <w:pPr>
      <w:ind w:left="200" w:leftChars="200"/>
    </w:pPr>
    <w:rPr>
      <w:szCs w:val="20"/>
    </w:rPr>
  </w:style>
  <w:style w:type="paragraph" w:customStyle="1" w:styleId="62">
    <w:name w:val="样式 四号 左侧:  1.53 厘米"/>
    <w:basedOn w:val="1"/>
    <w:qFormat/>
    <w:uiPriority w:val="0"/>
    <w:pPr>
      <w:adjustRightInd w:val="0"/>
    </w:pPr>
    <w:rPr>
      <w:w w:val="90"/>
      <w:sz w:val="28"/>
      <w:szCs w:val="28"/>
    </w:rPr>
  </w:style>
  <w:style w:type="paragraph" w:customStyle="1" w:styleId="6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4">
    <w:name w:val="段落"/>
    <w:basedOn w:val="1"/>
    <w:link w:val="67"/>
    <w:qFormat/>
    <w:uiPriority w:val="0"/>
    <w:pPr>
      <w:tabs>
        <w:tab w:val="left" w:pos="1021"/>
        <w:tab w:val="left" w:pos="1320"/>
      </w:tabs>
      <w:spacing w:line="360" w:lineRule="auto"/>
      <w:ind w:firstLine="504" w:firstLineChars="200"/>
    </w:pPr>
    <w:rPr>
      <w:color w:val="000000"/>
      <w:spacing w:val="6"/>
      <w:kern w:val="24"/>
      <w:sz w:val="24"/>
    </w:rPr>
  </w:style>
  <w:style w:type="character" w:customStyle="1" w:styleId="65">
    <w:name w:val="内容 Char Char"/>
    <w:link w:val="66"/>
    <w:qFormat/>
    <w:uiPriority w:val="0"/>
    <w:rPr>
      <w:kern w:val="2"/>
      <w:sz w:val="28"/>
      <w:szCs w:val="24"/>
    </w:rPr>
  </w:style>
  <w:style w:type="paragraph" w:customStyle="1" w:styleId="66">
    <w:name w:val="内容 Char"/>
    <w:basedOn w:val="1"/>
    <w:link w:val="65"/>
    <w:qFormat/>
    <w:uiPriority w:val="0"/>
    <w:pPr>
      <w:spacing w:line="360" w:lineRule="auto"/>
      <w:ind w:firstLine="420"/>
    </w:pPr>
    <w:rPr>
      <w:sz w:val="28"/>
    </w:rPr>
  </w:style>
  <w:style w:type="character" w:customStyle="1" w:styleId="67">
    <w:name w:val="段落 Char Char"/>
    <w:link w:val="64"/>
    <w:qFormat/>
    <w:uiPriority w:val="0"/>
    <w:rPr>
      <w:color w:val="000000"/>
      <w:spacing w:val="6"/>
      <w:kern w:val="24"/>
      <w:sz w:val="24"/>
      <w:szCs w:val="24"/>
      <w:lang w:val="en-US" w:eastAsia="zh-CN"/>
    </w:rPr>
  </w:style>
  <w:style w:type="character" w:customStyle="1" w:styleId="68">
    <w:name w:val="报告书正文 Char"/>
    <w:link w:val="69"/>
    <w:qFormat/>
    <w:uiPriority w:val="0"/>
    <w:rPr>
      <w:rFonts w:eastAsia="宋体"/>
      <w:kern w:val="2"/>
      <w:sz w:val="24"/>
      <w:lang w:val="en-US" w:eastAsia="zh-CN" w:bidi="ar-SA"/>
    </w:rPr>
  </w:style>
  <w:style w:type="paragraph" w:customStyle="1" w:styleId="69">
    <w:name w:val="报告书正文"/>
    <w:basedOn w:val="1"/>
    <w:link w:val="68"/>
    <w:qFormat/>
    <w:uiPriority w:val="0"/>
    <w:pPr>
      <w:spacing w:line="300" w:lineRule="auto"/>
      <w:ind w:firstLine="200" w:firstLineChars="200"/>
    </w:pPr>
    <w:rPr>
      <w:sz w:val="24"/>
      <w:szCs w:val="20"/>
    </w:rPr>
  </w:style>
  <w:style w:type="character" w:customStyle="1" w:styleId="70">
    <w:name w:val="样式 样式 行距: 1.5 倍行距 + 首行缩进:  2 字符 Char"/>
    <w:link w:val="71"/>
    <w:qFormat/>
    <w:uiPriority w:val="0"/>
    <w:rPr>
      <w:rFonts w:cs="宋体"/>
      <w:kern w:val="2"/>
      <w:sz w:val="24"/>
    </w:rPr>
  </w:style>
  <w:style w:type="paragraph" w:customStyle="1" w:styleId="71">
    <w:name w:val="样式 样式 行距: 1.5 倍行距 + 首行缩进:  2 字符"/>
    <w:basedOn w:val="72"/>
    <w:link w:val="70"/>
    <w:qFormat/>
    <w:uiPriority w:val="0"/>
    <w:pPr>
      <w:ind w:firstLine="480"/>
    </w:pPr>
    <w:rPr>
      <w:rFonts w:cs="Times New Roman"/>
      <w:sz w:val="24"/>
      <w:szCs w:val="20"/>
    </w:rPr>
  </w:style>
  <w:style w:type="paragraph" w:customStyle="1" w:styleId="72">
    <w:name w:val="样式 行距: 1.5 倍行距"/>
    <w:basedOn w:val="1"/>
    <w:qFormat/>
    <w:uiPriority w:val="0"/>
    <w:pPr>
      <w:adjustRightInd w:val="0"/>
      <w:snapToGrid w:val="0"/>
      <w:spacing w:line="360" w:lineRule="auto"/>
      <w:ind w:firstLine="200" w:firstLineChars="200"/>
    </w:pPr>
    <w:rPr>
      <w:rFonts w:cs="宋体"/>
      <w:szCs w:val="21"/>
    </w:rPr>
  </w:style>
  <w:style w:type="character" w:customStyle="1" w:styleId="73">
    <w:name w:val="标题 8 字符"/>
    <w:link w:val="11"/>
    <w:qFormat/>
    <w:uiPriority w:val="0"/>
    <w:rPr>
      <w:rFonts w:ascii="Cambria" w:hAnsi="Cambria"/>
      <w:kern w:val="2"/>
      <w:sz w:val="24"/>
      <w:szCs w:val="24"/>
    </w:rPr>
  </w:style>
  <w:style w:type="character" w:customStyle="1" w:styleId="74">
    <w:name w:val="批注框文本 字符"/>
    <w:link w:val="27"/>
    <w:qFormat/>
    <w:uiPriority w:val="99"/>
    <w:rPr>
      <w:rFonts w:ascii="Calibri" w:hAnsi="Calibri" w:eastAsia="宋体" w:cs="Times New Roman"/>
      <w:kern w:val="2"/>
      <w:sz w:val="18"/>
      <w:szCs w:val="18"/>
    </w:rPr>
  </w:style>
  <w:style w:type="character" w:customStyle="1" w:styleId="75">
    <w:name w:val="正文文本 2 Char1"/>
    <w:qFormat/>
    <w:uiPriority w:val="0"/>
    <w:rPr>
      <w:kern w:val="2"/>
      <w:sz w:val="21"/>
    </w:rPr>
  </w:style>
  <w:style w:type="character" w:customStyle="1" w:styleId="76">
    <w:name w:val="btn-task-gray"/>
    <w:qFormat/>
    <w:uiPriority w:val="0"/>
    <w:rPr>
      <w:color w:val="FFFFFF"/>
      <w:u w:val="none"/>
      <w:shd w:val="clear" w:color="auto" w:fill="CCCCCC"/>
    </w:rPr>
  </w:style>
  <w:style w:type="character" w:customStyle="1" w:styleId="77">
    <w:name w:val="标题 字符"/>
    <w:link w:val="40"/>
    <w:qFormat/>
    <w:uiPriority w:val="0"/>
    <w:rPr>
      <w:rFonts w:eastAsia="黑体" w:cs="Times New Roman"/>
      <w:bCs/>
      <w:kern w:val="2"/>
      <w:sz w:val="36"/>
      <w:szCs w:val="32"/>
    </w:rPr>
  </w:style>
  <w:style w:type="character" w:customStyle="1" w:styleId="78">
    <w:name w:val="正文文本 Char"/>
    <w:qFormat/>
    <w:uiPriority w:val="0"/>
    <w:rPr>
      <w:kern w:val="2"/>
      <w:sz w:val="32"/>
      <w:szCs w:val="24"/>
    </w:rPr>
  </w:style>
  <w:style w:type="character" w:customStyle="1" w:styleId="79">
    <w:name w:val="标题 1 字符"/>
    <w:link w:val="4"/>
    <w:qFormat/>
    <w:uiPriority w:val="0"/>
    <w:rPr>
      <w:rFonts w:ascii="宋体"/>
      <w:kern w:val="2"/>
      <w:sz w:val="28"/>
    </w:rPr>
  </w:style>
  <w:style w:type="character" w:customStyle="1" w:styleId="80">
    <w:name w:val="无间隔 Char"/>
    <w:link w:val="81"/>
    <w:qFormat/>
    <w:uiPriority w:val="0"/>
    <w:rPr>
      <w:kern w:val="2"/>
      <w:sz w:val="24"/>
      <w:szCs w:val="24"/>
      <w:lang w:val="en-US" w:eastAsia="zh-CN" w:bidi="ar-SA"/>
    </w:rPr>
  </w:style>
  <w:style w:type="paragraph" w:customStyle="1" w:styleId="81">
    <w:name w:val="无间隔11"/>
    <w:link w:val="80"/>
    <w:qFormat/>
    <w:uiPriority w:val="0"/>
    <w:pPr>
      <w:widowControl w:val="0"/>
      <w:ind w:firstLine="200" w:firstLineChars="200"/>
    </w:pPr>
    <w:rPr>
      <w:rFonts w:ascii="Times New Roman" w:hAnsi="Times New Roman" w:eastAsia="宋体" w:cs="Times New Roman"/>
      <w:kern w:val="2"/>
      <w:sz w:val="24"/>
      <w:szCs w:val="24"/>
      <w:lang w:val="en-US" w:eastAsia="zh-CN" w:bidi="ar-SA"/>
    </w:rPr>
  </w:style>
  <w:style w:type="character" w:customStyle="1" w:styleId="82">
    <w:name w:val="标题 7 字符"/>
    <w:link w:val="10"/>
    <w:qFormat/>
    <w:uiPriority w:val="0"/>
    <w:rPr>
      <w:rFonts w:ascii="Calibri" w:hAnsi="Calibri"/>
      <w:b/>
      <w:bCs/>
      <w:kern w:val="2"/>
      <w:sz w:val="24"/>
      <w:szCs w:val="24"/>
    </w:rPr>
  </w:style>
  <w:style w:type="character" w:customStyle="1" w:styleId="83">
    <w:name w:val="页脚 Char"/>
    <w:qFormat/>
    <w:uiPriority w:val="99"/>
    <w:rPr>
      <w:rFonts w:eastAsia="Calibri"/>
      <w:sz w:val="21"/>
    </w:rPr>
  </w:style>
  <w:style w:type="character" w:customStyle="1" w:styleId="84">
    <w:name w:val="表文字 Char Char"/>
    <w:link w:val="85"/>
    <w:qFormat/>
    <w:uiPriority w:val="0"/>
    <w:rPr>
      <w:rFonts w:eastAsia="宋体"/>
      <w:sz w:val="24"/>
      <w:lang w:val="en-US" w:eastAsia="zh-CN" w:bidi="ar-SA"/>
    </w:rPr>
  </w:style>
  <w:style w:type="paragraph" w:customStyle="1" w:styleId="85">
    <w:name w:val="表文字"/>
    <w:basedOn w:val="1"/>
    <w:link w:val="84"/>
    <w:qFormat/>
    <w:uiPriority w:val="0"/>
    <w:pPr>
      <w:overflowPunct w:val="0"/>
      <w:autoSpaceDE w:val="0"/>
      <w:autoSpaceDN w:val="0"/>
      <w:adjustRightInd w:val="0"/>
      <w:spacing w:line="240" w:lineRule="atLeast"/>
      <w:jc w:val="center"/>
      <w:textAlignment w:val="baseline"/>
    </w:pPr>
    <w:rPr>
      <w:kern w:val="0"/>
      <w:sz w:val="24"/>
      <w:szCs w:val="20"/>
    </w:rPr>
  </w:style>
  <w:style w:type="character" w:customStyle="1" w:styleId="86">
    <w:name w:val="样式 表文字 + 黑体 行距: 单倍行距 Char"/>
    <w:link w:val="87"/>
    <w:qFormat/>
    <w:uiPriority w:val="0"/>
    <w:rPr>
      <w:rFonts w:ascii="黑体" w:eastAsia="黑体" w:cs="宋体"/>
      <w:kern w:val="2"/>
      <w:sz w:val="24"/>
      <w:lang w:val="en-US" w:eastAsia="zh-CN" w:bidi="ar-SA"/>
    </w:rPr>
  </w:style>
  <w:style w:type="paragraph" w:customStyle="1" w:styleId="87">
    <w:name w:val="样式 表文字 + 黑体 行距: 单倍行距"/>
    <w:basedOn w:val="1"/>
    <w:link w:val="86"/>
    <w:qFormat/>
    <w:uiPriority w:val="0"/>
    <w:pPr>
      <w:overflowPunct w:val="0"/>
      <w:autoSpaceDE w:val="0"/>
      <w:autoSpaceDN w:val="0"/>
      <w:adjustRightInd w:val="0"/>
      <w:spacing w:line="360" w:lineRule="auto"/>
      <w:jc w:val="center"/>
      <w:textAlignment w:val="baseline"/>
    </w:pPr>
    <w:rPr>
      <w:rFonts w:ascii="黑体" w:eastAsia="黑体" w:cs="宋体"/>
      <w:sz w:val="24"/>
      <w:szCs w:val="20"/>
    </w:rPr>
  </w:style>
  <w:style w:type="character" w:customStyle="1" w:styleId="88">
    <w:name w:val="表文字 Char"/>
    <w:qFormat/>
    <w:uiPriority w:val="0"/>
    <w:rPr>
      <w:rFonts w:ascii="Times New Roman" w:hAnsi="Times New Roman" w:eastAsia="宋体" w:cs="Times New Roman"/>
      <w:kern w:val="0"/>
      <w:sz w:val="24"/>
      <w:szCs w:val="20"/>
    </w:rPr>
  </w:style>
  <w:style w:type="character" w:customStyle="1" w:styleId="89">
    <w:name w:val="标题 9 字符"/>
    <w:link w:val="12"/>
    <w:qFormat/>
    <w:uiPriority w:val="0"/>
    <w:rPr>
      <w:rFonts w:ascii="Cambria" w:hAnsi="Cambria"/>
      <w:kern w:val="2"/>
      <w:sz w:val="21"/>
      <w:szCs w:val="21"/>
    </w:rPr>
  </w:style>
  <w:style w:type="character" w:customStyle="1" w:styleId="90">
    <w:name w:val="纯文本 字符"/>
    <w:link w:val="24"/>
    <w:qFormat/>
    <w:uiPriority w:val="0"/>
    <w:rPr>
      <w:rFonts w:ascii="宋体" w:hAnsi="Courier New" w:eastAsia="宋体"/>
      <w:kern w:val="2"/>
      <w:sz w:val="21"/>
      <w:lang w:val="en-US" w:eastAsia="zh-CN" w:bidi="ar-SA"/>
    </w:rPr>
  </w:style>
  <w:style w:type="character" w:customStyle="1" w:styleId="91">
    <w:name w:val="正文首行缩进 Char"/>
    <w:qFormat/>
    <w:uiPriority w:val="0"/>
    <w:rPr>
      <w:kern w:val="2"/>
      <w:sz w:val="21"/>
      <w:szCs w:val="24"/>
    </w:rPr>
  </w:style>
  <w:style w:type="character" w:customStyle="1" w:styleId="92">
    <w:name w:val="标题 5 字符"/>
    <w:link w:val="8"/>
    <w:qFormat/>
    <w:uiPriority w:val="0"/>
    <w:rPr>
      <w:rFonts w:ascii="Calibri" w:hAnsi="Calibri"/>
      <w:b/>
      <w:bCs/>
      <w:kern w:val="2"/>
      <w:sz w:val="28"/>
      <w:szCs w:val="28"/>
    </w:rPr>
  </w:style>
  <w:style w:type="character" w:customStyle="1" w:styleId="93">
    <w:name w:val="btn-task-gray1"/>
    <w:basedOn w:val="45"/>
    <w:qFormat/>
    <w:uiPriority w:val="0"/>
  </w:style>
  <w:style w:type="character" w:customStyle="1" w:styleId="94">
    <w:name w:val="样式 (符号) 宋体 小四 行距: 1.5 倍行距 Char"/>
    <w:link w:val="95"/>
    <w:qFormat/>
    <w:uiPriority w:val="0"/>
    <w:rPr>
      <w:rFonts w:hAnsi="宋体" w:eastAsia="宋体" w:cs="宋体"/>
      <w:kern w:val="2"/>
      <w:sz w:val="24"/>
      <w:lang w:val="en-US" w:eastAsia="zh-CN" w:bidi="ar-SA"/>
    </w:rPr>
  </w:style>
  <w:style w:type="paragraph" w:customStyle="1" w:styleId="95">
    <w:name w:val="样式 (符号) 宋体 小四 行距: 1.5 倍行距"/>
    <w:basedOn w:val="1"/>
    <w:link w:val="94"/>
    <w:qFormat/>
    <w:uiPriority w:val="0"/>
    <w:pPr>
      <w:spacing w:line="360" w:lineRule="auto"/>
      <w:ind w:firstLine="480" w:firstLineChars="200"/>
    </w:pPr>
    <w:rPr>
      <w:rFonts w:hAnsi="宋体" w:cs="宋体"/>
      <w:sz w:val="24"/>
      <w:szCs w:val="20"/>
    </w:rPr>
  </w:style>
  <w:style w:type="character" w:customStyle="1" w:styleId="96">
    <w:name w:val="标题 4 字符"/>
    <w:link w:val="7"/>
    <w:qFormat/>
    <w:uiPriority w:val="0"/>
    <w:rPr>
      <w:rFonts w:cs="Times New Roman"/>
      <w:bCs/>
      <w:kern w:val="2"/>
      <w:sz w:val="24"/>
      <w:szCs w:val="28"/>
    </w:rPr>
  </w:style>
  <w:style w:type="character" w:customStyle="1" w:styleId="97">
    <w:name w:val="标题 3 字符"/>
    <w:link w:val="6"/>
    <w:qFormat/>
    <w:uiPriority w:val="0"/>
    <w:rPr>
      <w:rFonts w:cs="Times New Roman"/>
      <w:bCs/>
      <w:kern w:val="2"/>
      <w:sz w:val="24"/>
      <w:szCs w:val="32"/>
    </w:rPr>
  </w:style>
  <w:style w:type="character" w:customStyle="1" w:styleId="98">
    <w:name w:val="正文文本 2 字符"/>
    <w:link w:val="38"/>
    <w:qFormat/>
    <w:uiPriority w:val="0"/>
    <w:rPr>
      <w:kern w:val="2"/>
      <w:sz w:val="21"/>
    </w:rPr>
  </w:style>
  <w:style w:type="character" w:customStyle="1" w:styleId="99">
    <w:name w:val="正文缩进 字符"/>
    <w:link w:val="15"/>
    <w:qFormat/>
    <w:uiPriority w:val="0"/>
    <w:rPr>
      <w:kern w:val="2"/>
      <w:sz w:val="32"/>
      <w:szCs w:val="24"/>
    </w:rPr>
  </w:style>
  <w:style w:type="character" w:customStyle="1" w:styleId="100">
    <w:name w:val="纯文本 Char"/>
    <w:qFormat/>
    <w:uiPriority w:val="0"/>
    <w:rPr>
      <w:rFonts w:ascii="宋体" w:hAnsi="Courier New" w:eastAsia="宋体"/>
      <w:kern w:val="2"/>
      <w:sz w:val="21"/>
      <w:lang w:val="en-US" w:eastAsia="zh-CN" w:bidi="ar-SA"/>
    </w:rPr>
  </w:style>
  <w:style w:type="character" w:customStyle="1" w:styleId="101">
    <w:name w:val="hover36"/>
    <w:qFormat/>
    <w:uiPriority w:val="0"/>
    <w:rPr>
      <w:color w:val="3EAF0E"/>
    </w:rPr>
  </w:style>
  <w:style w:type="character" w:customStyle="1" w:styleId="102">
    <w:name w:val="正文文本 字符"/>
    <w:link w:val="2"/>
    <w:qFormat/>
    <w:uiPriority w:val="99"/>
    <w:rPr>
      <w:kern w:val="2"/>
      <w:sz w:val="32"/>
      <w:szCs w:val="24"/>
    </w:rPr>
  </w:style>
  <w:style w:type="character" w:customStyle="1" w:styleId="103">
    <w:name w:val="表头文字 Char"/>
    <w:link w:val="104"/>
    <w:qFormat/>
    <w:uiPriority w:val="0"/>
    <w:rPr>
      <w:rFonts w:eastAsia="黑体"/>
      <w:kern w:val="2"/>
      <w:sz w:val="24"/>
      <w:szCs w:val="24"/>
      <w:lang w:val="en-US" w:eastAsia="zh-CN" w:bidi="ar-SA"/>
    </w:rPr>
  </w:style>
  <w:style w:type="paragraph" w:customStyle="1" w:styleId="104">
    <w:name w:val="表头文字"/>
    <w:basedOn w:val="2"/>
    <w:link w:val="103"/>
    <w:qFormat/>
    <w:uiPriority w:val="0"/>
    <w:pPr>
      <w:spacing w:after="0"/>
      <w:jc w:val="center"/>
    </w:pPr>
    <w:rPr>
      <w:rFonts w:eastAsia="黑体"/>
      <w:sz w:val="24"/>
    </w:rPr>
  </w:style>
  <w:style w:type="character" w:customStyle="1" w:styleId="105">
    <w:name w:val="标题 2 字符"/>
    <w:link w:val="5"/>
    <w:qFormat/>
    <w:uiPriority w:val="0"/>
    <w:rPr>
      <w:rFonts w:eastAsia="黑体" w:cs="Times New Roman"/>
      <w:bCs/>
      <w:kern w:val="2"/>
      <w:sz w:val="24"/>
      <w:szCs w:val="32"/>
    </w:rPr>
  </w:style>
  <w:style w:type="character" w:customStyle="1" w:styleId="106">
    <w:name w:val="页眉 字符"/>
    <w:link w:val="29"/>
    <w:qFormat/>
    <w:uiPriority w:val="99"/>
    <w:rPr>
      <w:kern w:val="2"/>
      <w:sz w:val="18"/>
    </w:rPr>
  </w:style>
  <w:style w:type="character" w:customStyle="1" w:styleId="107">
    <w:name w:val="题注 字符"/>
    <w:link w:val="16"/>
    <w:qFormat/>
    <w:locked/>
    <w:uiPriority w:val="0"/>
    <w:rPr>
      <w:rFonts w:eastAsia="黑体"/>
      <w:kern w:val="2"/>
      <w:sz w:val="24"/>
    </w:rPr>
  </w:style>
  <w:style w:type="character" w:customStyle="1" w:styleId="108">
    <w:name w:val="表格文字 Char Char"/>
    <w:link w:val="109"/>
    <w:qFormat/>
    <w:uiPriority w:val="0"/>
    <w:rPr>
      <w:rFonts w:cs="Times New Roman"/>
      <w:kern w:val="2"/>
      <w:sz w:val="21"/>
      <w:szCs w:val="21"/>
    </w:rPr>
  </w:style>
  <w:style w:type="paragraph" w:customStyle="1" w:styleId="109">
    <w:name w:val="表格文字"/>
    <w:basedOn w:val="1"/>
    <w:link w:val="108"/>
    <w:qFormat/>
    <w:uiPriority w:val="0"/>
    <w:pPr>
      <w:widowControl/>
      <w:adjustRightInd w:val="0"/>
      <w:snapToGrid w:val="0"/>
      <w:jc w:val="center"/>
    </w:pPr>
    <w:rPr>
      <w:sz w:val="21"/>
      <w:szCs w:val="21"/>
    </w:rPr>
  </w:style>
  <w:style w:type="character" w:customStyle="1" w:styleId="110">
    <w:name w:val="正文文本首行缩进 字符"/>
    <w:link w:val="14"/>
    <w:qFormat/>
    <w:uiPriority w:val="0"/>
    <w:rPr>
      <w:kern w:val="2"/>
      <w:sz w:val="21"/>
      <w:szCs w:val="24"/>
    </w:rPr>
  </w:style>
  <w:style w:type="character" w:customStyle="1" w:styleId="111">
    <w:name w:val="提头 Char"/>
    <w:link w:val="112"/>
    <w:qFormat/>
    <w:uiPriority w:val="0"/>
    <w:rPr>
      <w:b/>
      <w:kern w:val="2"/>
      <w:sz w:val="24"/>
      <w:szCs w:val="24"/>
    </w:rPr>
  </w:style>
  <w:style w:type="paragraph" w:customStyle="1" w:styleId="112">
    <w:name w:val="提头"/>
    <w:basedOn w:val="1"/>
    <w:next w:val="1"/>
    <w:link w:val="111"/>
    <w:qFormat/>
    <w:uiPriority w:val="0"/>
    <w:pPr>
      <w:tabs>
        <w:tab w:val="left" w:pos="567"/>
      </w:tabs>
      <w:spacing w:line="360" w:lineRule="auto"/>
      <w:jc w:val="center"/>
    </w:pPr>
    <w:rPr>
      <w:b/>
      <w:sz w:val="24"/>
    </w:rPr>
  </w:style>
  <w:style w:type="character" w:customStyle="1" w:styleId="113">
    <w:name w:val="页脚 字符"/>
    <w:link w:val="28"/>
    <w:qFormat/>
    <w:uiPriority w:val="99"/>
    <w:rPr>
      <w:kern w:val="2"/>
      <w:sz w:val="18"/>
    </w:rPr>
  </w:style>
  <w:style w:type="character" w:customStyle="1" w:styleId="114">
    <w:name w:val="标题 6 字符"/>
    <w:qFormat/>
    <w:uiPriority w:val="0"/>
    <w:rPr>
      <w:rFonts w:ascii="Cambria" w:hAnsi="Cambria"/>
      <w:b/>
      <w:bCs/>
      <w:kern w:val="2"/>
      <w:sz w:val="24"/>
      <w:szCs w:val="24"/>
    </w:rPr>
  </w:style>
  <w:style w:type="character" w:customStyle="1" w:styleId="115">
    <w:name w:val="表格文字 Char"/>
    <w:qFormat/>
    <w:uiPriority w:val="0"/>
    <w:rPr>
      <w:rFonts w:eastAsia="宋体"/>
      <w:kern w:val="2"/>
      <w:sz w:val="21"/>
      <w:lang w:val="en-US" w:eastAsia="zh-CN" w:bidi="ar-SA"/>
    </w:rPr>
  </w:style>
  <w:style w:type="character" w:customStyle="1" w:styleId="116">
    <w:name w:val="hover37"/>
    <w:qFormat/>
    <w:uiPriority w:val="0"/>
    <w:rPr>
      <w:color w:val="3EAF0E"/>
    </w:rPr>
  </w:style>
  <w:style w:type="character" w:customStyle="1" w:styleId="117">
    <w:name w:val="正文缩进 Char"/>
    <w:qFormat/>
    <w:uiPriority w:val="0"/>
    <w:rPr>
      <w:kern w:val="2"/>
      <w:sz w:val="32"/>
      <w:szCs w:val="24"/>
    </w:rPr>
  </w:style>
  <w:style w:type="paragraph" w:customStyle="1" w:styleId="118">
    <w:name w:val="正文文字"/>
    <w:basedOn w:val="1"/>
    <w:link w:val="164"/>
    <w:qFormat/>
    <w:uiPriority w:val="0"/>
    <w:pPr>
      <w:spacing w:line="360" w:lineRule="auto"/>
    </w:pPr>
  </w:style>
  <w:style w:type="paragraph" w:customStyle="1" w:styleId="119">
    <w:name w:val="样式 样式 首行缩进:  1 厘米 行距: 固定值 25 磅 + Times New Roman 首行缩进:  0.85 厘米"/>
    <w:basedOn w:val="120"/>
    <w:qFormat/>
    <w:uiPriority w:val="0"/>
    <w:pPr>
      <w:adjustRightInd w:val="0"/>
      <w:snapToGrid w:val="0"/>
      <w:spacing w:line="360" w:lineRule="auto"/>
      <w:ind w:firstLine="200" w:firstLineChars="200"/>
    </w:pPr>
  </w:style>
  <w:style w:type="paragraph" w:customStyle="1" w:styleId="120">
    <w:name w:val="样式 首行缩进:  1 厘米 行距: 固定值 25 磅"/>
    <w:basedOn w:val="1"/>
    <w:qFormat/>
    <w:uiPriority w:val="0"/>
    <w:pPr>
      <w:spacing w:line="500" w:lineRule="exact"/>
      <w:ind w:firstLine="567"/>
    </w:pPr>
    <w:rPr>
      <w:rFonts w:ascii="宋体" w:cs="宋体"/>
      <w:snapToGrid w:val="0"/>
      <w:kern w:val="24"/>
      <w:sz w:val="24"/>
    </w:rPr>
  </w:style>
  <w:style w:type="paragraph" w:customStyle="1" w:styleId="121">
    <w:name w:val="1122"/>
    <w:basedOn w:val="1"/>
    <w:qFormat/>
    <w:uiPriority w:val="0"/>
    <w:pPr>
      <w:spacing w:line="440" w:lineRule="exact"/>
      <w:ind w:firstLine="480"/>
    </w:pPr>
    <w:rPr>
      <w:kern w:val="0"/>
      <w:szCs w:val="20"/>
    </w:rPr>
  </w:style>
  <w:style w:type="paragraph" w:customStyle="1" w:styleId="122">
    <w:name w:val="无间隔1"/>
    <w:qFormat/>
    <w:uiPriority w:val="0"/>
    <w:pPr>
      <w:spacing w:before="20" w:after="20" w:line="240" w:lineRule="atLeast"/>
      <w:jc w:val="center"/>
    </w:pPr>
    <w:rPr>
      <w:rFonts w:ascii="Calibri" w:hAnsi="Calibri" w:eastAsia="宋体" w:cs="Times New Roman"/>
      <w:sz w:val="22"/>
      <w:szCs w:val="22"/>
      <w:lang w:val="en-US" w:eastAsia="zh-CN" w:bidi="ar-SA"/>
    </w:rPr>
  </w:style>
  <w:style w:type="paragraph" w:customStyle="1" w:styleId="123">
    <w:name w:val="样式标题5"/>
    <w:basedOn w:val="1"/>
    <w:next w:val="69"/>
    <w:qFormat/>
    <w:uiPriority w:val="0"/>
    <w:pPr>
      <w:spacing w:line="360" w:lineRule="auto"/>
      <w:ind w:left="140" w:firstLine="400"/>
    </w:pPr>
    <w:rPr>
      <w:sz w:val="24"/>
    </w:rPr>
  </w:style>
  <w:style w:type="paragraph" w:customStyle="1" w:styleId="124">
    <w:name w:val="ctrl+1表文字"/>
    <w:basedOn w:val="1"/>
    <w:qFormat/>
    <w:uiPriority w:val="0"/>
    <w:pPr>
      <w:pBdr>
        <w:top w:val="none" w:color="auto" w:sz="0" w:space="1"/>
        <w:left w:val="none" w:color="auto" w:sz="0" w:space="4"/>
        <w:bottom w:val="none" w:color="auto" w:sz="0" w:space="1"/>
        <w:right w:val="none" w:color="auto" w:sz="0" w:space="4"/>
      </w:pBdr>
      <w:overflowPunct w:val="0"/>
      <w:autoSpaceDE w:val="0"/>
      <w:autoSpaceDN w:val="0"/>
      <w:adjustRightInd w:val="0"/>
      <w:spacing w:line="400" w:lineRule="exact"/>
      <w:jc w:val="center"/>
      <w:textAlignment w:val="baseline"/>
    </w:pPr>
    <w:rPr>
      <w:kern w:val="0"/>
      <w:sz w:val="21"/>
      <w:szCs w:val="20"/>
    </w:rPr>
  </w:style>
  <w:style w:type="paragraph" w:customStyle="1" w:styleId="125">
    <w:name w:val="样式11"/>
    <w:basedOn w:val="1"/>
    <w:qFormat/>
    <w:uiPriority w:val="0"/>
    <w:pPr>
      <w:spacing w:line="480" w:lineRule="exact"/>
      <w:ind w:firstLine="480" w:firstLineChars="200"/>
    </w:pPr>
    <w:rPr>
      <w:rFonts w:ascii="宋体" w:hAnsi="宋体"/>
      <w:sz w:val="24"/>
    </w:rPr>
  </w:style>
  <w:style w:type="paragraph" w:customStyle="1" w:styleId="126">
    <w:name w:val="Normal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21"/>
      <w:lang w:val="en-US" w:eastAsia="zh-CN" w:bidi="ar-SA"/>
    </w:rPr>
  </w:style>
  <w:style w:type="paragraph" w:customStyle="1" w:styleId="127">
    <w:name w:val="样式 小四 行距: 1.5 倍行距"/>
    <w:basedOn w:val="1"/>
    <w:qFormat/>
    <w:uiPriority w:val="0"/>
    <w:pPr>
      <w:spacing w:line="360" w:lineRule="auto"/>
      <w:ind w:firstLine="480" w:firstLineChars="200"/>
    </w:pPr>
    <w:rPr>
      <w:rFonts w:cs="宋体"/>
      <w:sz w:val="24"/>
      <w:szCs w:val="20"/>
    </w:rPr>
  </w:style>
  <w:style w:type="paragraph" w:customStyle="1" w:styleId="128">
    <w:name w:val="表格内文字"/>
    <w:basedOn w:val="1"/>
    <w:next w:val="1"/>
    <w:qFormat/>
    <w:uiPriority w:val="0"/>
    <w:pPr>
      <w:jc w:val="center"/>
    </w:pPr>
    <w:rPr>
      <w:spacing w:val="1"/>
      <w:sz w:val="21"/>
      <w:szCs w:val="20"/>
    </w:rPr>
  </w:style>
  <w:style w:type="paragraph" w:customStyle="1" w:styleId="129">
    <w:name w:val="Char Char1 Char Char Char Char Char Char Char Char Char Char Char Char Char"/>
    <w:basedOn w:val="7"/>
    <w:qFormat/>
    <w:uiPriority w:val="0"/>
    <w:pPr>
      <w:keepNext w:val="0"/>
      <w:keepLines w:val="0"/>
      <w:numPr>
        <w:ilvl w:val="3"/>
        <w:numId w:val="1"/>
      </w:numPr>
      <w:adjustRightInd/>
      <w:snapToGrid/>
      <w:spacing w:before="140" w:line="220" w:lineRule="atLeast"/>
      <w:ind w:left="720"/>
    </w:pPr>
    <w:rPr>
      <w:rFonts w:ascii="Futura Bk BT" w:hAnsi="Futura Bk BT" w:eastAsia="Times New Roman"/>
      <w:b/>
      <w:spacing w:val="-4"/>
      <w:kern w:val="28"/>
      <w:sz w:val="21"/>
      <w:szCs w:val="20"/>
      <w:lang w:val="en-AU" w:eastAsia="en-US"/>
    </w:rPr>
  </w:style>
  <w:style w:type="paragraph" w:customStyle="1" w:styleId="130">
    <w:name w:val="样式 小四 行距: 固定值 28 磅 首行缩进:  2 字符"/>
    <w:basedOn w:val="1"/>
    <w:qFormat/>
    <w:uiPriority w:val="0"/>
    <w:pPr>
      <w:spacing w:line="360" w:lineRule="auto"/>
      <w:ind w:firstLine="560" w:firstLineChars="200"/>
    </w:pPr>
    <w:rPr>
      <w:rFonts w:hint="eastAsia" w:ascii="宋体" w:hAnsi="宋体"/>
      <w:sz w:val="28"/>
      <w:szCs w:val="28"/>
    </w:rPr>
  </w:style>
  <w:style w:type="paragraph" w:customStyle="1" w:styleId="131">
    <w:name w:val="报告正文"/>
    <w:basedOn w:val="1"/>
    <w:next w:val="1"/>
    <w:qFormat/>
    <w:uiPriority w:val="0"/>
    <w:pPr>
      <w:adjustRightInd w:val="0"/>
      <w:snapToGrid w:val="0"/>
      <w:ind w:firstLine="624"/>
    </w:pPr>
    <w:rPr>
      <w:rFonts w:ascii="宋体" w:eastAsia="仿宋_GB2312"/>
      <w:kern w:val="144"/>
      <w:sz w:val="28"/>
      <w:szCs w:val="20"/>
    </w:rPr>
  </w:style>
  <w:style w:type="paragraph" w:customStyle="1" w:styleId="132">
    <w:name w:val="样式12"/>
    <w:basedOn w:val="125"/>
    <w:qFormat/>
    <w:uiPriority w:val="0"/>
    <w:pPr>
      <w:ind w:firstLine="0" w:firstLineChars="0"/>
      <w:jc w:val="center"/>
    </w:pPr>
    <w:rPr>
      <w:b/>
    </w:rPr>
  </w:style>
  <w:style w:type="paragraph" w:customStyle="1" w:styleId="133">
    <w:name w:val="1文章"/>
    <w:basedOn w:val="1"/>
    <w:qFormat/>
    <w:uiPriority w:val="0"/>
    <w:pPr>
      <w:snapToGrid w:val="0"/>
      <w:spacing w:line="360" w:lineRule="auto"/>
      <w:ind w:firstLine="573"/>
    </w:pPr>
    <w:rPr>
      <w:rFonts w:eastAsia="仿宋_GB2312"/>
      <w:sz w:val="28"/>
      <w:szCs w:val="20"/>
    </w:rPr>
  </w:style>
  <w:style w:type="paragraph" w:customStyle="1" w:styleId="134">
    <w:name w:val="正文 New New New"/>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35">
    <w:name w:val="样式1"/>
    <w:basedOn w:val="1"/>
    <w:qFormat/>
    <w:uiPriority w:val="0"/>
    <w:pPr>
      <w:adjustRightInd w:val="0"/>
      <w:snapToGrid w:val="0"/>
      <w:spacing w:line="312" w:lineRule="auto"/>
      <w:ind w:firstLine="560" w:firstLineChars="200"/>
    </w:pPr>
    <w:rPr>
      <w:rFonts w:ascii="宋体"/>
      <w:sz w:val="24"/>
    </w:rPr>
  </w:style>
  <w:style w:type="paragraph" w:customStyle="1" w:styleId="136">
    <w:name w:val="5表中文字"/>
    <w:basedOn w:val="1"/>
    <w:qFormat/>
    <w:uiPriority w:val="0"/>
    <w:pPr>
      <w:tabs>
        <w:tab w:val="left" w:pos="6195"/>
      </w:tabs>
      <w:autoSpaceDE w:val="0"/>
      <w:autoSpaceDN w:val="0"/>
      <w:adjustRightInd w:val="0"/>
      <w:jc w:val="center"/>
    </w:pPr>
    <w:rPr>
      <w:sz w:val="21"/>
      <w:szCs w:val="20"/>
    </w:rPr>
  </w:style>
  <w:style w:type="paragraph" w:customStyle="1" w:styleId="137">
    <w:name w:val="Char Char1"/>
    <w:basedOn w:val="1"/>
    <w:qFormat/>
    <w:uiPriority w:val="0"/>
    <w:pPr>
      <w:widowControl/>
      <w:spacing w:before="100" w:beforeAutospacing="1" w:after="100" w:afterAutospacing="1"/>
      <w:ind w:firstLine="200" w:firstLineChars="200"/>
      <w:jc w:val="left"/>
    </w:pPr>
    <w:rPr>
      <w:sz w:val="28"/>
      <w:szCs w:val="20"/>
    </w:rPr>
  </w:style>
  <w:style w:type="paragraph" w:customStyle="1" w:styleId="138">
    <w:name w:val="样式 样式 样式 首行缩进:  1 厘米 行距: 固定值 25 磅 + Times New Roman 首行缩进:  0.85 ...1"/>
    <w:basedOn w:val="119"/>
    <w:qFormat/>
    <w:uiPriority w:val="0"/>
    <w:rPr>
      <w:rFonts w:ascii="Times New Roman"/>
    </w:rPr>
  </w:style>
  <w:style w:type="paragraph" w:customStyle="1" w:styleId="139">
    <w:name w:val="Char1 Char Char Char"/>
    <w:basedOn w:val="1"/>
    <w:qFormat/>
    <w:uiPriority w:val="0"/>
  </w:style>
  <w:style w:type="paragraph" w:customStyle="1" w:styleId="140">
    <w:name w:val="目录2"/>
    <w:basedOn w:val="37"/>
    <w:qFormat/>
    <w:uiPriority w:val="0"/>
    <w:pPr>
      <w:spacing w:line="480" w:lineRule="exact"/>
      <w:ind w:left="0" w:firstLine="200" w:firstLineChars="200"/>
    </w:pPr>
    <w:rPr>
      <w:b/>
      <w:sz w:val="24"/>
    </w:rPr>
  </w:style>
  <w:style w:type="paragraph" w:customStyle="1" w:styleId="141">
    <w:name w:val="Char Char Char Char Char Char Char"/>
    <w:basedOn w:val="1"/>
    <w:next w:val="4"/>
    <w:qFormat/>
    <w:uiPriority w:val="0"/>
    <w:pPr>
      <w:jc w:val="left"/>
    </w:pPr>
  </w:style>
  <w:style w:type="paragraph" w:customStyle="1" w:styleId="142">
    <w:name w:val="CM4"/>
    <w:basedOn w:val="1"/>
    <w:next w:val="1"/>
    <w:qFormat/>
    <w:uiPriority w:val="0"/>
    <w:pPr>
      <w:autoSpaceDE w:val="0"/>
      <w:autoSpaceDN w:val="0"/>
      <w:adjustRightInd w:val="0"/>
      <w:spacing w:line="468" w:lineRule="atLeast"/>
      <w:jc w:val="left"/>
    </w:pPr>
    <w:rPr>
      <w:rFonts w:ascii="黑体" w:eastAsia="黑体"/>
      <w:kern w:val="0"/>
      <w:sz w:val="24"/>
    </w:rPr>
  </w:style>
  <w:style w:type="paragraph" w:customStyle="1" w:styleId="143">
    <w:name w:val="样式 首行缩进:  2 字符"/>
    <w:basedOn w:val="1"/>
    <w:qFormat/>
    <w:uiPriority w:val="0"/>
    <w:pPr>
      <w:spacing w:line="360" w:lineRule="auto"/>
      <w:ind w:firstLine="420" w:firstLineChars="200"/>
    </w:pPr>
    <w:rPr>
      <w:sz w:val="21"/>
      <w:szCs w:val="20"/>
    </w:rPr>
  </w:style>
  <w:style w:type="paragraph" w:customStyle="1" w:styleId="144">
    <w:name w:val="样式3"/>
    <w:basedOn w:val="1"/>
    <w:qFormat/>
    <w:uiPriority w:val="0"/>
    <w:pPr>
      <w:spacing w:line="320" w:lineRule="exact"/>
      <w:jc w:val="center"/>
    </w:pPr>
    <w:rPr>
      <w:rFonts w:ascii="宋体"/>
      <w:sz w:val="22"/>
      <w:szCs w:val="22"/>
    </w:rPr>
  </w:style>
  <w:style w:type="paragraph" w:customStyle="1" w:styleId="145">
    <w:name w:val="样式 正文文本缩进正文文字缩进正文文字缩进1 + 首行缩进:  0.98 厘米"/>
    <w:basedOn w:val="21"/>
    <w:qFormat/>
    <w:uiPriority w:val="0"/>
    <w:pPr>
      <w:snapToGrid w:val="0"/>
      <w:spacing w:line="360" w:lineRule="auto"/>
      <w:ind w:left="1697" w:firstLine="288"/>
      <w:jc w:val="both"/>
    </w:pPr>
    <w:rPr>
      <w:bCs/>
      <w:color w:val="000000"/>
      <w:kern w:val="0"/>
      <w:sz w:val="24"/>
    </w:rPr>
  </w:style>
  <w:style w:type="paragraph" w:customStyle="1" w:styleId="146">
    <w:name w:val="表格1122"/>
    <w:basedOn w:val="1"/>
    <w:qFormat/>
    <w:uiPriority w:val="0"/>
    <w:pPr>
      <w:spacing w:line="300" w:lineRule="exact"/>
      <w:jc w:val="center"/>
    </w:pPr>
    <w:rPr>
      <w:sz w:val="21"/>
    </w:rPr>
  </w:style>
  <w:style w:type="paragraph" w:customStyle="1" w:styleId="147">
    <w:name w:val="样式13"/>
    <w:basedOn w:val="1"/>
    <w:qFormat/>
    <w:uiPriority w:val="0"/>
    <w:pPr>
      <w:jc w:val="center"/>
    </w:pPr>
    <w:rPr>
      <w:sz w:val="21"/>
      <w:szCs w:val="21"/>
    </w:rPr>
  </w:style>
  <w:style w:type="paragraph" w:customStyle="1" w:styleId="148">
    <w:name w:val="Char"/>
    <w:basedOn w:val="1"/>
    <w:qFormat/>
    <w:uiPriority w:val="0"/>
    <w:pPr>
      <w:widowControl/>
      <w:spacing w:line="360" w:lineRule="auto"/>
      <w:ind w:firstLine="200" w:firstLineChars="200"/>
      <w:jc w:val="left"/>
    </w:pPr>
  </w:style>
  <w:style w:type="paragraph" w:customStyle="1" w:styleId="149">
    <w:name w:val="样式 小四 首行缩进:  0.85 厘米 行距: 1.5 倍行距"/>
    <w:basedOn w:val="31"/>
    <w:qFormat/>
    <w:uiPriority w:val="0"/>
    <w:pPr>
      <w:widowControl/>
      <w:spacing w:line="360" w:lineRule="auto"/>
      <w:ind w:firstLine="482" w:firstLineChars="200"/>
      <w:jc w:val="left"/>
    </w:pPr>
    <w:rPr>
      <w:kern w:val="0"/>
      <w:szCs w:val="22"/>
    </w:rPr>
  </w:style>
  <w:style w:type="paragraph" w:customStyle="1" w:styleId="150">
    <w:name w:val="样式4"/>
    <w:basedOn w:val="1"/>
    <w:qFormat/>
    <w:uiPriority w:val="0"/>
    <w:pPr>
      <w:spacing w:line="480" w:lineRule="exact"/>
      <w:jc w:val="center"/>
    </w:pPr>
    <w:rPr>
      <w:rFonts w:ascii="宋体" w:hAnsi="宋体"/>
      <w:b/>
      <w:sz w:val="24"/>
    </w:rPr>
  </w:style>
  <w:style w:type="paragraph" w:customStyle="1" w:styleId="151">
    <w:name w:val="表格"/>
    <w:basedOn w:val="1"/>
    <w:qFormat/>
    <w:uiPriority w:val="0"/>
    <w:pPr>
      <w:spacing w:before="62" w:beforeLines="20" w:after="62" w:afterLines="20"/>
      <w:ind w:firstLine="200" w:firstLineChars="200"/>
    </w:pPr>
    <w:rPr>
      <w:sz w:val="24"/>
      <w:szCs w:val="20"/>
    </w:rPr>
  </w:style>
  <w:style w:type="paragraph" w:customStyle="1" w:styleId="152">
    <w:name w:val="表头"/>
    <w:basedOn w:val="1"/>
    <w:next w:val="128"/>
    <w:qFormat/>
    <w:uiPriority w:val="0"/>
    <w:pPr>
      <w:adjustRightInd w:val="0"/>
      <w:snapToGrid w:val="0"/>
      <w:jc w:val="center"/>
    </w:pPr>
    <w:rPr>
      <w:b/>
      <w:sz w:val="24"/>
      <w:szCs w:val="20"/>
    </w:rPr>
  </w:style>
  <w:style w:type="paragraph" w:customStyle="1" w:styleId="153">
    <w:name w:val="表文"/>
    <w:basedOn w:val="1"/>
    <w:qFormat/>
    <w:uiPriority w:val="0"/>
    <w:pPr>
      <w:tabs>
        <w:tab w:val="left" w:pos="1021"/>
      </w:tabs>
      <w:spacing w:line="320" w:lineRule="exact"/>
      <w:jc w:val="center"/>
    </w:pPr>
    <w:rPr>
      <w:spacing w:val="-2"/>
      <w:kern w:val="0"/>
      <w:sz w:val="18"/>
      <w:szCs w:val="18"/>
    </w:rPr>
  </w:style>
  <w:style w:type="character" w:customStyle="1" w:styleId="154">
    <w:name w:val="表格内容 Char"/>
    <w:link w:val="155"/>
    <w:qFormat/>
    <w:uiPriority w:val="0"/>
    <w:rPr>
      <w:rFonts w:cs="宋体"/>
      <w:sz w:val="21"/>
    </w:rPr>
  </w:style>
  <w:style w:type="paragraph" w:customStyle="1" w:styleId="155">
    <w:name w:val="表格内容"/>
    <w:basedOn w:val="1"/>
    <w:link w:val="154"/>
    <w:qFormat/>
    <w:uiPriority w:val="0"/>
    <w:pPr>
      <w:widowControl/>
      <w:jc w:val="center"/>
    </w:pPr>
    <w:rPr>
      <w:rFonts w:cs="宋体"/>
      <w:kern w:val="0"/>
      <w:sz w:val="21"/>
      <w:szCs w:val="20"/>
    </w:rPr>
  </w:style>
  <w:style w:type="paragraph" w:styleId="156">
    <w:name w:val="List Paragraph"/>
    <w:basedOn w:val="1"/>
    <w:qFormat/>
    <w:uiPriority w:val="34"/>
    <w:pPr>
      <w:ind w:firstLine="420" w:firstLineChars="200"/>
    </w:pPr>
  </w:style>
  <w:style w:type="paragraph" w:customStyle="1" w:styleId="157">
    <w:name w:val="Table Paragraph"/>
    <w:basedOn w:val="1"/>
    <w:qFormat/>
    <w:uiPriority w:val="1"/>
  </w:style>
  <w:style w:type="character" w:customStyle="1" w:styleId="158">
    <w:name w:val="标题 6 字符1"/>
    <w:link w:val="9"/>
    <w:qFormat/>
    <w:uiPriority w:val="0"/>
    <w:rPr>
      <w:rFonts w:ascii="Arial" w:hAnsi="Arial" w:cs="宋体"/>
      <w:b/>
      <w:kern w:val="20"/>
      <w:sz w:val="24"/>
    </w:rPr>
  </w:style>
  <w:style w:type="paragraph" w:customStyle="1" w:styleId="159">
    <w:name w:val="标准正文"/>
    <w:basedOn w:val="1"/>
    <w:qFormat/>
    <w:uiPriority w:val="0"/>
    <w:pPr>
      <w:spacing w:line="360" w:lineRule="auto"/>
      <w:ind w:firstLine="560" w:firstLineChars="200"/>
    </w:pPr>
    <w:rPr>
      <w:rFonts w:ascii="仿宋" w:hAnsi="仿宋" w:eastAsia="仿宋" w:cs="宋体"/>
      <w:sz w:val="28"/>
      <w:szCs w:val="28"/>
    </w:rPr>
  </w:style>
  <w:style w:type="paragraph" w:customStyle="1" w:styleId="160">
    <w:name w:val="样式 居中"/>
    <w:basedOn w:val="1"/>
    <w:qFormat/>
    <w:uiPriority w:val="0"/>
    <w:pPr>
      <w:jc w:val="center"/>
    </w:pPr>
    <w:rPr>
      <w:rFonts w:cs="宋体"/>
      <w:sz w:val="21"/>
      <w:szCs w:val="21"/>
    </w:rPr>
  </w:style>
  <w:style w:type="paragraph" w:customStyle="1" w:styleId="161">
    <w:name w:val="CM11"/>
    <w:basedOn w:val="63"/>
    <w:next w:val="63"/>
    <w:qFormat/>
    <w:uiPriority w:val="99"/>
    <w:pPr>
      <w:spacing w:line="583" w:lineRule="atLeast"/>
    </w:pPr>
    <w:rPr>
      <w:rFonts w:hAnsiTheme="minorHAnsi" w:cstheme="minorBidi"/>
      <w:color w:val="auto"/>
    </w:rPr>
  </w:style>
  <w:style w:type="character" w:customStyle="1" w:styleId="162">
    <w:name w:val="正文文本 (2) + Times New Roman"/>
    <w:qFormat/>
    <w:uiPriority w:val="0"/>
    <w:rPr>
      <w:rFonts w:ascii="Times New Roman" w:hAnsi="Times New Roman" w:eastAsia="Times New Roman" w:cs="Times New Roman"/>
      <w:color w:val="000000"/>
      <w:spacing w:val="0"/>
      <w:w w:val="100"/>
      <w:position w:val="0"/>
      <w:sz w:val="28"/>
      <w:szCs w:val="28"/>
      <w:u w:val="none"/>
      <w:lang w:val="zh-CN" w:eastAsia="zh-CN" w:bidi="zh-CN"/>
    </w:rPr>
  </w:style>
  <w:style w:type="character" w:customStyle="1" w:styleId="163">
    <w:name w:val="正文文本 (2) + 14 pt"/>
    <w:qFormat/>
    <w:uiPriority w:val="0"/>
    <w:rPr>
      <w:rFonts w:ascii="MingLiU" w:hAnsi="MingLiU" w:eastAsia="MingLiU" w:cs="MingLiU"/>
      <w:b/>
      <w:bCs/>
      <w:color w:val="000000"/>
      <w:spacing w:val="0"/>
      <w:w w:val="100"/>
      <w:position w:val="0"/>
      <w:sz w:val="28"/>
      <w:szCs w:val="28"/>
      <w:u w:val="none"/>
      <w:lang w:val="zh-CN" w:eastAsia="zh-CN" w:bidi="zh-CN"/>
    </w:rPr>
  </w:style>
  <w:style w:type="character" w:customStyle="1" w:styleId="164">
    <w:name w:val="正文文字 Char"/>
    <w:link w:val="118"/>
    <w:qFormat/>
    <w:uiPriority w:val="0"/>
    <w:rPr>
      <w:kern w:val="2"/>
      <w:sz w:val="32"/>
      <w:szCs w:val="24"/>
    </w:rPr>
  </w:style>
  <w:style w:type="paragraph" w:customStyle="1" w:styleId="165">
    <w:name w:val="_Style 5"/>
    <w:link w:val="168"/>
    <w:qFormat/>
    <w:uiPriority w:val="1"/>
    <w:pPr>
      <w:widowControl w:val="0"/>
    </w:pPr>
    <w:rPr>
      <w:rFonts w:ascii="Times New Roman" w:hAnsi="Times New Roman" w:eastAsia="宋体" w:cs="Times New Roman"/>
      <w:sz w:val="24"/>
      <w:szCs w:val="22"/>
      <w:lang w:val="en-US" w:eastAsia="en-US" w:bidi="ar-SA"/>
    </w:rPr>
  </w:style>
  <w:style w:type="paragraph" w:customStyle="1" w:styleId="166">
    <w:name w:val="正文文本 (2)"/>
    <w:basedOn w:val="1"/>
    <w:link w:val="167"/>
    <w:qFormat/>
    <w:uiPriority w:val="0"/>
    <w:pPr>
      <w:shd w:val="clear" w:color="auto" w:fill="FFFFFF"/>
      <w:spacing w:before="420" w:line="466" w:lineRule="exact"/>
      <w:jc w:val="distribute"/>
    </w:pPr>
    <w:rPr>
      <w:rFonts w:ascii="MingLiU" w:hAnsi="MingLiU" w:eastAsia="MingLiU" w:cs="MingLiU"/>
      <w:spacing w:val="20"/>
      <w:sz w:val="22"/>
      <w:szCs w:val="22"/>
    </w:rPr>
  </w:style>
  <w:style w:type="character" w:customStyle="1" w:styleId="167">
    <w:name w:val="正文文本 (2)_"/>
    <w:basedOn w:val="45"/>
    <w:link w:val="166"/>
    <w:qFormat/>
    <w:uiPriority w:val="0"/>
    <w:rPr>
      <w:rFonts w:ascii="MingLiU" w:hAnsi="MingLiU" w:eastAsia="MingLiU" w:cs="MingLiU"/>
      <w:spacing w:val="20"/>
      <w:kern w:val="2"/>
      <w:sz w:val="22"/>
      <w:szCs w:val="22"/>
      <w:shd w:val="clear" w:color="auto" w:fill="FFFFFF"/>
    </w:rPr>
  </w:style>
  <w:style w:type="character" w:customStyle="1" w:styleId="168">
    <w:name w:val="_Style 5 Char"/>
    <w:link w:val="165"/>
    <w:qFormat/>
    <w:uiPriority w:val="1"/>
    <w:rPr>
      <w:sz w:val="24"/>
      <w:szCs w:val="22"/>
      <w:lang w:eastAsia="en-US"/>
    </w:rPr>
  </w:style>
  <w:style w:type="character" w:customStyle="1" w:styleId="169">
    <w:name w:val="日期 字符"/>
    <w:basedOn w:val="45"/>
    <w:link w:val="25"/>
    <w:qFormat/>
    <w:uiPriority w:val="99"/>
    <w:rPr>
      <w:kern w:val="2"/>
      <w:sz w:val="28"/>
    </w:rPr>
  </w:style>
  <w:style w:type="paragraph" w:customStyle="1" w:styleId="170">
    <w:name w:val="正文（布）"/>
    <w:basedOn w:val="1"/>
    <w:qFormat/>
    <w:uiPriority w:val="0"/>
    <w:pPr>
      <w:spacing w:line="520" w:lineRule="exact"/>
      <w:ind w:firstLine="200" w:firstLineChars="200"/>
    </w:pPr>
    <w:rPr>
      <w:rFonts w:eastAsia="仿宋_GB2312"/>
      <w:sz w:val="28"/>
      <w:szCs w:val="28"/>
      <w:lang w:val="zh-CN"/>
    </w:rPr>
  </w:style>
  <w:style w:type="character" w:customStyle="1" w:styleId="171">
    <w:name w:val="正文文本 (2) + 间距 0 pt"/>
    <w:basedOn w:val="167"/>
    <w:qFormat/>
    <w:uiPriority w:val="0"/>
    <w:rPr>
      <w:rFonts w:ascii="MingLiU" w:hAnsi="MingLiU" w:eastAsia="MingLiU" w:cs="MingLiU"/>
      <w:color w:val="000000"/>
      <w:spacing w:val="0"/>
      <w:w w:val="100"/>
      <w:kern w:val="2"/>
      <w:position w:val="0"/>
      <w:sz w:val="22"/>
      <w:szCs w:val="22"/>
      <w:u w:val="none"/>
      <w:shd w:val="clear" w:color="auto" w:fill="FFFFFF"/>
      <w:lang w:val="en-US" w:eastAsia="en-US" w:bidi="en-US"/>
    </w:rPr>
  </w:style>
  <w:style w:type="character" w:customStyle="1" w:styleId="172">
    <w:name w:val="文档结构图 字符"/>
    <w:basedOn w:val="45"/>
    <w:link w:val="18"/>
    <w:qFormat/>
    <w:uiPriority w:val="99"/>
    <w:rPr>
      <w:rFonts w:ascii="宋体" w:hAnsi="宋体"/>
      <w:color w:val="000000"/>
      <w:kern w:val="2"/>
      <w:sz w:val="18"/>
      <w:szCs w:val="18"/>
    </w:rPr>
  </w:style>
  <w:style w:type="character" w:customStyle="1" w:styleId="173">
    <w:name w:val="页眉或页脚_"/>
    <w:basedOn w:val="45"/>
    <w:qFormat/>
    <w:uiPriority w:val="0"/>
    <w:rPr>
      <w:rFonts w:ascii="MingLiU" w:hAnsi="MingLiU" w:eastAsia="MingLiU" w:cs="MingLiU"/>
      <w:sz w:val="18"/>
      <w:szCs w:val="18"/>
      <w:u w:val="none"/>
    </w:rPr>
  </w:style>
  <w:style w:type="character" w:customStyle="1" w:styleId="174">
    <w:name w:val="页眉或页脚"/>
    <w:basedOn w:val="173"/>
    <w:qFormat/>
    <w:uiPriority w:val="0"/>
    <w:rPr>
      <w:rFonts w:ascii="MingLiU" w:hAnsi="MingLiU" w:eastAsia="MingLiU" w:cs="MingLiU"/>
      <w:color w:val="000000"/>
      <w:spacing w:val="0"/>
      <w:w w:val="100"/>
      <w:position w:val="0"/>
      <w:sz w:val="18"/>
      <w:szCs w:val="18"/>
      <w:u w:val="none"/>
      <w:lang w:val="zh-TW" w:eastAsia="zh-TW" w:bidi="zh-TW"/>
    </w:rPr>
  </w:style>
  <w:style w:type="character" w:customStyle="1" w:styleId="175">
    <w:name w:val="正文文本 (6)_"/>
    <w:basedOn w:val="45"/>
    <w:link w:val="176"/>
    <w:qFormat/>
    <w:uiPriority w:val="0"/>
    <w:rPr>
      <w:rFonts w:ascii="MingLiU" w:hAnsi="MingLiU" w:eastAsia="MingLiU" w:cs="MingLiU"/>
      <w:b/>
      <w:bCs/>
      <w:sz w:val="18"/>
      <w:szCs w:val="18"/>
      <w:shd w:val="clear" w:color="auto" w:fill="FFFFFF"/>
    </w:rPr>
  </w:style>
  <w:style w:type="paragraph" w:customStyle="1" w:styleId="176">
    <w:name w:val="正文文本 (6)"/>
    <w:basedOn w:val="1"/>
    <w:link w:val="175"/>
    <w:qFormat/>
    <w:uiPriority w:val="0"/>
    <w:pPr>
      <w:shd w:val="clear" w:color="auto" w:fill="FFFFFF"/>
      <w:spacing w:line="0" w:lineRule="atLeast"/>
      <w:jc w:val="left"/>
    </w:pPr>
    <w:rPr>
      <w:rFonts w:ascii="MingLiU" w:hAnsi="MingLiU" w:eastAsia="MingLiU" w:cs="MingLiU"/>
      <w:b/>
      <w:bCs/>
      <w:kern w:val="0"/>
      <w:sz w:val="18"/>
      <w:szCs w:val="18"/>
    </w:rPr>
  </w:style>
  <w:style w:type="character" w:customStyle="1" w:styleId="177">
    <w:name w:val="正文文本 (2) + 粗体"/>
    <w:basedOn w:val="167"/>
    <w:qFormat/>
    <w:uiPriority w:val="0"/>
    <w:rPr>
      <w:rFonts w:ascii="MingLiU" w:hAnsi="MingLiU" w:eastAsia="MingLiU" w:cs="MingLiU"/>
      <w:b/>
      <w:bCs/>
      <w:color w:val="000000"/>
      <w:spacing w:val="-40"/>
      <w:w w:val="100"/>
      <w:kern w:val="2"/>
      <w:position w:val="0"/>
      <w:sz w:val="22"/>
      <w:szCs w:val="22"/>
      <w:u w:val="none"/>
      <w:shd w:val="clear" w:color="auto" w:fill="FFFFFF"/>
      <w:lang w:val="en-US" w:eastAsia="en-US" w:bidi="en-US"/>
    </w:rPr>
  </w:style>
  <w:style w:type="character" w:customStyle="1" w:styleId="178">
    <w:name w:val="页眉或页脚 + Times New Roman"/>
    <w:basedOn w:val="173"/>
    <w:qFormat/>
    <w:uiPriority w:val="0"/>
    <w:rPr>
      <w:rFonts w:ascii="Times New Roman" w:hAnsi="Times New Roman" w:eastAsia="Times New Roman" w:cs="Times New Roman"/>
      <w:color w:val="000000"/>
      <w:spacing w:val="0"/>
      <w:w w:val="100"/>
      <w:position w:val="0"/>
      <w:sz w:val="21"/>
      <w:szCs w:val="21"/>
      <w:u w:val="none"/>
      <w:lang w:val="zh-TW" w:eastAsia="zh-TW" w:bidi="zh-TW"/>
    </w:rPr>
  </w:style>
  <w:style w:type="character" w:customStyle="1" w:styleId="179">
    <w:name w:val="正文文本缩进 2 字符"/>
    <w:basedOn w:val="45"/>
    <w:link w:val="26"/>
    <w:qFormat/>
    <w:uiPriority w:val="0"/>
    <w:rPr>
      <w:rFonts w:ascii="宋体" w:hAnsi="宋体"/>
      <w:kern w:val="2"/>
      <w:sz w:val="24"/>
      <w:szCs w:val="24"/>
    </w:rPr>
  </w:style>
  <w:style w:type="character" w:customStyle="1" w:styleId="180">
    <w:name w:val="标题 #4_"/>
    <w:basedOn w:val="45"/>
    <w:link w:val="181"/>
    <w:qFormat/>
    <w:uiPriority w:val="0"/>
    <w:rPr>
      <w:rFonts w:ascii="MingLiU" w:hAnsi="MingLiU" w:eastAsia="MingLiU" w:cs="MingLiU"/>
      <w:sz w:val="26"/>
      <w:szCs w:val="26"/>
      <w:shd w:val="clear" w:color="auto" w:fill="FFFFFF"/>
    </w:rPr>
  </w:style>
  <w:style w:type="paragraph" w:customStyle="1" w:styleId="181">
    <w:name w:val="标题 #4"/>
    <w:basedOn w:val="1"/>
    <w:link w:val="180"/>
    <w:qFormat/>
    <w:uiPriority w:val="0"/>
    <w:pPr>
      <w:shd w:val="clear" w:color="auto" w:fill="FFFFFF"/>
      <w:spacing w:before="300" w:after="420" w:line="0" w:lineRule="atLeast"/>
      <w:jc w:val="left"/>
      <w:outlineLvl w:val="3"/>
    </w:pPr>
    <w:rPr>
      <w:rFonts w:ascii="MingLiU" w:hAnsi="MingLiU" w:eastAsia="MingLiU" w:cs="MingLiU"/>
      <w:kern w:val="0"/>
      <w:sz w:val="26"/>
      <w:szCs w:val="26"/>
    </w:rPr>
  </w:style>
  <w:style w:type="table" w:customStyle="1" w:styleId="182">
    <w:name w:val="网格型1"/>
    <w:basedOn w:val="43"/>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3">
    <w:name w:val="图片标题_"/>
    <w:basedOn w:val="45"/>
    <w:link w:val="184"/>
    <w:qFormat/>
    <w:uiPriority w:val="0"/>
    <w:rPr>
      <w:rFonts w:ascii="MingLiU" w:hAnsi="MingLiU" w:eastAsia="MingLiU" w:cs="MingLiU"/>
      <w:spacing w:val="20"/>
      <w:sz w:val="22"/>
      <w:shd w:val="clear" w:color="auto" w:fill="FFFFFF"/>
    </w:rPr>
  </w:style>
  <w:style w:type="paragraph" w:customStyle="1" w:styleId="184">
    <w:name w:val="图片标题"/>
    <w:basedOn w:val="1"/>
    <w:link w:val="183"/>
    <w:qFormat/>
    <w:uiPriority w:val="0"/>
    <w:pPr>
      <w:shd w:val="clear" w:color="auto" w:fill="FFFFFF"/>
      <w:spacing w:line="0" w:lineRule="atLeast"/>
      <w:jc w:val="left"/>
    </w:pPr>
    <w:rPr>
      <w:rFonts w:ascii="MingLiU" w:hAnsi="MingLiU" w:eastAsia="MingLiU" w:cs="MingLiU"/>
      <w:spacing w:val="20"/>
      <w:kern w:val="0"/>
      <w:sz w:val="22"/>
      <w:szCs w:val="20"/>
    </w:rPr>
  </w:style>
  <w:style w:type="character" w:customStyle="1" w:styleId="185">
    <w:name w:val="图片标题 (2)_"/>
    <w:basedOn w:val="45"/>
    <w:link w:val="186"/>
    <w:qFormat/>
    <w:uiPriority w:val="0"/>
    <w:rPr>
      <w:rFonts w:ascii="MingLiU" w:hAnsi="MingLiU" w:eastAsia="MingLiU" w:cs="MingLiU"/>
      <w:b/>
      <w:bCs/>
      <w:sz w:val="22"/>
      <w:shd w:val="clear" w:color="auto" w:fill="FFFFFF"/>
    </w:rPr>
  </w:style>
  <w:style w:type="paragraph" w:customStyle="1" w:styleId="186">
    <w:name w:val="图片标题 (2)"/>
    <w:basedOn w:val="1"/>
    <w:link w:val="185"/>
    <w:qFormat/>
    <w:uiPriority w:val="0"/>
    <w:pPr>
      <w:shd w:val="clear" w:color="auto" w:fill="FFFFFF"/>
      <w:spacing w:line="0" w:lineRule="atLeast"/>
      <w:jc w:val="left"/>
    </w:pPr>
    <w:rPr>
      <w:rFonts w:ascii="MingLiU" w:hAnsi="MingLiU" w:eastAsia="MingLiU" w:cs="MingLiU"/>
      <w:b/>
      <w:bCs/>
      <w:kern w:val="0"/>
      <w:sz w:val="22"/>
      <w:szCs w:val="20"/>
    </w:rPr>
  </w:style>
  <w:style w:type="character" w:customStyle="1" w:styleId="187">
    <w:name w:val="副标题 字符"/>
    <w:basedOn w:val="45"/>
    <w:link w:val="33"/>
    <w:qFormat/>
    <w:uiPriority w:val="0"/>
    <w:rPr>
      <w:rFonts w:ascii="Calibri" w:hAnsi="Calibri"/>
      <w:b/>
      <w:kern w:val="28"/>
      <w:sz w:val="24"/>
      <w:szCs w:val="24"/>
    </w:rPr>
  </w:style>
  <w:style w:type="paragraph" w:customStyle="1" w:styleId="188">
    <w:name w:val="图表标注"/>
    <w:basedOn w:val="1"/>
    <w:qFormat/>
    <w:uiPriority w:val="0"/>
    <w:pPr>
      <w:widowControl/>
      <w:spacing w:line="300" w:lineRule="auto"/>
      <w:contextualSpacing/>
      <w:jc w:val="center"/>
    </w:pPr>
    <w:rPr>
      <w:snapToGrid w:val="0"/>
      <w:kern w:val="0"/>
      <w:sz w:val="21"/>
    </w:rPr>
  </w:style>
  <w:style w:type="character" w:customStyle="1" w:styleId="189">
    <w:name w:val="段落 Char"/>
    <w:qFormat/>
    <w:uiPriority w:val="0"/>
    <w:rPr>
      <w:rFonts w:ascii="Times New Roman" w:hAnsi="Times New Roman" w:eastAsia="宋体" w:cs="Times New Roman"/>
      <w:kern w:val="0"/>
      <w:sz w:val="24"/>
      <w:szCs w:val="24"/>
      <w:lang w:val="zh-CN"/>
    </w:rPr>
  </w:style>
  <w:style w:type="character" w:customStyle="1" w:styleId="190">
    <w:name w:val="正文文本 (2) + 间距 2 pt"/>
    <w:basedOn w:val="167"/>
    <w:qFormat/>
    <w:uiPriority w:val="0"/>
    <w:rPr>
      <w:rFonts w:ascii="MingLiU" w:hAnsi="MingLiU" w:eastAsia="MingLiU" w:cs="MingLiU"/>
      <w:color w:val="000000"/>
      <w:spacing w:val="50"/>
      <w:w w:val="100"/>
      <w:kern w:val="2"/>
      <w:position w:val="0"/>
      <w:sz w:val="22"/>
      <w:szCs w:val="22"/>
      <w:u w:val="none"/>
      <w:shd w:val="clear" w:color="auto" w:fill="FFFFFF"/>
      <w:lang w:val="zh-TW" w:eastAsia="zh-TW" w:bidi="zh-TW"/>
    </w:rPr>
  </w:style>
  <w:style w:type="character" w:customStyle="1" w:styleId="191">
    <w:name w:val="批注文字 字符"/>
    <w:basedOn w:val="45"/>
    <w:link w:val="19"/>
    <w:semiHidden/>
    <w:qFormat/>
    <w:uiPriority w:val="99"/>
    <w:rPr>
      <w:kern w:val="2"/>
      <w:sz w:val="21"/>
    </w:rPr>
  </w:style>
  <w:style w:type="character" w:customStyle="1" w:styleId="192">
    <w:name w:val="批注主题 字符"/>
    <w:basedOn w:val="191"/>
    <w:link w:val="41"/>
    <w:semiHidden/>
    <w:qFormat/>
    <w:uiPriority w:val="99"/>
    <w:rPr>
      <w:b/>
      <w:bCs/>
      <w:kern w:val="2"/>
      <w:sz w:val="32"/>
      <w:szCs w:val="24"/>
    </w:rPr>
  </w:style>
  <w:style w:type="paragraph" w:customStyle="1" w:styleId="193">
    <w:name w:val="三级标题"/>
    <w:basedOn w:val="1"/>
    <w:qFormat/>
    <w:uiPriority w:val="0"/>
    <w:pPr>
      <w:spacing w:beforeLines="50" w:afterLines="50"/>
      <w:outlineLvl w:val="2"/>
    </w:pPr>
    <w:rPr>
      <w:rFonts w:ascii="Calibri" w:hAnsi="Calibri" w:eastAsia="仿宋_GB2312"/>
      <w:b/>
      <w:sz w:val="28"/>
      <w:szCs w:val="28"/>
    </w:rPr>
  </w:style>
  <w:style w:type="paragraph" w:customStyle="1" w:styleId="194">
    <w:name w:val="二级标题"/>
    <w:basedOn w:val="5"/>
    <w:qFormat/>
    <w:uiPriority w:val="0"/>
    <w:pPr>
      <w:widowControl w:val="0"/>
      <w:adjustRightInd/>
      <w:spacing w:before="260" w:beforeLines="50" w:after="260" w:afterLines="50"/>
    </w:pPr>
    <w:rPr>
      <w:rFonts w:eastAsia="仿宋_GB2312"/>
      <w:b/>
      <w:bCs w:val="0"/>
      <w:sz w:val="30"/>
      <w:szCs w:val="24"/>
    </w:rPr>
  </w:style>
  <w:style w:type="character" w:customStyle="1" w:styleId="195">
    <w:name w:val="脚注文本 字符"/>
    <w:basedOn w:val="45"/>
    <w:link w:val="34"/>
    <w:qFormat/>
    <w:uiPriority w:val="99"/>
    <w:rPr>
      <w:rFonts w:hAnsi="宋体"/>
      <w:color w:val="000000"/>
      <w:kern w:val="2"/>
      <w:sz w:val="18"/>
      <w:szCs w:val="18"/>
    </w:rPr>
  </w:style>
  <w:style w:type="paragraph" w:customStyle="1" w:styleId="196">
    <w:name w:val="A3级标题"/>
    <w:basedOn w:val="1"/>
    <w:qFormat/>
    <w:uiPriority w:val="0"/>
    <w:pPr>
      <w:keepNext/>
      <w:keepLines/>
      <w:ind w:firstLine="0" w:firstLineChars="0"/>
      <w:outlineLvl w:val="2"/>
    </w:pPr>
    <w:rPr>
      <w:rFonts w:hAnsi="宋体" w:cs="Times New Roman"/>
      <w:b/>
      <w:bCs/>
      <w:szCs w:val="24"/>
    </w:rPr>
  </w:style>
  <w:style w:type="paragraph" w:customStyle="1" w:styleId="197">
    <w:name w:val="A-正文"/>
    <w:basedOn w:val="1"/>
    <w:qFormat/>
    <w:uiPriority w:val="0"/>
    <w:rPr>
      <w:rFonts w:cs="Times New Roman"/>
      <w:szCs w:val="24"/>
    </w:rPr>
  </w:style>
  <w:style w:type="paragraph" w:customStyle="1" w:styleId="198">
    <w:name w:val="样式1-段"/>
    <w:basedOn w:val="1"/>
    <w:qFormat/>
    <w:uiPriority w:val="0"/>
    <w:pPr>
      <w:adjustRightInd w:val="0"/>
      <w:snapToGrid w:val="0"/>
    </w:pPr>
    <w:rPr>
      <w:rFonts w:cs="Times New Roman"/>
      <w:szCs w:val="24"/>
    </w:rPr>
  </w:style>
  <w:style w:type="paragraph" w:customStyle="1" w:styleId="199">
    <w:name w:val="样式5-表头"/>
    <w:basedOn w:val="200"/>
    <w:next w:val="198"/>
    <w:qFormat/>
    <w:uiPriority w:val="0"/>
    <w:pPr>
      <w:spacing w:beforeLines="60" w:afterLines="20"/>
    </w:pPr>
    <w:rPr>
      <w:rFonts w:eastAsia="华文细黑"/>
    </w:rPr>
  </w:style>
  <w:style w:type="paragraph" w:customStyle="1" w:styleId="200">
    <w:name w:val="样式4-表"/>
    <w:basedOn w:val="201"/>
    <w:next w:val="198"/>
    <w:qFormat/>
    <w:uiPriority w:val="0"/>
    <w:pPr>
      <w:spacing w:beforeLines="0" w:afterLines="0"/>
    </w:pPr>
    <w:rPr>
      <w:sz w:val="21"/>
      <w:szCs w:val="21"/>
    </w:rPr>
  </w:style>
  <w:style w:type="paragraph" w:customStyle="1" w:styleId="201">
    <w:name w:val="样式2-图"/>
    <w:basedOn w:val="198"/>
    <w:next w:val="198"/>
    <w:qFormat/>
    <w:uiPriority w:val="0"/>
    <w:pPr>
      <w:spacing w:beforeLines="60" w:afterLines="20" w:line="240" w:lineRule="auto"/>
      <w:ind w:firstLine="0" w:firstLineChars="0"/>
      <w:jc w:val="center"/>
    </w:pPr>
  </w:style>
  <w:style w:type="paragraph" w:customStyle="1" w:styleId="202">
    <w:name w:val="报告表正文"/>
    <w:basedOn w:val="1"/>
    <w:next w:val="1"/>
    <w:qFormat/>
    <w:uiPriority w:val="0"/>
    <w:pPr>
      <w:spacing w:line="360" w:lineRule="auto"/>
      <w:ind w:firstLine="200" w:firstLineChars="200"/>
      <w:outlineLvl w:val="0"/>
    </w:pPr>
    <w:rPr>
      <w:bCs/>
      <w:color w:val="000000"/>
      <w:sz w:val="24"/>
      <w:szCs w:val="24"/>
    </w:rPr>
  </w:style>
  <w:style w:type="character" w:customStyle="1" w:styleId="203">
    <w:name w:val="font51"/>
    <w:basedOn w:val="45"/>
    <w:qFormat/>
    <w:uiPriority w:val="0"/>
    <w:rPr>
      <w:rFonts w:hint="default" w:ascii="Times New Roman" w:hAnsi="Times New Roman" w:cs="Times New Roman"/>
      <w:color w:val="000000"/>
      <w:sz w:val="18"/>
      <w:szCs w:val="18"/>
      <w:u w:val="none"/>
      <w:vertAlign w:val="superscript"/>
    </w:rPr>
  </w:style>
  <w:style w:type="character" w:customStyle="1" w:styleId="204">
    <w:name w:val="font41"/>
    <w:basedOn w:val="45"/>
    <w:qFormat/>
    <w:uiPriority w:val="0"/>
    <w:rPr>
      <w:rFonts w:hint="default" w:ascii="Times New Roman" w:hAnsi="Times New Roman" w:cs="Times New Roman"/>
      <w:color w:val="000000"/>
      <w:sz w:val="18"/>
      <w:szCs w:val="18"/>
      <w:u w:val="none"/>
      <w:vertAlign w:val="subscript"/>
    </w:rPr>
  </w:style>
  <w:style w:type="paragraph" w:customStyle="1" w:styleId="205">
    <w:name w:val="表格（5号）"/>
    <w:basedOn w:val="1"/>
    <w:qFormat/>
    <w:uiPriority w:val="0"/>
    <w:pPr>
      <w:widowControl/>
      <w:spacing w:line="0" w:lineRule="atLeast"/>
      <w:ind w:left="-113" w:right="-113"/>
      <w:jc w:val="center"/>
    </w:pPr>
    <w:rPr>
      <w:sz w:val="18"/>
      <w:szCs w:val="18"/>
    </w:rPr>
  </w:style>
  <w:style w:type="paragraph" w:customStyle="1" w:styleId="206">
    <w:name w:val="样式 正文文本缩进 + 行距: 1.5 倍行距"/>
    <w:basedOn w:val="21"/>
    <w:qFormat/>
    <w:uiPriority w:val="0"/>
    <w:pPr>
      <w:snapToGrid/>
      <w:spacing w:before="0" w:after="120" w:line="360" w:lineRule="auto"/>
      <w:ind w:left="90" w:leftChars="32" w:firstLine="560" w:firstLineChars="200"/>
    </w:pPr>
    <w:rPr>
      <w:rFonts w:ascii="Times New Roman" w:eastAsia="宋体" w:cs="宋体"/>
      <w:szCs w:val="24"/>
      <w:lang w:val="en-US" w:eastAsia="zh-CN"/>
    </w:rPr>
  </w:style>
  <w:style w:type="paragraph" w:customStyle="1" w:styleId="207">
    <w:name w:val="表标题"/>
    <w:basedOn w:val="14"/>
    <w:next w:val="1"/>
    <w:qFormat/>
    <w:uiPriority w:val="0"/>
    <w:pPr>
      <w:topLinePunct w:val="0"/>
      <w:spacing w:before="60" w:after="60" w:line="500" w:lineRule="exact"/>
      <w:ind w:firstLine="0" w:firstLineChars="0"/>
      <w:jc w:val="center"/>
    </w:pPr>
    <w:rPr>
      <w:rFonts w:ascii="Times New Roman" w:eastAsia="宋体"/>
      <w:b/>
      <w:bCs/>
      <w:sz w:val="24"/>
      <w:szCs w:val="18"/>
    </w:rPr>
  </w:style>
  <w:style w:type="character" w:customStyle="1" w:styleId="208">
    <w:name w:val="正文文本缩进 3 Char"/>
    <w:link w:val="35"/>
    <w:qFormat/>
    <w:uiPriority w:val="0"/>
    <w:rPr>
      <w:sz w:val="24"/>
    </w:rPr>
  </w:style>
  <w:style w:type="character" w:customStyle="1" w:styleId="209">
    <w:name w:val="正文文本缩进 Char"/>
    <w:link w:val="21"/>
    <w:uiPriority w:val="0"/>
    <w:rPr>
      <w:sz w:val="28"/>
    </w:rPr>
  </w:style>
  <w:style w:type="character" w:customStyle="1" w:styleId="210">
    <w:name w:val="文本块 Char"/>
    <w:link w:val="22"/>
    <w:qFormat/>
    <w:uiPriority w:val="0"/>
    <w:rPr>
      <w:rFonts w:ascii="宋体" w:hAnsi="宋体"/>
      <w:color w:val="000000"/>
      <w:sz w:val="24"/>
    </w:rPr>
  </w:style>
  <w:style w:type="paragraph" w:customStyle="1" w:styleId="211">
    <w:name w:val="Body Text Indent 2"/>
    <w:basedOn w:val="1"/>
    <w:qFormat/>
    <w:uiPriority w:val="0"/>
    <w:pPr>
      <w:widowControl w:val="0"/>
      <w:snapToGrid/>
      <w:spacing w:after="0" w:afterLines="0" w:line="312" w:lineRule="atLeast"/>
      <w:ind w:firstLine="570"/>
      <w:jc w:val="distribute"/>
      <w:textAlignment w:val="baseline"/>
    </w:pPr>
    <w:rPr>
      <w:rFonts w:ascii="Times New Roman" w:hAnsi="Times New Roman" w:eastAsia="仿宋_GB2312" w:cs="Times New Roman"/>
      <w:sz w:val="28"/>
      <w:szCs w:val="20"/>
    </w:rPr>
  </w:style>
  <w:style w:type="paragraph" w:customStyle="1" w:styleId="212">
    <w:name w:val="报表标题"/>
    <w:basedOn w:val="1"/>
    <w:qFormat/>
    <w:uiPriority w:val="0"/>
    <w:pPr>
      <w:adjustRightInd w:val="0"/>
      <w:snapToGrid w:val="0"/>
      <w:ind w:firstLine="525" w:firstLineChars="250"/>
      <w:jc w:val="center"/>
    </w:pPr>
    <w:rPr>
      <w:rFonts w:ascii="黑体" w:hAnsi="黑体" w:eastAsia="黑体"/>
      <w:szCs w:val="21"/>
    </w:rPr>
  </w:style>
  <w:style w:type="paragraph" w:customStyle="1" w:styleId="213">
    <w:name w:val="A样式-图"/>
    <w:basedOn w:val="1"/>
    <w:next w:val="1"/>
    <w:qFormat/>
    <w:uiPriority w:val="0"/>
    <w:pPr>
      <w:adjustRightInd w:val="0"/>
      <w:snapToGrid w:val="0"/>
      <w:spacing w:beforeLines="60" w:afterLines="20" w:line="240" w:lineRule="auto"/>
      <w:ind w:firstLine="0" w:firstLineChars="0"/>
      <w:jc w:val="center"/>
    </w:pPr>
    <w:rPr>
      <w:rFonts w:cs="Times New Roman"/>
      <w:kern w:val="0"/>
      <w:sz w:val="21"/>
    </w:rPr>
  </w:style>
  <w:style w:type="paragraph" w:customStyle="1" w:styleId="214">
    <w:name w:val="中文报告书样式"/>
    <w:basedOn w:val="1"/>
    <w:qFormat/>
    <w:uiPriority w:val="0"/>
    <w:pPr>
      <w:adjustRightInd w:val="0"/>
      <w:spacing w:line="480" w:lineRule="atLeast"/>
      <w:ind w:firstLine="482"/>
      <w:textAlignment w:val="baseline"/>
    </w:pPr>
    <w:rPr>
      <w:kern w:val="24"/>
      <w:sz w:val="24"/>
    </w:rPr>
  </w:style>
  <w:style w:type="paragraph" w:customStyle="1" w:styleId="215">
    <w:name w:val="正文01"/>
    <w:basedOn w:val="1"/>
    <w:qFormat/>
    <w:uiPriority w:val="0"/>
    <w:pPr>
      <w:spacing w:before="60" w:line="460" w:lineRule="exact"/>
      <w:ind w:firstLine="200" w:firstLineChars="200"/>
    </w:pPr>
    <w:rPr>
      <w:rFonts w:eastAsia="仿宋_GB2312"/>
      <w:snapToGrid w:val="0"/>
      <w:kern w:val="0"/>
      <w:sz w:val="24"/>
    </w:rPr>
  </w:style>
  <w:style w:type="paragraph" w:customStyle="1" w:styleId="216">
    <w:name w:val="空行"/>
    <w:basedOn w:val="1"/>
    <w:next w:val="14"/>
    <w:qFormat/>
    <w:uiPriority w:val="0"/>
    <w:pPr>
      <w:topLinePunct/>
      <w:adjustRightInd w:val="0"/>
      <w:snapToGrid w:val="0"/>
      <w:jc w:val="center"/>
    </w:pPr>
    <w:rPr>
      <w:kern w:val="0"/>
      <w:sz w:val="28"/>
    </w:rPr>
  </w:style>
  <w:style w:type="paragraph" w:customStyle="1" w:styleId="217">
    <w:name w:val="表格填充1"/>
    <w:basedOn w:val="24"/>
    <w:qFormat/>
    <w:uiPriority w:val="0"/>
    <w:rPr>
      <w:rFonts w:ascii="Times New Roman"/>
      <w:sz w:val="28"/>
    </w:rPr>
  </w:style>
  <w:style w:type="paragraph" w:customStyle="1" w:styleId="218">
    <w:name w:val="Plain Text"/>
    <w:basedOn w:val="1"/>
    <w:qFormat/>
    <w:uiPriority w:val="0"/>
    <w:pPr>
      <w:autoSpaceDE w:val="0"/>
      <w:autoSpaceDN w:val="0"/>
      <w:adjustRightInd w:val="0"/>
    </w:pPr>
    <w:rPr>
      <w:rFonts w:ascii="宋体"/>
      <w:szCs w:val="20"/>
    </w:rPr>
  </w:style>
  <w:style w:type="paragraph" w:customStyle="1" w:styleId="219">
    <w:name w:val="首行缩进"/>
    <w:basedOn w:val="1"/>
    <w:qFormat/>
    <w:uiPriority w:val="0"/>
    <w:pPr>
      <w:adjustRightInd w:val="0"/>
      <w:snapToGrid w:val="0"/>
      <w:ind w:firstLine="480"/>
    </w:pPr>
    <w:rPr>
      <w:szCs w:val="24"/>
    </w:rPr>
  </w:style>
  <w:style w:type="paragraph" w:customStyle="1" w:styleId="220">
    <w:name w:val="表格文字2"/>
    <w:basedOn w:val="1"/>
    <w:qFormat/>
    <w:uiPriority w:val="0"/>
    <w:pPr>
      <w:tabs>
        <w:tab w:val="left" w:pos="277"/>
        <w:tab w:val="left" w:pos="600"/>
        <w:tab w:val="left" w:pos="780"/>
        <w:tab w:val="left" w:pos="2517"/>
      </w:tabs>
      <w:adjustRightInd w:val="0"/>
      <w:snapToGrid w:val="0"/>
      <w:spacing w:line="240" w:lineRule="auto"/>
      <w:ind w:firstLine="0" w:firstLineChars="0"/>
      <w:jc w:val="center"/>
      <w:textAlignment w:val="baseline"/>
    </w:pPr>
    <w:rPr>
      <w:kern w:val="0"/>
      <w:sz w:val="21"/>
      <w:szCs w:val="21"/>
    </w:rPr>
  </w:style>
  <w:style w:type="paragraph" w:customStyle="1" w:styleId="221">
    <w:name w:val="表格1"/>
    <w:basedOn w:val="1"/>
    <w:qFormat/>
    <w:uiPriority w:val="0"/>
    <w:pPr>
      <w:adjustRightInd w:val="0"/>
      <w:snapToGrid w:val="0"/>
      <w:spacing w:line="240" w:lineRule="auto"/>
      <w:ind w:firstLine="0" w:firstLineChars="0"/>
      <w:jc w:val="center"/>
    </w:pPr>
    <w:rPr>
      <w:sz w:val="21"/>
      <w:szCs w:val="21"/>
    </w:rPr>
  </w:style>
  <w:style w:type="paragraph" w:customStyle="1" w:styleId="222">
    <w:name w:val="家具报告正文"/>
    <w:basedOn w:val="69"/>
    <w:qFormat/>
    <w:uiPriority w:val="0"/>
    <w:pPr>
      <w:ind w:firstLine="480"/>
    </w:pPr>
  </w:style>
  <w:style w:type="character" w:customStyle="1" w:styleId="223">
    <w:name w:val="fontstyle01"/>
    <w:basedOn w:val="45"/>
    <w:qFormat/>
    <w:uiPriority w:val="0"/>
    <w:rPr>
      <w:rFonts w:ascii="宋体" w:hAnsi="宋体" w:eastAsia="宋体" w:cs="宋体"/>
      <w:color w:val="000000"/>
      <w:sz w:val="24"/>
      <w:szCs w:val="24"/>
    </w:rPr>
  </w:style>
  <w:style w:type="paragraph" w:customStyle="1" w:styleId="224">
    <w:name w:val="表内字"/>
    <w:qFormat/>
    <w:uiPriority w:val="0"/>
    <w:pPr>
      <w:jc w:val="center"/>
    </w:pPr>
    <w:rPr>
      <w:rFonts w:ascii="Times New Roman" w:hAnsi="Times New Roman" w:eastAsia="仿宋_GB2312" w:cs="Times New Roman"/>
      <w:color w:val="000000"/>
      <w:sz w:val="21"/>
      <w:szCs w:val="22"/>
      <w:lang w:val="en-US" w:eastAsia="zh-CN" w:bidi="ar-SA"/>
    </w:rPr>
  </w:style>
  <w:style w:type="paragraph" w:customStyle="1" w:styleId="225">
    <w:name w:val="图表标题用字体"/>
    <w:basedOn w:val="1"/>
    <w:next w:val="1"/>
    <w:qFormat/>
    <w:uiPriority w:val="0"/>
    <w:pPr>
      <w:keepNext w:val="0"/>
      <w:keepLines w:val="0"/>
      <w:widowControl w:val="0"/>
      <w:suppressLineNumbers w:val="0"/>
      <w:spacing w:before="30" w:beforeLines="30" w:beforeAutospacing="0" w:after="20" w:afterLines="20" w:afterAutospacing="0" w:line="240" w:lineRule="auto"/>
      <w:ind w:left="0" w:right="0" w:firstLine="0" w:firstLineChars="0"/>
      <w:jc w:val="center"/>
    </w:pPr>
    <w:rPr>
      <w:rFonts w:hint="eastAsia"/>
      <w:b/>
      <w:kern w:val="0"/>
      <w:szCs w:val="20"/>
    </w:rPr>
  </w:style>
  <w:style w:type="paragraph" w:customStyle="1" w:styleId="226">
    <w:name w:val="0正文"/>
    <w:unhideWhenUsed/>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227">
    <w:name w:val="gao 1"/>
    <w:basedOn w:val="1"/>
    <w:qFormat/>
    <w:uiPriority w:val="0"/>
    <w:rPr>
      <w:rFonts w:eastAsia="方正大标宋简体"/>
    </w:rPr>
  </w:style>
  <w:style w:type="paragraph" w:customStyle="1" w:styleId="228">
    <w:name w:val="样式 表格 + 加粗"/>
    <w:basedOn w:val="151"/>
    <w:qFormat/>
    <w:uiPriority w:val="0"/>
    <w:rPr>
      <w:b/>
    </w:rPr>
  </w:style>
  <w:style w:type="character" w:customStyle="1" w:styleId="229">
    <w:name w:val="正文文本 3 Char"/>
    <w:link w:val="20"/>
    <w:qFormat/>
    <w:uiPriority w:val="0"/>
    <w:rPr>
      <w:b/>
      <w:bCs/>
      <w:sz w:val="28"/>
      <w:szCs w:val="20"/>
    </w:rPr>
  </w:style>
  <w:style w:type="paragraph" w:customStyle="1" w:styleId="230">
    <w:name w:val="正文表格内容"/>
    <w:basedOn w:val="1"/>
    <w:qFormat/>
    <w:uiPriority w:val="0"/>
    <w:pPr>
      <w:spacing w:line="360" w:lineRule="exact"/>
      <w:ind w:firstLine="0" w:firstLineChars="0"/>
      <w:jc w:val="center"/>
    </w:pPr>
    <w:rPr>
      <w:rFonts w:eastAsia="楷体_GB2312"/>
      <w:color w:val="000000"/>
      <w:sz w:val="21"/>
    </w:rPr>
  </w:style>
  <w:style w:type="paragraph" w:customStyle="1" w:styleId="231">
    <w:name w:val="表1－1"/>
    <w:qFormat/>
    <w:uiPriority w:val="0"/>
    <w:pPr>
      <w:adjustRightInd w:val="0"/>
      <w:snapToGrid w:val="0"/>
      <w:ind w:firstLine="200" w:firstLineChars="200"/>
    </w:pPr>
    <w:rPr>
      <w:rFonts w:ascii="Times New Roman" w:hAnsi="Times New Roman" w:eastAsia="黑体" w:cs="Times New Roman"/>
      <w:kern w:val="2"/>
      <w:sz w:val="24"/>
      <w:szCs w:val="24"/>
      <w:lang w:val="en-US" w:eastAsia="zh-CN" w:bidi="ar-SA"/>
    </w:rPr>
  </w:style>
  <w:style w:type="paragraph" w:customStyle="1" w:styleId="232">
    <w:name w:val="我的表格文字"/>
    <w:basedOn w:val="1"/>
    <w:qFormat/>
    <w:uiPriority w:val="0"/>
    <w:pPr>
      <w:jc w:val="center"/>
    </w:pPr>
    <w:rPr>
      <w:rFonts w:hAnsi="宋体" w:cs="宋体"/>
      <w:color w:val="000000"/>
      <w:szCs w:val="21"/>
    </w:rPr>
  </w:style>
  <w:style w:type="paragraph" w:customStyle="1" w:styleId="233">
    <w:name w:val="表内"/>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5" Type="http://schemas.openxmlformats.org/officeDocument/2006/relationships/fontTable" Target="fontTable.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image" Target="media/image26.wmf"/><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2.xml"/><Relationship Id="rId49" Type="http://schemas.openxmlformats.org/officeDocument/2006/relationships/image" Target="media/image25.wmf"/><Relationship Id="rId48" Type="http://schemas.openxmlformats.org/officeDocument/2006/relationships/oleObject" Target="embeddings/oleObject18.bin"/><Relationship Id="rId47" Type="http://schemas.openxmlformats.org/officeDocument/2006/relationships/oleObject" Target="embeddings/oleObject17.bin"/><Relationship Id="rId46" Type="http://schemas.openxmlformats.org/officeDocument/2006/relationships/oleObject" Target="embeddings/oleObject16.bin"/><Relationship Id="rId45" Type="http://schemas.openxmlformats.org/officeDocument/2006/relationships/image" Target="media/image24.wmf"/><Relationship Id="rId44" Type="http://schemas.openxmlformats.org/officeDocument/2006/relationships/oleObject" Target="embeddings/oleObject15.bin"/><Relationship Id="rId43" Type="http://schemas.openxmlformats.org/officeDocument/2006/relationships/oleObject" Target="embeddings/oleObject14.bin"/><Relationship Id="rId42" Type="http://schemas.openxmlformats.org/officeDocument/2006/relationships/image" Target="media/image23.wmf"/><Relationship Id="rId41" Type="http://schemas.openxmlformats.org/officeDocument/2006/relationships/image" Target="media/image22.wmf"/><Relationship Id="rId40" Type="http://schemas.openxmlformats.org/officeDocument/2006/relationships/image" Target="media/image21.wmf"/><Relationship Id="rId4" Type="http://schemas.openxmlformats.org/officeDocument/2006/relationships/footer" Target="footer1.xml"/><Relationship Id="rId39" Type="http://schemas.openxmlformats.org/officeDocument/2006/relationships/image" Target="media/image20.wmf"/><Relationship Id="rId38" Type="http://schemas.openxmlformats.org/officeDocument/2006/relationships/oleObject" Target="embeddings/oleObject13.bin"/><Relationship Id="rId37" Type="http://schemas.openxmlformats.org/officeDocument/2006/relationships/image" Target="media/image19.wmf"/><Relationship Id="rId36" Type="http://schemas.openxmlformats.org/officeDocument/2006/relationships/oleObject" Target="embeddings/oleObject12.bin"/><Relationship Id="rId35" Type="http://schemas.openxmlformats.org/officeDocument/2006/relationships/image" Target="media/image18.wmf"/><Relationship Id="rId34" Type="http://schemas.openxmlformats.org/officeDocument/2006/relationships/oleObject" Target="embeddings/oleObject11.bin"/><Relationship Id="rId33" Type="http://schemas.openxmlformats.org/officeDocument/2006/relationships/image" Target="media/image17.wmf"/><Relationship Id="rId32" Type="http://schemas.openxmlformats.org/officeDocument/2006/relationships/oleObject" Target="embeddings/oleObject10.bin"/><Relationship Id="rId31" Type="http://schemas.openxmlformats.org/officeDocument/2006/relationships/image" Target="media/image16.wmf"/><Relationship Id="rId30" Type="http://schemas.openxmlformats.org/officeDocument/2006/relationships/oleObject" Target="embeddings/oleObject9.bin"/><Relationship Id="rId3" Type="http://schemas.openxmlformats.org/officeDocument/2006/relationships/header" Target="header1.xml"/><Relationship Id="rId29" Type="http://schemas.openxmlformats.org/officeDocument/2006/relationships/image" Target="media/image15.wmf"/><Relationship Id="rId28" Type="http://schemas.openxmlformats.org/officeDocument/2006/relationships/oleObject" Target="embeddings/oleObject8.bin"/><Relationship Id="rId27" Type="http://schemas.openxmlformats.org/officeDocument/2006/relationships/image" Target="media/image14.wmf"/><Relationship Id="rId26" Type="http://schemas.openxmlformats.org/officeDocument/2006/relationships/oleObject" Target="embeddings/oleObject7.bin"/><Relationship Id="rId25" Type="http://schemas.openxmlformats.org/officeDocument/2006/relationships/image" Target="media/image13.wmf"/><Relationship Id="rId24" Type="http://schemas.openxmlformats.org/officeDocument/2006/relationships/oleObject" Target="embeddings/oleObject6.bin"/><Relationship Id="rId23" Type="http://schemas.openxmlformats.org/officeDocument/2006/relationships/image" Target="media/image12.wmf"/><Relationship Id="rId22" Type="http://schemas.openxmlformats.org/officeDocument/2006/relationships/oleObject" Target="embeddings/oleObject5.bin"/><Relationship Id="rId21" Type="http://schemas.openxmlformats.org/officeDocument/2006/relationships/image" Target="media/image11.e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wmf"/><Relationship Id="rId17" Type="http://schemas.openxmlformats.org/officeDocument/2006/relationships/oleObject" Target="embeddings/oleObject3.bin"/><Relationship Id="rId16" Type="http://schemas.openxmlformats.org/officeDocument/2006/relationships/image" Target="media/image8.wmf"/><Relationship Id="rId15" Type="http://schemas.openxmlformats.org/officeDocument/2006/relationships/oleObject" Target="embeddings/oleObject2.bin"/><Relationship Id="rId14" Type="http://schemas.openxmlformats.org/officeDocument/2006/relationships/image" Target="media/image7.emf"/><Relationship Id="rId13" Type="http://schemas.openxmlformats.org/officeDocument/2006/relationships/oleObject" Target="embeddings/oleObject1.bin"/><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aa</Company>
  <Pages>91</Pages>
  <Words>58944</Words>
  <Characters>17616</Characters>
  <Lines>146</Lines>
  <Paragraphs>152</Paragraphs>
  <TotalTime>1</TotalTime>
  <ScaleCrop>false</ScaleCrop>
  <LinksUpToDate>false</LinksUpToDate>
  <CharactersWithSpaces>76408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2018-11-01T16:40:00Z</dcterms:created>
  <dc:creator>hg</dc:creator>
  <cp:lastModifiedBy>Administrator</cp:lastModifiedBy>
  <cp:lastPrinted>2019-07-29T09:48:00Z</cp:lastPrinted>
  <dcterms:modified xsi:type="dcterms:W3CDTF">2019-11-04T12:10:43Z</dcterms:modified>
  <dc:title>建设项目基本情况</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