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00" w:lineRule="exact"/>
        <w:ind w:right="128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附件1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株洲市2019年退役军人高职扩招专项考试招生报名表</w:t>
      </w:r>
    </w:p>
    <w:tbl>
      <w:tblPr>
        <w:jc w:val="center"/>
        <w:tblW w:w="1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65"/>
        <w:gridCol w:w="716"/>
        <w:gridCol w:w="1285"/>
        <w:gridCol w:w="1620"/>
        <w:gridCol w:w="1333"/>
        <w:gridCol w:w="1173"/>
        <w:gridCol w:w="1146"/>
        <w:gridCol w:w="1289"/>
        <w:gridCol w:w="1899"/>
        <w:gridCol w:w="900"/>
        <w:gridCol w:w="1800"/>
        <w:gridCol w:w="906"/>
      </w:tblGrid>
      <w:tr>
        <w:trPr>
          <w:trHeight w:val="5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性别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民族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身份证号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/>
                <w:b/>
                <w:bCs/>
                <w:kern w:val="0"/>
                <w:sz w:val="13"/>
                <w:szCs w:val="13"/>
                <w:lang w:bidi="ar-SA"/>
              </w:rPr>
              <w:t>退役军人证号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考生类别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考生来源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手机号码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邮寄地址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收件人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报考院校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b/>
                <w:bCs/>
                <w:kern w:val="0"/>
                <w:sz w:val="13"/>
                <w:szCs w:val="13"/>
                <w:lang w:bidi="ar-SA"/>
              </w:rPr>
              <w:t>报考专业</w:t>
            </w:r>
          </w:p>
        </w:tc>
      </w:tr>
      <w:tr>
        <w:trPr>
          <w:trHeight w:val="53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张三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汉族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4311212001XXXXXX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  <w:r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  <w:t>武（湘）退字第1xxx号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  <w:r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  <w:t>预备党员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城镇往届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退役军人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18300000000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湖南省永州市祁阳县XX路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张三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XX职业技术学院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机电一体化技术</w:t>
            </w:r>
          </w:p>
        </w:tc>
      </w:tr>
      <w:tr>
        <w:trPr>
          <w:trHeight w:val="53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</w:tr>
      <w:tr>
        <w:trPr>
          <w:trHeight w:val="53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</w:tr>
      <w:tr>
        <w:trPr>
          <w:trHeight w:val="53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</w:tr>
      <w:tr>
        <w:trPr>
          <w:trHeight w:val="53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</w:tr>
      <w:tr>
        <w:trPr>
          <w:trHeight w:val="53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</w:tr>
      <w:tr>
        <w:trPr>
          <w:trHeight w:val="53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</w:tr>
      <w:tr>
        <w:trPr>
          <w:trHeight w:val="53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cs="Arial" w:hAnsi="Arial"/>
                <w:kern w:val="0"/>
                <w:sz w:val="13"/>
                <w:szCs w:val="13"/>
                <w:lang w:bidi="ar-SA"/>
              </w:rPr>
            </w:pPr>
          </w:p>
        </w:tc>
      </w:tr>
      <w:tr>
        <w:trPr>
          <w:trHeight w:val="1072"/>
        </w:trPr>
        <w:tc>
          <w:tcPr>
            <w:tcW w:w="154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说明：1.考生下载该表格，认真填写后，11月11日前交户籍所在县（市）区退役军人事务局；</w:t>
            </w:r>
          </w:p>
          <w:p>
            <w:pPr>
              <w:widowControl/>
              <w:ind w:firstLineChars="300" w:firstLine="390"/>
              <w:jc w:val="left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2.县（市）区进行退役军人身份认定后，</w:t>
            </w:r>
            <w:r>
              <w:rPr>
                <w:rFonts w:ascii="宋体" w:cs="Arial"/>
                <w:kern w:val="0"/>
                <w:sz w:val="13"/>
                <w:szCs w:val="13"/>
                <w:lang w:bidi="ar-SA"/>
              </w:rPr>
              <w:t>由</w:t>
            </w: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株洲市退役军人市局汇总本市考生报名表，按考生所填学校志愿，于11月15日分送各招生院校；</w:t>
            </w:r>
          </w:p>
          <w:p>
            <w:pPr>
              <w:widowControl/>
              <w:ind w:firstLineChars="300" w:firstLine="390"/>
              <w:jc w:val="left"/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</w:pPr>
            <w:r>
              <w:rPr>
                <w:rFonts w:ascii="宋体" w:cs="Arial" w:hint="eastAsia"/>
                <w:kern w:val="0"/>
                <w:sz w:val="13"/>
                <w:szCs w:val="13"/>
                <w:lang w:bidi="ar-SA"/>
              </w:rPr>
              <w:t>3.各招生院校汇总报考考生报名表，整理成excel电子数据，于11月18日报省教育考试院。</w:t>
            </w:r>
          </w:p>
        </w:tc>
      </w:tr>
    </w:tbl>
    <w:p>
      <w:pPr>
        <w:snapToGrid w:val="0"/>
        <w:spacing w:line="500" w:lineRule="exact"/>
        <w:rPr>
          <w:rFonts w:ascii="Times New Roman" w:eastAsia="方正小标宋简体" w:hAnsi="Times New Roman"/>
          <w:sz w:val="44"/>
          <w:szCs w:val="44"/>
        </w:rPr>
        <w:sectPr>
          <w:pgSz w:w="16840" w:h="11907" w:orient="landscape"/>
          <w:pgMar w:top="2098" w:right="1474" w:bottom="1985" w:left="1588" w:header="851" w:footer="992" w:gutter="0"/>
          <w:pgNumType/>
          <w:docGrid w:type="lines" w:linePitch="312" w:charSpace="0"/>
        </w:sectPr>
      </w:pPr>
    </w:p>
    <w:p>
      <w:pPr>
        <w:spacing w:line="600" w:lineRule="exact"/>
        <w:ind w:right="128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仿宋" w:hint="eastAsia"/>
          <w:kern w:val="0"/>
          <w:sz w:val="44"/>
          <w:szCs w:val="44"/>
          <w:lang w:bidi="ar-SA"/>
        </w:rPr>
        <w:t>湖南省2019年退役军人高职扩招院校一览表</w:t>
      </w:r>
    </w:p>
    <w:tbl>
      <w:tblPr>
        <w:jc w:val="left"/>
        <w:tblInd w:w="-730" w:type="dxa"/>
        <w:tblW w:w="5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562"/>
        <w:gridCol w:w="7310"/>
      </w:tblGrid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专  业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长沙职业技术学院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机械制造与自动化、汽车运用与维护、汽车营销与服务、建筑工程管理、电子商务技术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湖南有色金属职业技术学院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金属材料与热处理技术、建筑工程技术、建筑装饰工程技术、数控技术、机电一体化技术、焊接技术与自动化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湖南电气职业技术学院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电气自动化技术</w:t>
            </w:r>
            <w:r>
              <w:rPr>
                <w:rFonts w:ascii="仿宋_GB2312" w:hAnsi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/>
                <w:sz w:val="24"/>
                <w:szCs w:val="24"/>
              </w:rPr>
              <w:t>汽车检测与维修技术</w:t>
            </w:r>
            <w:r>
              <w:rPr>
                <w:rFonts w:ascii="仿宋_GB2312" w:hAnsi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/>
                <w:sz w:val="24"/>
                <w:szCs w:val="24"/>
              </w:rPr>
              <w:t>汽车营销与服务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湖南环境生物职业技术学院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园林技术、林业技术、森林生态旅游、市场营销、物流管理、经济信息管理、畜牧兽医、计算机应用技术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邵阳职业技术学院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电梯工程技术、汽车检测与维修技术、工业机器人技术、计算机应用技术、电子商务、文秘、建筑工程技术、动物医学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湖南民族职业学院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软件技术、移动应用开发、空中乘务、旅游管理、通信技术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常德职业技术学院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建筑工程技术（装配式建筑技术方向）、机械制造与自动化、汽车检测与维修技术、电子商务、畜牧兽医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张家界航空工业职业技术学院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市场营销、酒店管理、焊接技术与自动化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益阳职业技术学院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机电一体化技术、汽车检测与维修技术、园林技术、老年服务与管理、电子商务、船舶工程技术、计算机应用技术、焊接技术与自动化、畜牧兽医、环境艺术设计、工业机器人技术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郴州职业技术学院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审计、建筑工程技术、市场营销、旅游管理、汽车运用与维修、计算机应用技术、机电一体化技术、模具设计与制造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永州职业技术学院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药学、园林技术、畜牧兽医、计算机应用技术、会计、市场营销、机电一体化技术、汽车检测与维修技术、建筑工程技术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怀化职业技术学院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建筑工程技术、畜牧兽医、园艺技术、机械制造与自动化、机电一体化技术、数字媒体应用技术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娄底职业技术学院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电子商务、计算机应用技术、机电一体化技术、汽车营销与服务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湘西民族职业技术学院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电子商务、畜牧兽医、生态农业技术、烹调工艺与营养、建筑工程技术、电子信息工程技术、数控技术、汽车检测与维修技术</w:t>
            </w:r>
          </w:p>
        </w:tc>
      </w:tr>
    </w:tbl>
    <w:p>
      <w:pPr>
        <w:wordWrap w:val="0"/>
        <w:spacing w:line="20" w:lineRule="exact"/>
        <w:rPr>
          <w:rFonts w:ascii="仿宋" w:eastAsia="仿宋" w:cs="仿宋" w:hint="eastAsia"/>
          <w:sz w:val="32"/>
          <w:szCs w:val="32"/>
          <w:lang w:bidi="ar-SA"/>
        </w:rPr>
      </w:pPr>
    </w:p>
    <w:p>
      <w:pPr>
        <w:pStyle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0" w:lineRule="exact"/>
        <w:ind w:left="0"/>
        <w:jc w:val="both"/>
        <w:rPr>
          <w:rFonts w:ascii="仿宋_GB2312" w:eastAsia="仿宋_GB2312" w:hint="eastAsia"/>
          <w:sz w:val="32"/>
          <w:szCs w:val="32"/>
        </w:rPr>
      </w:pPr>
    </w:p>
    <w:sectPr>
      <w:pgSz w:w="11907" w:h="16840"/>
      <w:pgMar w:top="2098" w:right="1474" w:bottom="1418" w:left="1588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仿宋_GB2312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variable"/>
    <w:sig w:usb0="00000000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仿宋_GB2312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Calibri">
    <w:altName w:val="仿宋_GB2312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 w:cs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em w:val="none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1563</TotalTime>
  <Application>Yozo_Office</Application>
  <Pages>2</Pages>
  <Words>1044</Words>
  <Characters>1098</Characters>
  <Lines>188</Lines>
  <Paragraphs>78</Paragraphs>
  <CharactersWithSpaces>1101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ft</cp:lastModifiedBy>
  <cp:revision>23</cp:revision>
  <cp:lastPrinted>2019-10-23T08:42:30Z</cp:lastPrinted>
  <dcterms:created xsi:type="dcterms:W3CDTF">2019-09-17T14:40:00Z</dcterms:created>
  <dcterms:modified xsi:type="dcterms:W3CDTF">2019-11-01T00:54:35Z</dcterms:modified>
</cp:coreProperties>
</file>