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BF" w:rsidRDefault="00BC7E88">
      <w:pPr>
        <w:autoSpaceDE w:val="0"/>
        <w:autoSpaceDN w:val="0"/>
        <w:adjustRightInd w:val="0"/>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株洲轨道交通产业发展股份有限公司</w:t>
      </w:r>
    </w:p>
    <w:p w:rsidR="00B87FBF" w:rsidRDefault="00BC7E88">
      <w:pPr>
        <w:autoSpaceDE w:val="0"/>
        <w:autoSpaceDN w:val="0"/>
        <w:adjustRightInd w:val="0"/>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Times New Roman"/>
          <w:kern w:val="0"/>
          <w:sz w:val="44"/>
          <w:szCs w:val="44"/>
        </w:rPr>
        <w:t>产业投资基金管理人比选方案</w:t>
      </w:r>
    </w:p>
    <w:p w:rsidR="00B87FBF" w:rsidRDefault="00B87FBF">
      <w:pPr>
        <w:pStyle w:val="a7"/>
        <w:shd w:val="clear" w:color="auto" w:fill="FFFFFF"/>
        <w:spacing w:before="0" w:beforeAutospacing="0" w:after="0" w:afterAutospacing="0" w:line="560" w:lineRule="exact"/>
        <w:ind w:firstLineChars="200" w:firstLine="643"/>
        <w:jc w:val="both"/>
        <w:outlineLvl w:val="0"/>
        <w:rPr>
          <w:rFonts w:ascii="Times New Roman" w:eastAsia="黑体" w:hAnsi="Times New Roman" w:cs="Times New Roman"/>
          <w:b/>
          <w:bCs/>
          <w:sz w:val="32"/>
          <w:szCs w:val="32"/>
        </w:rPr>
      </w:pPr>
    </w:p>
    <w:p w:rsidR="00B87FBF" w:rsidRDefault="00BC7E88">
      <w:pPr>
        <w:pStyle w:val="a7"/>
        <w:numPr>
          <w:ilvl w:val="0"/>
          <w:numId w:val="1"/>
        </w:numPr>
        <w:shd w:val="clear" w:color="auto" w:fill="FFFFFF"/>
        <w:spacing w:before="0" w:beforeAutospacing="0" w:after="0" w:afterAutospacing="0" w:line="560" w:lineRule="exact"/>
        <w:ind w:firstLineChars="200" w:firstLine="640"/>
        <w:jc w:val="both"/>
        <w:outlineLvl w:val="0"/>
        <w:rPr>
          <w:rFonts w:ascii="Times New Roman" w:eastAsia="黑体" w:hAnsi="Times New Roman" w:cs="Times New Roman"/>
          <w:bCs/>
          <w:sz w:val="32"/>
          <w:szCs w:val="32"/>
        </w:rPr>
      </w:pPr>
      <w:r>
        <w:rPr>
          <w:rFonts w:ascii="Times New Roman" w:eastAsia="黑体" w:hAnsi="Times New Roman" w:cs="Times New Roman"/>
          <w:bCs/>
          <w:sz w:val="32"/>
          <w:szCs w:val="32"/>
        </w:rPr>
        <w:t>设立计划</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为推动产业转型升级和中小企业快速发展及引导社会资本投资经济社会发展的重点领域，促进株洲市石峰区新产业、新业态加速培育。经研究决定，设立株洲轨道交通产业基金，支持相关产业和领域发展。为提高基金管理水平，现向社会公开征集基金管理机构，负责基金的设立、募集、投资、管理和退出工作。</w:t>
      </w:r>
    </w:p>
    <w:p w:rsidR="00B87FBF" w:rsidRDefault="00BC7E88">
      <w:pPr>
        <w:pStyle w:val="a7"/>
        <w:numPr>
          <w:ilvl w:val="0"/>
          <w:numId w:val="1"/>
        </w:numPr>
        <w:shd w:val="clear" w:color="auto" w:fill="FFFFFF"/>
        <w:spacing w:before="0" w:beforeAutospacing="0" w:after="0" w:afterAutospacing="0" w:line="560" w:lineRule="exact"/>
        <w:ind w:firstLineChars="200" w:firstLine="640"/>
        <w:jc w:val="both"/>
        <w:outlineLvl w:val="0"/>
        <w:rPr>
          <w:rFonts w:ascii="Times New Roman" w:eastAsia="黑体" w:hAnsi="Times New Roman" w:cs="Times New Roman"/>
          <w:bCs/>
          <w:sz w:val="32"/>
          <w:szCs w:val="32"/>
        </w:rPr>
      </w:pPr>
      <w:r>
        <w:rPr>
          <w:rFonts w:ascii="Times New Roman" w:eastAsia="黑体" w:hAnsi="Times New Roman" w:cs="Times New Roman"/>
          <w:bCs/>
          <w:sz w:val="32"/>
          <w:szCs w:val="32"/>
        </w:rPr>
        <w:t>基金要素</w:t>
      </w:r>
    </w:p>
    <w:p w:rsidR="00B87FBF" w:rsidRDefault="00BC7E88">
      <w:pPr>
        <w:pStyle w:val="a7"/>
        <w:shd w:val="clear" w:color="auto" w:fill="FFFFFF"/>
        <w:spacing w:before="0" w:beforeAutospacing="0" w:after="0" w:afterAutospacing="0"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（一）基金组织形式及注册地</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基金采用合伙制，为有限合伙企业。注册地为株洲市石峰区。</w:t>
      </w:r>
    </w:p>
    <w:p w:rsidR="00B87FBF" w:rsidRDefault="00BC7E88">
      <w:pPr>
        <w:pStyle w:val="a7"/>
        <w:shd w:val="clear" w:color="auto" w:fill="FFFFFF"/>
        <w:spacing w:before="0" w:beforeAutospacing="0" w:after="0" w:afterAutospacing="0" w:line="560" w:lineRule="exact"/>
        <w:jc w:val="both"/>
        <w:rPr>
          <w:rFonts w:ascii="楷体_GB2312" w:eastAsia="楷体_GB2312" w:hAnsi="楷体_GB2312" w:cs="楷体_GB2312"/>
          <w:b/>
          <w:bCs/>
          <w:sz w:val="32"/>
          <w:szCs w:val="32"/>
        </w:rPr>
      </w:pPr>
      <w:r>
        <w:rPr>
          <w:rFonts w:ascii="Times New Roman" w:eastAsia="楷体" w:hAnsi="Times New Roman" w:cs="Times New Roman"/>
          <w:b/>
          <w:bCs/>
          <w:sz w:val="32"/>
          <w:szCs w:val="32"/>
        </w:rPr>
        <w:t xml:space="preserve">　　</w:t>
      </w:r>
      <w:r>
        <w:rPr>
          <w:rFonts w:ascii="楷体_GB2312" w:eastAsia="楷体_GB2312" w:hAnsi="楷体_GB2312" w:cs="楷体_GB2312" w:hint="eastAsia"/>
          <w:b/>
          <w:bCs/>
          <w:sz w:val="32"/>
          <w:szCs w:val="32"/>
        </w:rPr>
        <w:t>（二）基金规模</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基金总规模</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亿元，首期规模</w:t>
      </w:r>
      <w:r>
        <w:rPr>
          <w:rFonts w:ascii="Times New Roman" w:eastAsia="仿宋_GB2312" w:hAnsi="Times New Roman" w:cs="Times New Roman"/>
          <w:sz w:val="32"/>
          <w:szCs w:val="32"/>
        </w:rPr>
        <w:t>8</w:t>
      </w:r>
      <w:r w:rsidR="006F53B0">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万元，今后可根据实际运作需求追加。</w:t>
      </w:r>
    </w:p>
    <w:p w:rsidR="00B87FBF" w:rsidRDefault="00BC7E88">
      <w:pPr>
        <w:pStyle w:val="a7"/>
        <w:shd w:val="clear" w:color="auto" w:fill="FFFFFF"/>
        <w:spacing w:before="0" w:beforeAutospacing="0" w:after="0" w:afterAutospacing="0"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（三）基金存续期</w:t>
      </w:r>
    </w:p>
    <w:p w:rsidR="00B87FBF" w:rsidRDefault="00BC7E88">
      <w:pPr>
        <w:pStyle w:val="a7"/>
        <w:shd w:val="clear" w:color="auto" w:fill="FFFFFF"/>
        <w:spacing w:before="0" w:beforeAutospacing="0" w:after="0" w:afterAutospacing="0"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基金存续期拟定为</w:t>
      </w:r>
      <w:r>
        <w:rPr>
          <w:rFonts w:ascii="Times New Roman" w:eastAsia="仿宋_GB2312" w:hAnsi="Times New Roman" w:cs="Times New Roman"/>
          <w:sz w:val="32"/>
          <w:szCs w:val="32"/>
        </w:rPr>
        <w:t>5+2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年投资期和</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年退出期）。</w:t>
      </w:r>
    </w:p>
    <w:p w:rsidR="00B87FBF" w:rsidRDefault="00BC7E88">
      <w:pPr>
        <w:pStyle w:val="a7"/>
        <w:shd w:val="clear" w:color="auto" w:fill="FFFFFF"/>
        <w:spacing w:before="0" w:beforeAutospacing="0" w:after="0" w:afterAutospacing="0"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（四）基金投向</w:t>
      </w:r>
    </w:p>
    <w:p w:rsidR="00B87FBF" w:rsidRDefault="00BC7E88">
      <w:pPr>
        <w:pStyle w:val="a7"/>
        <w:numPr>
          <w:ilvl w:val="0"/>
          <w:numId w:val="2"/>
        </w:numPr>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应符合国家重点支持的高新技术领域，重点投资于非上市重点产业、特色产业、战略性新兴产业等。</w:t>
      </w:r>
    </w:p>
    <w:p w:rsidR="00B87FBF" w:rsidRDefault="00BC7E88">
      <w:pPr>
        <w:pStyle w:val="a7"/>
        <w:numPr>
          <w:ilvl w:val="0"/>
          <w:numId w:val="2"/>
        </w:numPr>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主要用于支持石峰区重点扶持企业产业升级，或通过投资招商，引入区外优质有增长前景的，有利于石峰区产业整合、发展，对石峰区创收、就业有正向推动作用的企业。</w:t>
      </w:r>
    </w:p>
    <w:p w:rsidR="00B87FBF" w:rsidRDefault="00BC7E88">
      <w:pPr>
        <w:pStyle w:val="a7"/>
        <w:numPr>
          <w:ilvl w:val="0"/>
          <w:numId w:val="2"/>
        </w:numPr>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重点投资于轨道交通及上下游产业链、智能制造及电子信息领域的优质企业。</w:t>
      </w:r>
    </w:p>
    <w:p w:rsidR="00B87FBF" w:rsidRDefault="00BC7E88">
      <w:pPr>
        <w:pStyle w:val="a7"/>
        <w:shd w:val="clear" w:color="auto" w:fill="FFFFFF"/>
        <w:spacing w:before="0" w:beforeAutospacing="0" w:after="0" w:afterAutospacing="0" w:line="560" w:lineRule="exact"/>
        <w:jc w:val="both"/>
        <w:rPr>
          <w:rFonts w:ascii="楷体_GB2312" w:eastAsia="楷体_GB2312" w:hAnsi="楷体_GB2312" w:cs="楷体_GB2312"/>
          <w:b/>
          <w:bCs/>
          <w:sz w:val="32"/>
          <w:szCs w:val="32"/>
        </w:rPr>
      </w:pPr>
      <w:r>
        <w:rPr>
          <w:rFonts w:ascii="Times New Roman" w:eastAsia="楷体" w:hAnsi="Times New Roman" w:cs="Times New Roman"/>
          <w:b/>
          <w:bCs/>
          <w:sz w:val="32"/>
          <w:szCs w:val="32"/>
        </w:rPr>
        <w:t xml:space="preserve">　　</w:t>
      </w:r>
      <w:r>
        <w:rPr>
          <w:rFonts w:ascii="楷体_GB2312" w:eastAsia="楷体_GB2312" w:hAnsi="楷体_GB2312" w:cs="楷体_GB2312" w:hint="eastAsia"/>
          <w:b/>
          <w:bCs/>
          <w:sz w:val="32"/>
          <w:szCs w:val="32"/>
        </w:rPr>
        <w:t>（五）投资区域</w:t>
      </w:r>
    </w:p>
    <w:p w:rsidR="00B87FBF" w:rsidRDefault="00BC7E88">
      <w:pPr>
        <w:pStyle w:val="a7"/>
        <w:shd w:val="clear" w:color="auto" w:fill="FFFFFF"/>
        <w:spacing w:before="0" w:beforeAutospacing="0" w:after="0" w:afterAutospacing="0"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首期</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资金需投资或引进项目到石峰区，另</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资金可投资石峰区外优质项目。</w:t>
      </w:r>
    </w:p>
    <w:p w:rsidR="00B87FBF" w:rsidRDefault="00BC7E88">
      <w:pPr>
        <w:pStyle w:val="a7"/>
        <w:shd w:val="clear" w:color="auto" w:fill="FFFFFF"/>
        <w:spacing w:before="0" w:beforeAutospacing="0" w:after="0" w:afterAutospacing="0" w:line="560" w:lineRule="exact"/>
        <w:ind w:firstLineChars="200" w:firstLine="643"/>
        <w:jc w:val="both"/>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（六）退出机制</w:t>
      </w:r>
    </w:p>
    <w:p w:rsidR="00B87FBF" w:rsidRDefault="00BC7E88">
      <w:pPr>
        <w:pStyle w:val="a7"/>
        <w:shd w:val="clear" w:color="auto" w:fill="FFFFFF"/>
        <w:spacing w:before="0" w:beforeAutospacing="0" w:after="0" w:afterAutospacing="0"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主要退出方式有</w:t>
      </w:r>
      <w:r>
        <w:rPr>
          <w:rFonts w:ascii="Times New Roman" w:eastAsia="仿宋_GB2312" w:hAnsi="Times New Roman" w:cs="Times New Roman"/>
          <w:sz w:val="32"/>
          <w:szCs w:val="32"/>
        </w:rPr>
        <w:t>IPO</w:t>
      </w:r>
      <w:r>
        <w:rPr>
          <w:rFonts w:ascii="Times New Roman" w:eastAsia="仿宋_GB2312" w:hAnsi="Times New Roman" w:cs="Times New Roman"/>
          <w:sz w:val="32"/>
          <w:szCs w:val="32"/>
        </w:rPr>
        <w:t>、股权转让、并购重组、到期清算退出等。</w:t>
      </w:r>
    </w:p>
    <w:p w:rsidR="00B87FBF" w:rsidRDefault="00BC7E88">
      <w:pPr>
        <w:pStyle w:val="a7"/>
        <w:shd w:val="clear" w:color="auto" w:fill="FFFFFF"/>
        <w:spacing w:before="0" w:beforeAutospacing="0" w:after="0" w:afterAutospacing="0" w:line="560" w:lineRule="exact"/>
        <w:jc w:val="both"/>
        <w:rPr>
          <w:rFonts w:ascii="楷体_GB2312" w:eastAsia="楷体_GB2312" w:hAnsi="楷体_GB2312" w:cs="楷体_GB2312"/>
          <w:b/>
          <w:bCs/>
          <w:sz w:val="32"/>
          <w:szCs w:val="32"/>
        </w:rPr>
      </w:pPr>
      <w:r>
        <w:rPr>
          <w:rFonts w:ascii="Times New Roman" w:eastAsia="楷体" w:hAnsi="Times New Roman" w:cs="Times New Roman"/>
          <w:b/>
          <w:bCs/>
          <w:sz w:val="32"/>
          <w:szCs w:val="32"/>
        </w:rPr>
        <w:t xml:space="preserve">　　</w:t>
      </w:r>
      <w:r>
        <w:rPr>
          <w:rFonts w:ascii="楷体_GB2312" w:eastAsia="楷体_GB2312" w:hAnsi="楷体_GB2312" w:cs="楷体_GB2312" w:hint="eastAsia"/>
          <w:b/>
          <w:bCs/>
          <w:sz w:val="32"/>
          <w:szCs w:val="32"/>
        </w:rPr>
        <w:t>（七）设立时限</w:t>
      </w:r>
    </w:p>
    <w:p w:rsidR="00B87FBF" w:rsidRDefault="00BC7E88">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基金管理人应在比选通过后：</w:t>
      </w:r>
    </w:p>
    <w:p w:rsidR="00B87FBF" w:rsidRDefault="00BC7E88">
      <w:pPr>
        <w:pStyle w:val="a7"/>
        <w:numPr>
          <w:ilvl w:val="0"/>
          <w:numId w:val="3"/>
        </w:numPr>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10</w:t>
      </w:r>
      <w:r>
        <w:rPr>
          <w:rFonts w:ascii="Times New Roman" w:eastAsia="仿宋_GB2312" w:hAnsi="Times New Roman" w:cs="Times New Roman"/>
          <w:sz w:val="32"/>
          <w:szCs w:val="32"/>
        </w:rPr>
        <w:t>个工作日内与株洲轨道签订关于合作设立基金的协议。</w:t>
      </w:r>
    </w:p>
    <w:p w:rsidR="00B87FBF" w:rsidRDefault="00BC7E88">
      <w:pPr>
        <w:pStyle w:val="a7"/>
        <w:numPr>
          <w:ilvl w:val="0"/>
          <w:numId w:val="3"/>
        </w:numPr>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应在签订协议后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个工作日内完成有限合伙企业的工商注册登记。</w:t>
      </w:r>
    </w:p>
    <w:p w:rsidR="00B87FBF" w:rsidRPr="006F53B0" w:rsidRDefault="00BC7E88" w:rsidP="006F53B0">
      <w:pPr>
        <w:pStyle w:val="a7"/>
        <w:numPr>
          <w:ilvl w:val="0"/>
          <w:numId w:val="3"/>
        </w:numPr>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应在</w:t>
      </w:r>
      <w:r w:rsidR="006F53B0">
        <w:rPr>
          <w:rFonts w:ascii="Times New Roman" w:eastAsia="仿宋_GB2312" w:hAnsi="Times New Roman" w:cs="Times New Roman"/>
          <w:sz w:val="32"/>
          <w:szCs w:val="32"/>
        </w:rPr>
        <w:t>合伙企业工商注册登记</w:t>
      </w:r>
      <w:r w:rsidR="006F53B0">
        <w:rPr>
          <w:rFonts w:ascii="Times New Roman" w:eastAsia="仿宋_GB2312" w:hAnsi="Times New Roman" w:cs="Times New Roman" w:hint="eastAsia"/>
          <w:sz w:val="32"/>
          <w:szCs w:val="32"/>
        </w:rPr>
        <w:t>完成</w:t>
      </w:r>
      <w:r w:rsidRPr="006F53B0">
        <w:rPr>
          <w:rFonts w:ascii="Times New Roman" w:eastAsia="仿宋_GB2312" w:hAnsi="Times New Roman" w:cs="Times New Roman"/>
          <w:sz w:val="32"/>
          <w:szCs w:val="32"/>
        </w:rPr>
        <w:t>后</w:t>
      </w:r>
      <w:r w:rsidRPr="006F53B0">
        <w:rPr>
          <w:rFonts w:ascii="Times New Roman" w:eastAsia="仿宋_GB2312" w:hAnsi="Times New Roman" w:cs="Times New Roman"/>
          <w:sz w:val="32"/>
          <w:szCs w:val="32"/>
        </w:rPr>
        <w:t>60</w:t>
      </w:r>
      <w:r w:rsidRPr="006F53B0">
        <w:rPr>
          <w:rFonts w:ascii="Times New Roman" w:eastAsia="仿宋_GB2312" w:hAnsi="Times New Roman" w:cs="Times New Roman"/>
          <w:sz w:val="32"/>
          <w:szCs w:val="32"/>
        </w:rPr>
        <w:t>个工作日内完成基金在中国证券投资基金业协会的备案登记。</w:t>
      </w:r>
    </w:p>
    <w:p w:rsidR="00B87FBF" w:rsidRDefault="00BC7E88">
      <w:pPr>
        <w:pStyle w:val="a7"/>
        <w:numPr>
          <w:ilvl w:val="0"/>
          <w:numId w:val="1"/>
        </w:numPr>
        <w:shd w:val="clear" w:color="auto" w:fill="FFFFFF"/>
        <w:spacing w:before="0" w:beforeAutospacing="0" w:after="0" w:afterAutospacing="0" w:line="560" w:lineRule="exact"/>
        <w:ind w:firstLineChars="200" w:firstLine="640"/>
        <w:jc w:val="both"/>
        <w:outlineLvl w:val="0"/>
        <w:rPr>
          <w:rFonts w:ascii="Times New Roman" w:eastAsia="黑体" w:hAnsi="Times New Roman" w:cs="Times New Roman"/>
          <w:bCs/>
          <w:sz w:val="32"/>
          <w:szCs w:val="32"/>
        </w:rPr>
      </w:pPr>
      <w:r>
        <w:rPr>
          <w:rFonts w:ascii="Times New Roman" w:eastAsia="黑体" w:hAnsi="Times New Roman" w:cs="Times New Roman"/>
          <w:bCs/>
          <w:sz w:val="32"/>
          <w:szCs w:val="32"/>
        </w:rPr>
        <w:t>申报条件</w:t>
      </w:r>
    </w:p>
    <w:p w:rsidR="00B87FBF" w:rsidRDefault="00BC7E88">
      <w:pPr>
        <w:pStyle w:val="a7"/>
        <w:shd w:val="clear" w:color="auto" w:fill="FFFFFF"/>
        <w:spacing w:before="0" w:beforeAutospacing="0" w:after="0" w:afterAutospacing="0"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基金实行决策与管理相分离的管理体制，按照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政府引导、市场运作，科学决策、防范风险</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原则进行运作，有限合伙人原则上不参与基金的日常运营管理。根据相关规定通过公开征集比</w:t>
      </w:r>
      <w:r>
        <w:rPr>
          <w:rFonts w:ascii="Times New Roman" w:eastAsia="仿宋_GB2312" w:hAnsi="Times New Roman" w:cs="Times New Roman"/>
          <w:sz w:val="32"/>
          <w:szCs w:val="32"/>
        </w:rPr>
        <w:lastRenderedPageBreak/>
        <w:t>选、专家评审的方式选定资本实力雄厚、投资经验丰富，熟悉石峰区产业、企业状况的基金管理机构负责基金运作。</w:t>
      </w:r>
    </w:p>
    <w:p w:rsidR="00B87FBF" w:rsidRDefault="00BC7E88">
      <w:pPr>
        <w:pStyle w:val="a7"/>
        <w:shd w:val="clear" w:color="auto" w:fill="FFFFFF"/>
        <w:spacing w:before="0" w:beforeAutospacing="0" w:after="0" w:afterAutospacing="0" w:line="560" w:lineRule="exact"/>
        <w:ind w:firstLine="640"/>
        <w:jc w:val="both"/>
        <w:rPr>
          <w:rFonts w:ascii="Times New Roman" w:eastAsia="楷体" w:hAnsi="Times New Roman" w:cs="Times New Roman"/>
          <w:b/>
          <w:bCs/>
          <w:sz w:val="32"/>
          <w:szCs w:val="32"/>
        </w:rPr>
      </w:pPr>
      <w:r>
        <w:rPr>
          <w:rFonts w:ascii="Times New Roman" w:eastAsia="楷体" w:hAnsi="Times New Roman" w:cs="Times New Roman"/>
          <w:b/>
          <w:bCs/>
          <w:sz w:val="32"/>
          <w:szCs w:val="32"/>
        </w:rPr>
        <w:t>拟合作基金管理机构的基本条件：</w:t>
      </w:r>
    </w:p>
    <w:p w:rsidR="00B87FBF" w:rsidRDefault="00BC7E88">
      <w:pPr>
        <w:pStyle w:val="a7"/>
        <w:shd w:val="clear" w:color="auto" w:fill="FFFFFF"/>
        <w:spacing w:before="0" w:beforeAutospacing="0" w:after="0" w:afterAutospacing="0" w:line="560" w:lineRule="exact"/>
        <w:ind w:firstLine="640"/>
        <w:jc w:val="both"/>
        <w:outlineLvl w:val="0"/>
        <w:rPr>
          <w:rFonts w:ascii="Times New Roman" w:eastAsia="楷体" w:hAnsi="Times New Roman" w:cs="Times New Roman"/>
          <w:b/>
          <w:sz w:val="32"/>
          <w:szCs w:val="32"/>
        </w:rPr>
      </w:pPr>
      <w:r>
        <w:rPr>
          <w:rFonts w:ascii="Times New Roman" w:eastAsia="楷体" w:hAnsi="Times New Roman" w:cs="Times New Roman"/>
          <w:b/>
          <w:sz w:val="32"/>
          <w:szCs w:val="32"/>
        </w:rPr>
        <w:t>（一）</w:t>
      </w:r>
      <w:bookmarkStart w:id="0" w:name="_Hlk10037575"/>
      <w:r>
        <w:rPr>
          <w:rFonts w:ascii="Times New Roman" w:eastAsia="楷体" w:hAnsi="Times New Roman" w:cs="Times New Roman"/>
          <w:b/>
          <w:sz w:val="32"/>
          <w:szCs w:val="32"/>
        </w:rPr>
        <w:t>运营资质</w:t>
      </w:r>
    </w:p>
    <w:p w:rsidR="00B87FBF" w:rsidRDefault="00BC7E88">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bookmarkStart w:id="1" w:name="_Hlk10188090"/>
      <w:r>
        <w:rPr>
          <w:rFonts w:ascii="Times New Roman" w:eastAsia="仿宋_GB2312" w:hAnsi="Times New Roman" w:cs="Times New Roman"/>
          <w:sz w:val="32"/>
          <w:szCs w:val="32"/>
        </w:rPr>
        <w:t>．股东具有强大的综合实力或社会影响力。</w:t>
      </w:r>
      <w:bookmarkEnd w:id="0"/>
      <w:bookmarkEnd w:id="1"/>
    </w:p>
    <w:p w:rsidR="00B87FBF" w:rsidRDefault="00BC7E88">
      <w:pPr>
        <w:widowControl/>
        <w:spacing w:line="560" w:lineRule="exact"/>
        <w:ind w:firstLineChars="200" w:firstLine="640"/>
        <w:jc w:val="left"/>
        <w:rPr>
          <w:rFonts w:ascii="Times New Roman" w:eastAsia="仿宋_GB2312" w:hAnsi="Times New Roman" w:cs="Times New Roman"/>
          <w:sz w:val="32"/>
          <w:szCs w:val="32"/>
        </w:rPr>
      </w:pPr>
      <w:bookmarkStart w:id="2" w:name="_Hlk10190857"/>
      <w:r>
        <w:rPr>
          <w:rFonts w:ascii="Times New Roman" w:eastAsia="仿宋_GB2312" w:hAnsi="Times New Roman" w:cs="Times New Roman"/>
          <w:sz w:val="32"/>
          <w:szCs w:val="32"/>
        </w:rPr>
        <w:t>2</w:t>
      </w:r>
      <w:bookmarkStart w:id="3" w:name="_Hlk10037634"/>
      <w:r>
        <w:rPr>
          <w:rFonts w:ascii="Times New Roman" w:eastAsia="仿宋_GB2312" w:hAnsi="Times New Roman" w:cs="Times New Roman"/>
          <w:sz w:val="32"/>
          <w:szCs w:val="32"/>
        </w:rPr>
        <w:t>．具备国家规定的基金管理资质，在中国证券基金业协会履行登记和备案手续，无违法违纪等不良诚信记录。</w:t>
      </w:r>
      <w:bookmarkEnd w:id="2"/>
      <w:bookmarkEnd w:id="3"/>
    </w:p>
    <w:p w:rsidR="00B87FBF" w:rsidRDefault="00BC7E88">
      <w:pPr>
        <w:pStyle w:val="a7"/>
        <w:shd w:val="clear" w:color="auto" w:fill="FFFFFF"/>
        <w:spacing w:before="0" w:beforeAutospacing="0" w:after="0" w:afterAutospacing="0" w:line="560" w:lineRule="exact"/>
        <w:ind w:firstLine="640"/>
        <w:jc w:val="both"/>
        <w:outlineLvl w:val="0"/>
        <w:rPr>
          <w:rFonts w:ascii="Times New Roman" w:eastAsia="楷体" w:hAnsi="Times New Roman" w:cs="Times New Roman"/>
          <w:b/>
          <w:sz w:val="32"/>
          <w:szCs w:val="32"/>
        </w:rPr>
      </w:pPr>
      <w:bookmarkStart w:id="4" w:name="_Hlk10190932"/>
      <w:r>
        <w:rPr>
          <w:rFonts w:ascii="Times New Roman" w:eastAsia="楷体" w:hAnsi="Times New Roman" w:cs="Times New Roman"/>
          <w:b/>
          <w:sz w:val="32"/>
          <w:szCs w:val="32"/>
        </w:rPr>
        <w:t>（二）管理团队</w:t>
      </w:r>
    </w:p>
    <w:p w:rsidR="00B87FBF" w:rsidRDefault="00BC7E88">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至少有</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名具备</w:t>
      </w:r>
      <w:r w:rsidR="006F53B0">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年以上股权投资管理工作经验的专职高级管理人员</w:t>
      </w:r>
      <w:bookmarkStart w:id="5" w:name="_Hlk10037382"/>
      <w:r>
        <w:rPr>
          <w:rFonts w:ascii="Times New Roman" w:eastAsia="仿宋_GB2312" w:hAnsi="Times New Roman" w:cs="Times New Roman"/>
          <w:sz w:val="32"/>
          <w:szCs w:val="32"/>
        </w:rPr>
        <w:t>，管理团队承诺团队关键人在基金运作期间不中途退出，且高级管理人员中，具有</w:t>
      </w:r>
      <w:r>
        <w:rPr>
          <w:rFonts w:ascii="Times New Roman" w:eastAsia="仿宋_GB2312" w:hAnsi="Times New Roman" w:cs="Times New Roman"/>
          <w:sz w:val="32"/>
          <w:szCs w:val="32"/>
        </w:rPr>
        <w:t>6</w:t>
      </w:r>
      <w:r>
        <w:rPr>
          <w:rFonts w:ascii="Times New Roman" w:eastAsia="仿宋_GB2312" w:hAnsi="Times New Roman" w:cs="Times New Roman"/>
          <w:sz w:val="32"/>
          <w:szCs w:val="32"/>
        </w:rPr>
        <w:t>年以上相关经验的不少于</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名</w:t>
      </w:r>
      <w:bookmarkEnd w:id="5"/>
      <w:r>
        <w:rPr>
          <w:rFonts w:ascii="Times New Roman" w:eastAsia="仿宋_GB2312" w:hAnsi="Times New Roman" w:cs="Times New Roman"/>
          <w:sz w:val="32"/>
          <w:szCs w:val="32"/>
        </w:rPr>
        <w:t>。</w:t>
      </w:r>
    </w:p>
    <w:p w:rsidR="00B87FBF" w:rsidRDefault="00BC7E88">
      <w:pPr>
        <w:pStyle w:val="a7"/>
        <w:shd w:val="clear" w:color="auto" w:fill="FFFFFF"/>
        <w:spacing w:before="0" w:beforeAutospacing="0" w:after="0" w:afterAutospacing="0" w:line="560" w:lineRule="exact"/>
        <w:ind w:firstLine="640"/>
        <w:jc w:val="both"/>
        <w:outlineLvl w:val="0"/>
        <w:rPr>
          <w:rFonts w:ascii="Times New Roman" w:eastAsia="楷体" w:hAnsi="Times New Roman" w:cs="Times New Roman"/>
          <w:b/>
          <w:sz w:val="32"/>
          <w:szCs w:val="32"/>
        </w:rPr>
      </w:pPr>
      <w:r>
        <w:rPr>
          <w:rFonts w:ascii="Times New Roman" w:eastAsia="楷体" w:hAnsi="Times New Roman" w:cs="Times New Roman"/>
          <w:b/>
          <w:sz w:val="32"/>
          <w:szCs w:val="32"/>
        </w:rPr>
        <w:t>（三）管理业绩</w:t>
      </w:r>
    </w:p>
    <w:p w:rsidR="00B87FBF" w:rsidRDefault="00BC7E88">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管理团队的负责人具有管理政府产业基金、母基金的相关经验，实际管理的基金总规模不低于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亿元。</w:t>
      </w:r>
    </w:p>
    <w:p w:rsidR="00B87FBF" w:rsidRDefault="00BC7E88">
      <w:pPr>
        <w:pStyle w:val="a7"/>
        <w:shd w:val="clear" w:color="auto" w:fill="FFFFFF"/>
        <w:spacing w:before="0" w:beforeAutospacing="0" w:after="0" w:afterAutospacing="0" w:line="560" w:lineRule="exact"/>
        <w:ind w:firstLine="640"/>
        <w:jc w:val="both"/>
        <w:outlineLvl w:val="0"/>
        <w:rPr>
          <w:rFonts w:ascii="Times New Roman" w:eastAsia="楷体" w:hAnsi="Times New Roman" w:cs="Times New Roman"/>
          <w:b/>
          <w:sz w:val="32"/>
          <w:szCs w:val="32"/>
        </w:rPr>
      </w:pPr>
      <w:r>
        <w:rPr>
          <w:rFonts w:ascii="Times New Roman" w:eastAsia="楷体" w:hAnsi="Times New Roman" w:cs="Times New Roman"/>
          <w:b/>
          <w:sz w:val="32"/>
          <w:szCs w:val="32"/>
        </w:rPr>
        <w:t>（四）专业能力</w:t>
      </w:r>
    </w:p>
    <w:p w:rsidR="00B87FBF" w:rsidRDefault="00BC7E88">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管理团队的核心人员具有丰富的产业资源和投资管理经验，具备较强的专业领域的投资和研判能力。</w:t>
      </w:r>
    </w:p>
    <w:p w:rsidR="00B87FBF" w:rsidRDefault="00BC7E88">
      <w:pPr>
        <w:pStyle w:val="a7"/>
        <w:shd w:val="clear" w:color="auto" w:fill="FFFFFF"/>
        <w:spacing w:before="0" w:beforeAutospacing="0" w:after="0" w:afterAutospacing="0" w:line="560" w:lineRule="exact"/>
        <w:ind w:firstLine="640"/>
        <w:jc w:val="both"/>
        <w:rPr>
          <w:rFonts w:ascii="Times New Roman" w:eastAsia="楷体" w:hAnsi="Times New Roman" w:cs="Times New Roman"/>
          <w:b/>
          <w:bCs/>
          <w:sz w:val="32"/>
          <w:szCs w:val="32"/>
        </w:rPr>
      </w:pPr>
      <w:r>
        <w:rPr>
          <w:rFonts w:ascii="Times New Roman" w:eastAsia="楷体" w:hAnsi="Times New Roman" w:cs="Times New Roman"/>
          <w:b/>
          <w:bCs/>
          <w:sz w:val="32"/>
          <w:szCs w:val="32"/>
        </w:rPr>
        <w:t>（五）管理机制</w:t>
      </w:r>
    </w:p>
    <w:p w:rsidR="00B87FBF" w:rsidRDefault="00BC7E88">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管理团队具备规范的项目准入机制和严格的投资决策程序，健全的产业投资管理和风险控制流程，完备的投资管理制度、完整的投资档案体系及健全的财务管理制度。</w:t>
      </w:r>
    </w:p>
    <w:p w:rsidR="00B87FBF" w:rsidRDefault="00B87FBF">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p>
    <w:p w:rsidR="00B87FBF" w:rsidRDefault="00BC7E88">
      <w:pPr>
        <w:pStyle w:val="a7"/>
        <w:numPr>
          <w:ilvl w:val="0"/>
          <w:numId w:val="1"/>
        </w:numPr>
        <w:shd w:val="clear" w:color="auto" w:fill="FFFFFF"/>
        <w:spacing w:before="0" w:beforeAutospacing="0" w:after="0" w:afterAutospacing="0" w:line="560" w:lineRule="exact"/>
        <w:ind w:firstLineChars="200" w:firstLine="640"/>
        <w:jc w:val="both"/>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比选要点</w:t>
      </w:r>
    </w:p>
    <w:p w:rsidR="00B87FBF" w:rsidRDefault="00BC7E88">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下述条件作为评审委员会打分依据及申报机构优先被选择的因素。</w:t>
      </w:r>
    </w:p>
    <w:p w:rsidR="00B87FBF" w:rsidRDefault="00BC7E88">
      <w:pPr>
        <w:pStyle w:val="a7"/>
        <w:shd w:val="clear" w:color="auto" w:fill="FFFFFF"/>
        <w:spacing w:before="0" w:beforeAutospacing="0" w:after="0" w:afterAutospacing="0" w:line="560" w:lineRule="exact"/>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（一）</w:t>
      </w:r>
      <w:r>
        <w:rPr>
          <w:rFonts w:ascii="Times New Roman" w:eastAsia="仿宋_GB2312" w:hAnsi="Times New Roman" w:cs="Times New Roman"/>
          <w:sz w:val="32"/>
          <w:szCs w:val="32"/>
        </w:rPr>
        <w:t>在中国证券投资基金业协会完成私募基金管理人登记三年以上，已有私募股权投资基金产品在中国证券投资基金业协会完成备案。</w:t>
      </w:r>
    </w:p>
    <w:p w:rsidR="00B87FBF" w:rsidRDefault="00BC7E88">
      <w:pPr>
        <w:pStyle w:val="a7"/>
        <w:shd w:val="clear" w:color="auto" w:fill="FFFFFF"/>
        <w:spacing w:before="0" w:beforeAutospacing="0" w:after="0" w:afterAutospacing="0" w:line="560" w:lineRule="exact"/>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w:t>
      </w:r>
      <w:r>
        <w:rPr>
          <w:rFonts w:ascii="Times New Roman" w:eastAsia="仿宋_GB2312" w:hAnsi="Times New Roman" w:cs="Times New Roman"/>
          <w:sz w:val="32"/>
          <w:szCs w:val="32"/>
        </w:rPr>
        <w:t>至少完成两个基金的退出，且无亏损情况。基金管理人实际在管的基金需有不低于一个</w:t>
      </w:r>
      <w:r>
        <w:rPr>
          <w:rFonts w:ascii="Times New Roman" w:eastAsia="仿宋_GB2312" w:hAnsi="Times New Roman" w:cs="Times New Roman"/>
          <w:sz w:val="32"/>
          <w:szCs w:val="32"/>
        </w:rPr>
        <w:t>IPO</w:t>
      </w:r>
      <w:r>
        <w:rPr>
          <w:rFonts w:ascii="Times New Roman" w:eastAsia="仿宋_GB2312" w:hAnsi="Times New Roman" w:cs="Times New Roman"/>
          <w:sz w:val="32"/>
          <w:szCs w:val="32"/>
        </w:rPr>
        <w:t>成功上市的项目。</w:t>
      </w:r>
    </w:p>
    <w:p w:rsidR="00B87FBF" w:rsidRDefault="00BC7E88">
      <w:pPr>
        <w:pStyle w:val="a7"/>
        <w:shd w:val="clear" w:color="auto" w:fill="FFFFFF"/>
        <w:spacing w:before="0" w:beforeAutospacing="0" w:after="0" w:afterAutospacing="0" w:line="560" w:lineRule="exact"/>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Times New Roman" w:eastAsia="仿宋_GB2312" w:hAnsi="Times New Roman" w:cs="Times New Roman"/>
          <w:sz w:val="32"/>
          <w:szCs w:val="32"/>
        </w:rPr>
        <w:t>管理团队实际管理基金需有不低于三个</w:t>
      </w:r>
      <w:r>
        <w:rPr>
          <w:rFonts w:ascii="Times New Roman" w:eastAsia="仿宋_GB2312" w:hAnsi="Times New Roman" w:cs="Times New Roman"/>
          <w:sz w:val="32"/>
          <w:szCs w:val="32"/>
        </w:rPr>
        <w:t>IPO</w:t>
      </w:r>
      <w:r>
        <w:rPr>
          <w:rFonts w:ascii="Times New Roman" w:eastAsia="仿宋_GB2312" w:hAnsi="Times New Roman" w:cs="Times New Roman"/>
          <w:sz w:val="32"/>
          <w:szCs w:val="32"/>
        </w:rPr>
        <w:t>成功上市或被上市公司并购项目。</w:t>
      </w:r>
    </w:p>
    <w:p w:rsidR="00B87FBF" w:rsidRDefault="00BC7E88">
      <w:pPr>
        <w:pStyle w:val="a7"/>
        <w:shd w:val="clear" w:color="auto" w:fill="FFFFFF"/>
        <w:spacing w:before="0" w:beforeAutospacing="0" w:after="0" w:afterAutospacing="0" w:line="560" w:lineRule="exact"/>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（四）</w:t>
      </w:r>
      <w:r>
        <w:rPr>
          <w:rFonts w:ascii="Times New Roman" w:eastAsia="仿宋_GB2312" w:hAnsi="Times New Roman" w:cs="Times New Roman"/>
          <w:sz w:val="32"/>
          <w:szCs w:val="32"/>
        </w:rPr>
        <w:t>有与院士、国家千人计划高层次人才、知名科学家等行业专家成功合作案例。</w:t>
      </w:r>
    </w:p>
    <w:p w:rsidR="00B87FBF" w:rsidRDefault="00BC7E88">
      <w:pPr>
        <w:pStyle w:val="a7"/>
        <w:shd w:val="clear" w:color="auto" w:fill="FFFFFF"/>
        <w:spacing w:before="0" w:beforeAutospacing="0" w:after="0" w:afterAutospacing="0" w:line="560" w:lineRule="exact"/>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（五）</w:t>
      </w:r>
      <w:r>
        <w:rPr>
          <w:rFonts w:ascii="Times New Roman" w:eastAsia="仿宋_GB2312" w:hAnsi="Times New Roman" w:cs="Times New Roman"/>
          <w:sz w:val="32"/>
          <w:szCs w:val="32"/>
        </w:rPr>
        <w:t>具备电子信息、智能制造、轨道交通专业技术背景，且能带动相关产业落地，帮助地方政府打造产业集群，提升产业能级。</w:t>
      </w:r>
    </w:p>
    <w:bookmarkEnd w:id="4"/>
    <w:p w:rsidR="00B87FBF" w:rsidRDefault="00BC7E88">
      <w:pPr>
        <w:pStyle w:val="a7"/>
        <w:numPr>
          <w:ilvl w:val="0"/>
          <w:numId w:val="1"/>
        </w:numPr>
        <w:shd w:val="clear" w:color="auto" w:fill="FFFFFF"/>
        <w:spacing w:before="0" w:beforeAutospacing="0" w:after="0" w:afterAutospacing="0" w:line="560" w:lineRule="exact"/>
        <w:ind w:firstLineChars="200" w:firstLine="640"/>
        <w:jc w:val="both"/>
        <w:outlineLvl w:val="0"/>
        <w:rPr>
          <w:rFonts w:ascii="Times New Roman" w:eastAsia="黑体" w:hAnsi="Times New Roman" w:cs="Times New Roman"/>
          <w:bCs/>
          <w:sz w:val="32"/>
          <w:szCs w:val="32"/>
        </w:rPr>
      </w:pPr>
      <w:r>
        <w:rPr>
          <w:rFonts w:ascii="Times New Roman" w:eastAsia="黑体" w:hAnsi="Times New Roman" w:cs="Times New Roman"/>
          <w:bCs/>
          <w:sz w:val="32"/>
          <w:szCs w:val="32"/>
        </w:rPr>
        <w:t>比选程序</w:t>
      </w:r>
    </w:p>
    <w:p w:rsidR="00B87FBF" w:rsidRDefault="00BC7E88">
      <w:pPr>
        <w:pStyle w:val="a7"/>
        <w:shd w:val="clear" w:color="auto" w:fill="FFFFFF"/>
        <w:spacing w:before="0" w:beforeAutospacing="0" w:after="0" w:afterAutospacing="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比选公告、报送材料、材料初审、现场评审、报送审议、结果公示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的流程进行。</w:t>
      </w:r>
    </w:p>
    <w:p w:rsidR="00B87FBF" w:rsidRDefault="00BC7E88">
      <w:pPr>
        <w:spacing w:line="560" w:lineRule="exact"/>
        <w:ind w:firstLineChars="200" w:firstLine="643"/>
        <w:outlineLvl w:val="0"/>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（一）比选公告</w:t>
      </w:r>
    </w:p>
    <w:p w:rsidR="00B87FBF" w:rsidRDefault="00BC7E88">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本公告在</w:t>
      </w:r>
      <w:r>
        <w:rPr>
          <w:rFonts w:ascii="Times New Roman" w:eastAsia="仿宋_GB2312" w:hAnsi="Times New Roman" w:cs="Times New Roman"/>
          <w:sz w:val="32"/>
          <w:szCs w:val="32"/>
        </w:rPr>
        <w:t>石峰区人民政府官方网站</w:t>
      </w:r>
      <w:r>
        <w:rPr>
          <w:rFonts w:ascii="Times New Roman" w:eastAsia="仿宋_GB2312" w:hAnsi="Times New Roman" w:cs="Times New Roman"/>
          <w:kern w:val="0"/>
          <w:sz w:val="32"/>
          <w:szCs w:val="32"/>
        </w:rPr>
        <w:t>公告，公告期</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天。</w:t>
      </w:r>
    </w:p>
    <w:p w:rsidR="00B87FBF" w:rsidRDefault="00BC7E88">
      <w:pPr>
        <w:spacing w:line="560" w:lineRule="exact"/>
        <w:ind w:firstLineChars="200" w:firstLine="643"/>
        <w:outlineLvl w:val="0"/>
        <w:rPr>
          <w:rFonts w:ascii="Times New Roman" w:eastAsia="楷体" w:hAnsi="Times New Roman" w:cs="Times New Roman"/>
          <w:b/>
          <w:kern w:val="0"/>
          <w:sz w:val="32"/>
          <w:szCs w:val="32"/>
        </w:rPr>
      </w:pPr>
      <w:r>
        <w:rPr>
          <w:rFonts w:ascii="Times New Roman" w:eastAsia="楷体" w:hAnsi="Times New Roman" w:cs="Times New Roman"/>
          <w:b/>
          <w:kern w:val="0"/>
          <w:sz w:val="32"/>
          <w:szCs w:val="32"/>
        </w:rPr>
        <w:t>（二）报送材料</w:t>
      </w:r>
    </w:p>
    <w:p w:rsidR="00B87FBF" w:rsidRDefault="00BC7E88">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报送材料（详见附件</w:t>
      </w:r>
      <w:r w:rsidR="00D11092">
        <w:rPr>
          <w:rFonts w:ascii="Times New Roman" w:eastAsia="仿宋_GB2312" w:hAnsi="Times New Roman" w:cs="Times New Roman" w:hint="eastAsia"/>
          <w:kern w:val="0"/>
          <w:sz w:val="32"/>
          <w:szCs w:val="32"/>
        </w:rPr>
        <w:t>1</w:t>
      </w:r>
      <w:r>
        <w:rPr>
          <w:rFonts w:ascii="Times New Roman" w:eastAsia="仿宋_GB2312" w:hAnsi="Times New Roman" w:cs="Times New Roman" w:hint="eastAsia"/>
          <w:kern w:val="0"/>
          <w:sz w:val="32"/>
          <w:szCs w:val="32"/>
        </w:rPr>
        <w:t>、附件</w:t>
      </w:r>
      <w:r w:rsidR="00D11092">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）。符合条件且有意向的应</w:t>
      </w:r>
      <w:r>
        <w:rPr>
          <w:rFonts w:ascii="Times New Roman" w:eastAsia="仿宋_GB2312" w:hAnsi="Times New Roman" w:cs="Times New Roman"/>
          <w:kern w:val="0"/>
          <w:sz w:val="32"/>
          <w:szCs w:val="32"/>
        </w:rPr>
        <w:lastRenderedPageBreak/>
        <w:t>聘机构应在公告期结束后</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日内，向轨道交通公司提交相关材料。</w:t>
      </w:r>
    </w:p>
    <w:p w:rsidR="00B87FBF" w:rsidRDefault="00BC7E88">
      <w:pPr>
        <w:spacing w:line="560" w:lineRule="exact"/>
        <w:ind w:firstLineChars="200" w:firstLine="643"/>
        <w:outlineLvl w:val="0"/>
        <w:rPr>
          <w:rFonts w:ascii="Times New Roman" w:eastAsia="楷体" w:hAnsi="Times New Roman" w:cs="Times New Roman"/>
          <w:b/>
          <w:kern w:val="0"/>
          <w:sz w:val="32"/>
          <w:szCs w:val="32"/>
        </w:rPr>
      </w:pPr>
      <w:r>
        <w:rPr>
          <w:rFonts w:ascii="Times New Roman" w:eastAsia="楷体" w:hAnsi="Times New Roman" w:cs="Times New Roman"/>
          <w:b/>
          <w:kern w:val="0"/>
          <w:sz w:val="32"/>
          <w:szCs w:val="32"/>
        </w:rPr>
        <w:t>（三）材料初审</w:t>
      </w:r>
    </w:p>
    <w:p w:rsidR="00B87FBF" w:rsidRDefault="00BC7E88">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由评审委员会对申报材料进行初审，形成初审意见并确定</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家申报单位（如符合条件的申报单位不足</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家，则延长报送期，至满足</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家为止）进入现场评审环节。</w:t>
      </w:r>
    </w:p>
    <w:p w:rsidR="00B87FBF" w:rsidRDefault="00BC7E88">
      <w:pPr>
        <w:spacing w:line="560" w:lineRule="exact"/>
        <w:ind w:firstLineChars="200" w:firstLine="643"/>
        <w:outlineLvl w:val="0"/>
        <w:rPr>
          <w:rFonts w:ascii="Times New Roman" w:eastAsia="楷体" w:hAnsi="Times New Roman" w:cs="Times New Roman"/>
          <w:b/>
          <w:kern w:val="0"/>
          <w:sz w:val="32"/>
          <w:szCs w:val="32"/>
        </w:rPr>
      </w:pPr>
      <w:r>
        <w:rPr>
          <w:rFonts w:ascii="Times New Roman" w:eastAsia="楷体" w:hAnsi="Times New Roman" w:cs="Times New Roman"/>
          <w:b/>
          <w:kern w:val="0"/>
          <w:sz w:val="32"/>
          <w:szCs w:val="32"/>
        </w:rPr>
        <w:t>（四）现场评审</w:t>
      </w:r>
    </w:p>
    <w:p w:rsidR="00B87FBF" w:rsidRDefault="00BC7E88">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轨道公司召集评审委员会，对符合初审条件的申报机构进行现场评审。专家评审采用</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评议申报材料</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现场答辩</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的形式。其中，</w:t>
      </w:r>
      <w:r>
        <w:rPr>
          <w:rFonts w:ascii="Times New Roman" w:eastAsia="仿宋_GB2312" w:hAnsi="Times New Roman" w:cs="Times New Roman"/>
          <w:kern w:val="0"/>
          <w:sz w:val="32"/>
          <w:szCs w:val="32"/>
        </w:rPr>
        <w:t>30</w:t>
      </w:r>
      <w:r>
        <w:rPr>
          <w:rFonts w:ascii="Times New Roman" w:eastAsia="仿宋_GB2312" w:hAnsi="Times New Roman" w:cs="Times New Roman"/>
          <w:kern w:val="0"/>
          <w:sz w:val="32"/>
          <w:szCs w:val="32"/>
        </w:rPr>
        <w:t>分钟现场答辩，</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分钟为自由阐述，</w:t>
      </w:r>
      <w:r>
        <w:rPr>
          <w:rFonts w:ascii="Times New Roman" w:eastAsia="仿宋_GB2312" w:hAnsi="Times New Roman" w:cs="Times New Roman"/>
          <w:kern w:val="0"/>
          <w:sz w:val="32"/>
          <w:szCs w:val="32"/>
        </w:rPr>
        <w:t>15</w:t>
      </w:r>
      <w:r>
        <w:rPr>
          <w:rFonts w:ascii="Times New Roman" w:eastAsia="仿宋_GB2312" w:hAnsi="Times New Roman" w:cs="Times New Roman"/>
          <w:kern w:val="0"/>
          <w:sz w:val="32"/>
          <w:szCs w:val="32"/>
        </w:rPr>
        <w:t>分钟为提问答疑。评委基于申报机构的现场表现和申报材料的内容，按一定的评选标准进行评价，按综合得分进行排名（评分细则见附件</w:t>
      </w:r>
      <w:r w:rsidR="00D11092">
        <w:rPr>
          <w:rFonts w:ascii="Times New Roman" w:eastAsia="仿宋_GB2312" w:hAnsi="Times New Roman" w:cs="Times New Roman" w:hint="eastAsia"/>
          <w:kern w:val="0"/>
          <w:sz w:val="32"/>
          <w:szCs w:val="32"/>
        </w:rPr>
        <w:t>3</w:t>
      </w:r>
      <w:r>
        <w:rPr>
          <w:rFonts w:ascii="Times New Roman" w:eastAsia="仿宋_GB2312" w:hAnsi="Times New Roman" w:cs="Times New Roman"/>
          <w:kern w:val="0"/>
          <w:sz w:val="32"/>
          <w:szCs w:val="32"/>
        </w:rPr>
        <w:t>）。由评审委员会根据评审得分情况给出基金管理人候选机构名单建议。</w:t>
      </w:r>
    </w:p>
    <w:p w:rsidR="00B87FBF" w:rsidRDefault="00BC7E88">
      <w:pPr>
        <w:spacing w:line="560" w:lineRule="exact"/>
        <w:ind w:firstLineChars="200" w:firstLine="643"/>
        <w:outlineLvl w:val="0"/>
        <w:rPr>
          <w:rFonts w:ascii="Times New Roman" w:eastAsia="楷体" w:hAnsi="Times New Roman" w:cs="Times New Roman"/>
          <w:b/>
          <w:kern w:val="0"/>
          <w:sz w:val="32"/>
          <w:szCs w:val="32"/>
        </w:rPr>
      </w:pPr>
      <w:r>
        <w:rPr>
          <w:rFonts w:ascii="Times New Roman" w:eastAsia="楷体" w:hAnsi="Times New Roman" w:cs="Times New Roman"/>
          <w:b/>
          <w:kern w:val="0"/>
          <w:sz w:val="32"/>
          <w:szCs w:val="32"/>
        </w:rPr>
        <w:t>（五）结果公示</w:t>
      </w:r>
    </w:p>
    <w:p w:rsidR="00B87FBF" w:rsidRDefault="00BC7E88">
      <w:pPr>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候选机构名单经轨道公司审定后，将比选出的基金管理人机构名单向社会进行公示，公示期为</w:t>
      </w:r>
      <w:r>
        <w:rPr>
          <w:rFonts w:ascii="Times New Roman" w:eastAsia="仿宋_GB2312" w:hAnsi="Times New Roman" w:cs="Times New Roman"/>
          <w:kern w:val="0"/>
          <w:sz w:val="32"/>
          <w:szCs w:val="32"/>
        </w:rPr>
        <w:t>5</w:t>
      </w:r>
      <w:r>
        <w:rPr>
          <w:rFonts w:ascii="Times New Roman" w:eastAsia="仿宋_GB2312" w:hAnsi="Times New Roman" w:cs="Times New Roman"/>
          <w:kern w:val="0"/>
          <w:sz w:val="32"/>
          <w:szCs w:val="32"/>
        </w:rPr>
        <w:t>个工作日。公示有异议的，启动相关调查程序。公示期满无异议的确定为基金管理机构。</w:t>
      </w:r>
    </w:p>
    <w:p w:rsidR="00B87FBF" w:rsidRDefault="00BC7E88">
      <w:pPr>
        <w:pStyle w:val="a7"/>
        <w:numPr>
          <w:ilvl w:val="0"/>
          <w:numId w:val="1"/>
        </w:numPr>
        <w:shd w:val="clear" w:color="auto" w:fill="FFFFFF"/>
        <w:spacing w:before="0" w:beforeAutospacing="0" w:after="0" w:afterAutospacing="0" w:line="560" w:lineRule="exact"/>
        <w:ind w:firstLineChars="200" w:firstLine="640"/>
        <w:jc w:val="both"/>
        <w:outlineLvl w:val="0"/>
        <w:rPr>
          <w:rFonts w:ascii="Times New Roman" w:eastAsia="黑体" w:hAnsi="Times New Roman" w:cs="Times New Roman"/>
          <w:bCs/>
          <w:sz w:val="32"/>
          <w:szCs w:val="32"/>
        </w:rPr>
      </w:pPr>
      <w:r>
        <w:rPr>
          <w:rFonts w:ascii="Times New Roman" w:eastAsia="黑体" w:hAnsi="Times New Roman" w:cs="Times New Roman"/>
          <w:bCs/>
          <w:sz w:val="32"/>
          <w:szCs w:val="32"/>
        </w:rPr>
        <w:t>其他事项</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（一）</w:t>
      </w:r>
      <w:r>
        <w:rPr>
          <w:rFonts w:ascii="Times New Roman" w:eastAsia="仿宋_GB2312" w:hAnsi="Times New Roman" w:cs="Times New Roman"/>
          <w:sz w:val="32"/>
          <w:szCs w:val="32"/>
        </w:rPr>
        <w:t>申报机构应当据实报送有关材料，对于提供虚假材料的申报机构，将取消其资格。</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（二）</w:t>
      </w:r>
      <w:r>
        <w:rPr>
          <w:rFonts w:ascii="Times New Roman" w:eastAsia="仿宋_GB2312" w:hAnsi="Times New Roman" w:cs="Times New Roman"/>
          <w:sz w:val="32"/>
          <w:szCs w:val="32"/>
        </w:rPr>
        <w:t>本次申报收取的材料不做退回处理。</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t>（三）</w:t>
      </w:r>
      <w:r>
        <w:rPr>
          <w:rFonts w:ascii="Times New Roman" w:eastAsia="仿宋_GB2312" w:hAnsi="Times New Roman" w:cs="Times New Roman"/>
          <w:sz w:val="32"/>
          <w:szCs w:val="32"/>
        </w:rPr>
        <w:t>本公告仅是一种邀请行为，最终以基金合伙协议为准。</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楷体_GB2312" w:hAnsi="Times New Roman" w:cs="Times New Roman"/>
          <w:sz w:val="32"/>
          <w:szCs w:val="32"/>
        </w:rPr>
        <w:lastRenderedPageBreak/>
        <w:t>（四）</w:t>
      </w:r>
      <w:r>
        <w:rPr>
          <w:rFonts w:ascii="Times New Roman" w:eastAsia="仿宋_GB2312" w:hAnsi="Times New Roman" w:cs="Times New Roman"/>
          <w:sz w:val="32"/>
          <w:szCs w:val="32"/>
        </w:rPr>
        <w:t>株洲轨道交通产业发展股份有限公司对比选相关事项拥有最终解释权。</w:t>
      </w:r>
    </w:p>
    <w:p w:rsidR="00B87FBF" w:rsidRDefault="00BC7E88">
      <w:pPr>
        <w:pStyle w:val="a7"/>
        <w:numPr>
          <w:ilvl w:val="0"/>
          <w:numId w:val="1"/>
        </w:numPr>
        <w:shd w:val="clear" w:color="auto" w:fill="FFFFFF"/>
        <w:spacing w:before="0" w:beforeAutospacing="0" w:after="0" w:afterAutospacing="0" w:line="560" w:lineRule="exact"/>
        <w:ind w:firstLineChars="200" w:firstLine="640"/>
        <w:jc w:val="both"/>
        <w:rPr>
          <w:rFonts w:ascii="Times New Roman" w:eastAsia="黑体" w:hAnsi="Times New Roman" w:cs="Times New Roman"/>
          <w:bCs/>
          <w:sz w:val="32"/>
          <w:szCs w:val="32"/>
        </w:rPr>
      </w:pPr>
      <w:r>
        <w:rPr>
          <w:rFonts w:ascii="Times New Roman" w:eastAsia="黑体" w:hAnsi="Times New Roman" w:cs="Times New Roman"/>
          <w:bCs/>
          <w:sz w:val="32"/>
          <w:szCs w:val="32"/>
        </w:rPr>
        <w:t>联系方式</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符合条件且有意向的应聘机构请在公告期结束后</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日内，向株洲轨道交通产业发展股份有限公司报送相关材料。申报材料请按照</w:t>
      </w:r>
      <w:r>
        <w:rPr>
          <w:rFonts w:ascii="Times New Roman" w:eastAsia="仿宋_GB2312" w:hAnsi="Times New Roman" w:cs="Times New Roman"/>
          <w:sz w:val="32"/>
          <w:szCs w:val="32"/>
        </w:rPr>
        <w:t>A4</w:t>
      </w:r>
      <w:r>
        <w:rPr>
          <w:rFonts w:ascii="Times New Roman" w:eastAsia="仿宋_GB2312" w:hAnsi="Times New Roman" w:cs="Times New Roman"/>
          <w:sz w:val="32"/>
          <w:szCs w:val="32"/>
        </w:rPr>
        <w:t>纸张格式装订成册并加盖公章，一式九份（一份正本，八份副本），其中正本必须注明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正本</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字样，正、副本内容必须保持一致，副本可以用复印件。若正本和副本、电子版本不符，以正本为准。相关联系信息如下：</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r w:rsidR="00977F0E">
        <w:rPr>
          <w:rFonts w:ascii="Times New Roman" w:eastAsia="仿宋_GB2312" w:hAnsi="Times New Roman" w:cs="Times New Roman"/>
          <w:sz w:val="32"/>
          <w:szCs w:val="32"/>
        </w:rPr>
        <w:t>戴维</w:t>
      </w:r>
    </w:p>
    <w:p w:rsidR="00B87FBF" w:rsidRDefault="00977F0E">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联系电话</w:t>
      </w:r>
      <w:r>
        <w:rPr>
          <w:rFonts w:ascii="Times New Roman" w:eastAsia="仿宋_GB2312" w:hAnsi="Times New Roman" w:cs="Times New Roman" w:hint="eastAsia"/>
          <w:sz w:val="32"/>
          <w:szCs w:val="32"/>
        </w:rPr>
        <w:t>,0731-22750047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13707339180</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电子邮箱：</w:t>
      </w:r>
      <w:r w:rsidR="00977F0E">
        <w:rPr>
          <w:rFonts w:ascii="Times New Roman" w:eastAsia="仿宋_GB2312" w:hAnsi="Times New Roman" w:cs="Times New Roman" w:hint="eastAsia"/>
          <w:sz w:val="32"/>
          <w:szCs w:val="32"/>
        </w:rPr>
        <w:t>42710080@qq.com</w:t>
      </w:r>
    </w:p>
    <w:p w:rsidR="00B87FBF" w:rsidRDefault="00BC7E88">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材料寄送地址：</w:t>
      </w:r>
      <w:r w:rsidR="00977F0E">
        <w:rPr>
          <w:rFonts w:ascii="Times New Roman" w:eastAsia="仿宋_GB2312" w:hAnsi="Times New Roman" w:cs="Times New Roman"/>
          <w:sz w:val="32"/>
          <w:szCs w:val="32"/>
        </w:rPr>
        <w:t>株洲市石峰区联诚路</w:t>
      </w:r>
      <w:r w:rsidR="00977F0E">
        <w:rPr>
          <w:rFonts w:ascii="Times New Roman" w:eastAsia="仿宋_GB2312" w:hAnsi="Times New Roman" w:cs="Times New Roman" w:hint="eastAsia"/>
          <w:sz w:val="32"/>
          <w:szCs w:val="32"/>
        </w:rPr>
        <w:t>79</w:t>
      </w:r>
      <w:r w:rsidR="00977F0E">
        <w:rPr>
          <w:rFonts w:ascii="Times New Roman" w:eastAsia="仿宋_GB2312" w:hAnsi="Times New Roman" w:cs="Times New Roman" w:hint="eastAsia"/>
          <w:sz w:val="32"/>
          <w:szCs w:val="32"/>
        </w:rPr>
        <w:t>号科研中心三楼</w:t>
      </w:r>
      <w:r w:rsidR="00977F0E">
        <w:rPr>
          <w:rFonts w:ascii="Times New Roman" w:eastAsia="仿宋_GB2312" w:hAnsi="Times New Roman" w:cs="Times New Roman" w:hint="eastAsia"/>
          <w:sz w:val="32"/>
          <w:szCs w:val="32"/>
        </w:rPr>
        <w:t>318</w:t>
      </w:r>
    </w:p>
    <w:p w:rsidR="00B87FBF" w:rsidRDefault="00B87FBF">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B87FBF" w:rsidRDefault="00B87FBF">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B87FBF" w:rsidRDefault="00B87FBF">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B87FBF" w:rsidRDefault="00B87FBF">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B87FBF" w:rsidRDefault="00B87FBF">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B87FBF" w:rsidRDefault="00B87FBF">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B87FBF" w:rsidRDefault="00B87FBF">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B87FBF" w:rsidRDefault="00B87FBF">
      <w:pPr>
        <w:pStyle w:val="a7"/>
        <w:shd w:val="clear" w:color="auto" w:fill="FFFFFF"/>
        <w:spacing w:before="0" w:beforeAutospacing="0" w:after="0" w:afterAutospacing="0" w:line="560" w:lineRule="exact"/>
        <w:ind w:firstLineChars="200" w:firstLine="640"/>
        <w:jc w:val="both"/>
        <w:rPr>
          <w:rFonts w:ascii="Times New Roman" w:eastAsia="仿宋_GB2312" w:hAnsi="Times New Roman" w:cs="Times New Roman"/>
          <w:sz w:val="32"/>
          <w:szCs w:val="32"/>
        </w:rPr>
      </w:pPr>
    </w:p>
    <w:p w:rsidR="00B87FBF" w:rsidRDefault="00B87FBF">
      <w:pPr>
        <w:spacing w:line="360" w:lineRule="auto"/>
        <w:jc w:val="left"/>
        <w:rPr>
          <w:rFonts w:ascii="黑体" w:eastAsia="黑体" w:hAnsi="黑体" w:cs="黑体"/>
          <w:sz w:val="30"/>
          <w:szCs w:val="30"/>
        </w:rPr>
        <w:sectPr w:rsidR="00B87FBF">
          <w:footerReference w:type="default" r:id="rId8"/>
          <w:pgSz w:w="11906" w:h="16838"/>
          <w:pgMar w:top="2098" w:right="1531" w:bottom="1985" w:left="1531" w:header="1588" w:footer="851" w:gutter="0"/>
          <w:pgNumType w:fmt="numberInDash"/>
          <w:cols w:space="425"/>
          <w:docGrid w:type="lines" w:linePitch="312"/>
        </w:sectPr>
      </w:pPr>
    </w:p>
    <w:p w:rsidR="00B87FBF" w:rsidRDefault="00BC7E88">
      <w:pPr>
        <w:spacing w:line="360" w:lineRule="auto"/>
        <w:jc w:val="left"/>
        <w:rPr>
          <w:rFonts w:ascii="Times New Roman" w:eastAsia="仿宋_GB2312" w:hAnsi="Times New Roman" w:cs="Times New Roman"/>
          <w:sz w:val="30"/>
          <w:szCs w:val="30"/>
        </w:rPr>
      </w:pPr>
      <w:r>
        <w:rPr>
          <w:rFonts w:ascii="黑体" w:eastAsia="黑体" w:hAnsi="黑体" w:cs="黑体" w:hint="eastAsia"/>
          <w:sz w:val="30"/>
          <w:szCs w:val="30"/>
        </w:rPr>
        <w:lastRenderedPageBreak/>
        <w:t>附件</w:t>
      </w:r>
      <w:r w:rsidR="00D11092">
        <w:rPr>
          <w:rFonts w:ascii="黑体" w:eastAsia="黑体" w:hAnsi="黑体" w:cs="黑体" w:hint="eastAsia"/>
          <w:sz w:val="30"/>
          <w:szCs w:val="30"/>
        </w:rPr>
        <w:t>1</w:t>
      </w:r>
    </w:p>
    <w:p w:rsidR="00B87FBF" w:rsidRDefault="00BC7E88">
      <w:pPr>
        <w:adjustRightInd w:val="0"/>
        <w:spacing w:line="620" w:lineRule="exact"/>
        <w:jc w:val="center"/>
        <w:rPr>
          <w:rFonts w:ascii="Times New Roman" w:eastAsia="仿宋_GB2312" w:hAnsi="Times New Roman" w:cs="Times New Roman"/>
          <w:sz w:val="44"/>
          <w:szCs w:val="44"/>
        </w:rPr>
      </w:pPr>
      <w:r>
        <w:rPr>
          <w:rFonts w:ascii="方正小标宋_GBK" w:eastAsia="方正小标宋_GBK" w:hAnsi="方正小标宋_GBK" w:cs="方正小标宋_GBK" w:hint="eastAsia"/>
          <w:sz w:val="44"/>
          <w:szCs w:val="44"/>
        </w:rPr>
        <w:t>基础资料</w:t>
      </w:r>
    </w:p>
    <w:p w:rsidR="00B87FBF" w:rsidRDefault="00BC7E88">
      <w:pPr>
        <w:adjustRightInd w:val="0"/>
        <w:spacing w:line="560" w:lineRule="exact"/>
        <w:ind w:firstLineChars="200" w:firstLine="600"/>
        <w:rPr>
          <w:rFonts w:ascii="Times New Roman" w:eastAsia="仿宋_GB2312" w:hAnsi="Times New Roman" w:cs="Times New Roman"/>
          <w:sz w:val="30"/>
          <w:szCs w:val="30"/>
        </w:rPr>
      </w:pPr>
      <w:r>
        <w:rPr>
          <w:rFonts w:ascii="黑体" w:eastAsia="黑体" w:hAnsi="黑体" w:cs="黑体" w:hint="eastAsia"/>
          <w:sz w:val="30"/>
          <w:szCs w:val="30"/>
        </w:rPr>
        <w:t>一、申报机构及相关基金管理资质证明文件复印件</w:t>
      </w:r>
    </w:p>
    <w:p w:rsidR="00B87FBF" w:rsidRDefault="00BC7E88">
      <w:pPr>
        <w:adjustRightInd w:val="0"/>
        <w:spacing w:line="560" w:lineRule="exact"/>
        <w:ind w:firstLineChars="200" w:firstLine="600"/>
        <w:rPr>
          <w:rFonts w:ascii="黑体" w:eastAsia="黑体" w:hAnsi="黑体" w:cs="黑体"/>
          <w:sz w:val="30"/>
          <w:szCs w:val="30"/>
        </w:rPr>
      </w:pPr>
      <w:r>
        <w:rPr>
          <w:rFonts w:ascii="Times New Roman" w:eastAsia="仿宋_GB2312" w:hAnsi="Times New Roman" w:cs="Times New Roman"/>
          <w:sz w:val="30"/>
          <w:szCs w:val="30"/>
        </w:rPr>
        <w:t>营业执照副本、组织机构代码证、税务登记证、公司章程或合伙协议、私募基金管理人登记证明、固定办公场所的证明文件（房产证、租赁合同等）。</w:t>
      </w:r>
    </w:p>
    <w:p w:rsidR="00B87FBF" w:rsidRDefault="00BC7E88">
      <w:pPr>
        <w:adjustRightInd w:val="0"/>
        <w:spacing w:line="560" w:lineRule="exact"/>
        <w:ind w:firstLineChars="200" w:firstLine="600"/>
        <w:rPr>
          <w:rFonts w:ascii="Times New Roman" w:eastAsia="仿宋_GB2312" w:hAnsi="Times New Roman" w:cs="Times New Roman"/>
          <w:sz w:val="30"/>
          <w:szCs w:val="30"/>
        </w:rPr>
      </w:pPr>
      <w:r>
        <w:rPr>
          <w:rFonts w:ascii="黑体" w:eastAsia="黑体" w:hAnsi="黑体" w:cs="黑体" w:hint="eastAsia"/>
          <w:sz w:val="30"/>
          <w:szCs w:val="30"/>
        </w:rPr>
        <w:t>二、申报机构简介</w:t>
      </w:r>
    </w:p>
    <w:p w:rsidR="00B87FBF" w:rsidRDefault="00BC7E88">
      <w:pPr>
        <w:adjustRightInd w:val="0"/>
        <w:spacing w:line="560" w:lineRule="exact"/>
        <w:ind w:firstLineChars="200" w:firstLine="600"/>
        <w:rPr>
          <w:rFonts w:ascii="黑体" w:eastAsia="黑体" w:hAnsi="黑体" w:cs="黑体"/>
          <w:sz w:val="30"/>
          <w:szCs w:val="30"/>
        </w:rPr>
      </w:pPr>
      <w:r>
        <w:rPr>
          <w:rFonts w:ascii="Times New Roman" w:eastAsia="仿宋_GB2312" w:hAnsi="Times New Roman" w:cs="Times New Roman"/>
          <w:sz w:val="30"/>
          <w:szCs w:val="30"/>
        </w:rPr>
        <w:t>包括注册资本、历史沿革、股权结构、管理资金规模、组织结构、人员配置、机构内部制度文件（包括投资决策机制、风险控制机制、内部激励机制、投后管理与增值服务机制、关联交易等内部管理制度文件）等情况。</w:t>
      </w:r>
    </w:p>
    <w:p w:rsidR="00B87FBF" w:rsidRDefault="00BC7E88">
      <w:pPr>
        <w:adjustRightInd w:val="0"/>
        <w:spacing w:line="560" w:lineRule="exact"/>
        <w:ind w:firstLineChars="200" w:firstLine="600"/>
        <w:rPr>
          <w:rFonts w:ascii="Times New Roman" w:eastAsia="仿宋_GB2312" w:hAnsi="Times New Roman" w:cs="Times New Roman"/>
          <w:sz w:val="30"/>
          <w:szCs w:val="30"/>
        </w:rPr>
      </w:pPr>
      <w:r>
        <w:rPr>
          <w:rFonts w:ascii="黑体" w:eastAsia="黑体" w:hAnsi="黑体" w:cs="黑体" w:hint="eastAsia"/>
          <w:sz w:val="30"/>
          <w:szCs w:val="30"/>
        </w:rPr>
        <w:t>三、申报机构主要管理人员简介</w:t>
      </w:r>
    </w:p>
    <w:p w:rsidR="00B87FBF" w:rsidRDefault="00BC7E88">
      <w:pPr>
        <w:adjustRightInd w:val="0"/>
        <w:spacing w:line="560" w:lineRule="exact"/>
        <w:ind w:firstLineChars="200" w:firstLine="600"/>
        <w:rPr>
          <w:rFonts w:ascii="黑体" w:eastAsia="黑体" w:hAnsi="黑体" w:cs="黑体"/>
          <w:sz w:val="30"/>
          <w:szCs w:val="30"/>
        </w:rPr>
      </w:pPr>
      <w:r>
        <w:rPr>
          <w:rFonts w:ascii="Times New Roman" w:eastAsia="仿宋_GB2312" w:hAnsi="Times New Roman" w:cs="Times New Roman"/>
          <w:sz w:val="30"/>
          <w:szCs w:val="30"/>
        </w:rPr>
        <w:t>包括法定代表人、高级管理人员、主要专业技术人员简表。</w:t>
      </w:r>
    </w:p>
    <w:p w:rsidR="00B87FBF" w:rsidRDefault="00BC7E88">
      <w:pPr>
        <w:adjustRightInd w:val="0"/>
        <w:spacing w:line="560" w:lineRule="exact"/>
        <w:ind w:firstLineChars="200" w:firstLine="600"/>
        <w:rPr>
          <w:rFonts w:ascii="Times New Roman" w:eastAsia="仿宋_GB2312" w:hAnsi="Times New Roman" w:cs="Times New Roman"/>
          <w:sz w:val="30"/>
          <w:szCs w:val="30"/>
        </w:rPr>
      </w:pPr>
      <w:r>
        <w:rPr>
          <w:rFonts w:ascii="黑体" w:eastAsia="黑体" w:hAnsi="黑体" w:cs="黑体" w:hint="eastAsia"/>
          <w:sz w:val="30"/>
          <w:szCs w:val="30"/>
        </w:rPr>
        <w:t>四、受托管理基金情况</w:t>
      </w:r>
    </w:p>
    <w:p w:rsidR="00B87FBF" w:rsidRDefault="00BC7E88">
      <w:pPr>
        <w:adjustRightInd w:val="0"/>
        <w:spacing w:line="560" w:lineRule="exact"/>
        <w:ind w:firstLineChars="200" w:firstLine="600"/>
        <w:rPr>
          <w:rFonts w:ascii="黑体" w:eastAsia="黑体" w:hAnsi="黑体" w:cs="黑体"/>
          <w:sz w:val="30"/>
          <w:szCs w:val="30"/>
        </w:rPr>
      </w:pPr>
      <w:r>
        <w:rPr>
          <w:rFonts w:ascii="Times New Roman" w:eastAsia="仿宋_GB2312" w:hAnsi="Times New Roman" w:cs="Times New Roman"/>
          <w:sz w:val="30"/>
          <w:szCs w:val="30"/>
        </w:rPr>
        <w:t>历史上管理基金的投资偏好、投资类型、地域范围、行业、规模、阶段等；从事本基金管理的管理团队中核心成员以往和当前管理基金情况列表。</w:t>
      </w:r>
    </w:p>
    <w:p w:rsidR="00B87FBF" w:rsidRDefault="00BC7E88">
      <w:pPr>
        <w:adjustRightInd w:val="0"/>
        <w:spacing w:line="560" w:lineRule="exact"/>
        <w:ind w:firstLineChars="200" w:firstLine="600"/>
        <w:rPr>
          <w:rFonts w:ascii="Times New Roman" w:eastAsia="仿宋_GB2312" w:hAnsi="Times New Roman" w:cs="Times New Roman"/>
          <w:sz w:val="30"/>
          <w:szCs w:val="30"/>
        </w:rPr>
      </w:pPr>
      <w:r>
        <w:rPr>
          <w:rFonts w:ascii="黑体" w:eastAsia="黑体" w:hAnsi="黑体" w:cs="黑体" w:hint="eastAsia"/>
          <w:sz w:val="30"/>
          <w:szCs w:val="30"/>
        </w:rPr>
        <w:t>五、有关诉讼、担保、其他或有风险事项说明</w:t>
      </w:r>
    </w:p>
    <w:p w:rsidR="00B87FBF" w:rsidRDefault="00BC7E88">
      <w:pPr>
        <w:adjustRightInd w:val="0"/>
        <w:spacing w:line="560" w:lineRule="exact"/>
        <w:ind w:firstLineChars="200" w:firstLine="600"/>
        <w:rPr>
          <w:rFonts w:ascii="黑体" w:eastAsia="黑体" w:hAnsi="黑体" w:cs="黑体"/>
          <w:sz w:val="30"/>
          <w:szCs w:val="30"/>
        </w:rPr>
      </w:pPr>
      <w:r>
        <w:rPr>
          <w:rFonts w:ascii="Times New Roman" w:eastAsia="仿宋_GB2312" w:hAnsi="Times New Roman" w:cs="Times New Roman"/>
          <w:sz w:val="30"/>
          <w:szCs w:val="30"/>
        </w:rPr>
        <w:t>申报机构有关诉讼、担保、其他或有风险事项说明及文件。最近五年内申报机构及其工作人员无行政主管机构或司法机关处罚的不良记录的声明或承诺。</w:t>
      </w:r>
    </w:p>
    <w:p w:rsidR="00B87FBF" w:rsidRDefault="00BC7E88">
      <w:pPr>
        <w:adjustRightInd w:val="0"/>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六、其他需说明事项</w:t>
      </w:r>
    </w:p>
    <w:p w:rsidR="00B87FBF" w:rsidRDefault="00B87FBF">
      <w:pPr>
        <w:rPr>
          <w:rFonts w:ascii="Times New Roman" w:hAnsi="Times New Roman" w:cs="Times New Roman"/>
        </w:rPr>
      </w:pPr>
    </w:p>
    <w:p w:rsidR="00B87FBF" w:rsidRDefault="00B87FBF">
      <w:pPr>
        <w:spacing w:line="560" w:lineRule="exact"/>
        <w:jc w:val="left"/>
        <w:rPr>
          <w:rFonts w:ascii="黑体" w:eastAsia="黑体" w:hAnsi="黑体" w:cs="黑体"/>
          <w:sz w:val="30"/>
          <w:szCs w:val="30"/>
        </w:rPr>
        <w:sectPr w:rsidR="00B87FBF">
          <w:footerReference w:type="default" r:id="rId9"/>
          <w:pgSz w:w="11906" w:h="16838"/>
          <w:pgMar w:top="2098" w:right="1531" w:bottom="1985" w:left="1531" w:header="1588" w:footer="851" w:gutter="0"/>
          <w:pgNumType w:fmt="numberInDash"/>
          <w:cols w:space="425"/>
          <w:docGrid w:type="lines" w:linePitch="312"/>
        </w:sectPr>
      </w:pPr>
    </w:p>
    <w:p w:rsidR="00B87FBF" w:rsidRDefault="00B87FBF">
      <w:pPr>
        <w:spacing w:line="560" w:lineRule="exact"/>
        <w:jc w:val="left"/>
        <w:rPr>
          <w:rFonts w:ascii="黑体" w:eastAsia="黑体" w:hAnsi="黑体" w:cs="黑体"/>
          <w:sz w:val="30"/>
          <w:szCs w:val="30"/>
        </w:rPr>
        <w:sectPr w:rsidR="00B87FBF">
          <w:pgSz w:w="11906" w:h="16838"/>
          <w:pgMar w:top="2098" w:right="1531" w:bottom="1985" w:left="1531" w:header="1588" w:footer="851" w:gutter="0"/>
          <w:pgNumType w:fmt="numberInDash"/>
          <w:cols w:space="425"/>
          <w:docGrid w:type="lines" w:linePitch="312"/>
        </w:sectPr>
      </w:pPr>
    </w:p>
    <w:p w:rsidR="00B87FBF" w:rsidRDefault="00BC7E88">
      <w:pPr>
        <w:spacing w:line="560" w:lineRule="exact"/>
        <w:jc w:val="left"/>
        <w:rPr>
          <w:rFonts w:ascii="Times New Roman" w:eastAsia="仿宋_GB2312" w:hAnsi="Times New Roman" w:cs="Times New Roman"/>
          <w:sz w:val="30"/>
          <w:szCs w:val="30"/>
        </w:rPr>
      </w:pPr>
      <w:r>
        <w:rPr>
          <w:rFonts w:ascii="黑体" w:eastAsia="黑体" w:hAnsi="黑体" w:cs="黑体" w:hint="eastAsia"/>
          <w:sz w:val="30"/>
          <w:szCs w:val="30"/>
        </w:rPr>
        <w:lastRenderedPageBreak/>
        <w:t>附件</w:t>
      </w:r>
      <w:r w:rsidR="00D11092">
        <w:rPr>
          <w:rFonts w:ascii="黑体" w:eastAsia="黑体" w:hAnsi="黑体" w:cs="黑体" w:hint="eastAsia"/>
          <w:sz w:val="30"/>
          <w:szCs w:val="30"/>
        </w:rPr>
        <w:t>2</w:t>
      </w:r>
    </w:p>
    <w:p w:rsidR="00B87FBF" w:rsidRDefault="00BC7E88">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株洲轨道交通产业发展股份有限公司</w:t>
      </w:r>
    </w:p>
    <w:p w:rsidR="00B87FBF" w:rsidRDefault="00BC7E88">
      <w:pPr>
        <w:spacing w:line="560" w:lineRule="exact"/>
        <w:jc w:val="center"/>
        <w:rPr>
          <w:rFonts w:ascii="Times New Roman" w:eastAsia="仿宋_GB2312" w:hAnsi="Times New Roman" w:cs="Times New Roman"/>
          <w:sz w:val="44"/>
          <w:szCs w:val="44"/>
        </w:rPr>
      </w:pPr>
      <w:r>
        <w:rPr>
          <w:rFonts w:ascii="方正小标宋_GBK" w:eastAsia="方正小标宋_GBK" w:hAnsi="方正小标宋_GBK" w:cs="方正小标宋_GBK" w:hint="eastAsia"/>
          <w:sz w:val="44"/>
          <w:szCs w:val="44"/>
        </w:rPr>
        <w:t>产业基金管理人申报方案</w:t>
      </w:r>
    </w:p>
    <w:p w:rsidR="00B87FBF" w:rsidRDefault="00BC7E88">
      <w:pPr>
        <w:spacing w:line="560" w:lineRule="exact"/>
        <w:ind w:firstLineChars="200" w:firstLine="600"/>
        <w:jc w:val="left"/>
        <w:rPr>
          <w:rFonts w:ascii="Times New Roman" w:eastAsia="仿宋_GB2312" w:hAnsi="Times New Roman" w:cs="Times New Roman"/>
          <w:sz w:val="30"/>
          <w:szCs w:val="30"/>
        </w:rPr>
      </w:pPr>
      <w:r>
        <w:rPr>
          <w:rFonts w:ascii="黑体" w:eastAsia="黑体" w:hAnsi="黑体" w:cs="黑体" w:hint="eastAsia"/>
          <w:sz w:val="30"/>
          <w:szCs w:val="30"/>
        </w:rPr>
        <w:t>一、拟组建基金基本情况表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4"/>
        <w:gridCol w:w="5178"/>
      </w:tblGrid>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拟组建基金名称</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拟组建基金企业性质</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拟募集资金规模</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募集安排</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拟组建基金存续期</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投资行业分布</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投资区域分布</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基金管理机构</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管理费收取比例</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利益分配</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投资决策机构及决策制度</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r w:rsidR="00B87FBF">
        <w:trPr>
          <w:trHeight w:val="567"/>
          <w:jc w:val="center"/>
        </w:trPr>
        <w:tc>
          <w:tcPr>
            <w:tcW w:w="3344" w:type="dxa"/>
            <w:vAlign w:val="center"/>
          </w:tcPr>
          <w:p w:rsidR="00B87FBF" w:rsidRDefault="00BC7E88">
            <w:pPr>
              <w:spacing w:line="4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管理团队及主要成员</w:t>
            </w:r>
          </w:p>
        </w:tc>
        <w:tc>
          <w:tcPr>
            <w:tcW w:w="5178" w:type="dxa"/>
            <w:vAlign w:val="center"/>
          </w:tcPr>
          <w:p w:rsidR="00B87FBF" w:rsidRDefault="00B87FBF">
            <w:pPr>
              <w:spacing w:line="560" w:lineRule="exact"/>
              <w:jc w:val="center"/>
              <w:rPr>
                <w:rFonts w:ascii="Times New Roman" w:eastAsia="仿宋_GB2312" w:hAnsi="Times New Roman" w:cs="Times New Roman"/>
                <w:sz w:val="24"/>
                <w:szCs w:val="24"/>
              </w:rPr>
            </w:pPr>
          </w:p>
        </w:tc>
      </w:tr>
    </w:tbl>
    <w:p w:rsidR="00B87FBF" w:rsidRDefault="00BC7E88">
      <w:pPr>
        <w:spacing w:line="560" w:lineRule="exact"/>
        <w:ind w:firstLineChars="200" w:firstLine="600"/>
        <w:rPr>
          <w:rFonts w:ascii="黑体" w:eastAsia="黑体" w:hAnsi="黑体" w:cs="黑体"/>
          <w:sz w:val="30"/>
          <w:szCs w:val="30"/>
        </w:rPr>
      </w:pPr>
      <w:r>
        <w:rPr>
          <w:rFonts w:ascii="黑体" w:eastAsia="黑体" w:hAnsi="黑体" w:cs="黑体" w:hint="eastAsia"/>
          <w:sz w:val="30"/>
          <w:szCs w:val="30"/>
        </w:rPr>
        <w:t>二、拟组建基金方案</w:t>
      </w:r>
    </w:p>
    <w:p w:rsidR="00B87FBF" w:rsidRDefault="00BC7E88">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（一）拟组建基金的设立背景和目标</w:t>
      </w:r>
    </w:p>
    <w:p w:rsidR="00B87FBF" w:rsidRDefault="00BC7E88">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（二）拟组建基金基本要素</w:t>
      </w:r>
    </w:p>
    <w:p w:rsidR="00B87FBF" w:rsidRDefault="00BC7E88">
      <w:pPr>
        <w:numPr>
          <w:ilvl w:val="0"/>
          <w:numId w:val="4"/>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基金名称；</w:t>
      </w:r>
    </w:p>
    <w:p w:rsidR="00B87FBF" w:rsidRDefault="00BC7E88">
      <w:pPr>
        <w:numPr>
          <w:ilvl w:val="0"/>
          <w:numId w:val="4"/>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组织形式；</w:t>
      </w:r>
    </w:p>
    <w:p w:rsidR="00B87FBF" w:rsidRDefault="00BC7E88">
      <w:pPr>
        <w:numPr>
          <w:ilvl w:val="0"/>
          <w:numId w:val="4"/>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基金存续期及出资安排计划；</w:t>
      </w:r>
    </w:p>
    <w:p w:rsidR="00B87FBF" w:rsidRDefault="00BC7E88">
      <w:pPr>
        <w:numPr>
          <w:ilvl w:val="0"/>
          <w:numId w:val="4"/>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拟投资产业领域、投资区域、投资阶段。</w:t>
      </w:r>
    </w:p>
    <w:p w:rsidR="00B87FBF" w:rsidRDefault="00BC7E88">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（三）拟组建基金的利润分配和激励制度；</w:t>
      </w:r>
    </w:p>
    <w:p w:rsidR="00B87FBF" w:rsidRDefault="00BC7E88">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（四）组建基金的竞争优势，即相同条件下取得项目的计划；</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黑体" w:eastAsia="黑体" w:hAnsi="黑体" w:cs="黑体" w:hint="eastAsia"/>
          <w:sz w:val="30"/>
          <w:szCs w:val="30"/>
        </w:rPr>
        <w:t>三、基金管理机构及管理团队简介</w:t>
      </w:r>
    </w:p>
    <w:p w:rsidR="00B87FBF" w:rsidRDefault="00BC7E88">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（一）管理机构的基本情况</w:t>
      </w:r>
    </w:p>
    <w:p w:rsidR="00B87FBF" w:rsidRDefault="00BC7E88">
      <w:pPr>
        <w:numPr>
          <w:ilvl w:val="0"/>
          <w:numId w:val="5"/>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基本概况：机构名称、组织形式、法定代表人、注册资本、营业地址、品牌影响力、历史沿革等基本信息；</w:t>
      </w:r>
    </w:p>
    <w:p w:rsidR="00B87FBF" w:rsidRDefault="00BC7E88">
      <w:pPr>
        <w:numPr>
          <w:ilvl w:val="0"/>
          <w:numId w:val="5"/>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股东（合伙人）的基本情况；</w:t>
      </w:r>
    </w:p>
    <w:p w:rsidR="00B87FBF" w:rsidRDefault="00BC7E88">
      <w:pPr>
        <w:numPr>
          <w:ilvl w:val="0"/>
          <w:numId w:val="5"/>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组织架构及人员配置情况。</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楷体_GB2312" w:eastAsia="楷体_GB2312" w:hAnsi="楷体_GB2312" w:cs="楷体_GB2312" w:hint="eastAsia"/>
          <w:sz w:val="30"/>
          <w:szCs w:val="30"/>
        </w:rPr>
        <w:t>（二）业务经营情况</w:t>
      </w:r>
    </w:p>
    <w:p w:rsidR="00B87FBF" w:rsidRDefault="00BC7E88">
      <w:pPr>
        <w:numPr>
          <w:ilvl w:val="0"/>
          <w:numId w:val="6"/>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历史管理基金：投资类型、地域范围、行业、规模、阶段等；</w:t>
      </w:r>
    </w:p>
    <w:p w:rsidR="00B87FBF" w:rsidRDefault="00BC7E88">
      <w:pPr>
        <w:numPr>
          <w:ilvl w:val="0"/>
          <w:numId w:val="6"/>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与投资咨询相关的业务情况；</w:t>
      </w:r>
    </w:p>
    <w:p w:rsidR="00B87FBF" w:rsidRDefault="00BC7E88">
      <w:pPr>
        <w:numPr>
          <w:ilvl w:val="0"/>
          <w:numId w:val="6"/>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管理团队业绩案例介绍。</w:t>
      </w:r>
    </w:p>
    <w:p w:rsidR="00B87FBF" w:rsidRDefault="00BC7E88">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（三）拟组建基金的投资管理团队情况：</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主要团队成员介绍。</w:t>
      </w:r>
    </w:p>
    <w:p w:rsidR="00B87FBF" w:rsidRDefault="00BC7E88">
      <w:pPr>
        <w:spacing w:line="560" w:lineRule="exact"/>
        <w:ind w:firstLineChars="200" w:firstLine="600"/>
        <w:rPr>
          <w:rFonts w:ascii="楷体_GB2312" w:eastAsia="楷体_GB2312" w:hAnsi="楷体_GB2312" w:cs="楷体_GB2312"/>
          <w:sz w:val="30"/>
          <w:szCs w:val="30"/>
        </w:rPr>
      </w:pPr>
      <w:r>
        <w:rPr>
          <w:rFonts w:ascii="楷体_GB2312" w:eastAsia="楷体_GB2312" w:hAnsi="楷体_GB2312" w:cs="楷体_GB2312" w:hint="eastAsia"/>
          <w:sz w:val="30"/>
          <w:szCs w:val="30"/>
        </w:rPr>
        <w:t>（四）团队能力评估</w:t>
      </w:r>
    </w:p>
    <w:p w:rsidR="00B87FBF" w:rsidRDefault="00BC7E88">
      <w:pPr>
        <w:numPr>
          <w:ilvl w:val="0"/>
          <w:numId w:val="7"/>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投资能力</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）产业项目合作方；</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）投资决策流程及风险控制；</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3</w:t>
      </w:r>
      <w:r>
        <w:rPr>
          <w:rFonts w:ascii="Times New Roman" w:eastAsia="仿宋_GB2312" w:hAnsi="Times New Roman" w:cs="Times New Roman"/>
          <w:sz w:val="30"/>
          <w:szCs w:val="30"/>
        </w:rPr>
        <w:t>）竞争取得项目的策略和优势；</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4</w:t>
      </w:r>
      <w:r>
        <w:rPr>
          <w:rFonts w:ascii="Times New Roman" w:eastAsia="仿宋_GB2312" w:hAnsi="Times New Roman" w:cs="Times New Roman"/>
          <w:sz w:val="30"/>
          <w:szCs w:val="30"/>
        </w:rPr>
        <w:t>）作为牵头投资人的经验。</w:t>
      </w:r>
    </w:p>
    <w:p w:rsidR="00B87FBF" w:rsidRDefault="00B87FBF">
      <w:pPr>
        <w:spacing w:line="560" w:lineRule="exact"/>
        <w:ind w:firstLineChars="200" w:firstLine="600"/>
        <w:rPr>
          <w:rFonts w:ascii="Times New Roman" w:eastAsia="仿宋_GB2312" w:hAnsi="Times New Roman" w:cs="Times New Roman"/>
          <w:sz w:val="30"/>
          <w:szCs w:val="30"/>
        </w:rPr>
      </w:pPr>
    </w:p>
    <w:p w:rsidR="00B87FBF" w:rsidRDefault="00BC7E88">
      <w:pPr>
        <w:numPr>
          <w:ilvl w:val="0"/>
          <w:numId w:val="7"/>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项目管理能力</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1</w:t>
      </w:r>
      <w:r>
        <w:rPr>
          <w:rFonts w:ascii="Times New Roman" w:eastAsia="仿宋_GB2312" w:hAnsi="Times New Roman" w:cs="Times New Roman"/>
          <w:sz w:val="30"/>
          <w:szCs w:val="30"/>
        </w:rPr>
        <w:t>）细分行业投资经验；</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w:t>
      </w:r>
      <w:r>
        <w:rPr>
          <w:rFonts w:ascii="Times New Roman" w:eastAsia="仿宋_GB2312" w:hAnsi="Times New Roman" w:cs="Times New Roman"/>
          <w:sz w:val="30"/>
          <w:szCs w:val="30"/>
        </w:rPr>
        <w:t>2</w:t>
      </w:r>
      <w:r>
        <w:rPr>
          <w:rFonts w:ascii="Times New Roman" w:eastAsia="仿宋_GB2312" w:hAnsi="Times New Roman" w:cs="Times New Roman"/>
          <w:sz w:val="30"/>
          <w:szCs w:val="30"/>
        </w:rPr>
        <w:t>）提供增值服务的能力和成绩。</w:t>
      </w:r>
    </w:p>
    <w:p w:rsidR="00B87FBF" w:rsidRDefault="00BC7E88">
      <w:pPr>
        <w:numPr>
          <w:ilvl w:val="0"/>
          <w:numId w:val="7"/>
        </w:num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退出能力</w:t>
      </w:r>
    </w:p>
    <w:p w:rsidR="00B87FBF" w:rsidRDefault="00BC7E88">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sz w:val="30"/>
          <w:szCs w:val="30"/>
        </w:rPr>
        <w:t>已退出项目介绍。</w:t>
      </w:r>
    </w:p>
    <w:p w:rsidR="00B87FBF" w:rsidRDefault="00B87FBF">
      <w:pPr>
        <w:spacing w:line="360" w:lineRule="auto"/>
        <w:jc w:val="left"/>
        <w:rPr>
          <w:rFonts w:ascii="黑体" w:eastAsia="黑体" w:hAnsi="黑体" w:cs="黑体"/>
          <w:sz w:val="30"/>
          <w:szCs w:val="30"/>
        </w:rPr>
        <w:sectPr w:rsidR="00B87FBF">
          <w:footerReference w:type="default" r:id="rId10"/>
          <w:pgSz w:w="11906" w:h="16838"/>
          <w:pgMar w:top="2098" w:right="1531" w:bottom="1985" w:left="1531" w:header="1588" w:footer="851" w:gutter="0"/>
          <w:pgNumType w:fmt="numberInDash" w:start="1"/>
          <w:cols w:space="425"/>
          <w:docGrid w:type="lines" w:linePitch="312"/>
        </w:sectPr>
      </w:pPr>
    </w:p>
    <w:p w:rsidR="00B87FBF" w:rsidRDefault="00BC7E88">
      <w:pPr>
        <w:spacing w:line="360" w:lineRule="auto"/>
        <w:jc w:val="left"/>
        <w:rPr>
          <w:rFonts w:ascii="Times New Roman" w:eastAsia="仿宋_GB2312" w:hAnsi="Times New Roman" w:cs="Times New Roman"/>
          <w:sz w:val="30"/>
          <w:szCs w:val="30"/>
        </w:rPr>
      </w:pPr>
      <w:r>
        <w:rPr>
          <w:rFonts w:ascii="黑体" w:eastAsia="黑体" w:hAnsi="黑体" w:cs="黑体" w:hint="eastAsia"/>
          <w:sz w:val="30"/>
          <w:szCs w:val="30"/>
        </w:rPr>
        <w:lastRenderedPageBreak/>
        <w:t>附件</w:t>
      </w:r>
      <w:r w:rsidR="00D11092">
        <w:rPr>
          <w:rFonts w:ascii="黑体" w:eastAsia="黑体" w:hAnsi="黑体" w:cs="黑体" w:hint="eastAsia"/>
          <w:sz w:val="30"/>
          <w:szCs w:val="30"/>
        </w:rPr>
        <w:t>3</w:t>
      </w:r>
    </w:p>
    <w:p w:rsidR="00B87FBF" w:rsidRDefault="00BC7E88">
      <w:pPr>
        <w:adjustRightInd w:val="0"/>
        <w:spacing w:line="620" w:lineRule="exact"/>
        <w:jc w:val="center"/>
        <w:rPr>
          <w:rFonts w:ascii="Times New Roman" w:eastAsia="仿宋_GB2312" w:hAnsi="Times New Roman" w:cs="Times New Roman"/>
          <w:sz w:val="44"/>
          <w:szCs w:val="44"/>
        </w:rPr>
      </w:pPr>
      <w:r>
        <w:rPr>
          <w:rFonts w:ascii="方正小标宋_GBK" w:eastAsia="方正小标宋_GBK" w:hAnsi="方正小标宋_GBK" w:cs="方正小标宋_GBK" w:hint="eastAsia"/>
          <w:sz w:val="44"/>
          <w:szCs w:val="44"/>
        </w:rPr>
        <w:t>评分细则</w:t>
      </w:r>
    </w:p>
    <w:p w:rsidR="00B87FBF" w:rsidRDefault="00BC7E88">
      <w:pPr>
        <w:adjustRightIn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本次评审满分为</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分，具体见下表：</w:t>
      </w:r>
    </w:p>
    <w:tbl>
      <w:tblPr>
        <w:tblW w:w="8920" w:type="dxa"/>
        <w:tblInd w:w="93" w:type="dxa"/>
        <w:tblLayout w:type="fixed"/>
        <w:tblLook w:val="04A0"/>
      </w:tblPr>
      <w:tblGrid>
        <w:gridCol w:w="600"/>
        <w:gridCol w:w="1220"/>
        <w:gridCol w:w="640"/>
        <w:gridCol w:w="4880"/>
        <w:gridCol w:w="500"/>
        <w:gridCol w:w="1080"/>
      </w:tblGrid>
      <w:tr w:rsidR="00B87FBF">
        <w:trPr>
          <w:trHeight w:val="40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序号</w:t>
            </w: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评审内容</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分值</w:t>
            </w:r>
          </w:p>
        </w:tc>
        <w:tc>
          <w:tcPr>
            <w:tcW w:w="5380" w:type="dxa"/>
            <w:gridSpan w:val="2"/>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评审标准</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评审得分</w:t>
            </w:r>
          </w:p>
        </w:tc>
      </w:tr>
      <w:tr w:rsidR="00B87FBF">
        <w:trPr>
          <w:trHeight w:val="405"/>
        </w:trPr>
        <w:tc>
          <w:tcPr>
            <w:tcW w:w="600" w:type="dxa"/>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一</w:t>
            </w:r>
          </w:p>
        </w:tc>
        <w:tc>
          <w:tcPr>
            <w:tcW w:w="122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企业情况</w:t>
            </w:r>
          </w:p>
        </w:tc>
        <w:tc>
          <w:tcPr>
            <w:tcW w:w="64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488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81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企业资质</w:t>
            </w:r>
          </w:p>
        </w:tc>
        <w:tc>
          <w:tcPr>
            <w:tcW w:w="64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4880" w:type="dxa"/>
            <w:tcBorders>
              <w:top w:val="nil"/>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在中国证券投资基金业协会完成私募基金管理人登记三年及以上，已有</w:t>
            </w:r>
            <w:r>
              <w:rPr>
                <w:rFonts w:ascii="Times New Roman" w:hAnsi="Times New Roman" w:cs="Times New Roman"/>
                <w:kern w:val="0"/>
                <w:sz w:val="22"/>
              </w:rPr>
              <w:t>1</w:t>
            </w:r>
            <w:r>
              <w:rPr>
                <w:rFonts w:ascii="Times New Roman" w:hAnsi="Times New Roman" w:cs="Times New Roman"/>
                <w:kern w:val="0"/>
                <w:sz w:val="22"/>
              </w:rPr>
              <w:t>支私募股权投资基金产品在中国证券投资基金业协会完成备案。</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810"/>
        </w:trPr>
        <w:tc>
          <w:tcPr>
            <w:tcW w:w="60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nil"/>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在中国证券投资基金业协会完成私募基金管理人登记三年及以上，已有</w:t>
            </w:r>
            <w:r>
              <w:rPr>
                <w:rFonts w:ascii="Times New Roman" w:hAnsi="Times New Roman" w:cs="Times New Roman"/>
                <w:kern w:val="0"/>
                <w:sz w:val="22"/>
              </w:rPr>
              <w:t>3</w:t>
            </w:r>
            <w:r>
              <w:rPr>
                <w:rFonts w:ascii="Times New Roman" w:hAnsi="Times New Roman" w:cs="Times New Roman"/>
                <w:kern w:val="0"/>
                <w:sz w:val="22"/>
              </w:rPr>
              <w:t>支私募股权投资基金产品在中国证券投资基金业协会完成备案。</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108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81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2</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企业业绩</w:t>
            </w:r>
          </w:p>
        </w:tc>
        <w:tc>
          <w:tcPr>
            <w:tcW w:w="64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15</w:t>
            </w:r>
          </w:p>
        </w:tc>
        <w:tc>
          <w:tcPr>
            <w:tcW w:w="4880" w:type="dxa"/>
            <w:tcBorders>
              <w:top w:val="nil"/>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至少完成一个基金的退出，且无亏损情况。</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810"/>
        </w:trPr>
        <w:tc>
          <w:tcPr>
            <w:tcW w:w="60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nil"/>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至少完成两个基金的退出，且无亏损情况。基金管理人实际在管的基金需有不低于一个</w:t>
            </w:r>
            <w:r>
              <w:rPr>
                <w:rFonts w:ascii="Times New Roman" w:hAnsi="Times New Roman" w:cs="Times New Roman"/>
                <w:kern w:val="0"/>
                <w:sz w:val="22"/>
              </w:rPr>
              <w:t>IPO</w:t>
            </w:r>
            <w:r>
              <w:rPr>
                <w:rFonts w:ascii="Times New Roman" w:hAnsi="Times New Roman" w:cs="Times New Roman"/>
                <w:kern w:val="0"/>
                <w:sz w:val="22"/>
              </w:rPr>
              <w:t>成功上市的项目。</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108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810"/>
        </w:trPr>
        <w:tc>
          <w:tcPr>
            <w:tcW w:w="60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nil"/>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至少完成三个基金的退出，且无亏损情况。基金管理人实际在管的基金需有不低于三个</w:t>
            </w:r>
            <w:r>
              <w:rPr>
                <w:rFonts w:ascii="Times New Roman" w:hAnsi="Times New Roman" w:cs="Times New Roman"/>
                <w:kern w:val="0"/>
                <w:sz w:val="22"/>
              </w:rPr>
              <w:t>IPO</w:t>
            </w:r>
            <w:r>
              <w:rPr>
                <w:rFonts w:ascii="Times New Roman" w:hAnsi="Times New Roman" w:cs="Times New Roman"/>
                <w:kern w:val="0"/>
                <w:sz w:val="22"/>
              </w:rPr>
              <w:t>成功上市的项目。</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15</w:t>
            </w:r>
          </w:p>
        </w:tc>
        <w:tc>
          <w:tcPr>
            <w:tcW w:w="108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555"/>
        </w:trPr>
        <w:tc>
          <w:tcPr>
            <w:tcW w:w="600" w:type="dxa"/>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二</w:t>
            </w:r>
          </w:p>
        </w:tc>
        <w:tc>
          <w:tcPr>
            <w:tcW w:w="1220" w:type="dxa"/>
            <w:tcBorders>
              <w:top w:val="nil"/>
              <w:left w:val="nil"/>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管理团队</w:t>
            </w:r>
            <w:r>
              <w:rPr>
                <w:rFonts w:ascii="Times New Roman" w:hAnsi="Times New Roman" w:cs="Times New Roman"/>
                <w:kern w:val="0"/>
                <w:sz w:val="22"/>
              </w:rPr>
              <w:t xml:space="preserve">    </w:t>
            </w:r>
            <w:r>
              <w:rPr>
                <w:rFonts w:ascii="Times New Roman" w:hAnsi="Times New Roman" w:cs="Times New Roman"/>
                <w:kern w:val="0"/>
                <w:sz w:val="22"/>
              </w:rPr>
              <w:t>情况</w:t>
            </w:r>
          </w:p>
        </w:tc>
        <w:tc>
          <w:tcPr>
            <w:tcW w:w="64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4880" w:type="dxa"/>
            <w:tcBorders>
              <w:top w:val="nil"/>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135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管理团队</w:t>
            </w:r>
            <w:r>
              <w:rPr>
                <w:rFonts w:ascii="Times New Roman" w:hAnsi="Times New Roman" w:cs="Times New Roman"/>
                <w:kern w:val="0"/>
                <w:sz w:val="22"/>
              </w:rPr>
              <w:t xml:space="preserve">   </w:t>
            </w:r>
            <w:r>
              <w:rPr>
                <w:rFonts w:ascii="Times New Roman" w:hAnsi="Times New Roman" w:cs="Times New Roman"/>
                <w:kern w:val="0"/>
                <w:sz w:val="22"/>
              </w:rPr>
              <w:t>能力</w:t>
            </w:r>
          </w:p>
        </w:tc>
        <w:tc>
          <w:tcPr>
            <w:tcW w:w="64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4880" w:type="dxa"/>
            <w:tcBorders>
              <w:top w:val="nil"/>
              <w:left w:val="nil"/>
              <w:bottom w:val="single" w:sz="4" w:space="0" w:color="auto"/>
              <w:right w:val="single" w:sz="4" w:space="0" w:color="auto"/>
            </w:tcBorders>
            <w:shd w:val="clear" w:color="auto" w:fill="auto"/>
            <w:vAlign w:val="center"/>
          </w:tcPr>
          <w:p w:rsidR="00B87FBF" w:rsidRDefault="00BC7E88" w:rsidP="006F53B0">
            <w:pPr>
              <w:widowControl/>
              <w:jc w:val="left"/>
              <w:rPr>
                <w:rFonts w:ascii="Times New Roman" w:hAnsi="Times New Roman" w:cs="Times New Roman"/>
                <w:kern w:val="0"/>
                <w:sz w:val="22"/>
              </w:rPr>
            </w:pPr>
            <w:bookmarkStart w:id="6" w:name="RANGE!D10"/>
            <w:r>
              <w:rPr>
                <w:rFonts w:ascii="Times New Roman" w:hAnsi="Times New Roman" w:cs="Times New Roman"/>
                <w:kern w:val="0"/>
                <w:sz w:val="22"/>
              </w:rPr>
              <w:t>至少有</w:t>
            </w:r>
            <w:r w:rsidR="006F53B0">
              <w:rPr>
                <w:rFonts w:ascii="Times New Roman" w:hAnsi="Times New Roman" w:cs="Times New Roman" w:hint="eastAsia"/>
                <w:kern w:val="0"/>
                <w:sz w:val="22"/>
              </w:rPr>
              <w:t>2</w:t>
            </w:r>
            <w:r>
              <w:rPr>
                <w:rFonts w:ascii="Times New Roman" w:hAnsi="Times New Roman" w:cs="Times New Roman"/>
                <w:kern w:val="0"/>
                <w:sz w:val="22"/>
              </w:rPr>
              <w:t>名有执业资格证且具备</w:t>
            </w:r>
            <w:r>
              <w:rPr>
                <w:rFonts w:ascii="Times New Roman" w:hAnsi="Times New Roman" w:cs="Times New Roman"/>
                <w:kern w:val="0"/>
                <w:sz w:val="22"/>
              </w:rPr>
              <w:t>3</w:t>
            </w:r>
            <w:r>
              <w:rPr>
                <w:rFonts w:ascii="Times New Roman" w:hAnsi="Times New Roman" w:cs="Times New Roman"/>
                <w:kern w:val="0"/>
                <w:sz w:val="22"/>
              </w:rPr>
              <w:t>年以上股权投资管理工作经验的专职管理人员，管理团队承诺团队关键人在基金运作期间不中途退出，且管理团队的负责人，具有</w:t>
            </w:r>
            <w:r>
              <w:rPr>
                <w:rFonts w:ascii="Times New Roman" w:hAnsi="Times New Roman" w:cs="Times New Roman"/>
                <w:kern w:val="0"/>
                <w:sz w:val="22"/>
              </w:rPr>
              <w:t>5</w:t>
            </w:r>
            <w:r>
              <w:rPr>
                <w:rFonts w:ascii="Times New Roman" w:hAnsi="Times New Roman" w:cs="Times New Roman"/>
                <w:kern w:val="0"/>
                <w:sz w:val="22"/>
              </w:rPr>
              <w:t>年以上相关基金从业经验。</w:t>
            </w:r>
            <w:bookmarkEnd w:id="6"/>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1350"/>
        </w:trPr>
        <w:tc>
          <w:tcPr>
            <w:tcW w:w="60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nil"/>
              <w:left w:val="nil"/>
              <w:bottom w:val="single" w:sz="4" w:space="0" w:color="auto"/>
              <w:right w:val="single" w:sz="4" w:space="0" w:color="auto"/>
            </w:tcBorders>
            <w:shd w:val="clear" w:color="auto" w:fill="auto"/>
            <w:vAlign w:val="center"/>
          </w:tcPr>
          <w:p w:rsidR="00B87FBF" w:rsidRDefault="00BC7E88" w:rsidP="006F53B0">
            <w:pPr>
              <w:widowControl/>
              <w:jc w:val="left"/>
              <w:rPr>
                <w:rFonts w:ascii="Times New Roman" w:hAnsi="Times New Roman" w:cs="Times New Roman"/>
                <w:kern w:val="0"/>
                <w:sz w:val="22"/>
              </w:rPr>
            </w:pPr>
            <w:r>
              <w:rPr>
                <w:rFonts w:ascii="Times New Roman" w:hAnsi="Times New Roman" w:cs="Times New Roman"/>
                <w:kern w:val="0"/>
                <w:sz w:val="22"/>
              </w:rPr>
              <w:t>至少有</w:t>
            </w:r>
            <w:r>
              <w:rPr>
                <w:rFonts w:ascii="Times New Roman" w:hAnsi="Times New Roman" w:cs="Times New Roman"/>
                <w:kern w:val="0"/>
                <w:sz w:val="22"/>
              </w:rPr>
              <w:t>3</w:t>
            </w:r>
            <w:r>
              <w:rPr>
                <w:rFonts w:ascii="Times New Roman" w:hAnsi="Times New Roman" w:cs="Times New Roman"/>
                <w:kern w:val="0"/>
                <w:sz w:val="22"/>
              </w:rPr>
              <w:t>名有执业资格证且具备</w:t>
            </w:r>
            <w:r w:rsidR="006F53B0">
              <w:rPr>
                <w:rFonts w:ascii="Times New Roman" w:hAnsi="Times New Roman" w:cs="Times New Roman" w:hint="eastAsia"/>
                <w:kern w:val="0"/>
                <w:sz w:val="22"/>
              </w:rPr>
              <w:t>4</w:t>
            </w:r>
            <w:r>
              <w:rPr>
                <w:rFonts w:ascii="Times New Roman" w:hAnsi="Times New Roman" w:cs="Times New Roman"/>
                <w:kern w:val="0"/>
                <w:sz w:val="22"/>
              </w:rPr>
              <w:t>年以上股权投资管理工作经验的专职管理人员，管理团队承诺团队关键人在基金运作期间不中途退出，且管理团队的负责人，具有</w:t>
            </w:r>
            <w:r>
              <w:rPr>
                <w:rFonts w:ascii="Times New Roman" w:hAnsi="Times New Roman" w:cs="Times New Roman"/>
                <w:kern w:val="0"/>
                <w:sz w:val="22"/>
              </w:rPr>
              <w:t>8</w:t>
            </w:r>
            <w:r>
              <w:rPr>
                <w:rFonts w:ascii="Times New Roman" w:hAnsi="Times New Roman" w:cs="Times New Roman"/>
                <w:kern w:val="0"/>
                <w:sz w:val="22"/>
              </w:rPr>
              <w:t>年以上相关基金从业经验。</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108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1080"/>
        </w:trPr>
        <w:tc>
          <w:tcPr>
            <w:tcW w:w="60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4</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管理团队</w:t>
            </w:r>
            <w:r>
              <w:rPr>
                <w:rFonts w:ascii="Times New Roman" w:hAnsi="Times New Roman" w:cs="Times New Roman"/>
                <w:kern w:val="0"/>
                <w:sz w:val="22"/>
              </w:rPr>
              <w:t xml:space="preserve">    </w:t>
            </w:r>
            <w:r>
              <w:rPr>
                <w:rFonts w:ascii="Times New Roman" w:hAnsi="Times New Roman" w:cs="Times New Roman"/>
                <w:kern w:val="0"/>
                <w:sz w:val="22"/>
              </w:rPr>
              <w:t>业绩</w:t>
            </w:r>
          </w:p>
        </w:tc>
        <w:tc>
          <w:tcPr>
            <w:tcW w:w="64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15</w:t>
            </w:r>
          </w:p>
        </w:tc>
        <w:tc>
          <w:tcPr>
            <w:tcW w:w="4880" w:type="dxa"/>
            <w:tcBorders>
              <w:top w:val="nil"/>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管理团队实际管理基金需有不低于两个</w:t>
            </w:r>
            <w:r>
              <w:rPr>
                <w:rFonts w:ascii="Times New Roman" w:hAnsi="Times New Roman" w:cs="Times New Roman"/>
                <w:kern w:val="0"/>
                <w:sz w:val="22"/>
              </w:rPr>
              <w:t>IPO</w:t>
            </w:r>
            <w:r>
              <w:rPr>
                <w:rFonts w:ascii="Times New Roman" w:hAnsi="Times New Roman" w:cs="Times New Roman"/>
                <w:kern w:val="0"/>
                <w:sz w:val="22"/>
              </w:rPr>
              <w:t>成</w:t>
            </w:r>
            <w:bookmarkStart w:id="7" w:name="_GoBack"/>
            <w:bookmarkEnd w:id="7"/>
            <w:r>
              <w:rPr>
                <w:rFonts w:ascii="Times New Roman" w:hAnsi="Times New Roman" w:cs="Times New Roman"/>
                <w:kern w:val="0"/>
                <w:sz w:val="22"/>
              </w:rPr>
              <w:t>功上市或被上市公司并购项目。管理团队的负责人具有管理政府产业基金、母基金的相关经验，实际管理的基金总规模不低于</w:t>
            </w:r>
            <w:r>
              <w:rPr>
                <w:rFonts w:ascii="Times New Roman" w:hAnsi="Times New Roman" w:cs="Times New Roman"/>
                <w:kern w:val="0"/>
                <w:sz w:val="22"/>
              </w:rPr>
              <w:t>5</w:t>
            </w:r>
            <w:r>
              <w:rPr>
                <w:rFonts w:ascii="Times New Roman" w:hAnsi="Times New Roman" w:cs="Times New Roman"/>
                <w:kern w:val="0"/>
                <w:sz w:val="22"/>
              </w:rPr>
              <w:t>亿元。</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540"/>
        </w:trPr>
        <w:tc>
          <w:tcPr>
            <w:tcW w:w="60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nil"/>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管理团队实际管理基金每增加一个</w:t>
            </w:r>
            <w:r>
              <w:rPr>
                <w:rFonts w:ascii="Times New Roman" w:hAnsi="Times New Roman" w:cs="Times New Roman"/>
                <w:kern w:val="0"/>
                <w:sz w:val="22"/>
              </w:rPr>
              <w:t>IPO</w:t>
            </w:r>
            <w:r>
              <w:rPr>
                <w:rFonts w:ascii="Times New Roman" w:hAnsi="Times New Roman" w:cs="Times New Roman"/>
                <w:kern w:val="0"/>
                <w:sz w:val="22"/>
              </w:rPr>
              <w:t>成功上市或被上市公司并购项目加</w:t>
            </w:r>
            <w:r>
              <w:rPr>
                <w:rFonts w:ascii="Times New Roman" w:hAnsi="Times New Roman" w:cs="Times New Roman"/>
                <w:kern w:val="0"/>
                <w:sz w:val="22"/>
              </w:rPr>
              <w:t>3</w:t>
            </w:r>
            <w:r>
              <w:rPr>
                <w:rFonts w:ascii="Times New Roman" w:hAnsi="Times New Roman" w:cs="Times New Roman"/>
                <w:kern w:val="0"/>
                <w:sz w:val="22"/>
              </w:rPr>
              <w:t>分，最多加</w:t>
            </w:r>
            <w:r>
              <w:rPr>
                <w:rFonts w:ascii="Times New Roman" w:hAnsi="Times New Roman" w:cs="Times New Roman"/>
                <w:kern w:val="0"/>
                <w:sz w:val="22"/>
              </w:rPr>
              <w:t>9</w:t>
            </w:r>
            <w:r>
              <w:rPr>
                <w:rFonts w:ascii="Times New Roman" w:hAnsi="Times New Roman" w:cs="Times New Roman"/>
                <w:kern w:val="0"/>
                <w:sz w:val="22"/>
              </w:rPr>
              <w:t>分。</w:t>
            </w:r>
          </w:p>
        </w:tc>
        <w:tc>
          <w:tcPr>
            <w:tcW w:w="500" w:type="dxa"/>
            <w:tcBorders>
              <w:top w:val="nil"/>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1080" w:type="dxa"/>
            <w:vMerge/>
            <w:tcBorders>
              <w:top w:val="nil"/>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lastRenderedPageBreak/>
              <w:t>三</w:t>
            </w:r>
          </w:p>
        </w:tc>
        <w:tc>
          <w:tcPr>
            <w:tcW w:w="122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产业发展</w:t>
            </w:r>
            <w:r>
              <w:rPr>
                <w:rFonts w:ascii="Times New Roman" w:hAnsi="Times New Roman" w:cs="Times New Roman"/>
                <w:kern w:val="0"/>
                <w:sz w:val="22"/>
              </w:rPr>
              <w:t xml:space="preserve">     </w:t>
            </w:r>
            <w:r>
              <w:rPr>
                <w:rFonts w:ascii="Times New Roman" w:hAnsi="Times New Roman" w:cs="Times New Roman"/>
                <w:kern w:val="0"/>
                <w:sz w:val="22"/>
              </w:rPr>
              <w:t>能力</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54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5</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先进制造业市场</w:t>
            </w:r>
          </w:p>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协同整合能力</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有与院士、国家千人计划高层次人才、知名科学家等行业专家成功合作案例。</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810"/>
        </w:trPr>
        <w:tc>
          <w:tcPr>
            <w:tcW w:w="60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具备电子信息、智能制造、轨道交通专业技术背景，且能带动相关产业落地。有相关项目业绩，每个得</w:t>
            </w:r>
            <w:r>
              <w:rPr>
                <w:rFonts w:ascii="Times New Roman" w:hAnsi="Times New Roman" w:cs="Times New Roman"/>
                <w:kern w:val="0"/>
                <w:sz w:val="22"/>
              </w:rPr>
              <w:t>3</w:t>
            </w:r>
            <w:r>
              <w:rPr>
                <w:rFonts w:ascii="Times New Roman" w:hAnsi="Times New Roman" w:cs="Times New Roman"/>
                <w:kern w:val="0"/>
                <w:sz w:val="22"/>
              </w:rPr>
              <w:t>分，最多得</w:t>
            </w:r>
            <w:r>
              <w:rPr>
                <w:rFonts w:ascii="Times New Roman" w:hAnsi="Times New Roman" w:cs="Times New Roman"/>
                <w:kern w:val="0"/>
                <w:sz w:val="22"/>
              </w:rPr>
              <w:t>9</w:t>
            </w:r>
            <w:r>
              <w:rPr>
                <w:rFonts w:ascii="Times New Roman" w:hAnsi="Times New Roman" w:cs="Times New Roman"/>
                <w:kern w:val="0"/>
                <w:sz w:val="22"/>
              </w:rPr>
              <w:t>分。</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9</w:t>
            </w:r>
          </w:p>
        </w:tc>
        <w:tc>
          <w:tcPr>
            <w:tcW w:w="108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810"/>
        </w:trPr>
        <w:tc>
          <w:tcPr>
            <w:tcW w:w="60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有与地方政府合作打造先进制造业产业集群发展经验。有相关项目业绩，每个得</w:t>
            </w:r>
            <w:r>
              <w:rPr>
                <w:rFonts w:ascii="Times New Roman" w:hAnsi="Times New Roman" w:cs="Times New Roman"/>
                <w:kern w:val="0"/>
                <w:sz w:val="22"/>
              </w:rPr>
              <w:t>5</w:t>
            </w:r>
            <w:r>
              <w:rPr>
                <w:rFonts w:ascii="Times New Roman" w:hAnsi="Times New Roman" w:cs="Times New Roman"/>
                <w:kern w:val="0"/>
                <w:sz w:val="22"/>
              </w:rPr>
              <w:t>分，最多得</w:t>
            </w:r>
            <w:r>
              <w:rPr>
                <w:rFonts w:ascii="Times New Roman" w:hAnsi="Times New Roman" w:cs="Times New Roman"/>
                <w:kern w:val="0"/>
                <w:sz w:val="22"/>
              </w:rPr>
              <w:t>10</w:t>
            </w:r>
            <w:r>
              <w:rPr>
                <w:rFonts w:ascii="Times New Roman" w:hAnsi="Times New Roman" w:cs="Times New Roman"/>
                <w:kern w:val="0"/>
                <w:sz w:val="22"/>
              </w:rPr>
              <w:t>分。</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108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48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四</w:t>
            </w:r>
          </w:p>
        </w:tc>
        <w:tc>
          <w:tcPr>
            <w:tcW w:w="122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基金方案</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25</w:t>
            </w: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540"/>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管理制度</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15</w:t>
            </w: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具备规范的项目准入机制和严格的投资决策程序。</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270"/>
        </w:trPr>
        <w:tc>
          <w:tcPr>
            <w:tcW w:w="60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健全的产业投资管理和风险控制流程。</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108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540"/>
        </w:trPr>
        <w:tc>
          <w:tcPr>
            <w:tcW w:w="60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完备的投资管理制度、完整的投资档案体系及健全的财务管理制度。</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3</w:t>
            </w:r>
          </w:p>
        </w:tc>
        <w:tc>
          <w:tcPr>
            <w:tcW w:w="108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270"/>
        </w:trPr>
        <w:tc>
          <w:tcPr>
            <w:tcW w:w="60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122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64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健全的投后管理体系及能力证明。</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6</w:t>
            </w:r>
          </w:p>
        </w:tc>
        <w:tc>
          <w:tcPr>
            <w:tcW w:w="1080" w:type="dxa"/>
            <w:vMerge/>
            <w:tcBorders>
              <w:top w:val="single" w:sz="4" w:space="0" w:color="auto"/>
              <w:left w:val="single" w:sz="4" w:space="0" w:color="auto"/>
              <w:bottom w:val="single" w:sz="4" w:space="0" w:color="auto"/>
              <w:right w:val="single" w:sz="4" w:space="0" w:color="auto"/>
            </w:tcBorders>
            <w:vAlign w:val="center"/>
          </w:tcPr>
          <w:p w:rsidR="00B87FBF" w:rsidRDefault="00B87FBF">
            <w:pPr>
              <w:widowControl/>
              <w:jc w:val="left"/>
              <w:rPr>
                <w:rFonts w:ascii="Times New Roman" w:hAnsi="Times New Roman" w:cs="Times New Roman"/>
                <w:kern w:val="0"/>
                <w:sz w:val="22"/>
              </w:rPr>
            </w:pPr>
          </w:p>
        </w:tc>
      </w:tr>
      <w:tr w:rsidR="00B87FBF">
        <w:trPr>
          <w:trHeight w:val="54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7</w:t>
            </w:r>
          </w:p>
        </w:tc>
        <w:tc>
          <w:tcPr>
            <w:tcW w:w="122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基金实施</w:t>
            </w:r>
            <w:r>
              <w:rPr>
                <w:rFonts w:ascii="Times New Roman" w:hAnsi="Times New Roman" w:cs="Times New Roman"/>
                <w:kern w:val="0"/>
                <w:sz w:val="22"/>
              </w:rPr>
              <w:t xml:space="preserve">    </w:t>
            </w:r>
            <w:r>
              <w:rPr>
                <w:rFonts w:ascii="Times New Roman" w:hAnsi="Times New Roman" w:cs="Times New Roman"/>
                <w:kern w:val="0"/>
                <w:sz w:val="22"/>
              </w:rPr>
              <w:t>方案可行性</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基金实施方案要素清晰，能结合石峰区实际情况，时间节点明确，可操作性强。</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r>
      <w:tr w:rsidR="00B87FBF">
        <w:trPr>
          <w:trHeight w:val="51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center"/>
              <w:rPr>
                <w:rFonts w:ascii="Times New Roman" w:hAnsi="Times New Roman" w:cs="Times New Roman"/>
                <w:kern w:val="0"/>
                <w:sz w:val="22"/>
              </w:rPr>
            </w:pPr>
            <w:r>
              <w:rPr>
                <w:rFonts w:ascii="Times New Roman" w:hAnsi="Times New Roman" w:cs="Times New Roman"/>
                <w:kern w:val="0"/>
                <w:sz w:val="22"/>
              </w:rPr>
              <w:t>合计</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c>
          <w:tcPr>
            <w:tcW w:w="4880" w:type="dxa"/>
            <w:tcBorders>
              <w:top w:val="single" w:sz="4" w:space="0" w:color="auto"/>
              <w:left w:val="nil"/>
              <w:bottom w:val="single" w:sz="4" w:space="0" w:color="auto"/>
              <w:right w:val="single" w:sz="4" w:space="0" w:color="auto"/>
            </w:tcBorders>
            <w:shd w:val="clear" w:color="auto" w:fill="auto"/>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c>
          <w:tcPr>
            <w:tcW w:w="50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87FBF" w:rsidRDefault="00BC7E88">
            <w:pPr>
              <w:widowControl/>
              <w:jc w:val="left"/>
              <w:rPr>
                <w:rFonts w:ascii="Times New Roman" w:hAnsi="Times New Roman" w:cs="Times New Roman"/>
                <w:kern w:val="0"/>
                <w:sz w:val="22"/>
              </w:rPr>
            </w:pPr>
            <w:r>
              <w:rPr>
                <w:rFonts w:ascii="Times New Roman" w:hAnsi="Times New Roman" w:cs="Times New Roman"/>
                <w:kern w:val="0"/>
                <w:sz w:val="22"/>
              </w:rPr>
              <w:t xml:space="preserve">　</w:t>
            </w:r>
          </w:p>
        </w:tc>
      </w:tr>
    </w:tbl>
    <w:p w:rsidR="00B87FBF" w:rsidRDefault="00B87FBF">
      <w:pPr>
        <w:adjustRightInd w:val="0"/>
        <w:spacing w:line="560" w:lineRule="exact"/>
        <w:ind w:firstLineChars="200" w:firstLine="640"/>
        <w:rPr>
          <w:rFonts w:ascii="Times New Roman" w:eastAsia="仿宋_GB2312" w:hAnsi="Times New Roman" w:cs="Times New Roman"/>
          <w:sz w:val="32"/>
          <w:szCs w:val="32"/>
        </w:rPr>
      </w:pPr>
    </w:p>
    <w:p w:rsidR="00B87FBF" w:rsidRDefault="00BC7E88">
      <w:pPr>
        <w:adjustRightIn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基金管理公司需承诺完全同意附件</w:t>
      </w:r>
      <w:r w:rsidR="00977F0E">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《基金合伙协议》及附件</w:t>
      </w:r>
      <w:r w:rsidR="00977F0E">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《基金合伙补充协议》，否则总分得</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分。</w:t>
      </w:r>
    </w:p>
    <w:p w:rsidR="00B87FBF" w:rsidRDefault="00BC7E88">
      <w:pPr>
        <w:adjustRightIn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基金管理公司及其工作人员无违法违规等不良记录，否则总分得</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分。</w:t>
      </w:r>
    </w:p>
    <w:p w:rsidR="00B87FBF" w:rsidRDefault="00B87FBF">
      <w:pPr>
        <w:pStyle w:val="a7"/>
        <w:shd w:val="clear" w:color="auto" w:fill="FFFFFF"/>
        <w:spacing w:before="0" w:beforeAutospacing="0" w:after="0" w:afterAutospacing="0" w:line="560" w:lineRule="exact"/>
        <w:jc w:val="both"/>
        <w:rPr>
          <w:rFonts w:ascii="Times New Roman" w:eastAsia="仿宋_GB2312" w:hAnsi="Times New Roman" w:cs="Times New Roman"/>
          <w:sz w:val="32"/>
          <w:szCs w:val="32"/>
        </w:rPr>
      </w:pPr>
    </w:p>
    <w:sectPr w:rsidR="00B87FBF" w:rsidSect="00B87FBF">
      <w:footerReference w:type="default" r:id="rId11"/>
      <w:pgSz w:w="11906" w:h="16838"/>
      <w:pgMar w:top="2098" w:right="1531" w:bottom="1985" w:left="1531" w:header="1588" w:footer="851"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C1B" w:rsidRDefault="00AF3C1B" w:rsidP="00B87FBF">
      <w:r>
        <w:separator/>
      </w:r>
    </w:p>
  </w:endnote>
  <w:endnote w:type="continuationSeparator" w:id="1">
    <w:p w:rsidR="00AF3C1B" w:rsidRDefault="00AF3C1B" w:rsidP="00B87F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BF" w:rsidRDefault="009E7152">
    <w:pPr>
      <w:pStyle w:val="a5"/>
    </w:pPr>
    <w:r>
      <w:pict>
        <v:shapetype id="_x0000_t202" coordsize="21600,21600" o:spt="202" path="m,l,21600r21600,l21600,xe">
          <v:stroke joinstyle="miter"/>
          <v:path gradientshapeok="t" o:connecttype="rect"/>
        </v:shapetype>
        <v:shape id="_x0000_s1026" type="#_x0000_t202" style="position:absolute;margin-left:520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B87FBF" w:rsidRDefault="009E7152">
                <w:pPr>
                  <w:pStyle w:val="a5"/>
                  <w:rPr>
                    <w:rFonts w:ascii="Times New Roman" w:hAnsi="Times New Roman" w:cs="Times New Roman"/>
                    <w:sz w:val="28"/>
                    <w:szCs w:val="28"/>
                  </w:rPr>
                </w:pPr>
                <w:r>
                  <w:rPr>
                    <w:rFonts w:ascii="Times New Roman" w:hAnsi="Times New Roman" w:cs="Times New Roman"/>
                    <w:sz w:val="28"/>
                    <w:szCs w:val="28"/>
                  </w:rPr>
                  <w:fldChar w:fldCharType="begin"/>
                </w:r>
                <w:r w:rsidR="00BC7E88">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84B48">
                  <w:rPr>
                    <w:rFonts w:ascii="Times New Roman" w:hAnsi="Times New Roman" w:cs="Times New Roman"/>
                    <w:noProof/>
                    <w:sz w:val="28"/>
                    <w:szCs w:val="28"/>
                  </w:rPr>
                  <w:t>- 6 -</w:t>
                </w:r>
                <w:r>
                  <w:rPr>
                    <w:rFonts w:ascii="Times New Roman" w:hAnsi="Times New Roman" w:cs="Times New Roman"/>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BF" w:rsidRDefault="00B87FB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BF" w:rsidRDefault="00B87FBF">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BF" w:rsidRDefault="009E7152">
    <w:pPr>
      <w:pStyle w:val="a5"/>
    </w:pPr>
    <w:r>
      <w:pict>
        <v:shapetype id="_x0000_t202" coordsize="21600,21600" o:spt="202" path="m,l,21600r21600,l21600,xe">
          <v:stroke joinstyle="miter"/>
          <v:path gradientshapeok="t" o:connecttype="rect"/>
        </v:shapetype>
        <v:shape id="_x0000_s2049" type="#_x0000_t202" style="position:absolute;margin-left:520pt;margin-top:0;width:2in;height:2in;z-index:25166540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B87FBF" w:rsidRDefault="009E7152">
                <w:pPr>
                  <w:pStyle w:val="a5"/>
                  <w:rPr>
                    <w:rFonts w:ascii="Times New Roman" w:hAnsi="Times New Roman" w:cs="Times New Roman"/>
                    <w:sz w:val="28"/>
                    <w:szCs w:val="28"/>
                  </w:rPr>
                </w:pPr>
                <w:r>
                  <w:rPr>
                    <w:rFonts w:ascii="Times New Roman" w:hAnsi="Times New Roman" w:cs="Times New Roman"/>
                    <w:sz w:val="28"/>
                    <w:szCs w:val="28"/>
                  </w:rPr>
                  <w:fldChar w:fldCharType="begin"/>
                </w:r>
                <w:r w:rsidR="00BC7E88">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284B48">
                  <w:rPr>
                    <w:rFonts w:ascii="Times New Roman" w:hAnsi="Times New Roman" w:cs="Times New Roman"/>
                    <w:noProof/>
                    <w:sz w:val="28"/>
                    <w:szCs w:val="28"/>
                  </w:rPr>
                  <w:t>- 1 -</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C1B" w:rsidRDefault="00AF3C1B" w:rsidP="00B87FBF">
      <w:r>
        <w:separator/>
      </w:r>
    </w:p>
  </w:footnote>
  <w:footnote w:type="continuationSeparator" w:id="1">
    <w:p w:rsidR="00AF3C1B" w:rsidRDefault="00AF3C1B" w:rsidP="00B87F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8D5E63"/>
    <w:multiLevelType w:val="singleLevel"/>
    <w:tmpl w:val="908D5E63"/>
    <w:lvl w:ilvl="0">
      <w:start w:val="1"/>
      <w:numFmt w:val="chineseCounting"/>
      <w:suff w:val="nothing"/>
      <w:lvlText w:val="%1、"/>
      <w:lvlJc w:val="left"/>
      <w:pPr>
        <w:ind w:left="0" w:firstLine="420"/>
      </w:pPr>
      <w:rPr>
        <w:rFonts w:hint="eastAsia"/>
      </w:rPr>
    </w:lvl>
  </w:abstractNum>
  <w:abstractNum w:abstractNumId="1">
    <w:nsid w:val="A06508F3"/>
    <w:multiLevelType w:val="singleLevel"/>
    <w:tmpl w:val="A06508F3"/>
    <w:lvl w:ilvl="0">
      <w:start w:val="1"/>
      <w:numFmt w:val="decimal"/>
      <w:suff w:val="nothing"/>
      <w:lvlText w:val="%1．"/>
      <w:lvlJc w:val="left"/>
      <w:pPr>
        <w:ind w:left="0" w:firstLine="400"/>
      </w:pPr>
      <w:rPr>
        <w:rFonts w:hint="default"/>
      </w:rPr>
    </w:lvl>
  </w:abstractNum>
  <w:abstractNum w:abstractNumId="2">
    <w:nsid w:val="B127960D"/>
    <w:multiLevelType w:val="singleLevel"/>
    <w:tmpl w:val="B127960D"/>
    <w:lvl w:ilvl="0">
      <w:start w:val="1"/>
      <w:numFmt w:val="decimal"/>
      <w:suff w:val="nothing"/>
      <w:lvlText w:val="%1．"/>
      <w:lvlJc w:val="left"/>
      <w:pPr>
        <w:ind w:left="0" w:firstLine="400"/>
      </w:pPr>
      <w:rPr>
        <w:rFonts w:hint="default"/>
      </w:rPr>
    </w:lvl>
  </w:abstractNum>
  <w:abstractNum w:abstractNumId="3">
    <w:nsid w:val="C4F05B2D"/>
    <w:multiLevelType w:val="singleLevel"/>
    <w:tmpl w:val="C4F05B2D"/>
    <w:lvl w:ilvl="0">
      <w:start w:val="1"/>
      <w:numFmt w:val="decimal"/>
      <w:suff w:val="nothing"/>
      <w:lvlText w:val="%1．"/>
      <w:lvlJc w:val="left"/>
      <w:pPr>
        <w:ind w:left="0" w:firstLine="400"/>
      </w:pPr>
      <w:rPr>
        <w:rFonts w:hint="default"/>
      </w:rPr>
    </w:lvl>
  </w:abstractNum>
  <w:abstractNum w:abstractNumId="4">
    <w:nsid w:val="3DE86C65"/>
    <w:multiLevelType w:val="singleLevel"/>
    <w:tmpl w:val="3DE86C65"/>
    <w:lvl w:ilvl="0">
      <w:start w:val="1"/>
      <w:numFmt w:val="decimal"/>
      <w:suff w:val="nothing"/>
      <w:lvlText w:val="%1．"/>
      <w:lvlJc w:val="left"/>
      <w:pPr>
        <w:ind w:left="0" w:firstLine="400"/>
      </w:pPr>
      <w:rPr>
        <w:rFonts w:hint="default"/>
      </w:rPr>
    </w:lvl>
  </w:abstractNum>
  <w:abstractNum w:abstractNumId="5">
    <w:nsid w:val="49EAC15A"/>
    <w:multiLevelType w:val="singleLevel"/>
    <w:tmpl w:val="49EAC15A"/>
    <w:lvl w:ilvl="0">
      <w:start w:val="1"/>
      <w:numFmt w:val="decimal"/>
      <w:suff w:val="nothing"/>
      <w:lvlText w:val="%1．"/>
      <w:lvlJc w:val="left"/>
      <w:pPr>
        <w:ind w:left="0" w:firstLine="400"/>
      </w:pPr>
      <w:rPr>
        <w:rFonts w:hint="default"/>
      </w:rPr>
    </w:lvl>
  </w:abstractNum>
  <w:abstractNum w:abstractNumId="6">
    <w:nsid w:val="5ED11B50"/>
    <w:multiLevelType w:val="singleLevel"/>
    <w:tmpl w:val="5ED11B50"/>
    <w:lvl w:ilvl="0">
      <w:start w:val="1"/>
      <w:numFmt w:val="decimal"/>
      <w:suff w:val="nothing"/>
      <w:lvlText w:val="%1．"/>
      <w:lvlJc w:val="left"/>
      <w:pPr>
        <w:ind w:left="0" w:firstLine="400"/>
      </w:pPr>
      <w:rPr>
        <w:rFont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D48"/>
    <w:rsid w:val="000160FA"/>
    <w:rsid w:val="00020A44"/>
    <w:rsid w:val="00024604"/>
    <w:rsid w:val="00050B79"/>
    <w:rsid w:val="000529E3"/>
    <w:rsid w:val="00075F4A"/>
    <w:rsid w:val="000A1975"/>
    <w:rsid w:val="000B69F8"/>
    <w:rsid w:val="000C392D"/>
    <w:rsid w:val="000E7DE7"/>
    <w:rsid w:val="00100B69"/>
    <w:rsid w:val="00105D29"/>
    <w:rsid w:val="00121175"/>
    <w:rsid w:val="00121292"/>
    <w:rsid w:val="00135A3A"/>
    <w:rsid w:val="0016453D"/>
    <w:rsid w:val="00181DEA"/>
    <w:rsid w:val="001C1D02"/>
    <w:rsid w:val="001D0BD1"/>
    <w:rsid w:val="002025DF"/>
    <w:rsid w:val="00204E33"/>
    <w:rsid w:val="00236FE9"/>
    <w:rsid w:val="00255011"/>
    <w:rsid w:val="00264ED0"/>
    <w:rsid w:val="00284B48"/>
    <w:rsid w:val="00295193"/>
    <w:rsid w:val="002A325D"/>
    <w:rsid w:val="002B6888"/>
    <w:rsid w:val="002C79A4"/>
    <w:rsid w:val="002F238C"/>
    <w:rsid w:val="002F2A58"/>
    <w:rsid w:val="002F609E"/>
    <w:rsid w:val="00322266"/>
    <w:rsid w:val="003402DE"/>
    <w:rsid w:val="003440E9"/>
    <w:rsid w:val="0035330A"/>
    <w:rsid w:val="003A2AF7"/>
    <w:rsid w:val="003F5C60"/>
    <w:rsid w:val="003F6A71"/>
    <w:rsid w:val="00403EA1"/>
    <w:rsid w:val="00407C70"/>
    <w:rsid w:val="004140E4"/>
    <w:rsid w:val="00425CEC"/>
    <w:rsid w:val="00427F8E"/>
    <w:rsid w:val="00440616"/>
    <w:rsid w:val="00480CC2"/>
    <w:rsid w:val="00486BB0"/>
    <w:rsid w:val="0048739E"/>
    <w:rsid w:val="004903A3"/>
    <w:rsid w:val="0049433B"/>
    <w:rsid w:val="004D5A52"/>
    <w:rsid w:val="004F0358"/>
    <w:rsid w:val="00517911"/>
    <w:rsid w:val="005312D1"/>
    <w:rsid w:val="0054385D"/>
    <w:rsid w:val="00557C91"/>
    <w:rsid w:val="005A1C6C"/>
    <w:rsid w:val="005D026B"/>
    <w:rsid w:val="005F3D51"/>
    <w:rsid w:val="00610CAC"/>
    <w:rsid w:val="00616A6D"/>
    <w:rsid w:val="00631ECA"/>
    <w:rsid w:val="006348D1"/>
    <w:rsid w:val="00662BA6"/>
    <w:rsid w:val="00666147"/>
    <w:rsid w:val="006718C5"/>
    <w:rsid w:val="006963DC"/>
    <w:rsid w:val="006A4CC6"/>
    <w:rsid w:val="006B5A8E"/>
    <w:rsid w:val="006F53B0"/>
    <w:rsid w:val="00723679"/>
    <w:rsid w:val="0072729F"/>
    <w:rsid w:val="00766C99"/>
    <w:rsid w:val="0078203E"/>
    <w:rsid w:val="007A2DB8"/>
    <w:rsid w:val="007A532B"/>
    <w:rsid w:val="007B56E7"/>
    <w:rsid w:val="00835CEF"/>
    <w:rsid w:val="00873048"/>
    <w:rsid w:val="008B33EA"/>
    <w:rsid w:val="008D03B1"/>
    <w:rsid w:val="008D77FC"/>
    <w:rsid w:val="008E6D63"/>
    <w:rsid w:val="00900D35"/>
    <w:rsid w:val="00911AA7"/>
    <w:rsid w:val="00912199"/>
    <w:rsid w:val="0092455A"/>
    <w:rsid w:val="0092683F"/>
    <w:rsid w:val="00956E8D"/>
    <w:rsid w:val="00966BF3"/>
    <w:rsid w:val="00977F0E"/>
    <w:rsid w:val="00990001"/>
    <w:rsid w:val="009A365E"/>
    <w:rsid w:val="009C20A7"/>
    <w:rsid w:val="009C3EC3"/>
    <w:rsid w:val="009C6490"/>
    <w:rsid w:val="009D43DE"/>
    <w:rsid w:val="009E7152"/>
    <w:rsid w:val="009F574C"/>
    <w:rsid w:val="00A04F5D"/>
    <w:rsid w:val="00A32ECC"/>
    <w:rsid w:val="00A404B9"/>
    <w:rsid w:val="00A439E5"/>
    <w:rsid w:val="00A57662"/>
    <w:rsid w:val="00A67A7D"/>
    <w:rsid w:val="00AC3C98"/>
    <w:rsid w:val="00AC463F"/>
    <w:rsid w:val="00AE658C"/>
    <w:rsid w:val="00AF3C1B"/>
    <w:rsid w:val="00B13023"/>
    <w:rsid w:val="00B2458E"/>
    <w:rsid w:val="00B34BD0"/>
    <w:rsid w:val="00B37D74"/>
    <w:rsid w:val="00B51DDD"/>
    <w:rsid w:val="00B74589"/>
    <w:rsid w:val="00B87FBF"/>
    <w:rsid w:val="00BB15D3"/>
    <w:rsid w:val="00BC4C70"/>
    <w:rsid w:val="00BC5FB4"/>
    <w:rsid w:val="00BC7E88"/>
    <w:rsid w:val="00BD4A86"/>
    <w:rsid w:val="00BF4A7B"/>
    <w:rsid w:val="00C27FD8"/>
    <w:rsid w:val="00C3427A"/>
    <w:rsid w:val="00C736B7"/>
    <w:rsid w:val="00C74250"/>
    <w:rsid w:val="00C84E3B"/>
    <w:rsid w:val="00C86183"/>
    <w:rsid w:val="00CC09A2"/>
    <w:rsid w:val="00CC1C8C"/>
    <w:rsid w:val="00CC2604"/>
    <w:rsid w:val="00CF79D2"/>
    <w:rsid w:val="00D06C7B"/>
    <w:rsid w:val="00D11092"/>
    <w:rsid w:val="00D16C41"/>
    <w:rsid w:val="00D32C1E"/>
    <w:rsid w:val="00D66D59"/>
    <w:rsid w:val="00D831F4"/>
    <w:rsid w:val="00D93D1A"/>
    <w:rsid w:val="00D95646"/>
    <w:rsid w:val="00DB6BCC"/>
    <w:rsid w:val="00E03E8D"/>
    <w:rsid w:val="00E11D54"/>
    <w:rsid w:val="00E16579"/>
    <w:rsid w:val="00E34169"/>
    <w:rsid w:val="00E3564D"/>
    <w:rsid w:val="00E928B5"/>
    <w:rsid w:val="00EB1E10"/>
    <w:rsid w:val="00EB7A93"/>
    <w:rsid w:val="00ED2261"/>
    <w:rsid w:val="00ED57A2"/>
    <w:rsid w:val="00EF4440"/>
    <w:rsid w:val="00EF7642"/>
    <w:rsid w:val="00F00D48"/>
    <w:rsid w:val="00F01151"/>
    <w:rsid w:val="00F04676"/>
    <w:rsid w:val="00F71568"/>
    <w:rsid w:val="00F73ADF"/>
    <w:rsid w:val="00F77ACE"/>
    <w:rsid w:val="00F8309A"/>
    <w:rsid w:val="00F914FB"/>
    <w:rsid w:val="00FA3218"/>
    <w:rsid w:val="00FC425C"/>
    <w:rsid w:val="00FF45E5"/>
    <w:rsid w:val="76B16D99"/>
    <w:rsid w:val="7CC769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F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87FBF"/>
    <w:pPr>
      <w:jc w:val="left"/>
    </w:pPr>
  </w:style>
  <w:style w:type="paragraph" w:styleId="a4">
    <w:name w:val="Balloon Text"/>
    <w:basedOn w:val="a"/>
    <w:link w:val="Char0"/>
    <w:uiPriority w:val="99"/>
    <w:semiHidden/>
    <w:unhideWhenUsed/>
    <w:rsid w:val="00B87FBF"/>
    <w:rPr>
      <w:sz w:val="18"/>
      <w:szCs w:val="18"/>
    </w:rPr>
  </w:style>
  <w:style w:type="paragraph" w:styleId="a5">
    <w:name w:val="footer"/>
    <w:basedOn w:val="a"/>
    <w:link w:val="Char1"/>
    <w:uiPriority w:val="99"/>
    <w:unhideWhenUsed/>
    <w:rsid w:val="00B87FBF"/>
    <w:pPr>
      <w:tabs>
        <w:tab w:val="center" w:pos="4153"/>
        <w:tab w:val="right" w:pos="8306"/>
      </w:tabs>
      <w:snapToGrid w:val="0"/>
      <w:jc w:val="left"/>
    </w:pPr>
    <w:rPr>
      <w:sz w:val="18"/>
      <w:szCs w:val="18"/>
    </w:rPr>
  </w:style>
  <w:style w:type="paragraph" w:styleId="a6">
    <w:name w:val="header"/>
    <w:basedOn w:val="a"/>
    <w:link w:val="Char2"/>
    <w:uiPriority w:val="99"/>
    <w:unhideWhenUsed/>
    <w:rsid w:val="00B87FB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B87FBF"/>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B87FBF"/>
    <w:rPr>
      <w:b/>
      <w:bCs/>
    </w:rPr>
  </w:style>
  <w:style w:type="character" w:styleId="a9">
    <w:name w:val="annotation reference"/>
    <w:basedOn w:val="a0"/>
    <w:uiPriority w:val="99"/>
    <w:semiHidden/>
    <w:unhideWhenUsed/>
    <w:rsid w:val="00B87FBF"/>
    <w:rPr>
      <w:sz w:val="21"/>
      <w:szCs w:val="21"/>
    </w:rPr>
  </w:style>
  <w:style w:type="paragraph" w:styleId="aa">
    <w:name w:val="List Paragraph"/>
    <w:basedOn w:val="a"/>
    <w:uiPriority w:val="34"/>
    <w:qFormat/>
    <w:rsid w:val="00B87FBF"/>
    <w:pPr>
      <w:ind w:firstLineChars="200" w:firstLine="420"/>
    </w:pPr>
  </w:style>
  <w:style w:type="character" w:customStyle="1" w:styleId="Char2">
    <w:name w:val="页眉 Char"/>
    <w:basedOn w:val="a0"/>
    <w:link w:val="a6"/>
    <w:uiPriority w:val="99"/>
    <w:rsid w:val="00B87FBF"/>
    <w:rPr>
      <w:sz w:val="18"/>
      <w:szCs w:val="18"/>
    </w:rPr>
  </w:style>
  <w:style w:type="character" w:customStyle="1" w:styleId="Char1">
    <w:name w:val="页脚 Char"/>
    <w:basedOn w:val="a0"/>
    <w:link w:val="a5"/>
    <w:uiPriority w:val="99"/>
    <w:rsid w:val="00B87FBF"/>
    <w:rPr>
      <w:sz w:val="18"/>
      <w:szCs w:val="18"/>
    </w:rPr>
  </w:style>
  <w:style w:type="character" w:customStyle="1" w:styleId="Char0">
    <w:name w:val="批注框文本 Char"/>
    <w:basedOn w:val="a0"/>
    <w:link w:val="a4"/>
    <w:uiPriority w:val="99"/>
    <w:semiHidden/>
    <w:rsid w:val="00B87FBF"/>
    <w:rPr>
      <w:sz w:val="18"/>
      <w:szCs w:val="18"/>
    </w:rPr>
  </w:style>
  <w:style w:type="character" w:customStyle="1" w:styleId="Char">
    <w:name w:val="批注文字 Char"/>
    <w:basedOn w:val="a0"/>
    <w:link w:val="a3"/>
    <w:uiPriority w:val="99"/>
    <w:semiHidden/>
    <w:rsid w:val="00B87FBF"/>
  </w:style>
  <w:style w:type="character" w:customStyle="1" w:styleId="Char3">
    <w:name w:val="批注主题 Char"/>
    <w:basedOn w:val="Char"/>
    <w:link w:val="a8"/>
    <w:uiPriority w:val="99"/>
    <w:semiHidden/>
    <w:rsid w:val="00B87FBF"/>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 济榜</dc:creator>
  <cp:lastModifiedBy>Windows 用户</cp:lastModifiedBy>
  <cp:revision>23</cp:revision>
  <cp:lastPrinted>2019-06-05T07:42:00Z</cp:lastPrinted>
  <dcterms:created xsi:type="dcterms:W3CDTF">2019-06-06T04:23:00Z</dcterms:created>
  <dcterms:modified xsi:type="dcterms:W3CDTF">2019-10-01T09:54:00Z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