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A2" w:rsidRDefault="00DD7FA2" w:rsidP="00BF75CD">
      <w:pPr>
        <w:pStyle w:val="1"/>
        <w:spacing w:after="720" w:line="600" w:lineRule="exact"/>
        <w:jc w:val="center"/>
        <w:rPr>
          <w:rFonts w:ascii="方正小标宋_GBK" w:eastAsia="方正小标宋_GBK"/>
          <w:b w:val="0"/>
        </w:rPr>
      </w:pPr>
    </w:p>
    <w:p w:rsidR="00DD7FA2" w:rsidRPr="00DD7FA2" w:rsidRDefault="00DD7FA2" w:rsidP="00DD7FA2">
      <w:pPr>
        <w:pStyle w:val="1"/>
        <w:spacing w:line="600" w:lineRule="exact"/>
        <w:jc w:val="center"/>
        <w:rPr>
          <w:rFonts w:ascii="方正小标宋_GBK" w:eastAsia="方正小标宋_GBK"/>
          <w:b w:val="0"/>
        </w:rPr>
      </w:pPr>
      <w:r w:rsidRPr="00DD7FA2">
        <w:rPr>
          <w:rFonts w:ascii="方正小标宋_GBK" w:eastAsia="方正小标宋_GBK" w:hint="eastAsia"/>
          <w:b w:val="0"/>
        </w:rPr>
        <w:t>株洲市生态环境局</w:t>
      </w:r>
      <w:r w:rsidRPr="00DD7FA2">
        <w:rPr>
          <w:rFonts w:ascii="方正小标宋_GBK" w:eastAsia="方正小标宋_GBK" w:hint="eastAsia"/>
          <w:b w:val="0"/>
        </w:rPr>
        <w:br/>
        <w:t>关于印发《2019年株洲市农村生活污水治理工作方案》的通知</w:t>
      </w:r>
    </w:p>
    <w:p w:rsidR="00DD7FA2" w:rsidRDefault="00DD7FA2" w:rsidP="00DD7FA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各县市区环保局，局</w:t>
      </w:r>
      <w:r w:rsidR="00B40234">
        <w:rPr>
          <w:rFonts w:ascii="仿宋_GB2312" w:eastAsia="仿宋_GB2312" w:hint="eastAsia"/>
          <w:sz w:val="32"/>
          <w:szCs w:val="32"/>
        </w:rPr>
        <w:t>属</w:t>
      </w:r>
      <w:r>
        <w:rPr>
          <w:rFonts w:ascii="仿宋_GB2312" w:eastAsia="仿宋_GB2312" w:hint="eastAsia"/>
          <w:sz w:val="32"/>
          <w:szCs w:val="32"/>
        </w:rPr>
        <w:t>各单位</w:t>
      </w:r>
      <w:r w:rsidR="00B40234">
        <w:rPr>
          <w:rFonts w:ascii="仿宋_GB2312" w:eastAsia="仿宋_GB2312" w:hint="eastAsia"/>
          <w:sz w:val="32"/>
          <w:szCs w:val="32"/>
        </w:rPr>
        <w:t>：</w:t>
      </w:r>
    </w:p>
    <w:p w:rsidR="00DD7FA2" w:rsidRPr="00DD7FA2" w:rsidRDefault="00DD7FA2" w:rsidP="00DD7FA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266A5">
        <w:rPr>
          <w:rFonts w:ascii="仿宋_GB2312" w:eastAsia="仿宋_GB2312" w:hAnsi="仿宋" w:hint="eastAsia"/>
          <w:sz w:val="32"/>
          <w:szCs w:val="32"/>
        </w:rPr>
        <w:t>根据株洲市委办公室、株洲市人民政府办公室关于印发《株洲市农村人居环境整治三年行动实施方案（2018-2020年）》的通知（株办发〔2018〕25号）文件精神，</w:t>
      </w:r>
      <w:r>
        <w:rPr>
          <w:rFonts w:ascii="仿宋_GB2312" w:eastAsia="仿宋_GB2312" w:hint="eastAsia"/>
          <w:sz w:val="32"/>
          <w:szCs w:val="32"/>
        </w:rPr>
        <w:t>我局制定了</w:t>
      </w:r>
      <w:r w:rsidRPr="00DD7FA2">
        <w:rPr>
          <w:rFonts w:ascii="仿宋_GB2312" w:eastAsia="仿宋_GB2312" w:hAnsi="仿宋" w:hint="eastAsia"/>
          <w:sz w:val="32"/>
          <w:szCs w:val="32"/>
        </w:rPr>
        <w:t>《2019年株洲市农村生活污水治理工作方案》</w:t>
      </w:r>
      <w:r>
        <w:rPr>
          <w:rFonts w:ascii="仿宋_GB2312" w:eastAsia="仿宋_GB2312" w:hAnsi="仿宋" w:hint="eastAsia"/>
          <w:sz w:val="32"/>
          <w:szCs w:val="32"/>
        </w:rPr>
        <w:t>，现</w:t>
      </w:r>
      <w:r>
        <w:rPr>
          <w:rStyle w:val="fontstyle01"/>
          <w:rFonts w:hint="default"/>
        </w:rPr>
        <w:t>印发给你们，请遵照执行。</w:t>
      </w:r>
    </w:p>
    <w:p w:rsidR="00DD7FA2" w:rsidRDefault="00DD7FA2" w:rsidP="00DD7FA2">
      <w:pPr>
        <w:ind w:right="640"/>
        <w:rPr>
          <w:rFonts w:ascii="仿宋_GB2312" w:eastAsia="仿宋_GB2312" w:hAnsi="仿宋"/>
          <w:sz w:val="32"/>
          <w:szCs w:val="32"/>
        </w:rPr>
      </w:pPr>
    </w:p>
    <w:p w:rsidR="00DD7FA2" w:rsidRDefault="00DD7FA2" w:rsidP="00DD7FA2">
      <w:pPr>
        <w:ind w:right="640"/>
        <w:rPr>
          <w:rFonts w:ascii="仿宋_GB2312" w:eastAsia="仿宋_GB2312" w:hAnsi="仿宋"/>
          <w:sz w:val="32"/>
          <w:szCs w:val="32"/>
        </w:rPr>
      </w:pPr>
    </w:p>
    <w:p w:rsidR="00DD7FA2" w:rsidRDefault="00DD7FA2" w:rsidP="00DD7FA2">
      <w:pPr>
        <w:ind w:right="640"/>
        <w:rPr>
          <w:rFonts w:ascii="仿宋_GB2312" w:eastAsia="仿宋_GB2312" w:hAnsi="仿宋"/>
          <w:sz w:val="32"/>
          <w:szCs w:val="32"/>
        </w:rPr>
      </w:pPr>
    </w:p>
    <w:p w:rsidR="00DD7FA2" w:rsidRDefault="00DD7FA2" w:rsidP="00DD7FA2">
      <w:pPr>
        <w:ind w:right="640"/>
        <w:rPr>
          <w:rFonts w:ascii="仿宋_GB2312" w:eastAsia="仿宋_GB2312" w:hAnsi="仿宋"/>
          <w:sz w:val="32"/>
          <w:szCs w:val="32"/>
        </w:rPr>
      </w:pPr>
    </w:p>
    <w:p w:rsidR="00DD7FA2" w:rsidRDefault="00DD7FA2" w:rsidP="00DD7FA2">
      <w:pPr>
        <w:ind w:right="96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株洲市生态环境局</w:t>
      </w:r>
    </w:p>
    <w:p w:rsidR="00DD7FA2" w:rsidRDefault="00DD7FA2" w:rsidP="00DD7FA2">
      <w:pPr>
        <w:wordWrap w:val="0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</w:t>
      </w:r>
      <w:r w:rsidRPr="001F39A0">
        <w:rPr>
          <w:rFonts w:ascii="仿宋_GB2312" w:eastAsia="仿宋_GB2312" w:hAnsi="仿宋"/>
          <w:sz w:val="32"/>
          <w:szCs w:val="32"/>
        </w:rPr>
        <w:t>2019年</w:t>
      </w:r>
      <w:r>
        <w:rPr>
          <w:rFonts w:ascii="仿宋_GB2312" w:eastAsia="仿宋_GB2312" w:hAnsi="仿宋" w:hint="eastAsia"/>
          <w:sz w:val="32"/>
          <w:szCs w:val="32"/>
        </w:rPr>
        <w:t>3</w:t>
      </w:r>
      <w:r w:rsidRPr="001F39A0">
        <w:rPr>
          <w:rFonts w:ascii="仿宋_GB2312" w:eastAsia="仿宋_GB2312" w:hAnsi="仿宋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26</w:t>
      </w:r>
      <w:r w:rsidRPr="001F39A0">
        <w:rPr>
          <w:rFonts w:ascii="仿宋_GB2312" w:eastAsia="仿宋_GB2312" w:hAnsi="仿宋"/>
          <w:sz w:val="32"/>
          <w:szCs w:val="32"/>
        </w:rPr>
        <w:t>日</w:t>
      </w:r>
      <w:r w:rsidRPr="001F39A0">
        <w:rPr>
          <w:rFonts w:ascii="宋体" w:eastAsia="宋体" w:hAnsi="宋体" w:cs="宋体" w:hint="eastAsia"/>
          <w:sz w:val="32"/>
          <w:szCs w:val="32"/>
        </w:rPr>
        <w:t> </w:t>
      </w:r>
      <w:r w:rsidRPr="001F39A0"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Pr="001F39A0">
        <w:rPr>
          <w:rFonts w:ascii="宋体" w:eastAsia="宋体" w:hAnsi="宋体" w:cs="宋体" w:hint="eastAsia"/>
          <w:sz w:val="32"/>
          <w:szCs w:val="32"/>
        </w:rPr>
        <w:t> </w:t>
      </w:r>
    </w:p>
    <w:p w:rsidR="00DD7FA2" w:rsidRDefault="00DD7FA2" w:rsidP="00DD7FA2">
      <w:pPr>
        <w:ind w:right="800"/>
        <w:jc w:val="right"/>
        <w:rPr>
          <w:rFonts w:ascii="宋体" w:eastAsia="宋体" w:hAnsi="宋体" w:cs="宋体"/>
          <w:sz w:val="32"/>
          <w:szCs w:val="32"/>
        </w:rPr>
      </w:pPr>
    </w:p>
    <w:p w:rsidR="00DD7FA2" w:rsidRPr="00DD7FA2" w:rsidRDefault="00DD7FA2" w:rsidP="00DD7FA2">
      <w:pPr>
        <w:ind w:right="800"/>
        <w:jc w:val="right"/>
        <w:rPr>
          <w:rFonts w:ascii="仿宋_GB2312" w:eastAsia="仿宋_GB2312" w:hAnsi="仿宋"/>
          <w:sz w:val="32"/>
          <w:szCs w:val="32"/>
        </w:rPr>
      </w:pPr>
    </w:p>
    <w:p w:rsidR="006266A5" w:rsidRDefault="00D7423C" w:rsidP="00D7423C">
      <w:pPr>
        <w:pStyle w:val="1"/>
        <w:jc w:val="center"/>
      </w:pPr>
      <w:r>
        <w:rPr>
          <w:rFonts w:hint="eastAsia"/>
        </w:rPr>
        <w:lastRenderedPageBreak/>
        <w:t>株洲市生态环境局</w:t>
      </w:r>
      <w:r>
        <w:rPr>
          <w:rFonts w:hint="eastAsia"/>
        </w:rPr>
        <w:br/>
      </w:r>
      <w:r w:rsidR="006266A5" w:rsidRPr="00C819CC">
        <w:rPr>
          <w:rFonts w:ascii="仿宋_GB2312" w:eastAsia="仿宋_GB2312" w:hint="eastAsia"/>
        </w:rPr>
        <w:t>2019</w:t>
      </w:r>
      <w:r w:rsidR="006266A5">
        <w:rPr>
          <w:rFonts w:hint="eastAsia"/>
        </w:rPr>
        <w:t>年株洲市农村生活污水治理工作</w:t>
      </w:r>
      <w:r w:rsidR="00F01105">
        <w:rPr>
          <w:rFonts w:hint="eastAsia"/>
        </w:rPr>
        <w:t>方案</w:t>
      </w:r>
    </w:p>
    <w:p w:rsidR="006266A5" w:rsidRPr="006266A5" w:rsidRDefault="002D3F80" w:rsidP="00E44EB5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为深入贯彻落实国家、省关于推进</w:t>
      </w:r>
      <w:r w:rsidRPr="006266A5">
        <w:rPr>
          <w:rFonts w:ascii="仿宋_GB2312" w:eastAsia="仿宋_GB2312" w:hAnsi="仿宋" w:hint="eastAsia"/>
          <w:sz w:val="32"/>
          <w:szCs w:val="32"/>
        </w:rPr>
        <w:t>农村人居环境整治三年行动</w:t>
      </w:r>
      <w:r>
        <w:rPr>
          <w:rFonts w:ascii="仿宋_GB2312" w:eastAsia="仿宋_GB2312" w:hAnsi="仿宋" w:hint="eastAsia"/>
          <w:sz w:val="32"/>
          <w:szCs w:val="32"/>
        </w:rPr>
        <w:t>的文件精神，按照</w:t>
      </w:r>
      <w:r w:rsidR="006266A5" w:rsidRPr="006266A5">
        <w:rPr>
          <w:rFonts w:ascii="仿宋_GB2312" w:eastAsia="仿宋_GB2312" w:hAnsi="仿宋" w:hint="eastAsia"/>
          <w:sz w:val="32"/>
          <w:szCs w:val="32"/>
        </w:rPr>
        <w:t>《株洲市农村人居环境整治三年行动实施方案（2018-2020年）》</w:t>
      </w:r>
      <w:r>
        <w:rPr>
          <w:rFonts w:ascii="仿宋_GB2312" w:eastAsia="仿宋_GB2312" w:hAnsi="仿宋" w:hint="eastAsia"/>
          <w:sz w:val="32"/>
          <w:szCs w:val="32"/>
        </w:rPr>
        <w:t>的有关要求</w:t>
      </w:r>
      <w:r w:rsidR="006266A5" w:rsidRPr="006266A5">
        <w:rPr>
          <w:rFonts w:ascii="仿宋_GB2312" w:eastAsia="仿宋_GB2312" w:hAnsi="仿宋" w:hint="eastAsia"/>
          <w:sz w:val="32"/>
          <w:szCs w:val="32"/>
        </w:rPr>
        <w:t>，</w:t>
      </w:r>
      <w:r w:rsidR="006266A5">
        <w:rPr>
          <w:rFonts w:ascii="仿宋_GB2312" w:eastAsia="仿宋_GB2312" w:hAnsi="仿宋" w:hint="eastAsia"/>
          <w:sz w:val="32"/>
          <w:szCs w:val="32"/>
        </w:rPr>
        <w:t>坚持因地制宜，分类施策，</w:t>
      </w:r>
      <w:r w:rsidR="006266A5" w:rsidRPr="006266A5">
        <w:rPr>
          <w:rFonts w:ascii="仿宋_GB2312" w:eastAsia="仿宋_GB2312" w:hAnsi="仿宋" w:hint="eastAsia"/>
          <w:sz w:val="32"/>
          <w:szCs w:val="32"/>
        </w:rPr>
        <w:t>加快推进农村生活污水治理，进一步</w:t>
      </w:r>
      <w:r w:rsidR="006266A5">
        <w:rPr>
          <w:rFonts w:ascii="仿宋_GB2312" w:eastAsia="仿宋_GB2312" w:hAnsi="仿宋" w:hint="eastAsia"/>
          <w:sz w:val="32"/>
          <w:szCs w:val="32"/>
        </w:rPr>
        <w:t>改善</w:t>
      </w:r>
      <w:r w:rsidR="006266A5" w:rsidRPr="006266A5">
        <w:rPr>
          <w:rFonts w:ascii="仿宋_GB2312" w:eastAsia="仿宋_GB2312" w:hAnsi="仿宋" w:hint="eastAsia"/>
          <w:sz w:val="32"/>
          <w:szCs w:val="32"/>
        </w:rPr>
        <w:t>农村人居环境</w:t>
      </w:r>
      <w:r w:rsidR="006266A5">
        <w:rPr>
          <w:rFonts w:ascii="仿宋_GB2312" w:eastAsia="仿宋_GB2312" w:hAnsi="仿宋" w:hint="eastAsia"/>
          <w:sz w:val="32"/>
          <w:szCs w:val="32"/>
        </w:rPr>
        <w:t>质量</w:t>
      </w:r>
      <w:r w:rsidR="006266A5" w:rsidRPr="006266A5">
        <w:rPr>
          <w:rFonts w:ascii="仿宋_GB2312" w:eastAsia="仿宋_GB2312" w:hAnsi="仿宋" w:hint="eastAsia"/>
          <w:sz w:val="32"/>
          <w:szCs w:val="32"/>
        </w:rPr>
        <w:t>，</w:t>
      </w:r>
      <w:r w:rsidR="006266A5">
        <w:rPr>
          <w:rFonts w:ascii="仿宋_GB2312" w:eastAsia="仿宋_GB2312" w:hAnsi="仿宋" w:hint="eastAsia"/>
          <w:sz w:val="32"/>
          <w:szCs w:val="32"/>
        </w:rPr>
        <w:t>实现农村生活污水有效治理</w:t>
      </w:r>
      <w:r>
        <w:rPr>
          <w:rFonts w:ascii="仿宋_GB2312" w:eastAsia="仿宋_GB2312" w:hAnsi="仿宋" w:hint="eastAsia"/>
          <w:sz w:val="32"/>
          <w:szCs w:val="32"/>
        </w:rPr>
        <w:t>，制定本工作方案</w:t>
      </w:r>
      <w:r w:rsidR="006266A5" w:rsidRPr="006266A5">
        <w:rPr>
          <w:rFonts w:ascii="仿宋_GB2312" w:eastAsia="仿宋_GB2312" w:hAnsi="仿宋" w:hint="eastAsia"/>
          <w:sz w:val="32"/>
          <w:szCs w:val="32"/>
        </w:rPr>
        <w:t>。</w:t>
      </w:r>
    </w:p>
    <w:p w:rsidR="006266A5" w:rsidRDefault="00B46151" w:rsidP="00E44EB5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F65191">
        <w:rPr>
          <w:rFonts w:ascii="黑体" w:eastAsia="黑体" w:hAnsi="黑体" w:hint="eastAsia"/>
          <w:sz w:val="32"/>
          <w:szCs w:val="32"/>
        </w:rPr>
        <w:t>、</w:t>
      </w:r>
      <w:r w:rsidR="006266A5" w:rsidRPr="00F65191">
        <w:rPr>
          <w:rFonts w:ascii="黑体" w:eastAsia="黑体" w:hAnsi="黑体" w:hint="eastAsia"/>
          <w:sz w:val="32"/>
          <w:szCs w:val="32"/>
        </w:rPr>
        <w:t>工作目标</w:t>
      </w:r>
    </w:p>
    <w:p w:rsidR="002D3F80" w:rsidRPr="00EE78C4" w:rsidRDefault="002D3F80" w:rsidP="00E44EB5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F39A0">
        <w:rPr>
          <w:rFonts w:ascii="仿宋_GB2312" w:eastAsia="仿宋_GB2312" w:hAnsi="仿宋" w:hint="eastAsia"/>
          <w:sz w:val="32"/>
          <w:szCs w:val="32"/>
        </w:rPr>
        <w:t>改善农村人居环境、建设美丽宜居乡村、实施“农村生活污水治理工程”，梯次推进农村生活污水治理。2019年，</w:t>
      </w:r>
      <w:r w:rsidR="000C683F" w:rsidRPr="00C907EC">
        <w:rPr>
          <w:rFonts w:ascii="仿宋_GB2312" w:eastAsia="仿宋_GB2312" w:hAnsi="仿宋" w:hint="eastAsia"/>
          <w:sz w:val="32"/>
          <w:szCs w:val="32"/>
        </w:rPr>
        <w:t>在县市区年初摸底调查上报的数据基础上，</w:t>
      </w:r>
      <w:r w:rsidRPr="001F39A0">
        <w:rPr>
          <w:rFonts w:ascii="仿宋_GB2312" w:eastAsia="仿宋_GB2312" w:hAnsi="仿宋" w:hint="eastAsia"/>
          <w:sz w:val="32"/>
          <w:szCs w:val="32"/>
        </w:rPr>
        <w:t>具备条件的村镇基本建成集中或分散的生活污水处理设施，对污水进行处理的行政村比列达</w:t>
      </w:r>
      <w:r w:rsidR="00BF75CD">
        <w:rPr>
          <w:rFonts w:ascii="仿宋_GB2312" w:eastAsia="仿宋_GB2312" w:hAnsi="仿宋" w:hint="eastAsia"/>
          <w:sz w:val="32"/>
          <w:szCs w:val="32"/>
        </w:rPr>
        <w:t>到</w:t>
      </w:r>
      <w:r w:rsidRPr="001F39A0">
        <w:rPr>
          <w:rFonts w:ascii="仿宋_GB2312" w:eastAsia="仿宋_GB2312" w:hAnsi="仿宋" w:hint="eastAsia"/>
          <w:sz w:val="32"/>
          <w:szCs w:val="32"/>
        </w:rPr>
        <w:t>40%</w:t>
      </w:r>
      <w:r w:rsidR="00EE78C4">
        <w:rPr>
          <w:rFonts w:ascii="仿宋_GB2312" w:eastAsia="仿宋_GB2312" w:hAnsi="仿宋" w:hint="eastAsia"/>
          <w:sz w:val="32"/>
          <w:szCs w:val="32"/>
        </w:rPr>
        <w:t>、生活污水处理率集雨区（非集雨区）达到70%（60%）、</w:t>
      </w:r>
      <w:r w:rsidR="00EE78C4" w:rsidRPr="001F39A0">
        <w:rPr>
          <w:rFonts w:ascii="仿宋_GB2312" w:eastAsia="仿宋_GB2312" w:hAnsi="仿宋" w:hint="eastAsia"/>
          <w:sz w:val="32"/>
          <w:szCs w:val="32"/>
        </w:rPr>
        <w:t>建制镇生活污水</w:t>
      </w:r>
      <w:r w:rsidR="00EE78C4">
        <w:rPr>
          <w:rFonts w:ascii="仿宋_GB2312" w:eastAsia="仿宋_GB2312" w:hAnsi="仿宋" w:hint="eastAsia"/>
          <w:sz w:val="32"/>
          <w:szCs w:val="32"/>
        </w:rPr>
        <w:t>集中处理设施开工建设率达到100%；建立</w:t>
      </w:r>
      <w:r w:rsidR="00EE78C4" w:rsidRPr="001F39A0">
        <w:rPr>
          <w:rFonts w:ascii="仿宋_GB2312" w:eastAsia="仿宋_GB2312" w:hAnsi="仿宋" w:hint="eastAsia"/>
          <w:sz w:val="32"/>
          <w:szCs w:val="32"/>
        </w:rPr>
        <w:t>乡</w:t>
      </w:r>
      <w:r w:rsidR="00EE78C4">
        <w:rPr>
          <w:rFonts w:ascii="仿宋_GB2312" w:eastAsia="仿宋_GB2312" w:hAnsi="仿宋" w:hint="eastAsia"/>
          <w:sz w:val="32"/>
          <w:szCs w:val="32"/>
        </w:rPr>
        <w:t>（</w:t>
      </w:r>
      <w:r w:rsidR="00EE78C4" w:rsidRPr="001F39A0">
        <w:rPr>
          <w:rFonts w:ascii="仿宋_GB2312" w:eastAsia="仿宋_GB2312" w:hAnsi="仿宋" w:hint="eastAsia"/>
          <w:sz w:val="32"/>
          <w:szCs w:val="32"/>
        </w:rPr>
        <w:t>镇</w:t>
      </w:r>
      <w:r w:rsidR="00EE78C4">
        <w:rPr>
          <w:rFonts w:ascii="仿宋_GB2312" w:eastAsia="仿宋_GB2312" w:hAnsi="仿宋" w:hint="eastAsia"/>
          <w:sz w:val="32"/>
          <w:szCs w:val="32"/>
        </w:rPr>
        <w:t>、街道）、村</w:t>
      </w:r>
      <w:r w:rsidR="00EE78C4" w:rsidRPr="001F39A0">
        <w:rPr>
          <w:rFonts w:ascii="仿宋_GB2312" w:eastAsia="仿宋_GB2312" w:hAnsi="仿宋" w:hint="eastAsia"/>
          <w:sz w:val="32"/>
          <w:szCs w:val="32"/>
        </w:rPr>
        <w:t>建成区黑臭水体</w:t>
      </w:r>
      <w:r w:rsidR="00EE78C4">
        <w:rPr>
          <w:rFonts w:ascii="仿宋_GB2312" w:eastAsia="仿宋_GB2312" w:hAnsi="仿宋" w:hint="eastAsia"/>
          <w:sz w:val="32"/>
          <w:szCs w:val="32"/>
        </w:rPr>
        <w:t>台账</w:t>
      </w:r>
      <w:r w:rsidR="00EE78C4" w:rsidRPr="001F39A0">
        <w:rPr>
          <w:rFonts w:ascii="仿宋_GB2312" w:eastAsia="仿宋_GB2312" w:hAnsi="仿宋" w:hint="eastAsia"/>
          <w:sz w:val="32"/>
          <w:szCs w:val="32"/>
        </w:rPr>
        <w:t>，</w:t>
      </w:r>
      <w:r w:rsidR="00EE78C4">
        <w:rPr>
          <w:rFonts w:ascii="仿宋_GB2312" w:eastAsia="仿宋_GB2312" w:hAnsi="仿宋" w:hint="eastAsia"/>
          <w:sz w:val="32"/>
          <w:szCs w:val="32"/>
        </w:rPr>
        <w:t>完成乡（</w:t>
      </w:r>
      <w:r w:rsidR="00EE78C4" w:rsidRPr="001F39A0">
        <w:rPr>
          <w:rFonts w:ascii="仿宋_GB2312" w:eastAsia="仿宋_GB2312" w:hAnsi="仿宋" w:hint="eastAsia"/>
          <w:sz w:val="32"/>
          <w:szCs w:val="32"/>
        </w:rPr>
        <w:t>镇</w:t>
      </w:r>
      <w:r w:rsidR="00EE78C4">
        <w:rPr>
          <w:rFonts w:ascii="仿宋_GB2312" w:eastAsia="仿宋_GB2312" w:hAnsi="仿宋" w:hint="eastAsia"/>
          <w:sz w:val="32"/>
          <w:szCs w:val="32"/>
        </w:rPr>
        <w:t>、街道）、村</w:t>
      </w:r>
      <w:r w:rsidR="00EE78C4" w:rsidRPr="001F39A0">
        <w:rPr>
          <w:rFonts w:ascii="仿宋_GB2312" w:eastAsia="仿宋_GB2312" w:hAnsi="仿宋" w:hint="eastAsia"/>
          <w:sz w:val="32"/>
          <w:szCs w:val="32"/>
        </w:rPr>
        <w:t>建成区黑臭水体</w:t>
      </w:r>
      <w:r w:rsidR="00EE78C4">
        <w:rPr>
          <w:rFonts w:ascii="仿宋_GB2312" w:eastAsia="仿宋_GB2312" w:hAnsi="仿宋" w:hint="eastAsia"/>
          <w:sz w:val="32"/>
          <w:szCs w:val="32"/>
        </w:rPr>
        <w:t>整治率50%，使</w:t>
      </w:r>
      <w:r w:rsidR="00EE78C4" w:rsidRPr="001F39A0">
        <w:rPr>
          <w:rFonts w:ascii="仿宋_GB2312" w:eastAsia="仿宋_GB2312" w:hAnsi="仿宋" w:hint="eastAsia"/>
          <w:sz w:val="32"/>
          <w:szCs w:val="32"/>
        </w:rPr>
        <w:t>农村生活污水乱排乱放得到有效管控。</w:t>
      </w:r>
    </w:p>
    <w:p w:rsidR="00897113" w:rsidRDefault="00B46151" w:rsidP="00E44EB5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D3F80">
        <w:rPr>
          <w:rFonts w:ascii="黑体" w:eastAsia="黑体" w:hAnsi="黑体" w:hint="eastAsia"/>
          <w:sz w:val="32"/>
          <w:szCs w:val="32"/>
        </w:rPr>
        <w:t>二、</w:t>
      </w:r>
      <w:r w:rsidR="000C683F">
        <w:rPr>
          <w:rFonts w:ascii="黑体" w:eastAsia="黑体" w:hAnsi="黑体" w:hint="eastAsia"/>
          <w:sz w:val="32"/>
          <w:szCs w:val="32"/>
        </w:rPr>
        <w:t>指导原则</w:t>
      </w:r>
    </w:p>
    <w:p w:rsidR="000C683F" w:rsidRPr="000C683F" w:rsidRDefault="00BF75CD" w:rsidP="00E44EB5">
      <w:pPr>
        <w:spacing w:line="59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（一）</w:t>
      </w:r>
      <w:r w:rsidR="000C683F" w:rsidRPr="000C683F">
        <w:rPr>
          <w:rFonts w:ascii="仿宋_GB2312" w:eastAsia="仿宋_GB2312" w:hAnsi="仿宋"/>
          <w:b/>
          <w:sz w:val="32"/>
          <w:szCs w:val="32"/>
        </w:rPr>
        <w:t>加强规划引领</w:t>
      </w:r>
      <w:r w:rsidR="000C683F" w:rsidRPr="000C683F">
        <w:rPr>
          <w:rFonts w:ascii="仿宋_GB2312" w:eastAsia="仿宋_GB2312" w:hAnsi="仿宋" w:hint="eastAsia"/>
          <w:b/>
          <w:sz w:val="32"/>
          <w:szCs w:val="32"/>
        </w:rPr>
        <w:t>。</w:t>
      </w:r>
      <w:r w:rsidR="000C683F" w:rsidRPr="000C683F">
        <w:rPr>
          <w:rFonts w:ascii="仿宋_GB2312" w:eastAsia="仿宋_GB2312" w:hAnsi="仿宋"/>
          <w:sz w:val="32"/>
          <w:szCs w:val="32"/>
        </w:rPr>
        <w:t>依照因地制宜、分类指导、经济适用、 易于维护的原则,</w:t>
      </w:r>
      <w:r w:rsidR="000C683F">
        <w:rPr>
          <w:rFonts w:ascii="仿宋_GB2312" w:eastAsia="仿宋_GB2312" w:hAnsi="仿宋" w:hint="eastAsia"/>
          <w:sz w:val="32"/>
          <w:szCs w:val="32"/>
        </w:rPr>
        <w:t>20</w:t>
      </w:r>
      <w:r w:rsidR="00B373D5">
        <w:rPr>
          <w:rFonts w:ascii="仿宋_GB2312" w:eastAsia="仿宋_GB2312" w:hAnsi="仿宋" w:hint="eastAsia"/>
          <w:sz w:val="32"/>
          <w:szCs w:val="32"/>
        </w:rPr>
        <w:t>19</w:t>
      </w:r>
      <w:r w:rsidR="000C683F" w:rsidRPr="000C683F">
        <w:rPr>
          <w:rFonts w:ascii="仿宋_GB2312" w:eastAsia="仿宋_GB2312" w:hAnsi="仿宋"/>
          <w:sz w:val="32"/>
          <w:szCs w:val="32"/>
        </w:rPr>
        <w:t>年</w:t>
      </w:r>
      <w:r w:rsidR="00B373D5">
        <w:rPr>
          <w:rFonts w:ascii="仿宋_GB2312" w:eastAsia="仿宋_GB2312" w:hAnsi="仿宋" w:hint="eastAsia"/>
          <w:sz w:val="32"/>
          <w:szCs w:val="32"/>
        </w:rPr>
        <w:t>3</w:t>
      </w:r>
      <w:r w:rsidR="000C683F" w:rsidRPr="000C683F">
        <w:rPr>
          <w:rFonts w:ascii="仿宋_GB2312" w:eastAsia="仿宋_GB2312" w:hAnsi="仿宋"/>
          <w:sz w:val="32"/>
          <w:szCs w:val="32"/>
        </w:rPr>
        <w:t>月底前编制完成农村生活污水处理专项规划 (方案), 实行农村生活污水处理统一规划、 统一建设、统一运行、统一管理</w:t>
      </w:r>
      <w:r w:rsidR="00C907EC">
        <w:rPr>
          <w:rFonts w:ascii="仿宋_GB2312" w:eastAsia="仿宋_GB2312" w:hAnsi="仿宋" w:hint="eastAsia"/>
          <w:sz w:val="32"/>
          <w:szCs w:val="32"/>
        </w:rPr>
        <w:t>。</w:t>
      </w:r>
      <w:r w:rsidR="000C683F" w:rsidRPr="000C683F">
        <w:rPr>
          <w:rFonts w:ascii="仿宋_GB2312" w:eastAsia="仿宋_GB2312" w:hAnsi="仿宋"/>
          <w:sz w:val="32"/>
          <w:szCs w:val="32"/>
        </w:rPr>
        <w:t>按照以城带乡、就</w:t>
      </w:r>
      <w:r w:rsidR="000C683F" w:rsidRPr="000C683F">
        <w:rPr>
          <w:rFonts w:ascii="仿宋_GB2312" w:eastAsia="仿宋_GB2312" w:hAnsi="仿宋"/>
          <w:sz w:val="32"/>
          <w:szCs w:val="32"/>
        </w:rPr>
        <w:lastRenderedPageBreak/>
        <w:t>近联建、独立建设的做法</w:t>
      </w:r>
      <w:r w:rsidR="000C683F">
        <w:rPr>
          <w:rFonts w:ascii="仿宋_GB2312" w:eastAsia="仿宋_GB2312" w:hAnsi="仿宋"/>
          <w:sz w:val="32"/>
          <w:szCs w:val="32"/>
        </w:rPr>
        <w:t>,</w:t>
      </w:r>
      <w:r w:rsidR="000C683F" w:rsidRPr="000C683F">
        <w:rPr>
          <w:rFonts w:ascii="仿宋_GB2312" w:eastAsia="仿宋_GB2312" w:hAnsi="仿宋"/>
          <w:sz w:val="32"/>
          <w:szCs w:val="32"/>
        </w:rPr>
        <w:t>对靠近城镇周边的村庄</w:t>
      </w:r>
      <w:r w:rsidR="000C683F">
        <w:rPr>
          <w:rFonts w:ascii="仿宋_GB2312" w:eastAsia="仿宋_GB2312" w:hAnsi="仿宋"/>
          <w:sz w:val="32"/>
          <w:szCs w:val="32"/>
        </w:rPr>
        <w:t>,</w:t>
      </w:r>
      <w:r w:rsidR="000C683F" w:rsidRPr="000C683F">
        <w:rPr>
          <w:rFonts w:ascii="仿宋_GB2312" w:eastAsia="仿宋_GB2312" w:hAnsi="仿宋"/>
          <w:sz w:val="32"/>
          <w:szCs w:val="32"/>
        </w:rPr>
        <w:t>将污水纳入城镇污水处理厂集中处理;对规模较大的独立村庄或有条件的相邻村庄</w:t>
      </w:r>
      <w:r w:rsidR="000C683F">
        <w:rPr>
          <w:rFonts w:ascii="仿宋_GB2312" w:eastAsia="仿宋_GB2312" w:hAnsi="仿宋"/>
          <w:sz w:val="32"/>
          <w:szCs w:val="32"/>
        </w:rPr>
        <w:t>,</w:t>
      </w:r>
      <w:r w:rsidR="000C683F" w:rsidRPr="000C683F">
        <w:rPr>
          <w:rFonts w:ascii="仿宋_GB2312" w:eastAsia="仿宋_GB2312" w:hAnsi="仿宋"/>
          <w:sz w:val="32"/>
          <w:szCs w:val="32"/>
        </w:rPr>
        <w:t>建设或联合建设集中式污水处理设施及配套工程; 对位置偏远、规模较小的村庄,建设分散式污水处理设施</w:t>
      </w:r>
      <w:r w:rsidR="000C683F">
        <w:rPr>
          <w:rFonts w:ascii="仿宋_GB2312" w:eastAsia="仿宋_GB2312" w:hAnsi="仿宋" w:hint="eastAsia"/>
          <w:sz w:val="32"/>
          <w:szCs w:val="32"/>
        </w:rPr>
        <w:t>。</w:t>
      </w:r>
    </w:p>
    <w:p w:rsidR="00734AE8" w:rsidRDefault="00BF75CD" w:rsidP="00E44EB5">
      <w:pPr>
        <w:spacing w:line="59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（二）</w:t>
      </w:r>
      <w:r w:rsidR="00B373D5">
        <w:rPr>
          <w:rFonts w:ascii="仿宋_GB2312" w:eastAsia="仿宋_GB2312" w:hAnsi="仿宋" w:hint="eastAsia"/>
          <w:b/>
          <w:sz w:val="32"/>
          <w:szCs w:val="32"/>
        </w:rPr>
        <w:t>加快设施建设</w:t>
      </w:r>
      <w:r w:rsidR="000C683F" w:rsidRPr="000C683F">
        <w:rPr>
          <w:rFonts w:ascii="仿宋_GB2312" w:eastAsia="仿宋_GB2312" w:hAnsi="仿宋" w:hint="eastAsia"/>
          <w:b/>
          <w:sz w:val="32"/>
          <w:szCs w:val="32"/>
        </w:rPr>
        <w:t>。</w:t>
      </w:r>
      <w:r w:rsidR="00734AE8" w:rsidRPr="00734AE8">
        <w:rPr>
          <w:rFonts w:ascii="仿宋_GB2312" w:eastAsia="仿宋_GB2312" w:hAnsi="仿宋" w:hint="eastAsia"/>
          <w:sz w:val="32"/>
          <w:szCs w:val="32"/>
        </w:rPr>
        <w:t>选择符合实际情况的污水处理工艺及能力，优先建设特色镇等重点乡镇生活污水处理设施</w:t>
      </w:r>
      <w:r w:rsidR="00F403A1">
        <w:rPr>
          <w:rFonts w:ascii="仿宋_GB2312" w:eastAsia="仿宋_GB2312" w:hAnsi="仿宋" w:hint="eastAsia"/>
          <w:sz w:val="32"/>
          <w:szCs w:val="32"/>
        </w:rPr>
        <w:t>。</w:t>
      </w:r>
      <w:r w:rsidR="00734AE8" w:rsidRPr="00734AE8">
        <w:rPr>
          <w:rFonts w:ascii="仿宋_GB2312" w:eastAsia="仿宋_GB2312" w:hAnsi="仿宋" w:hint="eastAsia"/>
          <w:sz w:val="32"/>
          <w:szCs w:val="32"/>
        </w:rPr>
        <w:t>靠近城镇污水处理设施的乡镇，优先考虑就近接入城镇污水处理厂处理。2019年全市开工建设乡镇污水处理设施15座</w:t>
      </w:r>
      <w:r w:rsidR="00A72580">
        <w:rPr>
          <w:rFonts w:ascii="仿宋_GB2312" w:eastAsia="仿宋_GB2312" w:hAnsi="仿宋" w:hint="eastAsia"/>
          <w:sz w:val="32"/>
          <w:szCs w:val="32"/>
        </w:rPr>
        <w:t>，竣工22座</w:t>
      </w:r>
      <w:r w:rsidR="00F403A1">
        <w:rPr>
          <w:rFonts w:ascii="仿宋_GB2312" w:eastAsia="仿宋_GB2312" w:hAnsi="仿宋" w:hint="eastAsia"/>
          <w:sz w:val="32"/>
          <w:szCs w:val="32"/>
        </w:rPr>
        <w:t>。</w:t>
      </w:r>
    </w:p>
    <w:p w:rsidR="00F403A1" w:rsidRPr="001F39A0" w:rsidRDefault="00BF75CD" w:rsidP="00E44EB5">
      <w:pPr>
        <w:spacing w:line="59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（三）</w:t>
      </w:r>
      <w:r w:rsidR="00B373D5" w:rsidRPr="00B373D5">
        <w:rPr>
          <w:rFonts w:ascii="仿宋_GB2312" w:eastAsia="仿宋_GB2312" w:hAnsi="仿宋" w:hint="eastAsia"/>
          <w:b/>
          <w:sz w:val="32"/>
          <w:szCs w:val="32"/>
        </w:rPr>
        <w:t>强化措施</w:t>
      </w:r>
      <w:r w:rsidR="00E44EB5">
        <w:rPr>
          <w:rFonts w:ascii="仿宋_GB2312" w:eastAsia="仿宋_GB2312" w:hAnsi="仿宋" w:hint="eastAsia"/>
          <w:b/>
          <w:sz w:val="32"/>
          <w:szCs w:val="32"/>
        </w:rPr>
        <w:t>衔接</w:t>
      </w:r>
      <w:r w:rsidR="00B373D5" w:rsidRPr="00B373D5">
        <w:rPr>
          <w:rFonts w:ascii="仿宋_GB2312" w:eastAsia="仿宋_GB2312" w:hAnsi="仿宋" w:hint="eastAsia"/>
          <w:b/>
          <w:sz w:val="32"/>
          <w:szCs w:val="32"/>
        </w:rPr>
        <w:t>。</w:t>
      </w:r>
      <w:r w:rsidR="00F403A1" w:rsidRPr="001F39A0">
        <w:rPr>
          <w:rFonts w:ascii="仿宋_GB2312" w:eastAsia="仿宋_GB2312" w:hAnsi="仿宋" w:hint="eastAsia"/>
          <w:sz w:val="32"/>
          <w:szCs w:val="32"/>
        </w:rPr>
        <w:t>农村水环境治理纳入河长制、湖长制管理</w:t>
      </w:r>
      <w:r w:rsidR="00F403A1">
        <w:rPr>
          <w:rFonts w:ascii="仿宋_GB2312" w:eastAsia="仿宋_GB2312" w:hAnsi="仿宋" w:hint="eastAsia"/>
          <w:sz w:val="32"/>
          <w:szCs w:val="32"/>
        </w:rPr>
        <w:t>。</w:t>
      </w:r>
      <w:r w:rsidR="00F403A1" w:rsidRPr="003B54CF">
        <w:rPr>
          <w:rFonts w:ascii="仿宋_GB2312" w:eastAsia="仿宋_GB2312" w:hAnsi="仿宋" w:hint="eastAsia"/>
          <w:sz w:val="32"/>
          <w:szCs w:val="32"/>
        </w:rPr>
        <w:t>农户</w:t>
      </w:r>
      <w:r w:rsidR="00F403A1" w:rsidRPr="001F39A0">
        <w:rPr>
          <w:rFonts w:ascii="仿宋_GB2312" w:eastAsia="仿宋_GB2312" w:hAnsi="仿宋" w:hint="eastAsia"/>
          <w:sz w:val="32"/>
          <w:szCs w:val="32"/>
        </w:rPr>
        <w:t>房前屋后的河塘沟渠重点实施清淤疏浚工程、农村黑臭水体治理工程，采取综合措施恢复水生态,</w:t>
      </w:r>
      <w:r w:rsidR="00F403A1">
        <w:rPr>
          <w:rFonts w:ascii="仿宋_GB2312" w:eastAsia="仿宋_GB2312" w:hAnsi="仿宋" w:hint="eastAsia"/>
          <w:sz w:val="32"/>
          <w:szCs w:val="32"/>
        </w:rPr>
        <w:t>2019年</w:t>
      </w:r>
      <w:r w:rsidR="00F403A1" w:rsidRPr="001F39A0">
        <w:rPr>
          <w:rFonts w:ascii="仿宋_GB2312" w:eastAsia="仿宋_GB2312" w:hAnsi="仿宋" w:hint="eastAsia"/>
          <w:sz w:val="32"/>
          <w:szCs w:val="32"/>
        </w:rPr>
        <w:t>消除农</w:t>
      </w:r>
      <w:r w:rsidR="00F403A1">
        <w:rPr>
          <w:rFonts w:ascii="仿宋_GB2312" w:eastAsia="仿宋_GB2312" w:hAnsi="仿宋" w:hint="eastAsia"/>
          <w:sz w:val="32"/>
          <w:szCs w:val="32"/>
        </w:rPr>
        <w:t>户房前屋后的</w:t>
      </w:r>
      <w:r w:rsidR="00F403A1" w:rsidRPr="001F39A0">
        <w:rPr>
          <w:rFonts w:ascii="仿宋_GB2312" w:eastAsia="仿宋_GB2312" w:hAnsi="仿宋" w:hint="eastAsia"/>
          <w:sz w:val="32"/>
          <w:szCs w:val="32"/>
        </w:rPr>
        <w:t>黑臭水体</w:t>
      </w:r>
      <w:r w:rsidR="00F403A1">
        <w:rPr>
          <w:rFonts w:ascii="仿宋_GB2312" w:eastAsia="仿宋_GB2312" w:hAnsi="仿宋" w:hint="eastAsia"/>
          <w:sz w:val="32"/>
          <w:szCs w:val="32"/>
        </w:rPr>
        <w:t>；</w:t>
      </w:r>
      <w:r w:rsidR="008175DC">
        <w:rPr>
          <w:rFonts w:ascii="仿宋_GB2312" w:eastAsia="仿宋_GB2312" w:hAnsi="仿宋" w:hint="eastAsia"/>
          <w:sz w:val="32"/>
          <w:szCs w:val="32"/>
        </w:rPr>
        <w:t>各县市区要严格填报制度，杜绝虚假浮夸，结合有关规定，如实上报相关数据。</w:t>
      </w:r>
      <w:r w:rsidR="00F403A1">
        <w:rPr>
          <w:rFonts w:ascii="仿宋_GB2312" w:eastAsia="仿宋_GB2312" w:hAnsi="仿宋" w:hint="eastAsia"/>
          <w:sz w:val="32"/>
          <w:szCs w:val="32"/>
        </w:rPr>
        <w:t>在县市区年初摸底调查上报的数据基础上，2019年完成</w:t>
      </w:r>
      <w:r w:rsidR="00F403A1" w:rsidRPr="001F39A0">
        <w:rPr>
          <w:rFonts w:ascii="仿宋_GB2312" w:eastAsia="仿宋_GB2312" w:hAnsi="仿宋" w:hint="eastAsia"/>
          <w:sz w:val="32"/>
          <w:szCs w:val="32"/>
        </w:rPr>
        <w:t>农村黑臭水体治理工程</w:t>
      </w:r>
      <w:r w:rsidR="00F403A1">
        <w:rPr>
          <w:rFonts w:ascii="仿宋_GB2312" w:eastAsia="仿宋_GB2312" w:hAnsi="仿宋" w:hint="eastAsia"/>
          <w:sz w:val="32"/>
          <w:szCs w:val="32"/>
        </w:rPr>
        <w:t>。</w:t>
      </w:r>
      <w:r w:rsidR="008175DC">
        <w:rPr>
          <w:rFonts w:ascii="仿宋_GB2312" w:eastAsia="仿宋_GB2312" w:hAnsi="仿宋" w:hint="eastAsia"/>
          <w:sz w:val="32"/>
          <w:szCs w:val="32"/>
        </w:rPr>
        <w:t>经</w:t>
      </w:r>
      <w:r w:rsidR="008175DC" w:rsidRPr="008175DC">
        <w:rPr>
          <w:rFonts w:ascii="仿宋_GB2312" w:eastAsia="仿宋_GB2312" w:hAnsi="仿宋" w:hint="eastAsia"/>
          <w:sz w:val="32"/>
          <w:szCs w:val="32"/>
        </w:rPr>
        <w:t>整治</w:t>
      </w:r>
      <w:r w:rsidR="008175DC">
        <w:rPr>
          <w:rFonts w:ascii="仿宋_GB2312" w:eastAsia="仿宋_GB2312" w:hAnsi="仿宋" w:hint="eastAsia"/>
          <w:sz w:val="32"/>
          <w:szCs w:val="32"/>
        </w:rPr>
        <w:t>后死灰复燃，</w:t>
      </w:r>
      <w:r w:rsidR="008175DC" w:rsidRPr="008175DC">
        <w:rPr>
          <w:rFonts w:ascii="仿宋_GB2312" w:eastAsia="仿宋_GB2312" w:hAnsi="仿宋" w:hint="eastAsia"/>
          <w:sz w:val="32"/>
          <w:szCs w:val="32"/>
        </w:rPr>
        <w:t>或</w:t>
      </w:r>
      <w:r w:rsidR="00A80754" w:rsidRPr="00A80754">
        <w:rPr>
          <w:rFonts w:ascii="仿宋_GB2312" w:eastAsia="仿宋_GB2312" w:hAnsi="Calibri" w:hint="eastAsia"/>
          <w:sz w:val="32"/>
          <w:szCs w:val="32"/>
        </w:rPr>
        <w:t>经</w:t>
      </w:r>
      <w:r w:rsidR="008175DC" w:rsidRPr="008175DC">
        <w:rPr>
          <w:rFonts w:ascii="仿宋_GB2312" w:eastAsia="仿宋_GB2312" w:hAnsi="仿宋" w:hint="eastAsia"/>
          <w:sz w:val="32"/>
          <w:szCs w:val="32"/>
        </w:rPr>
        <w:t>上级抽查发现隐瞒不报的</w:t>
      </w:r>
      <w:r w:rsidR="008175DC">
        <w:rPr>
          <w:rFonts w:ascii="仿宋_GB2312" w:eastAsia="仿宋_GB2312" w:hAnsi="仿宋" w:hint="eastAsia"/>
          <w:sz w:val="32"/>
          <w:szCs w:val="32"/>
        </w:rPr>
        <w:t>将严格问责并在考核中加倍扣分。</w:t>
      </w:r>
    </w:p>
    <w:p w:rsidR="0089489B" w:rsidRDefault="00F403A1" w:rsidP="00E44EB5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6266A5" w:rsidRPr="001F39A0">
        <w:rPr>
          <w:rFonts w:ascii="黑体" w:eastAsia="黑体" w:hAnsi="黑体" w:hint="eastAsia"/>
          <w:sz w:val="32"/>
          <w:szCs w:val="32"/>
        </w:rPr>
        <w:t>、</w:t>
      </w:r>
      <w:r w:rsidR="0089489B">
        <w:rPr>
          <w:rFonts w:ascii="黑体" w:eastAsia="黑体" w:hAnsi="黑体" w:hint="eastAsia"/>
          <w:sz w:val="32"/>
          <w:szCs w:val="32"/>
        </w:rPr>
        <w:t>时间安排</w:t>
      </w:r>
    </w:p>
    <w:p w:rsidR="0089489B" w:rsidRDefault="0089489B" w:rsidP="00E44EB5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9489B">
        <w:rPr>
          <w:rFonts w:ascii="仿宋_GB2312" w:eastAsia="仿宋_GB2312" w:hAnsi="仿宋" w:hint="eastAsia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2019年</w:t>
      </w:r>
      <w:r w:rsidRPr="0089489B">
        <w:rPr>
          <w:rFonts w:ascii="仿宋_GB2312" w:eastAsia="仿宋_GB2312" w:hAnsi="仿宋" w:hint="eastAsia"/>
          <w:sz w:val="32"/>
          <w:szCs w:val="32"/>
        </w:rPr>
        <w:t>3月底前完成摸底调查汇总、上报和整治方案编制工作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89489B" w:rsidRDefault="0089489B" w:rsidP="00E44EB5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（二）2019年4月底前</w:t>
      </w:r>
      <w:r w:rsidR="00C907EC">
        <w:rPr>
          <w:rFonts w:ascii="仿宋_GB2312" w:eastAsia="仿宋_GB2312" w:hAnsi="仿宋" w:hint="eastAsia"/>
          <w:sz w:val="32"/>
          <w:szCs w:val="32"/>
        </w:rPr>
        <w:t>启动</w:t>
      </w:r>
      <w:r>
        <w:rPr>
          <w:rFonts w:ascii="仿宋_GB2312" w:eastAsia="仿宋_GB2312" w:hAnsi="仿宋" w:hint="eastAsia"/>
          <w:sz w:val="32"/>
          <w:szCs w:val="32"/>
        </w:rPr>
        <w:t>整治项目。</w:t>
      </w:r>
    </w:p>
    <w:p w:rsidR="00C907EC" w:rsidRDefault="0089489B" w:rsidP="00E44EB5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</w:t>
      </w:r>
      <w:r w:rsidR="00C907EC">
        <w:rPr>
          <w:rFonts w:ascii="仿宋_GB2312" w:eastAsia="仿宋_GB2312" w:hAnsi="仿宋" w:hint="eastAsia"/>
          <w:sz w:val="32"/>
          <w:szCs w:val="32"/>
        </w:rPr>
        <w:t>2019年6月底前完成工程比例达到60%。</w:t>
      </w:r>
    </w:p>
    <w:p w:rsidR="0089489B" w:rsidRDefault="00C907EC" w:rsidP="00E44EB5">
      <w:pPr>
        <w:spacing w:line="59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（四）</w:t>
      </w:r>
      <w:r w:rsidR="0089489B">
        <w:rPr>
          <w:rFonts w:ascii="仿宋_GB2312" w:eastAsia="仿宋_GB2312" w:hAnsi="仿宋" w:hint="eastAsia"/>
          <w:sz w:val="32"/>
          <w:szCs w:val="32"/>
        </w:rPr>
        <w:t>2019年</w:t>
      </w:r>
      <w:r w:rsidR="009D4C91">
        <w:rPr>
          <w:rFonts w:ascii="仿宋_GB2312" w:eastAsia="仿宋_GB2312" w:hAnsi="仿宋" w:hint="eastAsia"/>
          <w:sz w:val="32"/>
          <w:szCs w:val="32"/>
        </w:rPr>
        <w:t>10</w:t>
      </w:r>
      <w:r w:rsidR="0089489B">
        <w:rPr>
          <w:rFonts w:ascii="仿宋_GB2312" w:eastAsia="仿宋_GB2312" w:hAnsi="仿宋" w:hint="eastAsia"/>
          <w:sz w:val="32"/>
          <w:szCs w:val="32"/>
        </w:rPr>
        <w:t>月底前</w:t>
      </w:r>
      <w:r w:rsidR="009D4C91">
        <w:rPr>
          <w:rFonts w:ascii="仿宋_GB2312" w:eastAsia="仿宋_GB2312" w:hAnsi="仿宋" w:hint="eastAsia"/>
          <w:sz w:val="32"/>
          <w:szCs w:val="32"/>
        </w:rPr>
        <w:t>，完成</w:t>
      </w:r>
      <w:r w:rsidR="009D4C91" w:rsidRPr="001F39A0">
        <w:rPr>
          <w:rFonts w:ascii="仿宋_GB2312" w:eastAsia="仿宋_GB2312" w:hAnsi="仿宋" w:hint="eastAsia"/>
          <w:sz w:val="32"/>
          <w:szCs w:val="32"/>
        </w:rPr>
        <w:t>对</w:t>
      </w:r>
      <w:r w:rsidR="009D4C91">
        <w:rPr>
          <w:rFonts w:ascii="仿宋_GB2312" w:eastAsia="仿宋_GB2312" w:hAnsi="仿宋" w:hint="eastAsia"/>
          <w:sz w:val="32"/>
          <w:szCs w:val="32"/>
        </w:rPr>
        <w:t>生活污水整治</w:t>
      </w:r>
      <w:r w:rsidR="009D4C91" w:rsidRPr="001F39A0">
        <w:rPr>
          <w:rFonts w:ascii="仿宋_GB2312" w:eastAsia="仿宋_GB2312" w:hAnsi="仿宋" w:hint="eastAsia"/>
          <w:sz w:val="32"/>
          <w:szCs w:val="32"/>
        </w:rPr>
        <w:t>进行处理的行政村比</w:t>
      </w:r>
      <w:r w:rsidR="009D4C91">
        <w:rPr>
          <w:rFonts w:ascii="仿宋_GB2312" w:eastAsia="仿宋_GB2312" w:hAnsi="仿宋" w:hint="eastAsia"/>
          <w:sz w:val="32"/>
          <w:szCs w:val="32"/>
        </w:rPr>
        <w:t>例</w:t>
      </w:r>
      <w:r w:rsidR="009D4C91" w:rsidRPr="001F39A0">
        <w:rPr>
          <w:rFonts w:ascii="仿宋_GB2312" w:eastAsia="仿宋_GB2312" w:hAnsi="仿宋" w:hint="eastAsia"/>
          <w:sz w:val="32"/>
          <w:szCs w:val="32"/>
        </w:rPr>
        <w:t>达</w:t>
      </w:r>
      <w:r w:rsidR="00BF75CD">
        <w:rPr>
          <w:rFonts w:ascii="仿宋_GB2312" w:eastAsia="仿宋_GB2312" w:hAnsi="仿宋" w:hint="eastAsia"/>
          <w:sz w:val="32"/>
          <w:szCs w:val="32"/>
        </w:rPr>
        <w:t>到</w:t>
      </w:r>
      <w:r w:rsidR="009D4C91">
        <w:rPr>
          <w:rFonts w:ascii="仿宋_GB2312" w:eastAsia="仿宋_GB2312" w:hAnsi="仿宋" w:hint="eastAsia"/>
          <w:sz w:val="32"/>
          <w:szCs w:val="32"/>
        </w:rPr>
        <w:t>40</w:t>
      </w:r>
      <w:r w:rsidR="009D4C91" w:rsidRPr="001F39A0">
        <w:rPr>
          <w:rFonts w:ascii="仿宋_GB2312" w:eastAsia="仿宋_GB2312" w:hAnsi="仿宋" w:hint="eastAsia"/>
          <w:sz w:val="32"/>
          <w:szCs w:val="32"/>
        </w:rPr>
        <w:t>%</w:t>
      </w:r>
      <w:r w:rsidR="009D4C91">
        <w:rPr>
          <w:rFonts w:ascii="仿宋_GB2312" w:eastAsia="仿宋_GB2312" w:hAnsi="仿宋" w:hint="eastAsia"/>
          <w:sz w:val="32"/>
          <w:szCs w:val="32"/>
        </w:rPr>
        <w:t>，生活污水处理率集雨区达（非集雨区）到70%（60%）</w:t>
      </w:r>
      <w:r w:rsidR="0089489B">
        <w:rPr>
          <w:rFonts w:ascii="仿宋_GB2312" w:eastAsia="仿宋_GB2312" w:hAnsi="仿宋" w:hint="eastAsia"/>
          <w:sz w:val="32"/>
          <w:szCs w:val="32"/>
        </w:rPr>
        <w:t>；完成</w:t>
      </w:r>
      <w:r w:rsidR="0089489B" w:rsidRPr="003B54CF">
        <w:rPr>
          <w:rFonts w:ascii="仿宋_GB2312" w:eastAsia="仿宋_GB2312" w:hAnsi="仿宋" w:hint="eastAsia"/>
          <w:sz w:val="32"/>
          <w:szCs w:val="32"/>
        </w:rPr>
        <w:t>农户</w:t>
      </w:r>
      <w:r w:rsidR="0089489B" w:rsidRPr="001F39A0">
        <w:rPr>
          <w:rFonts w:ascii="仿宋_GB2312" w:eastAsia="仿宋_GB2312" w:hAnsi="仿宋" w:hint="eastAsia"/>
          <w:sz w:val="32"/>
          <w:szCs w:val="32"/>
        </w:rPr>
        <w:t>房前屋后的河塘沟渠重点实施清淤疏浚工程</w:t>
      </w:r>
      <w:r w:rsidR="0089489B">
        <w:rPr>
          <w:rFonts w:ascii="仿宋_GB2312" w:eastAsia="仿宋_GB2312" w:hAnsi="仿宋" w:hint="eastAsia"/>
          <w:sz w:val="32"/>
          <w:szCs w:val="32"/>
        </w:rPr>
        <w:t>和</w:t>
      </w:r>
      <w:r w:rsidR="0089489B" w:rsidRPr="001F39A0">
        <w:rPr>
          <w:rFonts w:ascii="仿宋_GB2312" w:eastAsia="仿宋_GB2312" w:hAnsi="仿宋" w:hint="eastAsia"/>
          <w:sz w:val="32"/>
          <w:szCs w:val="32"/>
        </w:rPr>
        <w:t>农村黑臭水体治理工程</w:t>
      </w:r>
      <w:r w:rsidR="0089489B">
        <w:rPr>
          <w:rFonts w:ascii="仿宋_GB2312" w:eastAsia="仿宋_GB2312" w:hAnsi="仿宋" w:hint="eastAsia"/>
          <w:sz w:val="32"/>
          <w:szCs w:val="32"/>
        </w:rPr>
        <w:t>；</w:t>
      </w:r>
      <w:r w:rsidR="009D4C91">
        <w:rPr>
          <w:rFonts w:ascii="仿宋_GB2312" w:eastAsia="仿宋_GB2312" w:hAnsi="仿宋" w:hint="eastAsia"/>
          <w:sz w:val="32"/>
          <w:szCs w:val="32"/>
        </w:rPr>
        <w:t>11</w:t>
      </w:r>
      <w:r w:rsidR="0089489B">
        <w:rPr>
          <w:rFonts w:ascii="仿宋_GB2312" w:eastAsia="仿宋_GB2312" w:hAnsi="仿宋" w:hint="eastAsia"/>
          <w:sz w:val="32"/>
          <w:szCs w:val="32"/>
        </w:rPr>
        <w:t>月底前完成工程验收</w:t>
      </w:r>
      <w:r w:rsidR="00851258">
        <w:rPr>
          <w:rFonts w:ascii="仿宋_GB2312" w:eastAsia="仿宋_GB2312" w:hAnsi="仿宋" w:hint="eastAsia"/>
          <w:sz w:val="32"/>
          <w:szCs w:val="32"/>
        </w:rPr>
        <w:t>；12月底前完成资料收集、整理和上报</w:t>
      </w:r>
      <w:r w:rsidR="0089489B">
        <w:rPr>
          <w:rFonts w:ascii="仿宋_GB2312" w:eastAsia="仿宋_GB2312" w:hAnsi="仿宋" w:hint="eastAsia"/>
          <w:sz w:val="32"/>
          <w:szCs w:val="32"/>
        </w:rPr>
        <w:t>。</w:t>
      </w:r>
    </w:p>
    <w:p w:rsidR="006266A5" w:rsidRPr="001F39A0" w:rsidRDefault="0089489B" w:rsidP="00E44EB5">
      <w:pPr>
        <w:spacing w:line="59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E44EB5">
        <w:rPr>
          <w:rFonts w:ascii="黑体" w:eastAsia="黑体" w:hAnsi="黑体" w:cs="宋体" w:hint="eastAsia"/>
          <w:kern w:val="0"/>
          <w:sz w:val="32"/>
          <w:szCs w:val="32"/>
        </w:rPr>
        <w:t>四、</w:t>
      </w:r>
      <w:r w:rsidR="006266A5" w:rsidRPr="001F39A0">
        <w:rPr>
          <w:rFonts w:ascii="黑体" w:eastAsia="黑体" w:hAnsi="黑体" w:cs="宋体"/>
          <w:kern w:val="0"/>
          <w:sz w:val="32"/>
          <w:szCs w:val="32"/>
        </w:rPr>
        <w:t>保障</w:t>
      </w:r>
      <w:r w:rsidR="006266A5" w:rsidRPr="001F39A0">
        <w:rPr>
          <w:rFonts w:ascii="黑体" w:eastAsia="黑体" w:hAnsi="黑体" w:cs="宋体" w:hint="eastAsia"/>
          <w:kern w:val="0"/>
          <w:sz w:val="32"/>
          <w:szCs w:val="32"/>
        </w:rPr>
        <w:t>措施</w:t>
      </w:r>
    </w:p>
    <w:p w:rsidR="006266A5" w:rsidRPr="00E44EB5" w:rsidRDefault="006266A5" w:rsidP="00E44EB5">
      <w:pPr>
        <w:spacing w:line="59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E44EB5">
        <w:rPr>
          <w:rFonts w:ascii="楷体_GB2312" w:eastAsia="楷体_GB2312" w:hAnsi="仿宋" w:hint="eastAsia"/>
          <w:b/>
          <w:sz w:val="32"/>
          <w:szCs w:val="32"/>
        </w:rPr>
        <w:t>（一）加强组织领导</w:t>
      </w:r>
      <w:r w:rsidR="00E44EB5" w:rsidRPr="00E44EB5">
        <w:rPr>
          <w:rFonts w:ascii="楷体_GB2312" w:eastAsia="楷体_GB2312" w:hAnsi="仿宋" w:hint="eastAsia"/>
          <w:b/>
          <w:sz w:val="32"/>
          <w:szCs w:val="32"/>
        </w:rPr>
        <w:t>。</w:t>
      </w:r>
      <w:r w:rsidRPr="001F39A0">
        <w:rPr>
          <w:rFonts w:ascii="仿宋_GB2312" w:eastAsia="仿宋_GB2312" w:hAnsi="仿宋" w:hint="eastAsia"/>
          <w:sz w:val="32"/>
          <w:szCs w:val="32"/>
        </w:rPr>
        <w:t>成立农村生活污水治理工作领导小组，加强对这项工作的组织领导、统筹推进。制定牵头负责任务的具体实施方案和评估机制，联系并指导办好一批示范点，探索一批好的建设机制。要对照本治理方案提出的目标和重点工作，抓紧编制或修订县级农村人居环境整治实施方案或规划，明确本</w:t>
      </w:r>
      <w:r w:rsidRPr="00026582">
        <w:rPr>
          <w:rFonts w:ascii="仿宋_GB2312" w:eastAsia="仿宋_GB2312" w:hAnsi="仿宋" w:hint="eastAsia"/>
          <w:sz w:val="32"/>
          <w:szCs w:val="32"/>
        </w:rPr>
        <w:t>行政</w:t>
      </w:r>
      <w:r w:rsidRPr="001F39A0">
        <w:rPr>
          <w:rFonts w:ascii="仿宋_GB2312" w:eastAsia="仿宋_GB2312" w:hAnsi="仿宋" w:hint="eastAsia"/>
          <w:sz w:val="32"/>
          <w:szCs w:val="32"/>
        </w:rPr>
        <w:t>区目标任务、责任部门、资金筹措方案、农民群众参与机制、考核验收标准和办法等内容。</w:t>
      </w:r>
    </w:p>
    <w:p w:rsidR="006266A5" w:rsidRPr="00E44EB5" w:rsidRDefault="006266A5" w:rsidP="00E44EB5">
      <w:pPr>
        <w:spacing w:line="59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E44EB5">
        <w:rPr>
          <w:rFonts w:ascii="楷体_GB2312" w:eastAsia="楷体_GB2312" w:hAnsi="仿宋" w:hint="eastAsia"/>
          <w:b/>
          <w:sz w:val="32"/>
          <w:szCs w:val="32"/>
        </w:rPr>
        <w:t>（二）强化监督考核</w:t>
      </w:r>
      <w:r w:rsidR="00E44EB5" w:rsidRPr="00E44EB5">
        <w:rPr>
          <w:rFonts w:ascii="楷体_GB2312" w:eastAsia="楷体_GB2312" w:hAnsi="仿宋" w:hint="eastAsia"/>
          <w:b/>
          <w:sz w:val="32"/>
          <w:szCs w:val="32"/>
        </w:rPr>
        <w:t>。</w:t>
      </w:r>
      <w:r w:rsidRPr="001F39A0">
        <w:rPr>
          <w:rFonts w:ascii="仿宋_GB2312" w:eastAsia="仿宋_GB2312" w:hAnsi="仿宋" w:hint="eastAsia"/>
          <w:sz w:val="32"/>
          <w:szCs w:val="32"/>
        </w:rPr>
        <w:t>将农村生活污水治理工作纳入市政府目标责任考核范围，作为相关市县干部政绩考核的重要内容。市</w:t>
      </w:r>
      <w:r w:rsidR="00E44EB5">
        <w:rPr>
          <w:rFonts w:ascii="仿宋_GB2312" w:eastAsia="仿宋_GB2312" w:hAnsi="仿宋" w:hint="eastAsia"/>
          <w:sz w:val="32"/>
          <w:szCs w:val="32"/>
        </w:rPr>
        <w:t>生态环境</w:t>
      </w:r>
      <w:r w:rsidRPr="001F39A0">
        <w:rPr>
          <w:rFonts w:ascii="仿宋_GB2312" w:eastAsia="仿宋_GB2312" w:hAnsi="仿宋" w:hint="eastAsia"/>
          <w:sz w:val="32"/>
          <w:szCs w:val="32"/>
        </w:rPr>
        <w:t>局将采取现场督察、专项检查等方式，对农村生活污水治理工作进行考核评估。考核评估主要内容包括：资金投入、任务完成情况、建设和长效管护体制机制建设、人员到位、督查考核等。考核评估结果向市委市政府报告，通报县（市）区政府，并以适当形式向社会公布。</w:t>
      </w:r>
    </w:p>
    <w:p w:rsidR="006266A5" w:rsidRPr="00E44EB5" w:rsidRDefault="006266A5" w:rsidP="00E44EB5">
      <w:pPr>
        <w:spacing w:line="59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E44EB5">
        <w:rPr>
          <w:rFonts w:ascii="楷体_GB2312" w:eastAsia="楷体_GB2312" w:hAnsi="仿宋" w:hint="eastAsia"/>
          <w:b/>
          <w:sz w:val="32"/>
          <w:szCs w:val="32"/>
        </w:rPr>
        <w:t>（三）营造良好氛围</w:t>
      </w:r>
      <w:r w:rsidR="00E44EB5">
        <w:rPr>
          <w:rFonts w:ascii="楷体_GB2312" w:eastAsia="楷体_GB2312" w:hAnsi="仿宋" w:hint="eastAsia"/>
          <w:b/>
          <w:sz w:val="32"/>
          <w:szCs w:val="32"/>
        </w:rPr>
        <w:t>。</w:t>
      </w:r>
      <w:r w:rsidRPr="001F39A0">
        <w:rPr>
          <w:rFonts w:ascii="仿宋_GB2312" w:eastAsia="仿宋_GB2312" w:hAnsi="仿宋" w:hint="eastAsia"/>
          <w:sz w:val="32"/>
          <w:szCs w:val="32"/>
        </w:rPr>
        <w:t>充分发挥电视、广播、报刊、网络等媒体的作用，通过群众喜闻乐见的形式，大力宣传农村生活污水治理的重要意义、政策措施，强化环境卫生意识，</w:t>
      </w:r>
      <w:r w:rsidRPr="001F39A0">
        <w:rPr>
          <w:rFonts w:ascii="仿宋_GB2312" w:eastAsia="仿宋_GB2312" w:hAnsi="仿宋" w:hint="eastAsia"/>
          <w:sz w:val="32"/>
          <w:szCs w:val="32"/>
        </w:rPr>
        <w:lastRenderedPageBreak/>
        <w:t>引导农民群众形成健康文明的生活方式，动员广大农民和社会各界积极参与农村生活污水治理，努力形成全社会关心、支持和参与农村生活污水治理的良好氛围。</w:t>
      </w:r>
    </w:p>
    <w:p w:rsidR="002C45D4" w:rsidRPr="00E2011C" w:rsidRDefault="002C45D4" w:rsidP="00E44EB5">
      <w:pPr>
        <w:spacing w:line="59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E2011C">
        <w:rPr>
          <w:rFonts w:ascii="仿宋_GB2312" w:eastAsia="仿宋_GB2312" w:hAnsi="仿宋" w:hint="eastAsia"/>
          <w:b/>
          <w:sz w:val="32"/>
          <w:szCs w:val="32"/>
        </w:rPr>
        <w:t>(四)其他</w:t>
      </w:r>
      <w:r>
        <w:rPr>
          <w:rFonts w:ascii="仿宋_GB2312" w:eastAsia="仿宋_GB2312" w:hAnsi="仿宋" w:hint="eastAsia"/>
          <w:b/>
          <w:sz w:val="32"/>
          <w:szCs w:val="32"/>
        </w:rPr>
        <w:t>明确</w:t>
      </w:r>
      <w:r w:rsidRPr="00E2011C">
        <w:rPr>
          <w:rFonts w:ascii="仿宋_GB2312" w:eastAsia="仿宋_GB2312" w:hAnsi="仿宋" w:hint="eastAsia"/>
          <w:b/>
          <w:sz w:val="32"/>
          <w:szCs w:val="32"/>
        </w:rPr>
        <w:t xml:space="preserve">事项                      </w:t>
      </w:r>
    </w:p>
    <w:p w:rsidR="002C45D4" w:rsidRDefault="002C45D4" w:rsidP="00E44EB5">
      <w:pPr>
        <w:tabs>
          <w:tab w:val="left" w:pos="8306"/>
        </w:tabs>
        <w:spacing w:line="590" w:lineRule="exact"/>
        <w:ind w:right="-58" w:firstLineChars="200" w:firstLine="640"/>
        <w:rPr>
          <w:rFonts w:ascii="仿宋_GB2312" w:eastAsia="仿宋_GB2312" w:hAnsi="仿宋"/>
          <w:sz w:val="32"/>
          <w:szCs w:val="32"/>
        </w:rPr>
      </w:pPr>
      <w:r w:rsidRPr="00E2011C">
        <w:rPr>
          <w:rFonts w:ascii="仿宋_GB2312" w:eastAsia="仿宋_GB2312" w:hAnsi="仿宋" w:hint="eastAsia"/>
          <w:sz w:val="32"/>
          <w:szCs w:val="32"/>
        </w:rPr>
        <w:t>1.2018年12月31日前已完成建设具有两格及以上生</w:t>
      </w:r>
      <w:r>
        <w:rPr>
          <w:rFonts w:ascii="仿宋_GB2312" w:eastAsia="仿宋_GB2312" w:hAnsi="仿宋" w:hint="eastAsia"/>
          <w:sz w:val="32"/>
          <w:szCs w:val="32"/>
        </w:rPr>
        <w:t>活污水分户处理设施，且能满足农户常住人口生活污水处理能力需求，</w:t>
      </w:r>
      <w:r w:rsidRPr="00E2011C">
        <w:rPr>
          <w:rFonts w:ascii="仿宋_GB2312" w:eastAsia="仿宋_GB2312" w:hAnsi="仿宋" w:hint="eastAsia"/>
          <w:sz w:val="32"/>
          <w:szCs w:val="32"/>
        </w:rPr>
        <w:t>情况属实</w:t>
      </w:r>
      <w:r>
        <w:rPr>
          <w:rFonts w:ascii="仿宋_GB2312" w:eastAsia="仿宋_GB2312" w:hAnsi="仿宋" w:hint="eastAsia"/>
          <w:sz w:val="32"/>
          <w:szCs w:val="32"/>
        </w:rPr>
        <w:t>的，</w:t>
      </w:r>
      <w:r w:rsidRPr="00E2011C">
        <w:rPr>
          <w:rFonts w:ascii="仿宋_GB2312" w:eastAsia="仿宋_GB2312" w:hAnsi="仿宋" w:hint="eastAsia"/>
          <w:sz w:val="32"/>
          <w:szCs w:val="32"/>
        </w:rPr>
        <w:t>视同已完成整治。</w:t>
      </w:r>
    </w:p>
    <w:p w:rsidR="002C45D4" w:rsidRDefault="002C45D4" w:rsidP="00E44EB5">
      <w:pPr>
        <w:tabs>
          <w:tab w:val="left" w:pos="8306"/>
        </w:tabs>
        <w:spacing w:line="590" w:lineRule="exact"/>
        <w:ind w:right="-58" w:firstLineChars="200" w:firstLine="640"/>
        <w:rPr>
          <w:rFonts w:ascii="仿宋_GB2312" w:eastAsia="仿宋_GB2312" w:hAnsi="仿宋"/>
          <w:sz w:val="32"/>
          <w:szCs w:val="32"/>
        </w:rPr>
      </w:pPr>
      <w:r w:rsidRPr="00E2011C">
        <w:rPr>
          <w:rFonts w:ascii="仿宋_GB2312" w:eastAsia="仿宋_GB2312" w:hAnsi="仿宋" w:hint="eastAsia"/>
          <w:sz w:val="32"/>
          <w:szCs w:val="32"/>
        </w:rPr>
        <w:t>2.新建、改建、扩建的农户住宅及列入农村厕所改造清单中的农户，均需纳入生活污水治理需求统计范围。</w:t>
      </w:r>
    </w:p>
    <w:p w:rsidR="002C45D4" w:rsidRDefault="002C45D4" w:rsidP="00E44EB5">
      <w:pPr>
        <w:tabs>
          <w:tab w:val="left" w:pos="8306"/>
        </w:tabs>
        <w:spacing w:line="590" w:lineRule="exact"/>
        <w:ind w:right="-58" w:firstLineChars="200" w:firstLine="640"/>
        <w:rPr>
          <w:rFonts w:ascii="仿宋_GB2312" w:eastAsia="仿宋_GB2312" w:hAnsi="仿宋"/>
          <w:sz w:val="32"/>
          <w:szCs w:val="32"/>
        </w:rPr>
      </w:pPr>
      <w:r w:rsidRPr="00E2011C">
        <w:rPr>
          <w:rFonts w:ascii="仿宋_GB2312" w:eastAsia="仿宋_GB2312" w:hAnsi="仿宋" w:hint="eastAsia"/>
          <w:sz w:val="32"/>
          <w:szCs w:val="32"/>
        </w:rPr>
        <w:t>3.农村生活污水治理方式包含分户处理、集中处理和城镇管网处理。</w:t>
      </w:r>
    </w:p>
    <w:p w:rsidR="002C45D4" w:rsidRDefault="002C45D4" w:rsidP="00E44EB5">
      <w:pPr>
        <w:tabs>
          <w:tab w:val="left" w:pos="8306"/>
        </w:tabs>
        <w:spacing w:line="590" w:lineRule="exact"/>
        <w:ind w:right="-58" w:firstLineChars="200" w:firstLine="640"/>
        <w:rPr>
          <w:rFonts w:ascii="仿宋_GB2312" w:eastAsia="仿宋_GB2312" w:hAnsi="仿宋"/>
          <w:sz w:val="32"/>
          <w:szCs w:val="32"/>
        </w:rPr>
      </w:pPr>
      <w:r w:rsidRPr="00E2011C">
        <w:rPr>
          <w:rFonts w:ascii="仿宋_GB2312" w:eastAsia="仿宋_GB2312" w:hAnsi="仿宋" w:hint="eastAsia"/>
          <w:sz w:val="32"/>
          <w:szCs w:val="32"/>
        </w:rPr>
        <w:t>4.黑臭水体认定及整治标准、农村生活污水治理方式与治理标准具体解释见《株洲市2019年农村人居环境整治重点任务内容及工作标准》。</w:t>
      </w:r>
    </w:p>
    <w:p w:rsidR="002C45D4" w:rsidRDefault="002C45D4" w:rsidP="00E44EB5">
      <w:pPr>
        <w:tabs>
          <w:tab w:val="left" w:pos="8306"/>
        </w:tabs>
        <w:spacing w:line="590" w:lineRule="exact"/>
        <w:ind w:right="-58" w:firstLineChars="200" w:firstLine="640"/>
        <w:rPr>
          <w:rFonts w:ascii="仿宋_GB2312" w:eastAsia="仿宋_GB2312" w:hAnsi="仿宋"/>
          <w:sz w:val="32"/>
          <w:szCs w:val="32"/>
        </w:rPr>
      </w:pPr>
      <w:r w:rsidRPr="00E2011C">
        <w:rPr>
          <w:rFonts w:ascii="仿宋_GB2312" w:eastAsia="仿宋_GB2312" w:hAnsi="仿宋" w:hint="eastAsia"/>
          <w:sz w:val="32"/>
          <w:szCs w:val="32"/>
        </w:rPr>
        <w:t>5.农户生活污水的厨房和洗浴污水不得进入化粪池，厕所污水经化粪池处理后与厨房、洗浴污水一并经排水管进入生活污水（分户、集中、城镇管网）治理设施进行处理。</w:t>
      </w:r>
    </w:p>
    <w:p w:rsidR="00B026FC" w:rsidRDefault="00B026FC" w:rsidP="006266A5"/>
    <w:sectPr w:rsidR="00B026FC" w:rsidSect="00B026F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D3" w:rsidRDefault="00EE2AD3" w:rsidP="00A534B2">
      <w:r>
        <w:separator/>
      </w:r>
    </w:p>
  </w:endnote>
  <w:endnote w:type="continuationSeparator" w:id="0">
    <w:p w:rsidR="00EE2AD3" w:rsidRDefault="00EE2AD3" w:rsidP="00A5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E-BX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-B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9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73D5" w:rsidRPr="00B373D5" w:rsidRDefault="00292E1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373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373D5" w:rsidRPr="00B373D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373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75CD" w:rsidRPr="00BF75C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B373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73D5" w:rsidRDefault="00B373D5" w:rsidP="00B373D5">
    <w:pPr>
      <w:pStyle w:val="a6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D3" w:rsidRDefault="00EE2AD3" w:rsidP="00A534B2">
      <w:r>
        <w:separator/>
      </w:r>
    </w:p>
  </w:footnote>
  <w:footnote w:type="continuationSeparator" w:id="0">
    <w:p w:rsidR="00EE2AD3" w:rsidRDefault="00EE2AD3" w:rsidP="00A53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E366D"/>
    <w:multiLevelType w:val="hybridMultilevel"/>
    <w:tmpl w:val="D61A419C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6A5"/>
    <w:rsid w:val="00026582"/>
    <w:rsid w:val="00072860"/>
    <w:rsid w:val="00091BE1"/>
    <w:rsid w:val="000C683F"/>
    <w:rsid w:val="000D2451"/>
    <w:rsid w:val="001C3FA5"/>
    <w:rsid w:val="001C79DB"/>
    <w:rsid w:val="00260B54"/>
    <w:rsid w:val="00292E1C"/>
    <w:rsid w:val="002C45D4"/>
    <w:rsid w:val="002C6501"/>
    <w:rsid w:val="002D3F80"/>
    <w:rsid w:val="00323606"/>
    <w:rsid w:val="00355F2F"/>
    <w:rsid w:val="00412F5D"/>
    <w:rsid w:val="00451768"/>
    <w:rsid w:val="004A36EB"/>
    <w:rsid w:val="00521184"/>
    <w:rsid w:val="006266A5"/>
    <w:rsid w:val="006575D8"/>
    <w:rsid w:val="006A3E50"/>
    <w:rsid w:val="006D0368"/>
    <w:rsid w:val="006E650D"/>
    <w:rsid w:val="00730DC9"/>
    <w:rsid w:val="00734AE8"/>
    <w:rsid w:val="0073607E"/>
    <w:rsid w:val="007A65DF"/>
    <w:rsid w:val="007A6D00"/>
    <w:rsid w:val="00812936"/>
    <w:rsid w:val="008175DC"/>
    <w:rsid w:val="00851258"/>
    <w:rsid w:val="0089489B"/>
    <w:rsid w:val="00897113"/>
    <w:rsid w:val="008A7B3D"/>
    <w:rsid w:val="008C2456"/>
    <w:rsid w:val="009D4C91"/>
    <w:rsid w:val="00A534B2"/>
    <w:rsid w:val="00A673B4"/>
    <w:rsid w:val="00A72580"/>
    <w:rsid w:val="00A80754"/>
    <w:rsid w:val="00B026FC"/>
    <w:rsid w:val="00B36DCB"/>
    <w:rsid w:val="00B373D5"/>
    <w:rsid w:val="00B40234"/>
    <w:rsid w:val="00B46151"/>
    <w:rsid w:val="00BF4A7B"/>
    <w:rsid w:val="00BF75CD"/>
    <w:rsid w:val="00C06483"/>
    <w:rsid w:val="00C819CC"/>
    <w:rsid w:val="00C907EC"/>
    <w:rsid w:val="00CE26F2"/>
    <w:rsid w:val="00D52BC2"/>
    <w:rsid w:val="00D7423C"/>
    <w:rsid w:val="00DD7FA2"/>
    <w:rsid w:val="00DE6981"/>
    <w:rsid w:val="00E44EB5"/>
    <w:rsid w:val="00E50FC8"/>
    <w:rsid w:val="00E71955"/>
    <w:rsid w:val="00EC3F01"/>
    <w:rsid w:val="00EE2AD3"/>
    <w:rsid w:val="00EE78C4"/>
    <w:rsid w:val="00EF01EE"/>
    <w:rsid w:val="00F01105"/>
    <w:rsid w:val="00F403A1"/>
    <w:rsid w:val="00F65191"/>
    <w:rsid w:val="00FD521A"/>
    <w:rsid w:val="00FF0892"/>
    <w:rsid w:val="00FF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A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6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6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6A5"/>
    <w:pPr>
      <w:ind w:firstLineChars="200" w:firstLine="420"/>
    </w:pPr>
  </w:style>
  <w:style w:type="paragraph" w:styleId="a4">
    <w:name w:val="Subtitle"/>
    <w:basedOn w:val="a"/>
    <w:next w:val="a"/>
    <w:link w:val="Char"/>
    <w:uiPriority w:val="11"/>
    <w:qFormat/>
    <w:rsid w:val="00F6519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F6519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A5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534B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53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534B2"/>
    <w:rPr>
      <w:sz w:val="18"/>
      <w:szCs w:val="18"/>
    </w:rPr>
  </w:style>
  <w:style w:type="character" w:customStyle="1" w:styleId="fontstyle01">
    <w:name w:val="fontstyle01"/>
    <w:basedOn w:val="a0"/>
    <w:rsid w:val="00DD7FA2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7">
    <w:name w:val="Date"/>
    <w:basedOn w:val="a"/>
    <w:next w:val="a"/>
    <w:link w:val="Char2"/>
    <w:uiPriority w:val="99"/>
    <w:semiHidden/>
    <w:unhideWhenUsed/>
    <w:rsid w:val="00DD7FA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D7FA2"/>
  </w:style>
  <w:style w:type="character" w:customStyle="1" w:styleId="fontstyle11">
    <w:name w:val="fontstyle11"/>
    <w:basedOn w:val="a0"/>
    <w:rsid w:val="00412F5D"/>
    <w:rPr>
      <w:rFonts w:ascii="E-BX" w:hAnsi="E-BX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412F5D"/>
    <w:rPr>
      <w:rFonts w:ascii="E-BZ" w:hAnsi="E-BZ" w:hint="default"/>
      <w:b w:val="0"/>
      <w:bCs w:val="0"/>
      <w:i w:val="0"/>
      <w:iCs w:val="0"/>
      <w:color w:val="000000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B373D5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B373D5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B373D5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373D5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B373D5"/>
    <w:rPr>
      <w:b/>
      <w:bCs/>
    </w:rPr>
  </w:style>
  <w:style w:type="paragraph" w:styleId="ab">
    <w:name w:val="Balloon Text"/>
    <w:basedOn w:val="a"/>
    <w:link w:val="Char5"/>
    <w:uiPriority w:val="99"/>
    <w:semiHidden/>
    <w:unhideWhenUsed/>
    <w:rsid w:val="00B373D5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B37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521064-4F92-45CB-A0C7-B5BAE49F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2019-03-28T02:19:00Z</cp:lastPrinted>
  <dcterms:created xsi:type="dcterms:W3CDTF">2019-01-18T00:41:00Z</dcterms:created>
  <dcterms:modified xsi:type="dcterms:W3CDTF">2019-03-28T07:35:00Z</dcterms:modified>
</cp:coreProperties>
</file>