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line="480" w:lineRule="exact"/>
        <w:ind w:right="360" w:rightChars="150" w:firstLine="866" w:firstLineChars="196"/>
        <w:jc w:val="center"/>
        <w:outlineLvl w:val="1"/>
        <w:rPr>
          <w:rFonts w:hint="eastAsia" w:asciiTheme="majorEastAsia" w:hAnsiTheme="majorEastAsia" w:eastAsiaTheme="majorEastAsia" w:cstheme="majorEastAsia"/>
          <w:b/>
          <w:bCs w:val="0"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 w:val="0"/>
          <w:sz w:val="44"/>
          <w:szCs w:val="44"/>
          <w:lang w:eastAsia="zh-CN"/>
        </w:rPr>
        <w:t>芦淞区机关事务服务中心</w:t>
      </w:r>
      <w:r>
        <w:rPr>
          <w:rFonts w:hint="eastAsia" w:asciiTheme="majorEastAsia" w:hAnsiTheme="majorEastAsia" w:eastAsiaTheme="majorEastAsia" w:cstheme="majorEastAsia"/>
          <w:b/>
          <w:bCs w:val="0"/>
          <w:sz w:val="44"/>
          <w:szCs w:val="44"/>
        </w:rPr>
        <w:t>专项资金</w:t>
      </w:r>
    </w:p>
    <w:p>
      <w:pPr>
        <w:widowControl w:val="0"/>
        <w:spacing w:line="480" w:lineRule="exact"/>
        <w:ind w:right="360" w:rightChars="150" w:firstLine="866" w:firstLineChars="196"/>
        <w:jc w:val="center"/>
        <w:outlineLvl w:val="1"/>
        <w:rPr>
          <w:rFonts w:hint="eastAsia" w:asciiTheme="majorEastAsia" w:hAnsiTheme="majorEastAsia" w:eastAsiaTheme="majorEastAsia" w:cstheme="majorEastAsia"/>
          <w:b/>
          <w:bCs w:val="0"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 w:val="0"/>
          <w:sz w:val="44"/>
          <w:szCs w:val="44"/>
        </w:rPr>
        <w:t>管</w:t>
      </w:r>
      <w:r>
        <w:rPr>
          <w:rFonts w:hint="eastAsia" w:asciiTheme="majorEastAsia" w:hAnsiTheme="majorEastAsia" w:eastAsiaTheme="majorEastAsia" w:cstheme="majorEastAsia"/>
          <w:b/>
          <w:bCs w:val="0"/>
          <w:sz w:val="44"/>
          <w:szCs w:val="44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b/>
          <w:bCs w:val="0"/>
          <w:sz w:val="44"/>
          <w:szCs w:val="44"/>
        </w:rPr>
        <w:t>理</w:t>
      </w:r>
      <w:r>
        <w:rPr>
          <w:rFonts w:hint="eastAsia" w:asciiTheme="majorEastAsia" w:hAnsiTheme="majorEastAsia" w:eastAsiaTheme="majorEastAsia" w:cstheme="majorEastAsia"/>
          <w:b/>
          <w:bCs w:val="0"/>
          <w:sz w:val="44"/>
          <w:szCs w:val="44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b/>
          <w:bCs w:val="0"/>
          <w:sz w:val="44"/>
          <w:szCs w:val="44"/>
        </w:rPr>
        <w:t>办</w:t>
      </w:r>
      <w:r>
        <w:rPr>
          <w:rFonts w:hint="eastAsia" w:asciiTheme="majorEastAsia" w:hAnsiTheme="majorEastAsia" w:eastAsiaTheme="majorEastAsia" w:cstheme="majorEastAsia"/>
          <w:b/>
          <w:bCs w:val="0"/>
          <w:sz w:val="44"/>
          <w:szCs w:val="44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b/>
          <w:bCs w:val="0"/>
          <w:sz w:val="44"/>
          <w:szCs w:val="44"/>
        </w:rPr>
        <w:t>法</w:t>
      </w:r>
    </w:p>
    <w:p>
      <w:pPr>
        <w:widowControl w:val="0"/>
        <w:spacing w:line="480" w:lineRule="exact"/>
        <w:ind w:right="360" w:rightChars="150" w:firstLine="866" w:firstLineChars="196"/>
        <w:jc w:val="center"/>
        <w:outlineLvl w:val="1"/>
        <w:rPr>
          <w:rFonts w:hint="eastAsia" w:asciiTheme="majorEastAsia" w:hAnsiTheme="majorEastAsia" w:eastAsiaTheme="majorEastAsia" w:cstheme="majorEastAsia"/>
          <w:b/>
          <w:bCs w:val="0"/>
          <w:sz w:val="44"/>
          <w:szCs w:val="44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为合理、有效、规范使用专项资金，完善专项资金管理流程，确保专项资金的安全合理使用，特制订本办法。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一、专项资金的概念 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专项资金指本单位向上级主管部门、财政部门或相关职能管理部门申请具有特定用途的、获得批复或批准，并由本单位使用的资金。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二、专项资金的管理要求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1、各项专项资金的申请、使用都必须符合国家及相关部门管理规定。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2、对各种专项资金要专门核算，划清与日常业务收支的界限，不得互相占用。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3、建立专项资金使用管理责任制，明确专项资金的管理部门，提高使用效率。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4、在资金使用上，要坚持专款专用的原则，使各项专用资金正确使用并达到预期目的。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5、加强专项资金的财务管理及使用监督管理。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三、专项资金的管理流程：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资金使用：专项资金使用严格按项目资金申报计划及批复的预算执行。财务室负责跟踪、监控专项资金的全程使用，定期进行资金使用的汇总、分析。项目终了后及时按规定办理财务结算，保证专项资金的使用安全、完整。 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监督：专项资金的使用与管理部门均为专项资金的监督部门，有权对专项资金的审批与使用进行监督。监察、财务部门定期、不定期对专项资金的使用情况进行抽查审计或全面审计，并根据审计的具体实际情况向单位领导报告。对审计中发现的问题进行归类，提出整改、完善意见，保证专项资金的使用合理。 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3、验收：专项资金项目要按申请计划推进，按时完成项目任务，达到申请报告中预期的绩效目标。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四、专项资金使用过程中的管理与追责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1、专项资金实行专账核算、专项使用。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2、资金的使用本着专款专用的原则，严格执行项目批复内容，不准擅自调项、扩项、缩项，更不准拆借、挪用、挤占和随意扣压。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3、专项资金的使用报账要附真实、有效、合法的凭证。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4、各部门对专项资金要定期或不定期进行检查，确保专项资金专款专用。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5、专项资金实行“谁主管、谁负责”的原则，单位负责人是专项资金监管第一责任人，对专项资金监管负直接责任。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6、对出现违纪违规行为的直接责任人根据《行政单位工作人员处分暂行规定》给予有关处分。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五、专项资金具体实施细则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1、认真贯彻国家财经法律、法规和现行的财务制度，严格执行国家财经纪律，做到专项资金使用合法合规合理，。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2、根据《行政单位会计制度》、《事业单位会计制度》和项目管理的有关规定，对专项资金实行专项核算。在核算中，严格区分日常支出和专项支出的开支范围，不能挤占和挪用。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3、专项资金的所有支出根据工作项目列明细科目进行建帐管理，专款专用，专账核算，不得挤占和挪用。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4、专项资金支出基本控制在预算核定的额度内，根据项目的具体实施情况，按规定的费用开支范围和标准进行核算，不能虚列、多提、多摊费用；不能扩大开支范围，提高开支标准。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5、支付票据必须合理，手续齐备，核算应做到有帐有据、真实、完整。</w:t>
      </w:r>
    </w:p>
    <w:p>
      <w:pPr>
        <w:ind w:firstLine="640" w:firstLineChars="200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6、财务人员按本单位财务管理办法严格审查各种原始票据，严格执行财经制度。</w:t>
      </w:r>
    </w:p>
    <w:p>
      <w:pPr>
        <w:rPr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C820E9"/>
    <w:rsid w:val="03C820E9"/>
    <w:rsid w:val="7CAF7D5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Office_11.1.0.8515_F1E327BC-269C-435d-A152-05C5408002CA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2019-03-07T08:26:00Z</dcterms:created>
  <dc:creator>pjpjpjpjjp</dc:creator>
  <cp:lastModifiedBy>pjpjpjpjjp</cp:lastModifiedBy>
  <dcterms:modified xsi:type="dcterms:W3CDTF">2019-03-12T01:22:11Z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2052-11.1.0.8515</vt:lpwstr>
  </property>
</Properties>
</file>