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firstLine="883" w:firstLineChars="200"/>
        <w:rPr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bdr w:val="none" w:color="auto" w:sz="0" w:space="0"/>
          <w:lang w:val="en-US" w:eastAsia="zh-CN"/>
        </w:rPr>
        <w:t>2019年非公党建</w:t>
      </w:r>
      <w:r>
        <w:rPr>
          <w:b/>
          <w:bCs w:val="0"/>
          <w:sz w:val="44"/>
          <w:szCs w:val="44"/>
          <w:bdr w:val="none" w:color="auto" w:sz="0" w:space="0"/>
        </w:rPr>
        <w:t>专项资金管理办法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 第一条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为加强和规范非公党建专项资金管理，促进经济社会又好又快发展，根据有关文件，结合本单位实际，制定本办法。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 第二条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本办法所称非公党建专项资金（以下简称专项资金）是指除维持行政事业单位日常运转经费资金以外，具体用于非公党建的工作经费。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/>
        <w:jc w:val="left"/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第三条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专项资金的使用、管理应当坚持下列原则：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㈠公开、公正、科学、高效；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㈡集中使用，突出重点，择优安排；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㈢专款专用；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 ㈣依法行政，规范管理；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br w:type="textWrapping"/>
      </w: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第四条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专项资金支出经党工委会议研究后使用。只能用于党建培训、党务公开、总结表彰，不能改变支出用途。</w:t>
      </w: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 xml:space="preserve">  第五条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专项资金按规定实行报账制的，报账资金不能突破年度预算。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 w:firstLine="321" w:firstLineChars="1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/>
          <w:smallCaps/>
          <w:color w:val="000000"/>
          <w:kern w:val="0"/>
          <w:sz w:val="32"/>
          <w:szCs w:val="32"/>
          <w:lang w:val="en-US" w:eastAsia="zh-CN" w:bidi="ar"/>
        </w:rPr>
        <w:t>第六条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本办法自2019年3月12日起施行。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 w:firstLine="4480" w:firstLineChars="14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芦淞区非公党工委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240" w:afterAutospacing="0" w:line="288" w:lineRule="auto"/>
        <w:ind w:left="0" w:right="0" w:firstLine="4480" w:firstLineChars="14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2019年3月5日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36B14"/>
    <w:rsid w:val="07780B85"/>
    <w:rsid w:val="0D236B14"/>
    <w:rsid w:val="4327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2019-03-13T06:36:00Z</dcterms:created>
  <dc:creator>Administrator</dc:creator>
  <cp:lastModifiedBy>Administrator</cp:lastModifiedBy>
  <dcterms:modified xsi:type="dcterms:W3CDTF">2019-03-13T06:49:06Z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