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</w:rPr>
        <w:t>财政局防范化解政府债务风险</w:t>
      </w:r>
      <w:r>
        <w:rPr>
          <w:rFonts w:ascii="宋体" w:hAnsi="宋体"/>
          <w:b/>
          <w:kern w:val="0"/>
          <w:sz w:val="44"/>
          <w:szCs w:val="44"/>
        </w:rPr>
        <w:t>工作经费</w:t>
      </w:r>
    </w:p>
    <w:p>
      <w:pPr>
        <w:pStyle w:val="12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/>
          <w:b/>
          <w:kern w:val="0"/>
          <w:sz w:val="44"/>
          <w:szCs w:val="44"/>
        </w:rPr>
        <w:t>使用管理办法</w:t>
      </w:r>
    </w:p>
    <w:p>
      <w:pPr>
        <w:pStyle w:val="12"/>
        <w:jc w:val="center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（意见征求稿）</w:t>
      </w:r>
    </w:p>
    <w:p>
      <w:pPr>
        <w:pStyle w:val="12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ascii="黑体" w:hAnsi="黑体" w:eastAsia="黑体"/>
          <w:b/>
          <w:bCs/>
          <w:sz w:val="32"/>
          <w:szCs w:val="32"/>
        </w:rPr>
        <w:t>第一章</w:t>
      </w:r>
      <w:r>
        <w:rPr>
          <w:rFonts w:eastAsia="黑体"/>
          <w:b/>
          <w:bCs/>
          <w:sz w:val="32"/>
          <w:szCs w:val="32"/>
        </w:rPr>
        <w:t> </w:t>
      </w:r>
      <w:r>
        <w:rPr>
          <w:rFonts w:hint="eastAsia" w:ascii="黑体" w:hAnsi="黑体" w:eastAsia="黑体"/>
          <w:b/>
          <w:bCs/>
          <w:sz w:val="32"/>
          <w:szCs w:val="32"/>
        </w:rPr>
        <w:t xml:space="preserve"> </w:t>
      </w:r>
      <w:r>
        <w:rPr>
          <w:rFonts w:ascii="黑体" w:hAnsi="黑体" w:eastAsia="黑体"/>
          <w:b/>
          <w:bCs/>
          <w:sz w:val="32"/>
          <w:szCs w:val="32"/>
        </w:rPr>
        <w:t>总则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Times New Roman" w:eastAsia="仿宋" w:cs="Times New Roman"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为加强对</w:t>
      </w:r>
      <w:r>
        <w:rPr>
          <w:rFonts w:hint="eastAsia" w:ascii="仿宋" w:hAnsi="仿宋" w:eastAsia="仿宋" w:cs="Times New Roman"/>
          <w:sz w:val="32"/>
          <w:szCs w:val="32"/>
        </w:rPr>
        <w:t>本局防范化解政府债务风险</w:t>
      </w:r>
      <w:r>
        <w:rPr>
          <w:rFonts w:ascii="仿宋" w:hAnsi="仿宋" w:eastAsia="仿宋" w:cs="Times New Roman"/>
          <w:sz w:val="32"/>
          <w:szCs w:val="32"/>
        </w:rPr>
        <w:t>工作经费的使用管理，增强专项工作经费的实效性，提高专项工作经费的使用效益，结合</w:t>
      </w:r>
      <w:r>
        <w:rPr>
          <w:rFonts w:hint="eastAsia" w:ascii="仿宋" w:hAnsi="仿宋" w:eastAsia="仿宋" w:cs="Times New Roman"/>
          <w:sz w:val="32"/>
          <w:szCs w:val="32"/>
        </w:rPr>
        <w:t>本局</w:t>
      </w:r>
      <w:r>
        <w:rPr>
          <w:rFonts w:ascii="仿宋" w:hAnsi="仿宋" w:eastAsia="仿宋" w:cs="Times New Roman"/>
          <w:sz w:val="32"/>
          <w:szCs w:val="32"/>
        </w:rPr>
        <w:t>工作实际，特制定本办法。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第二条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第三条</w:t>
      </w:r>
      <w:r>
        <w:rPr>
          <w:rFonts w:ascii="黑体" w:hAnsi="黑体" w:eastAsia="黑体" w:cs="Times New Roman"/>
          <w:b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本局</w:t>
      </w:r>
      <w:r>
        <w:rPr>
          <w:rFonts w:ascii="仿宋" w:hAnsi="仿宋" w:eastAsia="仿宋" w:cs="Times New Roman"/>
          <w:sz w:val="32"/>
          <w:szCs w:val="32"/>
        </w:rPr>
        <w:t>负责确定专项工作经费的年度使用方向</w:t>
      </w:r>
      <w:r>
        <w:rPr>
          <w:rFonts w:hint="eastAsia" w:ascii="仿宋" w:hAnsi="仿宋" w:eastAsia="仿宋" w:cs="Times New Roman"/>
          <w:sz w:val="32"/>
          <w:szCs w:val="32"/>
        </w:rPr>
        <w:t>和</w:t>
      </w:r>
      <w:r>
        <w:rPr>
          <w:rFonts w:ascii="仿宋" w:hAnsi="仿宋" w:eastAsia="仿宋" w:cs="Times New Roman"/>
          <w:sz w:val="32"/>
          <w:szCs w:val="32"/>
        </w:rPr>
        <w:t>使用重点，并对经费使用计划进行监督检查。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 xml:space="preserve">第二章 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 xml:space="preserve"> </w:t>
      </w:r>
      <w:r>
        <w:rPr>
          <w:rFonts w:ascii="黑体" w:hAnsi="黑体" w:eastAsia="黑体" w:cs="Times New Roman"/>
          <w:b/>
          <w:bCs/>
          <w:sz w:val="32"/>
          <w:szCs w:val="32"/>
        </w:rPr>
        <w:t>资金管理</w:t>
      </w:r>
      <w:bookmarkStart w:id="0" w:name="4"/>
      <w:bookmarkEnd w:id="0"/>
      <w:bookmarkStart w:id="1" w:name="I6546899"/>
      <w:bookmarkEnd w:id="1"/>
    </w:p>
    <w:p>
      <w:pPr>
        <w:tabs>
          <w:tab w:val="left" w:pos="7560"/>
        </w:tabs>
        <w:adjustRightInd w:val="0"/>
        <w:snapToGrid w:val="0"/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第四条</w:t>
      </w:r>
      <w:r>
        <w:rPr>
          <w:rFonts w:ascii="仿宋" w:hAnsi="仿宋" w:eastAsia="仿宋"/>
          <w:sz w:val="32"/>
          <w:szCs w:val="32"/>
        </w:rPr>
        <w:t xml:space="preserve">  专项工作经费的</w:t>
      </w:r>
      <w:r>
        <w:rPr>
          <w:rFonts w:hint="eastAsia" w:ascii="仿宋" w:hAnsi="仿宋" w:eastAsia="仿宋"/>
          <w:sz w:val="32"/>
          <w:szCs w:val="32"/>
        </w:rPr>
        <w:t>使用</w:t>
      </w:r>
      <w:r>
        <w:rPr>
          <w:rFonts w:ascii="仿宋" w:hAnsi="仿宋" w:eastAsia="仿宋"/>
          <w:sz w:val="32"/>
          <w:szCs w:val="32"/>
        </w:rPr>
        <w:t>机构是</w:t>
      </w:r>
      <w:r>
        <w:rPr>
          <w:rFonts w:hint="eastAsia" w:ascii="仿宋" w:hAnsi="仿宋" w:eastAsia="仿宋"/>
          <w:sz w:val="32"/>
          <w:szCs w:val="32"/>
        </w:rPr>
        <w:t>国库股（债管办）</w:t>
      </w:r>
      <w:r>
        <w:rPr>
          <w:rFonts w:ascii="仿宋" w:hAnsi="仿宋" w:eastAsia="仿宋"/>
          <w:sz w:val="32"/>
          <w:szCs w:val="32"/>
        </w:rPr>
        <w:t>，负责对专项经费进行</w:t>
      </w:r>
      <w:r>
        <w:rPr>
          <w:rFonts w:hint="eastAsia" w:ascii="仿宋" w:hAnsi="仿宋" w:eastAsia="仿宋"/>
          <w:sz w:val="32"/>
          <w:szCs w:val="32"/>
        </w:rPr>
        <w:t>使用和</w:t>
      </w:r>
      <w:r>
        <w:rPr>
          <w:rFonts w:ascii="仿宋" w:hAnsi="仿宋" w:eastAsia="仿宋"/>
          <w:sz w:val="32"/>
          <w:szCs w:val="32"/>
        </w:rPr>
        <w:t>管理。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2" w:name="I6546900"/>
      <w:bookmarkEnd w:id="2"/>
      <w:bookmarkStart w:id="3" w:name="5"/>
      <w:bookmarkEnd w:id="3"/>
      <w:r>
        <w:rPr>
          <w:rFonts w:ascii="黑体" w:hAnsi="黑体" w:eastAsia="黑体" w:cs="Times New Roman"/>
          <w:sz w:val="32"/>
          <w:szCs w:val="32"/>
        </w:rPr>
        <w:t>第五条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第六条 </w:t>
      </w:r>
      <w:r>
        <w:rPr>
          <w:rFonts w:ascii="仿宋" w:hAnsi="仿宋" w:eastAsia="仿宋" w:cs="Times New Roman"/>
          <w:sz w:val="32"/>
          <w:szCs w:val="32"/>
        </w:rPr>
        <w:t xml:space="preserve"> 专项经费实行报账制度，支出票据先由</w:t>
      </w:r>
      <w:r>
        <w:rPr>
          <w:rFonts w:hint="eastAsia" w:ascii="仿宋" w:hAnsi="仿宋" w:eastAsia="仿宋" w:cs="Times New Roman"/>
          <w:sz w:val="32"/>
          <w:szCs w:val="32"/>
        </w:rPr>
        <w:t>经手、证明人签字、分管领导证明后，再由单位一把手</w:t>
      </w:r>
      <w:r>
        <w:rPr>
          <w:rFonts w:ascii="仿宋" w:hAnsi="仿宋" w:eastAsia="仿宋" w:cs="Times New Roman"/>
          <w:sz w:val="32"/>
          <w:szCs w:val="32"/>
        </w:rPr>
        <w:t>签字后</w:t>
      </w:r>
      <w:r>
        <w:rPr>
          <w:rFonts w:hint="eastAsia" w:ascii="仿宋" w:hAnsi="仿宋" w:eastAsia="仿宋" w:cs="Times New Roman"/>
          <w:sz w:val="32"/>
          <w:szCs w:val="32"/>
        </w:rPr>
        <w:t>，交出纳</w:t>
      </w:r>
      <w:r>
        <w:rPr>
          <w:rFonts w:ascii="仿宋" w:hAnsi="仿宋" w:eastAsia="仿宋" w:cs="Times New Roman"/>
          <w:sz w:val="32"/>
          <w:szCs w:val="32"/>
        </w:rPr>
        <w:t>审核票据。相关支出票据及时传递到会计处进行相关会计核算。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 xml:space="preserve">第三章 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 xml:space="preserve"> </w:t>
      </w:r>
      <w:r>
        <w:rPr>
          <w:rFonts w:ascii="黑体" w:hAnsi="黑体" w:eastAsia="黑体" w:cs="Times New Roman"/>
          <w:b/>
          <w:bCs/>
          <w:sz w:val="32"/>
          <w:szCs w:val="32"/>
        </w:rPr>
        <w:t>资金用途和审批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bookmarkStart w:id="4" w:name="6"/>
      <w:bookmarkEnd w:id="4"/>
      <w:bookmarkStart w:id="5" w:name="I6546902"/>
      <w:bookmarkEnd w:id="5"/>
      <w:r>
        <w:rPr>
          <w:rFonts w:ascii="黑体" w:hAnsi="黑体" w:eastAsia="黑体"/>
          <w:sz w:val="32"/>
          <w:szCs w:val="32"/>
        </w:rPr>
        <w:t>第七条</w:t>
      </w:r>
      <w:r>
        <w:rPr>
          <w:rFonts w:ascii="仿宋" w:hAnsi="仿宋" w:eastAsia="仿宋"/>
          <w:sz w:val="32"/>
          <w:szCs w:val="32"/>
        </w:rPr>
        <w:t xml:space="preserve">  专项经费的用途范围：</w:t>
      </w:r>
      <w:r>
        <w:rPr>
          <w:rFonts w:hint="eastAsia" w:ascii="仿宋" w:hAnsi="仿宋" w:eastAsia="仿宋"/>
          <w:sz w:val="32"/>
          <w:szCs w:val="32"/>
        </w:rPr>
        <w:t>防范化解政府债务风险工作经费贰拾万元整，用于做好区域系统性风险的防范，督促按期偿还到期存量债务，用于编制债务监测台账、对2家公司进行防范风险监测。接受上级部门的业务指导，积极配合上级部门开展工作，完成上级部门交办的工作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6" w:name="7"/>
      <w:bookmarkEnd w:id="6"/>
      <w:bookmarkStart w:id="7" w:name="I6546903"/>
      <w:bookmarkEnd w:id="7"/>
      <w:r>
        <w:rPr>
          <w:rFonts w:ascii="黑体" w:hAnsi="黑体" w:eastAsia="黑体" w:cs="Times New Roman"/>
          <w:b/>
          <w:bCs/>
          <w:sz w:val="32"/>
          <w:szCs w:val="32"/>
        </w:rPr>
        <w:t>第四章  资金监督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八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hint="eastAsia" w:ascii="黑体" w:hAnsi="黑体" w:eastAsia="黑体" w:cs="Times New Roman"/>
          <w:sz w:val="32"/>
          <w:szCs w:val="32"/>
        </w:rPr>
        <w:t xml:space="preserve">  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仿宋" w:hAnsi="仿宋" w:eastAsia="仿宋" w:cs="Times New Roman"/>
          <w:sz w:val="32"/>
          <w:szCs w:val="32"/>
        </w:rPr>
        <w:t>防范化解政府债务风险</w:t>
      </w:r>
      <w:r>
        <w:rPr>
          <w:rFonts w:ascii="仿宋" w:hAnsi="仿宋" w:eastAsia="仿宋" w:cs="Times New Roman"/>
          <w:sz w:val="32"/>
          <w:szCs w:val="32"/>
        </w:rPr>
        <w:t>工作经费由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ascii="仿宋" w:hAnsi="仿宋" w:eastAsia="仿宋" w:cs="Times New Roman"/>
          <w:sz w:val="32"/>
          <w:szCs w:val="32"/>
        </w:rPr>
        <w:t>财政拨付</w:t>
      </w:r>
      <w:r>
        <w:rPr>
          <w:rFonts w:hint="eastAsia" w:ascii="仿宋" w:hAnsi="仿宋" w:eastAsia="仿宋" w:cs="Times New Roman"/>
          <w:sz w:val="32"/>
          <w:szCs w:val="32"/>
        </w:rPr>
        <w:t>本局后，本局</w:t>
      </w:r>
      <w:r>
        <w:rPr>
          <w:rFonts w:ascii="仿宋" w:hAnsi="仿宋" w:eastAsia="仿宋" w:cs="Times New Roman"/>
          <w:sz w:val="32"/>
          <w:szCs w:val="32"/>
        </w:rPr>
        <w:t>严格按照审批后的经费使用计划予以支付，并加强专项工作经费的监督检查。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九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8" w:name="_GoBack"/>
      <w:r>
        <w:rPr>
          <w:rFonts w:ascii="黑体" w:hAnsi="黑体" w:eastAsia="黑体" w:cs="Times New Roman"/>
          <w:b/>
          <w:bCs/>
          <w:sz w:val="32"/>
          <w:szCs w:val="32"/>
        </w:rPr>
        <w:t>第五章</w:t>
      </w:r>
      <w:r>
        <w:rPr>
          <w:rFonts w:ascii="Times New Roman" w:eastAsia="黑体" w:cs="Times New Roman"/>
          <w:b/>
          <w:bCs/>
          <w:sz w:val="32"/>
          <w:szCs w:val="32"/>
        </w:rPr>
        <w:t> 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 xml:space="preserve"> </w:t>
      </w:r>
      <w:r>
        <w:rPr>
          <w:rFonts w:ascii="黑体" w:hAnsi="黑体" w:eastAsia="黑体" w:cs="Times New Roman"/>
          <w:b/>
          <w:bCs/>
          <w:sz w:val="32"/>
          <w:szCs w:val="32"/>
        </w:rPr>
        <w:t>附则</w:t>
      </w:r>
    </w:p>
    <w:bookmarkEnd w:id="8"/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第十条  本办法</w:t>
      </w:r>
      <w:r>
        <w:rPr>
          <w:rFonts w:hint="eastAsia" w:ascii="仿宋" w:hAnsi="仿宋" w:eastAsia="仿宋" w:cs="Times New Roman"/>
          <w:sz w:val="32"/>
          <w:szCs w:val="32"/>
        </w:rPr>
        <w:t>财政局</w:t>
      </w:r>
      <w:r>
        <w:rPr>
          <w:rFonts w:ascii="仿宋" w:hAnsi="仿宋" w:eastAsia="仿宋" w:cs="Times New Roman"/>
          <w:sz w:val="32"/>
          <w:szCs w:val="32"/>
        </w:rPr>
        <w:t>负责解释。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</w:t>
      </w:r>
      <w:r>
        <w:rPr>
          <w:rFonts w:hint="eastAsia" w:ascii="仿宋" w:hAnsi="仿宋" w:eastAsia="仿宋" w:cs="Times New Roman"/>
          <w:sz w:val="32"/>
          <w:szCs w:val="32"/>
        </w:rPr>
        <w:t>一</w:t>
      </w:r>
      <w:r>
        <w:rPr>
          <w:rFonts w:ascii="仿宋" w:hAnsi="仿宋" w:eastAsia="仿宋" w:cs="Times New Roman"/>
          <w:sz w:val="32"/>
          <w:szCs w:val="32"/>
        </w:rPr>
        <w:t>条  本办法自发布之日起执行。</w:t>
      </w:r>
    </w:p>
    <w:p>
      <w:pPr>
        <w:spacing w:line="360" w:lineRule="auto"/>
        <w:rPr>
          <w:rFonts w:ascii="仿宋" w:hAnsi="仿宋" w:eastAsia="仿宋"/>
          <w:snapToGrid w:val="0"/>
          <w:spacing w:val="-10"/>
          <w:kern w:val="0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247" w:right="1644" w:bottom="1247" w:left="1797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9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9"/>
        <w:sz w:val="24"/>
        <w:szCs w:val="24"/>
      </w:rPr>
      <w:t>2</w:t>
    </w:r>
    <w:r>
      <w:rPr>
        <w:sz w:val="24"/>
        <w:szCs w:val="24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1"/>
    <w:rsid w:val="000A0BB7"/>
    <w:rsid w:val="000B4798"/>
    <w:rsid w:val="000C4EF0"/>
    <w:rsid w:val="0012536B"/>
    <w:rsid w:val="00132DB2"/>
    <w:rsid w:val="00172A27"/>
    <w:rsid w:val="00177B30"/>
    <w:rsid w:val="001B1E75"/>
    <w:rsid w:val="00284209"/>
    <w:rsid w:val="0039284B"/>
    <w:rsid w:val="003B0E97"/>
    <w:rsid w:val="004D3BFF"/>
    <w:rsid w:val="004F2BB1"/>
    <w:rsid w:val="004F4E8D"/>
    <w:rsid w:val="005B4CF9"/>
    <w:rsid w:val="005B704D"/>
    <w:rsid w:val="00657A57"/>
    <w:rsid w:val="006643E9"/>
    <w:rsid w:val="006916C4"/>
    <w:rsid w:val="006D5C7D"/>
    <w:rsid w:val="006F0C83"/>
    <w:rsid w:val="0072675E"/>
    <w:rsid w:val="00745BB3"/>
    <w:rsid w:val="00770A84"/>
    <w:rsid w:val="007945F9"/>
    <w:rsid w:val="008E4729"/>
    <w:rsid w:val="008F50CF"/>
    <w:rsid w:val="00923484"/>
    <w:rsid w:val="00956D8D"/>
    <w:rsid w:val="009D61B5"/>
    <w:rsid w:val="00A0241F"/>
    <w:rsid w:val="00AE17AD"/>
    <w:rsid w:val="00AF4722"/>
    <w:rsid w:val="00B0369C"/>
    <w:rsid w:val="00B2475A"/>
    <w:rsid w:val="00B42D0F"/>
    <w:rsid w:val="00B63396"/>
    <w:rsid w:val="00C439D8"/>
    <w:rsid w:val="00CA265A"/>
    <w:rsid w:val="00CA68B1"/>
    <w:rsid w:val="00D550E4"/>
    <w:rsid w:val="00DA0706"/>
    <w:rsid w:val="00DB3F35"/>
    <w:rsid w:val="00DD7437"/>
    <w:rsid w:val="00DD7C5F"/>
    <w:rsid w:val="00DE3156"/>
    <w:rsid w:val="00DE727A"/>
    <w:rsid w:val="00E24982"/>
    <w:rsid w:val="00E6211A"/>
    <w:rsid w:val="00E8087C"/>
    <w:rsid w:val="00F0104E"/>
    <w:rsid w:val="00F21710"/>
    <w:rsid w:val="00F23266"/>
    <w:rsid w:val="00F34553"/>
    <w:rsid w:val="00FD154B"/>
    <w:rsid w:val="3866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小标宋简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pPr>
      <w:ind w:left="2500" w:leftChars="2500"/>
    </w:pPr>
  </w:style>
  <w:style w:type="paragraph" w:styleId="3">
    <w:name w:val="Balloon Text"/>
    <w:basedOn w:val="1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rPr>
      <w:rFonts w:eastAsia="方正小标宋简体"/>
      <w:w w:val="85"/>
      <w:sz w:val="96"/>
      <w:szCs w:val="20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9">
    <w:name w:val="page number"/>
    <w:basedOn w:val="8"/>
    <w:uiPriority w:val="0"/>
  </w:style>
  <w:style w:type="paragraph" w:customStyle="1" w:styleId="11">
    <w:name w:val="p0"/>
    <w:basedOn w:val="1"/>
    <w:qFormat/>
    <w:uiPriority w:val="0"/>
    <w:pPr>
      <w:widowControl/>
      <w:jc w:val="left"/>
    </w:pPr>
    <w:rPr>
      <w:rFonts w:ascii="Arial" w:hAnsi="Arial" w:cs="Arial"/>
      <w:kern w:val="0"/>
      <w:szCs w:val="21"/>
    </w:rPr>
  </w:style>
  <w:style w:type="paragraph" w:styleId="12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2</Pages>
  <Words>797</Words>
  <Characters>61</Characters>
  <Lines>1</Lines>
  <Paragraphs>1</Paragraphs>
  <TotalTime>202</TotalTime>
  <ScaleCrop>false</ScaleCrop>
  <LinksUpToDate>false</LinksUpToDate>
  <CharactersWithSpaces>857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2018-10-09T08:48:00Z</dcterms:created>
  <dc:creator>微软用户</dc:creator>
  <cp:lastModifiedBy>七禾页</cp:lastModifiedBy>
  <cp:lastPrinted>2019-03-13T05:05:29Z</cp:lastPrinted>
  <dcterms:modified xsi:type="dcterms:W3CDTF">2019-03-13T05:05:34Z</dcterms:modified>
  <dc:title>长  沙  市  文  明  办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