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3A7" w:rsidRPr="005863A7" w:rsidRDefault="005863A7" w:rsidP="005863A7">
      <w:pPr>
        <w:widowControl/>
        <w:spacing w:before="225" w:line="510" w:lineRule="atLeast"/>
        <w:jc w:val="center"/>
        <w:outlineLvl w:val="1"/>
        <w:rPr>
          <w:rFonts w:ascii="微软雅黑" w:eastAsia="微软雅黑" w:hAnsi="微软雅黑" w:cs="宋体"/>
          <w:b/>
          <w:bCs/>
          <w:color w:val="4C4C4C"/>
          <w:kern w:val="0"/>
          <w:sz w:val="36"/>
          <w:szCs w:val="36"/>
        </w:rPr>
      </w:pPr>
      <w:r w:rsidRPr="005863A7">
        <w:rPr>
          <w:rFonts w:ascii="微软雅黑" w:eastAsia="微软雅黑" w:hAnsi="微软雅黑" w:cs="宋体" w:hint="eastAsia"/>
          <w:b/>
          <w:bCs/>
          <w:color w:val="4C4C4C"/>
          <w:kern w:val="0"/>
          <w:sz w:val="36"/>
          <w:szCs w:val="36"/>
        </w:rPr>
        <w:t>株洲市信访局2017年度部门决算公开</w:t>
      </w:r>
    </w:p>
    <w:p w:rsidR="005863A7" w:rsidRPr="005863A7" w:rsidRDefault="005863A7" w:rsidP="005863A7">
      <w:pPr>
        <w:widowControl/>
        <w:shd w:val="clear" w:color="auto" w:fill="FFFFFF"/>
        <w:spacing w:line="360" w:lineRule="atLeast"/>
        <w:jc w:val="center"/>
        <w:rPr>
          <w:rFonts w:ascii="黑体" w:eastAsia="黑体" w:hAnsi="黑体" w:cs="宋体"/>
          <w:color w:val="4C4C4C"/>
          <w:kern w:val="0"/>
          <w:sz w:val="24"/>
          <w:szCs w:val="24"/>
        </w:rPr>
      </w:pPr>
      <w:r w:rsidRPr="005863A7">
        <w:rPr>
          <w:rFonts w:ascii="黑体" w:eastAsia="黑体" w:hAnsi="黑体" w:cs="宋体" w:hint="eastAsia"/>
          <w:b/>
          <w:bCs/>
          <w:color w:val="4C4C4C"/>
          <w:kern w:val="0"/>
          <w:sz w:val="44"/>
        </w:rPr>
        <w:t>目录</w:t>
      </w:r>
    </w:p>
    <w:p w:rsidR="005863A7" w:rsidRPr="005863A7" w:rsidRDefault="005863A7" w:rsidP="005863A7">
      <w:pPr>
        <w:widowControl/>
        <w:shd w:val="clear" w:color="auto" w:fill="FFFFFF"/>
        <w:spacing w:line="360" w:lineRule="atLeast"/>
        <w:rPr>
          <w:rFonts w:ascii="微软雅黑" w:eastAsia="微软雅黑" w:hAnsi="微软雅黑" w:cs="宋体"/>
          <w:color w:val="4C4C4C"/>
          <w:kern w:val="0"/>
          <w:sz w:val="24"/>
          <w:szCs w:val="24"/>
        </w:rPr>
      </w:pPr>
      <w:r w:rsidRPr="005863A7">
        <w:rPr>
          <w:rFonts w:ascii="微软雅黑" w:eastAsia="微软雅黑" w:hAnsi="微软雅黑" w:cs="宋体" w:hint="eastAsia"/>
          <w:b/>
          <w:bCs/>
          <w:color w:val="4C4C4C"/>
          <w:kern w:val="0"/>
          <w:sz w:val="44"/>
        </w:rPr>
        <w:t> </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第一部分</w:t>
      </w:r>
      <w:r w:rsidRPr="005863A7">
        <w:rPr>
          <w:rFonts w:ascii="宋体" w:eastAsia="黑体" w:hAnsi="宋体" w:cs="宋体" w:hint="eastAsia"/>
          <w:color w:val="4C4C4C"/>
          <w:kern w:val="0"/>
          <w:sz w:val="32"/>
          <w:szCs w:val="32"/>
        </w:rPr>
        <w:t> </w:t>
      </w:r>
      <w:r w:rsidRPr="005863A7">
        <w:rPr>
          <w:rFonts w:ascii="黑体" w:eastAsia="黑体" w:hAnsi="黑体" w:cs="黑体" w:hint="eastAsia"/>
          <w:color w:val="4C4C4C"/>
          <w:kern w:val="0"/>
          <w:sz w:val="32"/>
          <w:szCs w:val="32"/>
        </w:rPr>
        <w:t xml:space="preserve"> </w:t>
      </w:r>
      <w:r w:rsidRPr="005863A7">
        <w:rPr>
          <w:rFonts w:ascii="黑体" w:eastAsia="黑体" w:hAnsi="黑体" w:cs="宋体" w:hint="eastAsia"/>
          <w:color w:val="4C4C4C"/>
          <w:kern w:val="0"/>
          <w:sz w:val="32"/>
          <w:szCs w:val="32"/>
        </w:rPr>
        <w:t>株洲市信访局概况</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一、主要职能</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二、部门决算单位构成</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第二部分</w:t>
      </w:r>
      <w:r w:rsidRPr="005863A7">
        <w:rPr>
          <w:rFonts w:ascii="宋体" w:eastAsia="黑体" w:hAnsi="宋体" w:cs="宋体" w:hint="eastAsia"/>
          <w:color w:val="4C4C4C"/>
          <w:kern w:val="0"/>
          <w:sz w:val="32"/>
          <w:szCs w:val="32"/>
        </w:rPr>
        <w:t> </w:t>
      </w:r>
      <w:r w:rsidRPr="005863A7">
        <w:rPr>
          <w:rFonts w:ascii="黑体" w:eastAsia="黑体" w:hAnsi="黑体" w:cs="黑体" w:hint="eastAsia"/>
          <w:color w:val="4C4C4C"/>
          <w:kern w:val="0"/>
          <w:sz w:val="32"/>
          <w:szCs w:val="32"/>
        </w:rPr>
        <w:t xml:space="preserve"> </w:t>
      </w:r>
      <w:r w:rsidRPr="005863A7">
        <w:rPr>
          <w:rFonts w:ascii="黑体" w:eastAsia="黑体" w:hAnsi="黑体" w:cs="宋体" w:hint="eastAsia"/>
          <w:color w:val="4C4C4C"/>
          <w:kern w:val="0"/>
          <w:sz w:val="32"/>
          <w:szCs w:val="32"/>
        </w:rPr>
        <w:t>株洲市信访局2017年度部门决算表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一、收入支出决算总表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二、收入决算表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三、支出决算表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四、财政拨款收入支出决算总表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五、一般公共预算财政拨款支出决算表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六、一般公共预算财政拨款基本支出决算表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七、一般公共预算财政拨款“三公”经费支出决算表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八、政府性基金预算财政拨款收入支出决算表</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第三部分</w:t>
      </w:r>
      <w:r w:rsidRPr="005863A7">
        <w:rPr>
          <w:rFonts w:ascii="宋体" w:eastAsia="黑体" w:hAnsi="宋体" w:cs="宋体" w:hint="eastAsia"/>
          <w:color w:val="4C4C4C"/>
          <w:kern w:val="0"/>
          <w:sz w:val="32"/>
          <w:szCs w:val="32"/>
        </w:rPr>
        <w:t> </w:t>
      </w:r>
      <w:r w:rsidRPr="005863A7">
        <w:rPr>
          <w:rFonts w:ascii="黑体" w:eastAsia="黑体" w:hAnsi="黑体" w:cs="黑体" w:hint="eastAsia"/>
          <w:color w:val="4C4C4C"/>
          <w:kern w:val="0"/>
          <w:sz w:val="32"/>
          <w:szCs w:val="32"/>
        </w:rPr>
        <w:t xml:space="preserve"> </w:t>
      </w:r>
      <w:r w:rsidRPr="005863A7">
        <w:rPr>
          <w:rFonts w:ascii="黑体" w:eastAsia="黑体" w:hAnsi="黑体" w:cs="宋体" w:hint="eastAsia"/>
          <w:color w:val="4C4C4C"/>
          <w:kern w:val="0"/>
          <w:sz w:val="32"/>
          <w:szCs w:val="32"/>
        </w:rPr>
        <w:t>株洲市信访局2017年度部门决算情况说明</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第四部分</w:t>
      </w:r>
      <w:r w:rsidRPr="005863A7">
        <w:rPr>
          <w:rFonts w:ascii="宋体" w:eastAsia="黑体" w:hAnsi="宋体" w:cs="宋体" w:hint="eastAsia"/>
          <w:color w:val="4C4C4C"/>
          <w:kern w:val="0"/>
          <w:sz w:val="32"/>
          <w:szCs w:val="32"/>
        </w:rPr>
        <w:t> </w:t>
      </w:r>
      <w:r w:rsidRPr="005863A7">
        <w:rPr>
          <w:rFonts w:ascii="黑体" w:eastAsia="黑体" w:hAnsi="黑体" w:cs="黑体" w:hint="eastAsia"/>
          <w:color w:val="4C4C4C"/>
          <w:kern w:val="0"/>
          <w:sz w:val="32"/>
          <w:szCs w:val="32"/>
        </w:rPr>
        <w:t xml:space="preserve"> </w:t>
      </w:r>
      <w:r w:rsidRPr="005863A7">
        <w:rPr>
          <w:rFonts w:ascii="黑体" w:eastAsia="黑体" w:hAnsi="黑体" w:cs="宋体" w:hint="eastAsia"/>
          <w:color w:val="4C4C4C"/>
          <w:kern w:val="0"/>
          <w:sz w:val="32"/>
          <w:szCs w:val="32"/>
        </w:rPr>
        <w:t>联系方式</w:t>
      </w:r>
    </w:p>
    <w:p w:rsidR="005863A7" w:rsidRPr="005863A7" w:rsidRDefault="005863A7" w:rsidP="005863A7">
      <w:pPr>
        <w:widowControl/>
        <w:shd w:val="clear" w:color="auto" w:fill="FFFFFF"/>
        <w:spacing w:line="360" w:lineRule="atLeast"/>
        <w:rPr>
          <w:rFonts w:ascii="黑体" w:eastAsia="黑体" w:hAnsi="黑体" w:cs="宋体"/>
          <w:color w:val="4C4C4C"/>
          <w:kern w:val="0"/>
          <w:sz w:val="24"/>
          <w:szCs w:val="24"/>
        </w:rPr>
      </w:pPr>
      <w:r w:rsidRPr="005863A7">
        <w:rPr>
          <w:rFonts w:ascii="黑体" w:eastAsia="黑体" w:hAnsi="黑体" w:cs="宋体" w:hint="eastAsia"/>
          <w:color w:val="4C4C4C"/>
          <w:kern w:val="0"/>
          <w:sz w:val="32"/>
          <w:szCs w:val="32"/>
        </w:rPr>
        <w:t>第五部分</w:t>
      </w:r>
      <w:r w:rsidRPr="005863A7">
        <w:rPr>
          <w:rFonts w:ascii="宋体" w:eastAsia="黑体" w:hAnsi="宋体" w:cs="宋体" w:hint="eastAsia"/>
          <w:color w:val="4C4C4C"/>
          <w:kern w:val="0"/>
          <w:sz w:val="32"/>
          <w:szCs w:val="32"/>
        </w:rPr>
        <w:t> </w:t>
      </w:r>
      <w:r w:rsidRPr="005863A7">
        <w:rPr>
          <w:rFonts w:ascii="黑体" w:eastAsia="黑体" w:hAnsi="黑体" w:cs="黑体" w:hint="eastAsia"/>
          <w:color w:val="4C4C4C"/>
          <w:kern w:val="0"/>
          <w:sz w:val="32"/>
          <w:szCs w:val="32"/>
        </w:rPr>
        <w:t xml:space="preserve"> </w:t>
      </w:r>
      <w:r w:rsidRPr="005863A7">
        <w:rPr>
          <w:rFonts w:ascii="黑体" w:eastAsia="黑体" w:hAnsi="黑体" w:cs="宋体" w:hint="eastAsia"/>
          <w:color w:val="4C4C4C"/>
          <w:kern w:val="0"/>
          <w:sz w:val="32"/>
          <w:szCs w:val="32"/>
        </w:rPr>
        <w:t>名词解释</w:t>
      </w:r>
    </w:p>
    <w:p w:rsidR="005863A7" w:rsidRPr="005863A7" w:rsidRDefault="005863A7" w:rsidP="005863A7">
      <w:pPr>
        <w:widowControl/>
        <w:shd w:val="clear" w:color="auto" w:fill="FFFFFF"/>
        <w:spacing w:line="360" w:lineRule="atLeast"/>
        <w:rPr>
          <w:rFonts w:ascii="微软雅黑" w:eastAsia="微软雅黑" w:hAnsi="微软雅黑" w:cs="宋体"/>
          <w:color w:val="4C4C4C"/>
          <w:kern w:val="0"/>
          <w:sz w:val="24"/>
          <w:szCs w:val="24"/>
        </w:rPr>
      </w:pPr>
      <w:r w:rsidRPr="005863A7">
        <w:rPr>
          <w:rFonts w:ascii="仿宋_GB2312" w:eastAsia="仿宋_GB2312" w:hAnsi="微软雅黑" w:cs="宋体" w:hint="eastAsia"/>
          <w:b/>
          <w:bCs/>
          <w:color w:val="4C4C4C"/>
          <w:kern w:val="0"/>
          <w:sz w:val="32"/>
        </w:rPr>
        <w:t> </w:t>
      </w:r>
    </w:p>
    <w:p w:rsidR="005863A7" w:rsidRPr="005863A7" w:rsidRDefault="005863A7" w:rsidP="005863A7">
      <w:pPr>
        <w:widowControl/>
        <w:shd w:val="clear" w:color="auto" w:fill="FFFFFF"/>
        <w:spacing w:line="360" w:lineRule="atLeast"/>
        <w:rPr>
          <w:rFonts w:ascii="微软雅黑" w:eastAsia="微软雅黑" w:hAnsi="微软雅黑" w:cs="宋体"/>
          <w:color w:val="4C4C4C"/>
          <w:kern w:val="0"/>
          <w:sz w:val="24"/>
          <w:szCs w:val="24"/>
        </w:rPr>
      </w:pPr>
      <w:r w:rsidRPr="005863A7">
        <w:rPr>
          <w:rFonts w:ascii="仿宋_GB2312" w:eastAsia="仿宋_GB2312" w:hAnsi="微软雅黑" w:cs="宋体" w:hint="eastAsia"/>
          <w:b/>
          <w:bCs/>
          <w:color w:val="4C4C4C"/>
          <w:kern w:val="0"/>
          <w:sz w:val="32"/>
        </w:rPr>
        <w:t> </w:t>
      </w:r>
    </w:p>
    <w:p w:rsidR="005863A7" w:rsidRPr="005863A7" w:rsidRDefault="005863A7" w:rsidP="005863A7">
      <w:pPr>
        <w:widowControl/>
        <w:shd w:val="clear" w:color="auto" w:fill="FFFFFF"/>
        <w:spacing w:line="360" w:lineRule="atLeast"/>
        <w:rPr>
          <w:rFonts w:ascii="微软雅黑" w:eastAsia="微软雅黑" w:hAnsi="微软雅黑" w:cs="宋体"/>
          <w:color w:val="4C4C4C"/>
          <w:kern w:val="0"/>
          <w:sz w:val="24"/>
          <w:szCs w:val="24"/>
        </w:rPr>
      </w:pPr>
      <w:r w:rsidRPr="005863A7">
        <w:rPr>
          <w:rFonts w:ascii="仿宋_GB2312" w:eastAsia="仿宋_GB2312" w:hAnsi="微软雅黑" w:cs="宋体" w:hint="eastAsia"/>
          <w:b/>
          <w:bCs/>
          <w:color w:val="4C4C4C"/>
          <w:kern w:val="0"/>
          <w:sz w:val="32"/>
        </w:rPr>
        <w:t> </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黑体" w:eastAsia="黑体" w:hAnsi="黑体" w:cs="宋体" w:hint="eastAsia"/>
          <w:b/>
          <w:bCs/>
          <w:color w:val="4C4C4C"/>
          <w:kern w:val="0"/>
          <w:sz w:val="32"/>
        </w:rPr>
        <w:lastRenderedPageBreak/>
        <w:t>第一部分</w:t>
      </w:r>
      <w:r w:rsidRPr="005863A7">
        <w:rPr>
          <w:rFonts w:ascii="宋体" w:eastAsia="宋体" w:hAnsi="宋体" w:cs="宋体" w:hint="eastAsia"/>
          <w:b/>
          <w:bCs/>
          <w:color w:val="4C4C4C"/>
          <w:kern w:val="0"/>
          <w:sz w:val="32"/>
        </w:rPr>
        <w:t> </w:t>
      </w:r>
      <w:r w:rsidRPr="005863A7">
        <w:rPr>
          <w:rFonts w:ascii="黑体" w:eastAsia="黑体" w:hAnsi="黑体" w:cs="黑体" w:hint="eastAsia"/>
          <w:b/>
          <w:bCs/>
          <w:color w:val="4C4C4C"/>
          <w:kern w:val="0"/>
          <w:sz w:val="32"/>
        </w:rPr>
        <w:t xml:space="preserve"> </w:t>
      </w:r>
      <w:r w:rsidRPr="005863A7">
        <w:rPr>
          <w:rFonts w:ascii="黑体" w:eastAsia="黑体" w:hAnsi="黑体" w:cs="宋体" w:hint="eastAsia"/>
          <w:b/>
          <w:bCs/>
          <w:color w:val="4C4C4C"/>
          <w:kern w:val="0"/>
          <w:sz w:val="32"/>
        </w:rPr>
        <w:t>株洲市信访局概况</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一、主要职能</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（1）贯彻执行党中央、国务院，省委、省政府和市委、市政府有关信访工作的方针、政策，结合全市实际，拟定全市信访工作的规章、制度和工作要点，并组织实施。</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（2）承办上级机关和领导交办、批办的信访事项，检查、督促、协调处理重大信访问题。</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（3）办理人民群众和境外人士给市委、市政府和市主要领导同志的来信。</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（4）接待到市委、市政府的群众来访，做好领导同志接待上访群众的服务工作。</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（5）协同有关部门处理来信来访中反映跨省、跨市（州）、跨部门的重大纠纷问题。</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（6）掌握信访工作动态，汇集人民群众的建议、意见，及时提供信访信息，为领导决策服务。</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（7）负责对全市信访工作的检查指导、督查督办；负责信访理论研究和全市信访干部的业务指导。</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（8）会同有关部门，对重大信访事项的渎职失职部门或人员，提出处理意见。</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（9）承办市委办公室、市政府办公室交办的其他工作。</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二、部门决算单位构成</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（1）办公室</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lastRenderedPageBreak/>
        <w:t>承担机关会议组织、文件起草、机要保密、文书档案、人事劳资、财务、公务接待、安全保卫及办公自动化等日常管理工作；承担机关行政后勤工作；承担信访信息的收集、统计、综合和反馈工作；开展信访工作调查研究；开展信访工作宣传，组织信访干部培训和信访工作考核评比。</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（2）接访科</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接待群众来访，协调处理群众赴省进京上访和异常、突发性上访事项；反映群众来访中的重要情况；协调处理市直单位接待来访中的疑难问题；交办督办重要来访事项；通报来访情况；做好上访群众的组织服务工作；对全市接访工作进行业务指导。</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（3）网信科</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受理人民群众、境外人士、法人署真实姓名以电子邮件、信函形式提出的信访事项，反映群众的重要信访信息；承办“市长信箱”、“</w:t>
      </w:r>
      <w:r>
        <w:rPr>
          <w:rFonts w:ascii="仿宋" w:eastAsia="仿宋" w:hAnsi="仿宋" w:cs="宋体" w:hint="eastAsia"/>
          <w:color w:val="4C4C4C"/>
          <w:kern w:val="0"/>
          <w:sz w:val="32"/>
          <w:szCs w:val="32"/>
        </w:rPr>
        <w:t>省长</w:t>
      </w:r>
      <w:r w:rsidRPr="005863A7">
        <w:rPr>
          <w:rFonts w:ascii="仿宋" w:eastAsia="仿宋" w:hAnsi="仿宋" w:cs="宋体" w:hint="eastAsia"/>
          <w:color w:val="4C4C4C"/>
          <w:kern w:val="0"/>
          <w:sz w:val="32"/>
          <w:szCs w:val="32"/>
        </w:rPr>
        <w:t>信箱”网络信访事项，交办督办网络、来信的信访工作；协调处理跨地区、跨部门重要网络、来信信访情况；承办“网上建议”的征集工作；对全市网络、办信信访工作进行业务指导。</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（4）政策法规科</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参与制订全市调处纠纷的有关政策；调查并掌握各类纠纷情况，提出调处纠纷问题的意见和建议；受理来信来访中涉及紧急重大纠纷问题的报告和申诉，督促有关部门和单位</w:t>
      </w:r>
      <w:r w:rsidRPr="005863A7">
        <w:rPr>
          <w:rFonts w:ascii="仿宋" w:eastAsia="仿宋" w:hAnsi="仿宋" w:cs="宋体" w:hint="eastAsia"/>
          <w:color w:val="4C4C4C"/>
          <w:kern w:val="0"/>
          <w:sz w:val="32"/>
          <w:szCs w:val="32"/>
        </w:rPr>
        <w:lastRenderedPageBreak/>
        <w:t>进行调处；配合有关部门，完成市际间或县市区之间的纠纷调解工作；协调处理重大疑难信访案件，督办各级领导交办的信访事项以及其他重要信访事项；承担市级信访的复查复核工作；指导、协调全市信访工作机构督查督办工作；承担市处理信访突出问题及群体性事件联席会议办公室的日常工作。</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（5）驻京劝返科</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配合中央国家机关和北京市有关部门做好我市赴北京上访人员劝返维稳的相关工作。</w:t>
      </w:r>
    </w:p>
    <w:p w:rsidR="005863A7" w:rsidRPr="005863A7" w:rsidRDefault="005863A7" w:rsidP="005863A7">
      <w:pPr>
        <w:widowControl/>
        <w:shd w:val="clear" w:color="auto" w:fill="FFFFFF"/>
        <w:spacing w:line="360" w:lineRule="atLeast"/>
        <w:ind w:left="645"/>
        <w:rPr>
          <w:rFonts w:ascii="仿宋" w:eastAsia="仿宋" w:hAnsi="仿宋" w:cs="宋体"/>
          <w:color w:val="4C4C4C"/>
          <w:kern w:val="0"/>
          <w:sz w:val="24"/>
          <w:szCs w:val="24"/>
        </w:rPr>
      </w:pPr>
      <w:r w:rsidRPr="005863A7">
        <w:rPr>
          <w:rFonts w:ascii="黑体" w:eastAsia="黑体" w:hAnsi="黑体" w:cs="宋体" w:hint="eastAsia"/>
          <w:b/>
          <w:bCs/>
          <w:color w:val="4C4C4C"/>
          <w:kern w:val="0"/>
          <w:sz w:val="32"/>
        </w:rPr>
        <w:t>第二部分 株洲市信访局2017年度部门决算表</w:t>
      </w:r>
      <w:r w:rsidRPr="005863A7">
        <w:rPr>
          <w:rFonts w:ascii="仿宋" w:eastAsia="仿宋" w:hAnsi="仿宋" w:cs="宋体" w:hint="eastAsia"/>
          <w:color w:val="4C4C4C"/>
          <w:kern w:val="0"/>
          <w:sz w:val="32"/>
          <w:szCs w:val="32"/>
        </w:rPr>
        <w:t>（公开表格附后）</w:t>
      </w:r>
    </w:p>
    <w:p w:rsidR="005863A7" w:rsidRPr="005863A7" w:rsidRDefault="005863A7" w:rsidP="005863A7">
      <w:pPr>
        <w:widowControl/>
        <w:shd w:val="clear" w:color="auto" w:fill="FFFFFF"/>
        <w:spacing w:line="360" w:lineRule="atLeast"/>
        <w:ind w:left="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一、收入支出决算总表</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二、收入决算表</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三、支出决算表</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四、财政拨款收入支出决算总表</w:t>
      </w:r>
      <w:bookmarkStart w:id="0" w:name="_GoBack"/>
      <w:bookmarkEnd w:id="0"/>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五、一般公共预算财政拨款支出决算表</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六、一般公共预算财政拨款基本支出决算表</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七、一般公共预算财政拨款“三公”经费支出决算表</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八、政府性基金预算财政拨款收入支出决算表</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黑体" w:eastAsia="黑体" w:hAnsi="黑体" w:cs="宋体" w:hint="eastAsia"/>
          <w:b/>
          <w:bCs/>
          <w:color w:val="4C4C4C"/>
          <w:kern w:val="0"/>
          <w:sz w:val="32"/>
        </w:rPr>
        <w:t>第三部分</w:t>
      </w:r>
      <w:r w:rsidRPr="005863A7">
        <w:rPr>
          <w:rFonts w:ascii="宋体" w:eastAsia="宋体" w:hAnsi="宋体" w:cs="宋体" w:hint="eastAsia"/>
          <w:b/>
          <w:bCs/>
          <w:color w:val="4C4C4C"/>
          <w:kern w:val="0"/>
          <w:sz w:val="32"/>
        </w:rPr>
        <w:t> </w:t>
      </w:r>
      <w:r w:rsidRPr="005863A7">
        <w:rPr>
          <w:rFonts w:ascii="黑体" w:eastAsia="黑体" w:hAnsi="黑体" w:cs="黑体" w:hint="eastAsia"/>
          <w:b/>
          <w:bCs/>
          <w:color w:val="4C4C4C"/>
          <w:kern w:val="0"/>
          <w:sz w:val="32"/>
        </w:rPr>
        <w:t xml:space="preserve"> </w:t>
      </w:r>
      <w:r w:rsidRPr="005863A7">
        <w:rPr>
          <w:rFonts w:ascii="黑体" w:eastAsia="黑体" w:hAnsi="黑体" w:cs="宋体" w:hint="eastAsia"/>
          <w:b/>
          <w:bCs/>
          <w:color w:val="4C4C4C"/>
          <w:kern w:val="0"/>
          <w:sz w:val="32"/>
        </w:rPr>
        <w:t>株洲市信访局2017年度部门决算情况说明</w:t>
      </w:r>
    </w:p>
    <w:p w:rsidR="005863A7" w:rsidRPr="005863A7" w:rsidRDefault="005863A7" w:rsidP="005863A7">
      <w:pPr>
        <w:widowControl/>
        <w:shd w:val="clear" w:color="auto" w:fill="FFFFFF"/>
        <w:spacing w:line="360" w:lineRule="atLeast"/>
        <w:ind w:firstLine="630"/>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一、关于株洲市信访局2017年度收入支出决算总体情况说明</w:t>
      </w:r>
    </w:p>
    <w:p w:rsidR="005863A7" w:rsidRPr="005863A7" w:rsidRDefault="005863A7" w:rsidP="005863A7">
      <w:pPr>
        <w:widowControl/>
        <w:shd w:val="clear" w:color="auto" w:fill="FFFFFF"/>
        <w:spacing w:line="360" w:lineRule="atLeast"/>
        <w:ind w:firstLine="630"/>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lastRenderedPageBreak/>
        <w:t>2017年总收入1293.44万元，总支出1287.01万元。与去年相比，收入比去年增加了23.</w:t>
      </w:r>
      <w:r w:rsidR="00B72B1B">
        <w:rPr>
          <w:rFonts w:ascii="仿宋" w:eastAsia="仿宋" w:hAnsi="仿宋" w:cs="宋体" w:hint="eastAsia"/>
          <w:color w:val="4C4C4C"/>
          <w:kern w:val="0"/>
          <w:sz w:val="32"/>
          <w:szCs w:val="32"/>
        </w:rPr>
        <w:t>36</w:t>
      </w:r>
      <w:r w:rsidRPr="005863A7">
        <w:rPr>
          <w:rFonts w:ascii="仿宋" w:eastAsia="仿宋" w:hAnsi="仿宋" w:cs="宋体" w:hint="eastAsia"/>
          <w:color w:val="4C4C4C"/>
          <w:kern w:val="0"/>
          <w:sz w:val="32"/>
          <w:szCs w:val="32"/>
        </w:rPr>
        <w:t>%，支出比去年增加了21.75%。</w:t>
      </w:r>
    </w:p>
    <w:p w:rsidR="005863A7" w:rsidRPr="005863A7" w:rsidRDefault="005863A7" w:rsidP="005863A7">
      <w:pPr>
        <w:widowControl/>
        <w:shd w:val="clear" w:color="auto" w:fill="FFFFFF"/>
        <w:spacing w:line="360" w:lineRule="atLeast"/>
        <w:ind w:firstLine="630"/>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二、关于株洲市信访局2017年度收入决算情况说明</w:t>
      </w:r>
    </w:p>
    <w:p w:rsidR="005863A7" w:rsidRPr="005863A7" w:rsidRDefault="005863A7" w:rsidP="005863A7">
      <w:pPr>
        <w:widowControl/>
        <w:shd w:val="clear" w:color="auto" w:fill="FFFFFF"/>
        <w:spacing w:line="360" w:lineRule="atLeast"/>
        <w:ind w:firstLine="630"/>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2017年全年总收入1293.44万元。其中财政拨款收入1289.77万元，占总收入99.72%;其他收入3.67万元，占总收入0.28%。</w:t>
      </w:r>
    </w:p>
    <w:p w:rsidR="005863A7" w:rsidRPr="005863A7" w:rsidRDefault="005863A7" w:rsidP="005863A7">
      <w:pPr>
        <w:widowControl/>
        <w:shd w:val="clear" w:color="auto" w:fill="FFFFFF"/>
        <w:spacing w:line="360" w:lineRule="atLeast"/>
        <w:ind w:firstLine="630"/>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从收入项目上看，一般公共服务支出1153.19万元，占</w:t>
      </w:r>
      <w:r w:rsidR="001B418F">
        <w:rPr>
          <w:rFonts w:ascii="仿宋" w:eastAsia="仿宋" w:hAnsi="仿宋" w:cs="宋体" w:hint="eastAsia"/>
          <w:color w:val="4C4C4C"/>
          <w:kern w:val="0"/>
          <w:sz w:val="32"/>
          <w:szCs w:val="32"/>
        </w:rPr>
        <w:t>总</w:t>
      </w:r>
      <w:r w:rsidRPr="005863A7">
        <w:rPr>
          <w:rFonts w:ascii="仿宋" w:eastAsia="仿宋" w:hAnsi="仿宋" w:cs="宋体" w:hint="eastAsia"/>
          <w:color w:val="4C4C4C"/>
          <w:kern w:val="0"/>
          <w:sz w:val="32"/>
          <w:szCs w:val="32"/>
        </w:rPr>
        <w:t>收入的89.16%，公共安全支出1.14万元，占</w:t>
      </w:r>
      <w:r w:rsidR="001B418F">
        <w:rPr>
          <w:rFonts w:ascii="仿宋" w:eastAsia="仿宋" w:hAnsi="仿宋" w:cs="宋体" w:hint="eastAsia"/>
          <w:color w:val="4C4C4C"/>
          <w:kern w:val="0"/>
          <w:sz w:val="32"/>
          <w:szCs w:val="32"/>
        </w:rPr>
        <w:t>总</w:t>
      </w:r>
      <w:r w:rsidRPr="005863A7">
        <w:rPr>
          <w:rFonts w:ascii="仿宋" w:eastAsia="仿宋" w:hAnsi="仿宋" w:cs="宋体" w:hint="eastAsia"/>
          <w:color w:val="4C4C4C"/>
          <w:kern w:val="0"/>
          <w:sz w:val="32"/>
          <w:szCs w:val="32"/>
        </w:rPr>
        <w:t>收入的0.09%，社会保障和就业支出85.77万元，占</w:t>
      </w:r>
      <w:r w:rsidR="001B418F">
        <w:rPr>
          <w:rFonts w:ascii="仿宋" w:eastAsia="仿宋" w:hAnsi="仿宋" w:cs="宋体" w:hint="eastAsia"/>
          <w:color w:val="4C4C4C"/>
          <w:kern w:val="0"/>
          <w:sz w:val="32"/>
          <w:szCs w:val="32"/>
        </w:rPr>
        <w:t>总</w:t>
      </w:r>
      <w:r w:rsidRPr="005863A7">
        <w:rPr>
          <w:rFonts w:ascii="仿宋" w:eastAsia="仿宋" w:hAnsi="仿宋" w:cs="宋体" w:hint="eastAsia"/>
          <w:color w:val="4C4C4C"/>
          <w:kern w:val="0"/>
          <w:sz w:val="32"/>
          <w:szCs w:val="32"/>
        </w:rPr>
        <w:t>收入的6.63%，医疗卫生与计划生育支出53.35万元，占</w:t>
      </w:r>
      <w:r w:rsidR="001B418F">
        <w:rPr>
          <w:rFonts w:ascii="仿宋" w:eastAsia="仿宋" w:hAnsi="仿宋" w:cs="宋体" w:hint="eastAsia"/>
          <w:color w:val="4C4C4C"/>
          <w:kern w:val="0"/>
          <w:sz w:val="32"/>
          <w:szCs w:val="32"/>
        </w:rPr>
        <w:t>总</w:t>
      </w:r>
      <w:r w:rsidRPr="005863A7">
        <w:rPr>
          <w:rFonts w:ascii="仿宋" w:eastAsia="仿宋" w:hAnsi="仿宋" w:cs="宋体" w:hint="eastAsia"/>
          <w:color w:val="4C4C4C"/>
          <w:kern w:val="0"/>
          <w:sz w:val="32"/>
          <w:szCs w:val="32"/>
        </w:rPr>
        <w:t>收入的4.12%。</w:t>
      </w:r>
    </w:p>
    <w:p w:rsidR="005863A7" w:rsidRPr="005863A7" w:rsidRDefault="005863A7" w:rsidP="005863A7">
      <w:pPr>
        <w:widowControl/>
        <w:shd w:val="clear" w:color="auto" w:fill="FFFFFF"/>
        <w:spacing w:line="360" w:lineRule="atLeast"/>
        <w:ind w:firstLine="630"/>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三、关于株洲市信访局2017年度支出决算情况说明</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2017年全年总支出1287.01万元，其中基本支出968.07万元，占总支出75.22%;项目支出318.95万元，占总支出24.78%。</w:t>
      </w:r>
    </w:p>
    <w:p w:rsidR="005863A7" w:rsidRPr="005863A7" w:rsidRDefault="005863A7" w:rsidP="005863A7">
      <w:pPr>
        <w:widowControl/>
        <w:shd w:val="clear" w:color="auto" w:fill="FFFFFF"/>
        <w:spacing w:line="360" w:lineRule="atLeast"/>
        <w:ind w:firstLine="630"/>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从支出项目上看，一般公共服务支出1146.76万元，占</w:t>
      </w:r>
      <w:r w:rsidR="002B0314">
        <w:rPr>
          <w:rFonts w:ascii="仿宋" w:eastAsia="仿宋" w:hAnsi="仿宋" w:cs="宋体" w:hint="eastAsia"/>
          <w:color w:val="4C4C4C"/>
          <w:kern w:val="0"/>
          <w:sz w:val="32"/>
          <w:szCs w:val="32"/>
        </w:rPr>
        <w:t>总支出</w:t>
      </w:r>
      <w:r w:rsidRPr="005863A7">
        <w:rPr>
          <w:rFonts w:ascii="仿宋" w:eastAsia="仿宋" w:hAnsi="仿宋" w:cs="宋体" w:hint="eastAsia"/>
          <w:color w:val="4C4C4C"/>
          <w:kern w:val="0"/>
          <w:sz w:val="32"/>
          <w:szCs w:val="32"/>
        </w:rPr>
        <w:t>的89.1%，公共安全支出1.14万元，占</w:t>
      </w:r>
      <w:r w:rsidR="002B0314">
        <w:rPr>
          <w:rFonts w:ascii="仿宋" w:eastAsia="仿宋" w:hAnsi="仿宋" w:cs="宋体" w:hint="eastAsia"/>
          <w:color w:val="4C4C4C"/>
          <w:kern w:val="0"/>
          <w:sz w:val="32"/>
          <w:szCs w:val="32"/>
        </w:rPr>
        <w:t>总支出</w:t>
      </w:r>
      <w:r w:rsidRPr="005863A7">
        <w:rPr>
          <w:rFonts w:ascii="仿宋" w:eastAsia="仿宋" w:hAnsi="仿宋" w:cs="宋体" w:hint="eastAsia"/>
          <w:color w:val="4C4C4C"/>
          <w:kern w:val="0"/>
          <w:sz w:val="32"/>
          <w:szCs w:val="32"/>
        </w:rPr>
        <w:t>的0.09%，社会保障和就业支出85.77万元，占</w:t>
      </w:r>
      <w:r w:rsidR="00492BD6">
        <w:rPr>
          <w:rFonts w:ascii="仿宋" w:eastAsia="仿宋" w:hAnsi="仿宋" w:cs="宋体" w:hint="eastAsia"/>
          <w:color w:val="4C4C4C"/>
          <w:kern w:val="0"/>
          <w:sz w:val="32"/>
          <w:szCs w:val="32"/>
        </w:rPr>
        <w:t>总支出</w:t>
      </w:r>
      <w:r w:rsidRPr="005863A7">
        <w:rPr>
          <w:rFonts w:ascii="仿宋" w:eastAsia="仿宋" w:hAnsi="仿宋" w:cs="宋体" w:hint="eastAsia"/>
          <w:color w:val="4C4C4C"/>
          <w:kern w:val="0"/>
          <w:sz w:val="32"/>
          <w:szCs w:val="32"/>
        </w:rPr>
        <w:t>的6.66%，医疗卫生与计划生育支出53.35万元，占</w:t>
      </w:r>
      <w:r w:rsidR="00492BD6">
        <w:rPr>
          <w:rFonts w:ascii="仿宋" w:eastAsia="仿宋" w:hAnsi="仿宋" w:cs="宋体" w:hint="eastAsia"/>
          <w:color w:val="4C4C4C"/>
          <w:kern w:val="0"/>
          <w:sz w:val="32"/>
          <w:szCs w:val="32"/>
        </w:rPr>
        <w:t>总支出</w:t>
      </w:r>
      <w:r w:rsidRPr="005863A7">
        <w:rPr>
          <w:rFonts w:ascii="仿宋" w:eastAsia="仿宋" w:hAnsi="仿宋" w:cs="宋体" w:hint="eastAsia"/>
          <w:color w:val="4C4C4C"/>
          <w:kern w:val="0"/>
          <w:sz w:val="32"/>
          <w:szCs w:val="32"/>
        </w:rPr>
        <w:t>的4.15%。</w:t>
      </w:r>
    </w:p>
    <w:p w:rsidR="005863A7" w:rsidRPr="005863A7" w:rsidRDefault="005863A7" w:rsidP="005863A7">
      <w:pPr>
        <w:widowControl/>
        <w:shd w:val="clear" w:color="auto" w:fill="FFFFFF"/>
        <w:spacing w:line="360" w:lineRule="atLeast"/>
        <w:ind w:firstLine="630"/>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四、关于株洲市信访局2017年度财政拨款收入支出决算总体情况说明</w:t>
      </w:r>
    </w:p>
    <w:p w:rsidR="005863A7" w:rsidRPr="005863A7" w:rsidRDefault="005863A7" w:rsidP="005863A7">
      <w:pPr>
        <w:widowControl/>
        <w:shd w:val="clear" w:color="auto" w:fill="FFFFFF"/>
        <w:spacing w:line="360" w:lineRule="atLeast"/>
        <w:ind w:firstLine="630"/>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lastRenderedPageBreak/>
        <w:t>2017年财政拨款收入1289.77万元，支出1284.51万元。与2016年相比，收入比去年增加23.36%，支出比去年增加21.86%。</w:t>
      </w:r>
    </w:p>
    <w:p w:rsidR="005863A7" w:rsidRPr="005863A7" w:rsidRDefault="005863A7" w:rsidP="005863A7">
      <w:pPr>
        <w:widowControl/>
        <w:shd w:val="clear" w:color="auto" w:fill="FFFFFF"/>
        <w:spacing w:line="360" w:lineRule="atLeast"/>
        <w:ind w:firstLine="630"/>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五、关于株洲市信访局2017年度一般公共预算财政拨款支出决算情况说明</w:t>
      </w:r>
    </w:p>
    <w:p w:rsidR="005863A7" w:rsidRPr="005863A7" w:rsidRDefault="005863A7" w:rsidP="005863A7">
      <w:pPr>
        <w:widowControl/>
        <w:shd w:val="clear" w:color="auto" w:fill="FFFFFF"/>
        <w:spacing w:line="360" w:lineRule="atLeast"/>
        <w:ind w:firstLine="630"/>
        <w:rPr>
          <w:rFonts w:ascii="仿宋" w:eastAsia="仿宋" w:hAnsi="仿宋" w:cs="宋体"/>
          <w:color w:val="4C4C4C"/>
          <w:kern w:val="0"/>
          <w:sz w:val="24"/>
          <w:szCs w:val="24"/>
        </w:rPr>
      </w:pPr>
      <w:r w:rsidRPr="00830D7A">
        <w:rPr>
          <w:rFonts w:ascii="仿宋" w:eastAsia="仿宋" w:hAnsi="仿宋" w:cs="宋体" w:hint="eastAsia"/>
          <w:b/>
          <w:bCs/>
          <w:color w:val="4C4C4C"/>
          <w:kern w:val="0"/>
          <w:sz w:val="32"/>
        </w:rPr>
        <w:t>（一）财政拨款支出决算总体情况。</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2017年一般公共预算财政拨款支出1284.51万元。与去年相比，增加了21.86%。</w:t>
      </w:r>
    </w:p>
    <w:p w:rsidR="005863A7" w:rsidRPr="005863A7" w:rsidRDefault="005863A7" w:rsidP="005863A7">
      <w:pPr>
        <w:widowControl/>
        <w:shd w:val="clear" w:color="auto" w:fill="FFFFFF"/>
        <w:spacing w:line="360" w:lineRule="atLeast"/>
        <w:ind w:firstLine="630"/>
        <w:rPr>
          <w:rFonts w:ascii="仿宋" w:eastAsia="仿宋" w:hAnsi="仿宋" w:cs="宋体"/>
          <w:color w:val="4C4C4C"/>
          <w:kern w:val="0"/>
          <w:sz w:val="24"/>
          <w:szCs w:val="24"/>
        </w:rPr>
      </w:pPr>
      <w:r w:rsidRPr="00830D7A">
        <w:rPr>
          <w:rFonts w:ascii="仿宋" w:eastAsia="仿宋" w:hAnsi="仿宋" w:cs="宋体" w:hint="eastAsia"/>
          <w:b/>
          <w:bCs/>
          <w:color w:val="4C4C4C"/>
          <w:kern w:val="0"/>
          <w:sz w:val="32"/>
        </w:rPr>
        <w:t>（二）财政拨款支出决算结构情况。</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2017年一般公共预算财政拨款支出1284.51万元。其中基本支出965.56万元，占总支出75.17%，项目支出318.95万元，占总支出24.83%。</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从支出项目上看，一般公共服务支出1144.26万元，占财政拨款支出的89.08%，公共安全支出1.14万元，占财政拨款支出的0.09%，社会保障和就业支出85.77万元，占财政拨款支出的6.68%，医疗卫生与计划生育支出53.35万元，占财政拨款支出的4.15%。</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830D7A">
        <w:rPr>
          <w:rFonts w:ascii="仿宋" w:eastAsia="仿宋" w:hAnsi="仿宋" w:cs="宋体" w:hint="eastAsia"/>
          <w:b/>
          <w:bCs/>
          <w:color w:val="4C4C4C"/>
          <w:kern w:val="0"/>
          <w:sz w:val="32"/>
        </w:rPr>
        <w:t>（三）财政拨款支出决算具体情况。</w:t>
      </w:r>
    </w:p>
    <w:p w:rsidR="005863A7" w:rsidRPr="005863A7" w:rsidRDefault="005863A7" w:rsidP="005863A7">
      <w:pPr>
        <w:widowControl/>
        <w:shd w:val="clear" w:color="auto" w:fill="FFFFFF"/>
        <w:spacing w:line="360" w:lineRule="atLeast"/>
        <w:ind w:firstLine="960"/>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2017年年初财政拨款预算数956.58万元，年末财政拨款支出决算数1284.51万元，比年初预算增加337.93万元，增加34.28%。其主要原因是因津补贴提标增加了人员经</w:t>
      </w:r>
      <w:r w:rsidRPr="005863A7">
        <w:rPr>
          <w:rFonts w:ascii="仿宋" w:eastAsia="仿宋" w:hAnsi="仿宋" w:cs="宋体" w:hint="eastAsia"/>
          <w:color w:val="4C4C4C"/>
          <w:kern w:val="0"/>
          <w:sz w:val="32"/>
          <w:szCs w:val="32"/>
        </w:rPr>
        <w:lastRenderedPageBreak/>
        <w:t>费；因2017年特护期数量多且要求高，为做好这方面工作，追加工作经费；为编纂《信访志》增加了工作经费等。</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六、关于株洲市信访局2017年度一般公共预算财政拨款基本支出决算情况说明</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2017年一般公共预算财政拨款基本支出965.56万元，其中工资福利支出322.78万元，占基本支出33.43%;商品和服务支出341.60万元，占基本支出35.38%;对个人和家庭的补助281.71万元，占基本支出29.18%;其他资本性支出19.47万元，占2.02%。</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七、关于株洲市信访局2017年度一般公共预算财政拨款“三公”经费支出决算情况说明</w:t>
      </w:r>
    </w:p>
    <w:p w:rsidR="005863A7" w:rsidRPr="005863A7" w:rsidRDefault="005863A7" w:rsidP="005863A7">
      <w:pPr>
        <w:widowControl/>
        <w:shd w:val="clear" w:color="auto" w:fill="FFFFFF"/>
        <w:spacing w:line="360" w:lineRule="atLeast"/>
        <w:ind w:firstLine="645"/>
        <w:rPr>
          <w:rFonts w:ascii="仿宋" w:eastAsia="仿宋" w:hAnsi="仿宋" w:cs="宋体"/>
          <w:b/>
          <w:color w:val="4C4C4C"/>
          <w:kern w:val="0"/>
          <w:sz w:val="24"/>
          <w:szCs w:val="24"/>
        </w:rPr>
      </w:pPr>
      <w:r w:rsidRPr="005863A7">
        <w:rPr>
          <w:rFonts w:ascii="仿宋" w:eastAsia="仿宋" w:hAnsi="仿宋" w:cs="宋体" w:hint="eastAsia"/>
          <w:b/>
          <w:color w:val="4C4C4C"/>
          <w:kern w:val="0"/>
          <w:sz w:val="32"/>
          <w:szCs w:val="32"/>
        </w:rPr>
        <w:t>（一）“三公”经费财政拨款支出决算总体情况说明。</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2017年“三公”经费总支出64.73万元，其中公务用车购置及运行维护费56.56万元，公务接待费8.17万元,无因公出国</w:t>
      </w:r>
      <w:r w:rsidR="006B6237">
        <w:rPr>
          <w:rFonts w:ascii="仿宋" w:eastAsia="仿宋" w:hAnsi="仿宋" w:cs="宋体" w:hint="eastAsia"/>
          <w:color w:val="4C4C4C"/>
          <w:kern w:val="0"/>
          <w:sz w:val="32"/>
          <w:szCs w:val="32"/>
        </w:rPr>
        <w:t>费</w:t>
      </w:r>
      <w:r w:rsidRPr="005863A7">
        <w:rPr>
          <w:rFonts w:ascii="仿宋" w:eastAsia="仿宋" w:hAnsi="仿宋" w:cs="宋体" w:hint="eastAsia"/>
          <w:color w:val="4C4C4C"/>
          <w:kern w:val="0"/>
          <w:sz w:val="32"/>
          <w:szCs w:val="32"/>
        </w:rPr>
        <w:t>。</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与年初相比，公务用车购置及运行维护费增加了36.56万元，主要原因是公务用车购置年初没有安排预算，后因工作需要，追加了28万元公务用车购置费；因今年工作任务重，要求高，而年初没有考虑充分，公务用车运行维护费比年初预算略有增加。今年我局严格执行公务接待相关规定，公务接待费大幅下降，比年初预算减少了6.83万元。</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lastRenderedPageBreak/>
        <w:t>与2016年相比,总支出增加了22.66万元,其中公务用车购置比去年增加了27.97万元（去年无公务用车购置费），公务用车运行维护费比去年减少2.25万元,公务接待费比去年减少3.06万元。三公经费总支出增加的原因为我局驻京办原有辆京K77471为2006年12月购置，车辆排放标准低，车龄长，车况较差，因此今年新购置一台车辆，原有车辆已就地处置。公务用车运行维护费及公务接待费比去年略有下降，是因为我局今年继续压减公务用车运行维护费及公务接待费，严格执行相关财务制度，减少不必要的支出。</w:t>
      </w:r>
    </w:p>
    <w:p w:rsidR="005863A7" w:rsidRPr="005863A7" w:rsidRDefault="005863A7" w:rsidP="005863A7">
      <w:pPr>
        <w:widowControl/>
        <w:shd w:val="clear" w:color="auto" w:fill="FFFFFF"/>
        <w:spacing w:line="360" w:lineRule="atLeast"/>
        <w:ind w:firstLine="645"/>
        <w:rPr>
          <w:rFonts w:ascii="仿宋" w:eastAsia="仿宋" w:hAnsi="仿宋" w:cs="宋体"/>
          <w:b/>
          <w:color w:val="4C4C4C"/>
          <w:kern w:val="0"/>
          <w:sz w:val="24"/>
          <w:szCs w:val="24"/>
        </w:rPr>
      </w:pPr>
      <w:r w:rsidRPr="005863A7">
        <w:rPr>
          <w:rFonts w:ascii="仿宋" w:eastAsia="仿宋" w:hAnsi="仿宋" w:cs="宋体" w:hint="eastAsia"/>
          <w:b/>
          <w:color w:val="4C4C4C"/>
          <w:kern w:val="0"/>
          <w:sz w:val="32"/>
          <w:szCs w:val="32"/>
        </w:rPr>
        <w:t>（二）“三公”经费财政拨款支出决算具体情况说明。</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今年我局新购置一台车辆，原有车辆已就地处置。目前车辆仍为4辆。</w:t>
      </w:r>
      <w:r w:rsidR="00830D7A">
        <w:rPr>
          <w:rFonts w:ascii="仿宋" w:eastAsia="仿宋" w:hAnsi="仿宋" w:cs="宋体" w:hint="eastAsia"/>
          <w:color w:val="4C4C4C"/>
          <w:kern w:val="0"/>
          <w:sz w:val="32"/>
          <w:szCs w:val="32"/>
        </w:rPr>
        <w:t>公务接待费8.17万元，共接待33批826人次。无因公出国费。</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八、关于市信访局2017年度政府性基金预算收入支出决算情况</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我局2017年无政府性基金收入及支出。</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楷体" w:eastAsia="楷体" w:hAnsi="楷体" w:cs="宋体" w:hint="eastAsia"/>
          <w:b/>
          <w:bCs/>
          <w:color w:val="4C4C4C"/>
          <w:kern w:val="0"/>
          <w:sz w:val="32"/>
        </w:rPr>
        <w:t>九、其他重要事项</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b/>
          <w:color w:val="4C4C4C"/>
          <w:kern w:val="0"/>
          <w:sz w:val="32"/>
          <w:szCs w:val="32"/>
        </w:rPr>
        <w:t>（一）机关运行经费支出情况。</w:t>
      </w:r>
      <w:r w:rsidRPr="005863A7">
        <w:rPr>
          <w:rFonts w:ascii="仿宋" w:eastAsia="仿宋" w:hAnsi="仿宋" w:cs="宋体" w:hint="eastAsia"/>
          <w:color w:val="4C4C4C"/>
          <w:kern w:val="0"/>
          <w:sz w:val="32"/>
          <w:szCs w:val="32"/>
        </w:rPr>
        <w:t>本部门2017年度机关运行经费支出</w:t>
      </w:r>
      <w:r w:rsidR="00E820DD">
        <w:rPr>
          <w:rFonts w:ascii="仿宋" w:eastAsia="仿宋" w:hAnsi="仿宋" w:cs="宋体" w:hint="eastAsia"/>
          <w:color w:val="4C4C4C"/>
          <w:kern w:val="0"/>
          <w:sz w:val="32"/>
          <w:szCs w:val="32"/>
        </w:rPr>
        <w:t>361.07</w:t>
      </w:r>
      <w:r w:rsidRPr="005863A7">
        <w:rPr>
          <w:rFonts w:ascii="仿宋" w:eastAsia="仿宋" w:hAnsi="仿宋" w:cs="宋体" w:hint="eastAsia"/>
          <w:color w:val="4C4C4C"/>
          <w:kern w:val="0"/>
          <w:sz w:val="32"/>
          <w:szCs w:val="32"/>
        </w:rPr>
        <w:t>万元，比2016年</w:t>
      </w:r>
      <w:r w:rsidR="00962876">
        <w:rPr>
          <w:rFonts w:ascii="仿宋" w:eastAsia="仿宋" w:hAnsi="仿宋" w:cs="宋体" w:hint="eastAsia"/>
          <w:color w:val="4C4C4C"/>
          <w:kern w:val="0"/>
          <w:sz w:val="32"/>
          <w:szCs w:val="32"/>
        </w:rPr>
        <w:t>减少27.45</w:t>
      </w:r>
      <w:r w:rsidRPr="005863A7">
        <w:rPr>
          <w:rFonts w:ascii="仿宋" w:eastAsia="仿宋" w:hAnsi="仿宋" w:cs="宋体" w:hint="eastAsia"/>
          <w:color w:val="4C4C4C"/>
          <w:kern w:val="0"/>
          <w:sz w:val="32"/>
          <w:szCs w:val="32"/>
        </w:rPr>
        <w:t>万元，</w:t>
      </w:r>
      <w:r w:rsidR="00962876">
        <w:rPr>
          <w:rFonts w:ascii="仿宋" w:eastAsia="仿宋" w:hAnsi="仿宋" w:cs="宋体" w:hint="eastAsia"/>
          <w:color w:val="4C4C4C"/>
          <w:kern w:val="0"/>
          <w:sz w:val="32"/>
          <w:szCs w:val="32"/>
        </w:rPr>
        <w:t>减少7.1</w:t>
      </w:r>
      <w:r w:rsidRPr="005863A7">
        <w:rPr>
          <w:rFonts w:ascii="仿宋" w:eastAsia="仿宋" w:hAnsi="仿宋" w:cs="宋体" w:hint="eastAsia"/>
          <w:color w:val="4C4C4C"/>
          <w:kern w:val="0"/>
          <w:sz w:val="32"/>
          <w:szCs w:val="32"/>
        </w:rPr>
        <w:t>%。主要原因是：</w:t>
      </w:r>
      <w:r w:rsidR="00962876">
        <w:rPr>
          <w:rFonts w:ascii="仿宋" w:eastAsia="仿宋" w:hAnsi="仿宋" w:cs="宋体" w:hint="eastAsia"/>
          <w:color w:val="4C4C4C"/>
          <w:kern w:val="0"/>
          <w:sz w:val="32"/>
          <w:szCs w:val="32"/>
        </w:rPr>
        <w:t>我局厉行节约，减少不必要开支</w:t>
      </w:r>
      <w:r w:rsidRPr="005863A7">
        <w:rPr>
          <w:rFonts w:ascii="仿宋" w:eastAsia="仿宋" w:hAnsi="仿宋" w:cs="宋体" w:hint="eastAsia"/>
          <w:color w:val="4C4C4C"/>
          <w:kern w:val="0"/>
          <w:sz w:val="32"/>
          <w:szCs w:val="32"/>
        </w:rPr>
        <w:t>。</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b/>
          <w:color w:val="4C4C4C"/>
          <w:kern w:val="0"/>
          <w:sz w:val="32"/>
          <w:szCs w:val="32"/>
        </w:rPr>
        <w:t>（二）政府采购支出情况。</w:t>
      </w:r>
      <w:r w:rsidRPr="005863A7">
        <w:rPr>
          <w:rFonts w:ascii="仿宋" w:eastAsia="仿宋" w:hAnsi="仿宋" w:cs="宋体" w:hint="eastAsia"/>
          <w:color w:val="4C4C4C"/>
          <w:kern w:val="0"/>
          <w:sz w:val="32"/>
          <w:szCs w:val="32"/>
        </w:rPr>
        <w:t>本部门2017年度政府采购支出总额0.88万元，为政府采购货物支出。</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b/>
          <w:color w:val="4C4C4C"/>
          <w:kern w:val="0"/>
          <w:sz w:val="32"/>
          <w:szCs w:val="32"/>
        </w:rPr>
        <w:lastRenderedPageBreak/>
        <w:t>（三）国有资产占用情况。</w:t>
      </w:r>
      <w:r w:rsidRPr="005863A7">
        <w:rPr>
          <w:rFonts w:ascii="仿宋" w:eastAsia="仿宋" w:hAnsi="仿宋" w:cs="宋体" w:hint="eastAsia"/>
          <w:color w:val="4C4C4C"/>
          <w:kern w:val="0"/>
          <w:sz w:val="32"/>
          <w:szCs w:val="32"/>
        </w:rPr>
        <w:t>截至2017年12 月31 日，本部门共有车辆4 辆，为一般公务用车；无单位价值50 万元以上通用设备及单价100 万元以上专用设备台（套）。</w:t>
      </w:r>
    </w:p>
    <w:p w:rsidR="005863A7" w:rsidRPr="005863A7" w:rsidRDefault="005863A7" w:rsidP="005863A7">
      <w:pPr>
        <w:widowControl/>
        <w:shd w:val="clear" w:color="auto" w:fill="FFFFFF"/>
        <w:spacing w:line="360" w:lineRule="atLeast"/>
        <w:ind w:firstLine="645"/>
        <w:rPr>
          <w:rFonts w:ascii="仿宋" w:eastAsia="仿宋" w:hAnsi="仿宋" w:cs="宋体"/>
          <w:b/>
          <w:color w:val="4C4C4C"/>
          <w:kern w:val="0"/>
          <w:sz w:val="24"/>
          <w:szCs w:val="24"/>
        </w:rPr>
      </w:pPr>
      <w:r w:rsidRPr="005863A7">
        <w:rPr>
          <w:rFonts w:ascii="仿宋" w:eastAsia="仿宋" w:hAnsi="仿宋" w:cs="宋体" w:hint="eastAsia"/>
          <w:b/>
          <w:color w:val="4C4C4C"/>
          <w:kern w:val="0"/>
          <w:sz w:val="32"/>
          <w:szCs w:val="32"/>
        </w:rPr>
        <w:t>（四）预算绩效情况的说明。</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我局建立健全相应的工作机制，完善相关制度，取得了一定的成效，2017年，全市信访形势整体平稳可控，没有发生重大群体性事件、大规模进京集体访和极端恶性上访事件。全国“两会”特护期信访工作、驻京维稳劝返工作、驻长接访劝返工作被评为全省先进，“一带一路”峰会特护期信访工作成绩排全省第1名，党的十九大特护期实现了“五个不发生”工作目标。市信访局被评为2017年度全省信访业务规范单位、市直机关文明建设标兵单位、全市综治工作先进单位、全市党的十九大特护期先进单位。</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黑体" w:eastAsia="黑体" w:hAnsi="黑体" w:cs="宋体" w:hint="eastAsia"/>
          <w:b/>
          <w:bCs/>
          <w:color w:val="4C4C4C"/>
          <w:kern w:val="0"/>
          <w:sz w:val="32"/>
        </w:rPr>
        <w:t>第四部分</w:t>
      </w:r>
      <w:r w:rsidRPr="005863A7">
        <w:rPr>
          <w:rFonts w:ascii="宋体" w:eastAsia="宋体" w:hAnsi="宋体" w:cs="宋体" w:hint="eastAsia"/>
          <w:b/>
          <w:bCs/>
          <w:color w:val="4C4C4C"/>
          <w:kern w:val="0"/>
          <w:sz w:val="32"/>
        </w:rPr>
        <w:t> </w:t>
      </w:r>
      <w:r w:rsidRPr="005863A7">
        <w:rPr>
          <w:rFonts w:ascii="黑体" w:eastAsia="黑体" w:hAnsi="黑体" w:cs="黑体" w:hint="eastAsia"/>
          <w:b/>
          <w:bCs/>
          <w:color w:val="4C4C4C"/>
          <w:kern w:val="0"/>
          <w:sz w:val="32"/>
        </w:rPr>
        <w:t xml:space="preserve"> </w:t>
      </w:r>
      <w:r w:rsidRPr="005863A7">
        <w:rPr>
          <w:rFonts w:ascii="黑体" w:eastAsia="黑体" w:hAnsi="黑体" w:cs="宋体" w:hint="eastAsia"/>
          <w:b/>
          <w:bCs/>
          <w:color w:val="4C4C4C"/>
          <w:kern w:val="0"/>
          <w:sz w:val="32"/>
        </w:rPr>
        <w:t>联系方式</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以上信息由办公室负责接受公众询问，接洽人陈茜；联系电话28680793。</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r w:rsidRPr="005863A7">
        <w:rPr>
          <w:rFonts w:ascii="黑体" w:eastAsia="黑体" w:hAnsi="黑体" w:cs="宋体" w:hint="eastAsia"/>
          <w:b/>
          <w:bCs/>
          <w:color w:val="4C4C4C"/>
          <w:kern w:val="0"/>
          <w:sz w:val="32"/>
        </w:rPr>
        <w:t>第五部分</w:t>
      </w:r>
      <w:r w:rsidRPr="005863A7">
        <w:rPr>
          <w:rFonts w:ascii="宋体" w:eastAsia="宋体" w:hAnsi="宋体" w:cs="宋体" w:hint="eastAsia"/>
          <w:b/>
          <w:bCs/>
          <w:color w:val="4C4C4C"/>
          <w:kern w:val="0"/>
          <w:sz w:val="32"/>
        </w:rPr>
        <w:t> </w:t>
      </w:r>
      <w:r w:rsidRPr="005863A7">
        <w:rPr>
          <w:rFonts w:ascii="黑体" w:eastAsia="黑体" w:hAnsi="黑体" w:cs="黑体" w:hint="eastAsia"/>
          <w:b/>
          <w:bCs/>
          <w:color w:val="4C4C4C"/>
          <w:kern w:val="0"/>
          <w:sz w:val="32"/>
        </w:rPr>
        <w:t xml:space="preserve"> </w:t>
      </w:r>
      <w:r w:rsidRPr="005863A7">
        <w:rPr>
          <w:rFonts w:ascii="黑体" w:eastAsia="黑体" w:hAnsi="黑体" w:cs="宋体" w:hint="eastAsia"/>
          <w:b/>
          <w:bCs/>
          <w:color w:val="4C4C4C"/>
          <w:kern w:val="0"/>
          <w:sz w:val="32"/>
        </w:rPr>
        <w:t>名词解释</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一、财政拨款收入：指单位从同级财政部门取得的财政预算资金。</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二、事业收入：指事业单位开展专业业务活动及辅助活动取得的收入。</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lastRenderedPageBreak/>
        <w:t>三、经营收入：指事业单位在专业业务活动及其辅助活动之外开展非独立核算经营活动取得的收入。</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四、其他收入：指单位取得的除上述收入以外的各项收入。</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5863A7" w:rsidRPr="005863A7" w:rsidRDefault="005863A7" w:rsidP="005863A7">
      <w:pPr>
        <w:widowControl/>
        <w:shd w:val="clear" w:color="auto" w:fill="FFFFFF"/>
        <w:spacing w:line="360" w:lineRule="atLeast"/>
        <w:ind w:firstLine="645"/>
        <w:rPr>
          <w:rFonts w:ascii="仿宋" w:eastAsia="仿宋" w:hAnsi="仿宋" w:cs="宋体"/>
          <w:color w:val="4C4C4C"/>
          <w:kern w:val="0"/>
          <w:sz w:val="24"/>
          <w:szCs w:val="24"/>
        </w:rPr>
      </w:pPr>
      <w:r w:rsidRPr="005863A7">
        <w:rPr>
          <w:rFonts w:ascii="仿宋" w:eastAsia="仿宋" w:hAnsi="仿宋" w:cs="宋体" w:hint="eastAsia"/>
          <w:color w:val="4C4C4C"/>
          <w:kern w:val="0"/>
          <w:sz w:val="32"/>
          <w:szCs w:val="32"/>
        </w:rPr>
        <w:t>六、年初结转和结余：指单位以前年度尚未完成、结转到本年按有关规定继续使用的资金。</w:t>
      </w: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p>
    <w:p w:rsidR="005863A7" w:rsidRPr="005863A7" w:rsidRDefault="005863A7" w:rsidP="005863A7">
      <w:pPr>
        <w:widowControl/>
        <w:shd w:val="clear" w:color="auto" w:fill="FFFFFF"/>
        <w:spacing w:line="360" w:lineRule="atLeast"/>
        <w:ind w:firstLine="645"/>
        <w:rPr>
          <w:rFonts w:ascii="微软雅黑" w:eastAsia="微软雅黑" w:hAnsi="微软雅黑" w:cs="宋体"/>
          <w:color w:val="4C4C4C"/>
          <w:kern w:val="0"/>
          <w:sz w:val="24"/>
          <w:szCs w:val="24"/>
        </w:rPr>
      </w:pPr>
    </w:p>
    <w:p w:rsidR="00494A78" w:rsidRDefault="00494A78"/>
    <w:sectPr w:rsidR="00494A78" w:rsidSect="00494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931" w:rsidRDefault="00FD1931" w:rsidP="00E820DD">
      <w:r>
        <w:separator/>
      </w:r>
    </w:p>
  </w:endnote>
  <w:endnote w:type="continuationSeparator" w:id="1">
    <w:p w:rsidR="00FD1931" w:rsidRDefault="00FD1931" w:rsidP="00E82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931" w:rsidRDefault="00FD1931" w:rsidP="00E820DD">
      <w:r>
        <w:separator/>
      </w:r>
    </w:p>
  </w:footnote>
  <w:footnote w:type="continuationSeparator" w:id="1">
    <w:p w:rsidR="00FD1931" w:rsidRDefault="00FD1931" w:rsidP="00E820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3A7"/>
    <w:rsid w:val="000508B3"/>
    <w:rsid w:val="000D53C7"/>
    <w:rsid w:val="001B418F"/>
    <w:rsid w:val="001C5C7D"/>
    <w:rsid w:val="002B0314"/>
    <w:rsid w:val="00310385"/>
    <w:rsid w:val="00356BE0"/>
    <w:rsid w:val="00375C7E"/>
    <w:rsid w:val="00383C95"/>
    <w:rsid w:val="003A31FE"/>
    <w:rsid w:val="00410099"/>
    <w:rsid w:val="00432F9A"/>
    <w:rsid w:val="00492BD6"/>
    <w:rsid w:val="00494A78"/>
    <w:rsid w:val="0055417D"/>
    <w:rsid w:val="005863A7"/>
    <w:rsid w:val="00657E20"/>
    <w:rsid w:val="0068610A"/>
    <w:rsid w:val="006B6237"/>
    <w:rsid w:val="006F3F9F"/>
    <w:rsid w:val="00723175"/>
    <w:rsid w:val="00751680"/>
    <w:rsid w:val="00830D7A"/>
    <w:rsid w:val="00926C16"/>
    <w:rsid w:val="00962876"/>
    <w:rsid w:val="009E6888"/>
    <w:rsid w:val="00A16767"/>
    <w:rsid w:val="00B136FA"/>
    <w:rsid w:val="00B61301"/>
    <w:rsid w:val="00B72B1B"/>
    <w:rsid w:val="00BA5D0C"/>
    <w:rsid w:val="00C016A3"/>
    <w:rsid w:val="00C27C2B"/>
    <w:rsid w:val="00E74116"/>
    <w:rsid w:val="00E80258"/>
    <w:rsid w:val="00E820DD"/>
    <w:rsid w:val="00F160CC"/>
    <w:rsid w:val="00FC4335"/>
    <w:rsid w:val="00FD1931"/>
    <w:rsid w:val="00FF5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78"/>
    <w:pPr>
      <w:widowControl w:val="0"/>
      <w:jc w:val="both"/>
    </w:pPr>
  </w:style>
  <w:style w:type="paragraph" w:styleId="2">
    <w:name w:val="heading 2"/>
    <w:basedOn w:val="a"/>
    <w:link w:val="2Char"/>
    <w:uiPriority w:val="9"/>
    <w:qFormat/>
    <w:rsid w:val="005863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863A7"/>
    <w:rPr>
      <w:rFonts w:ascii="宋体" w:eastAsia="宋体" w:hAnsi="宋体" w:cs="宋体"/>
      <w:b/>
      <w:bCs/>
      <w:kern w:val="0"/>
      <w:sz w:val="36"/>
      <w:szCs w:val="36"/>
    </w:rPr>
  </w:style>
  <w:style w:type="paragraph" w:customStyle="1" w:styleId="info">
    <w:name w:val="info"/>
    <w:basedOn w:val="a"/>
    <w:rsid w:val="005863A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863A7"/>
    <w:rPr>
      <w:color w:val="0000FF"/>
      <w:u w:val="single"/>
    </w:rPr>
  </w:style>
  <w:style w:type="paragraph" w:styleId="a4">
    <w:name w:val="Normal (Web)"/>
    <w:basedOn w:val="a"/>
    <w:uiPriority w:val="99"/>
    <w:semiHidden/>
    <w:unhideWhenUsed/>
    <w:rsid w:val="005863A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863A7"/>
    <w:rPr>
      <w:b/>
      <w:bCs/>
    </w:rPr>
  </w:style>
  <w:style w:type="paragraph" w:styleId="a6">
    <w:name w:val="header"/>
    <w:basedOn w:val="a"/>
    <w:link w:val="Char"/>
    <w:uiPriority w:val="99"/>
    <w:semiHidden/>
    <w:unhideWhenUsed/>
    <w:rsid w:val="00E82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820DD"/>
    <w:rPr>
      <w:sz w:val="18"/>
      <w:szCs w:val="18"/>
    </w:rPr>
  </w:style>
  <w:style w:type="paragraph" w:styleId="a7">
    <w:name w:val="footer"/>
    <w:basedOn w:val="a"/>
    <w:link w:val="Char0"/>
    <w:uiPriority w:val="99"/>
    <w:semiHidden/>
    <w:unhideWhenUsed/>
    <w:rsid w:val="00E820DD"/>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E820DD"/>
    <w:rPr>
      <w:sz w:val="18"/>
      <w:szCs w:val="18"/>
    </w:rPr>
  </w:style>
</w:styles>
</file>

<file path=word/webSettings.xml><?xml version="1.0" encoding="utf-8"?>
<w:webSettings xmlns:r="http://schemas.openxmlformats.org/officeDocument/2006/relationships" xmlns:w="http://schemas.openxmlformats.org/wordprocessingml/2006/main">
  <w:divs>
    <w:div w:id="233590261">
      <w:bodyDiv w:val="1"/>
      <w:marLeft w:val="0"/>
      <w:marRight w:val="0"/>
      <w:marTop w:val="0"/>
      <w:marBottom w:val="0"/>
      <w:divBdr>
        <w:top w:val="none" w:sz="0" w:space="0" w:color="auto"/>
        <w:left w:val="none" w:sz="0" w:space="0" w:color="auto"/>
        <w:bottom w:val="none" w:sz="0" w:space="0" w:color="auto"/>
        <w:right w:val="none" w:sz="0" w:space="0" w:color="auto"/>
      </w:divBdr>
      <w:divsChild>
        <w:div w:id="13532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2019-03-14T09:49:00Z</dcterms:created>
  <dcterms:modified xsi:type="dcterms:W3CDTF">2019-03-15T01:16:00Z</dcterms:modified>
</cp:coreProperties>
</file>