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方正小标宋简体" w:hAnsi="方正小标宋简体" w:eastAsia="方正小标宋简体" w:cs="方正小标宋简体"/>
          <w:i w:val="0"/>
          <w:caps w:val="0"/>
          <w:color w:val="0075A9"/>
          <w:spacing w:val="0"/>
          <w:sz w:val="44"/>
          <w:szCs w:val="44"/>
        </w:rPr>
      </w:pPr>
      <w:r>
        <w:rPr>
          <w:rFonts w:hint="eastAsia" w:ascii="方正小标宋简体" w:hAnsi="方正小标宋简体" w:eastAsia="方正小标宋简体" w:cs="方正小标宋简体"/>
          <w:i w:val="0"/>
          <w:caps w:val="0"/>
          <w:color w:val="0075A9"/>
          <w:spacing w:val="0"/>
          <w:sz w:val="44"/>
          <w:szCs w:val="44"/>
          <w:shd w:val="clear" w:fill="FFFFFF"/>
        </w:rPr>
        <w:t>株洲市供销合作社2018年部门预算和“三公”经费预算说明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ascii="仿宋_GB2312" w:hAnsi="微软雅黑" w:eastAsia="仿宋_GB2312" w:cs="仿宋_GB2312"/>
          <w:i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ascii="微软雅黑" w:hAnsi="微软雅黑" w:eastAsia="微软雅黑" w:cs="微软雅黑"/>
          <w:i w:val="0"/>
          <w:caps w:val="0"/>
          <w:color w:val="666666"/>
          <w:spacing w:val="0"/>
          <w:sz w:val="24"/>
          <w:szCs w:val="24"/>
        </w:rPr>
      </w:pPr>
      <w:r>
        <w:rPr>
          <w:rFonts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 部门职能职责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6"/>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株洲市供销合作社联合社是根据市政府机构改革（株发[2010]3号）文件精神，于2010年12月正式单设（原与商务局合署办公），是参照公务员管理的财政全额拨款正处级事业单位。主要职责是为“三农”服务，搞活农村市场流通，促进全市农村经济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6"/>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二、部门收支概况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6"/>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2018年部门预算编报范围是市社机关（本部门无下属预算单位）一级预算单位。收入既包括公共预算和政府性基金收入，又包括事业单位经营服务等收入；支出既包括保障局机关及直属单位基本运行的经费，也包括归口管理、面向全市分配的新农村现代流通服务网络工程专项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一）收入预算：2018年年初预算数368.41万元，其中，一般公共预算拨款368.41万元；政府性基金拨款0万元；财政专户管理的非税收入拨款0万元；其他收入0万元；因上年结转数暂未最终确定，本年度收支预算中均不含上年结转数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（二）支出预算：2018年年初预算数368.41万元，其中，一般公共服务支出310.44万元，社会保障和就业支出29.01万元，医疗卫生和计划生育支出28.96万元。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8"/>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具体安排如下：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1．基本支出：2018年年初预算数为338.41万元，是指为保障单位机构正常运转、完成日常工作任务而发生的各项支出，包括用于基本工资、津贴补贴等人员经费以及日常公用经费、业务性商品和服务支出。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2．项目支出：2018年年初预算数为30万元，是指单位为完成特定行政工作任务或事业发展目标而发生的支出，包括有关事业发展专项、基本建设支出、资本性支出等。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预算收支增减变化情况说明：2018年度本单位年初预算数为368.41万元，比上年增加105.23万元，主要原因是因人员增加，造成人员经费和运转经费上涨。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（三）机关运行经费安排情况：本部门2018年年初预算机关运行经费(商品和服务支出+业务性专项)共安排91.83万元，比上年度预算增加1.53万元，增加的主要原因是：因人员增加运转经费上涨。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（四)政府采购预算：2018年年初预算数为1万元。包含：扫描仪0.1万元、台式计算机0.9万元。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27" w:firstLineChars="196"/>
        <w:jc w:val="left"/>
        <w:outlineLvl w:val="1"/>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color w:val="000000"/>
          <w:kern w:val="0"/>
          <w:sz w:val="32"/>
          <w:szCs w:val="32"/>
          <w:shd w:val="clear" w:fill="FFFFFF"/>
          <w:lang w:val="en-US" w:eastAsia="zh-CN" w:bidi="ar"/>
        </w:rPr>
        <w:t>（五）国有资产占有情况说明：截止2017年12月31日，</w:t>
      </w:r>
      <w:r>
        <w:rPr>
          <w:rFonts w:hint="eastAsia" w:ascii="方正仿宋_GBK" w:hAnsi="方正仿宋_GBK" w:eastAsia="方正仿宋_GBK" w:cs="方正仿宋_GBK"/>
          <w:kern w:val="0"/>
          <w:sz w:val="32"/>
          <w:szCs w:val="32"/>
          <w:lang w:val="en-US" w:eastAsia="zh-CN"/>
        </w:rPr>
        <w:t>公务车购置0台，</w:t>
      </w:r>
      <w:r>
        <w:rPr>
          <w:rFonts w:hint="eastAsia" w:ascii="方正仿宋_GBK" w:hAnsi="方正仿宋_GBK" w:eastAsia="方正仿宋_GBK" w:cs="方正仿宋_GBK"/>
          <w:color w:val="000000"/>
          <w:kern w:val="0"/>
          <w:sz w:val="32"/>
          <w:szCs w:val="32"/>
          <w:shd w:val="clear" w:fill="FFFFFF"/>
          <w:lang w:val="en-US" w:eastAsia="zh-CN" w:bidi="ar"/>
        </w:rPr>
        <w:t>保有车辆1辆，其</w:t>
      </w:r>
      <w:bookmarkStart w:id="0" w:name="_GoBack"/>
      <w:bookmarkEnd w:id="0"/>
      <w:r>
        <w:rPr>
          <w:rFonts w:hint="eastAsia" w:ascii="方正仿宋_GBK" w:hAnsi="方正仿宋_GBK" w:eastAsia="方正仿宋_GBK" w:cs="方正仿宋_GBK"/>
          <w:color w:val="000000"/>
          <w:kern w:val="0"/>
          <w:sz w:val="32"/>
          <w:szCs w:val="32"/>
          <w:shd w:val="clear" w:fill="FFFFFF"/>
          <w:lang w:val="en-US" w:eastAsia="zh-CN" w:bidi="ar"/>
        </w:rPr>
        <w:t>中一般公务用车1辆；单位价值200万元以上大型设备0套。2018年部门预算安排购置车辆0辆，预算安排购置价值200万以上大型设备0套。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（六）“三公”等经费预算：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2018年“三公”经费预算数26万元，其中：公务接待费10万元、公务用车购置及运行费6万元、因公出国（境）费10万元。会议费2万元;培训费0.5万元。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“三公”经费预算数增减变动说明：2018年“三公”经费与上年相比无变动。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b/>
          <w:i w:val="0"/>
          <w:caps w:val="0"/>
          <w:color w:val="666666"/>
          <w:spacing w:val="0"/>
          <w:sz w:val="32"/>
          <w:szCs w:val="32"/>
          <w:shd w:val="clear" w:fill="FFFFFF"/>
        </w:rPr>
        <w:t>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1.一般公共预算</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 </w:t>
      </w:r>
      <w:r>
        <w:rPr>
          <w:rFonts w:hint="eastAsia" w:ascii="仿宋_GB2312" w:hAnsi="微软雅黑" w:eastAsia="仿宋_GB2312" w:cs="仿宋_GB2312"/>
          <w:i w:val="0"/>
          <w:caps w:val="0"/>
          <w:color w:val="000000"/>
          <w:spacing w:val="0"/>
          <w:kern w:val="0"/>
          <w:sz w:val="32"/>
          <w:szCs w:val="32"/>
          <w:shd w:val="clear" w:fill="FFFFFF"/>
          <w:lang w:val="en-US" w:eastAsia="zh-CN" w:bidi="ar"/>
        </w:rPr>
        <w:t>是对以税收为主体的财政收入，安排用于保障和改善民生、推动经济社会发展、维护国家安全、维持国家机构正常运转等方面的收支预算。一般公共预算收入即通常所指的</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财政收入</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，按照</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2015</w:t>
      </w:r>
      <w:r>
        <w:rPr>
          <w:rFonts w:hint="eastAsia" w:ascii="仿宋_GB2312" w:hAnsi="微软雅黑" w:eastAsia="仿宋_GB2312" w:cs="仿宋_GB2312"/>
          <w:i w:val="0"/>
          <w:caps w:val="0"/>
          <w:color w:val="000000"/>
          <w:spacing w:val="0"/>
          <w:kern w:val="0"/>
          <w:sz w:val="32"/>
          <w:szCs w:val="32"/>
          <w:shd w:val="clear" w:fill="FFFFFF"/>
          <w:lang w:val="en-US" w:eastAsia="zh-CN" w:bidi="ar"/>
        </w:rPr>
        <w:t>年</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1</w:t>
      </w:r>
      <w:r>
        <w:rPr>
          <w:rFonts w:hint="eastAsia" w:ascii="仿宋_GB2312" w:hAnsi="微软雅黑" w:eastAsia="仿宋_GB2312" w:cs="仿宋_GB2312"/>
          <w:i w:val="0"/>
          <w:caps w:val="0"/>
          <w:color w:val="000000"/>
          <w:spacing w:val="0"/>
          <w:kern w:val="0"/>
          <w:sz w:val="32"/>
          <w:szCs w:val="32"/>
          <w:shd w:val="clear" w:fill="FFFFFF"/>
          <w:lang w:val="en-US" w:eastAsia="zh-CN" w:bidi="ar"/>
        </w:rPr>
        <w:t>月</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1</w:t>
      </w:r>
      <w:r>
        <w:rPr>
          <w:rFonts w:hint="eastAsia" w:ascii="仿宋_GB2312" w:hAnsi="微软雅黑" w:eastAsia="仿宋_GB2312" w:cs="仿宋_GB2312"/>
          <w:i w:val="0"/>
          <w:caps w:val="0"/>
          <w:color w:val="000000"/>
          <w:spacing w:val="0"/>
          <w:kern w:val="0"/>
          <w:sz w:val="32"/>
          <w:szCs w:val="32"/>
          <w:shd w:val="clear" w:fill="FFFFFF"/>
          <w:lang w:val="en-US" w:eastAsia="zh-CN" w:bidi="ar"/>
        </w:rPr>
        <w:t>日起施行的新《预算法》，改称</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一般公共预算收入</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。全市一般公共预算收入由地方收入、上划中央收入、上划省级收入三部分构成。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微软雅黑" w:hAnsi="微软雅黑" w:eastAsia="微软雅黑" w:cs="微软雅黑"/>
          <w:i w:val="0"/>
          <w:caps w:val="0"/>
          <w:color w:val="666666"/>
          <w:spacing w:val="0"/>
          <w:sz w:val="24"/>
          <w:szCs w:val="24"/>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2.政府性基金预算</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 </w:t>
      </w:r>
      <w:r>
        <w:rPr>
          <w:rFonts w:hint="eastAsia" w:ascii="仿宋_GB2312" w:hAnsi="微软雅黑" w:eastAsia="仿宋_GB2312" w:cs="仿宋_GB2312"/>
          <w:i w:val="0"/>
          <w:caps w:val="0"/>
          <w:color w:val="000000"/>
          <w:spacing w:val="0"/>
          <w:kern w:val="0"/>
          <w:sz w:val="32"/>
          <w:szCs w:val="32"/>
          <w:shd w:val="clear" w:fill="FFFFFF"/>
          <w:lang w:val="en-US" w:eastAsia="zh-CN" w:bidi="ar"/>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微软雅黑" w:hAnsi="微软雅黑" w:eastAsia="微软雅黑" w:cs="微软雅黑"/>
          <w:i w:val="0"/>
          <w:caps w:val="0"/>
          <w:color w:val="666666"/>
          <w:spacing w:val="0"/>
          <w:sz w:val="24"/>
          <w:szCs w:val="24"/>
        </w:rPr>
      </w:pPr>
      <w:r>
        <w:rPr>
          <w:rFonts w:hint="default" w:ascii="Times New Roman" w:hAnsi="Times New Roman" w:eastAsia="微软雅黑" w:cs="Times New Roman"/>
          <w:i w:val="0"/>
          <w:caps w:val="0"/>
          <w:color w:val="000000"/>
          <w:spacing w:val="0"/>
          <w:kern w:val="0"/>
          <w:sz w:val="32"/>
          <w:szCs w:val="32"/>
          <w:shd w:val="clear" w:fill="FFFFFF"/>
          <w:lang w:val="en-US" w:eastAsia="zh-CN" w:bidi="ar"/>
        </w:rPr>
        <w:t>3.</w:t>
      </w:r>
      <w:r>
        <w:rPr>
          <w:rFonts w:hint="eastAsia" w:ascii="仿宋_GB2312" w:hAnsi="微软雅黑" w:eastAsia="仿宋_GB2312" w:cs="仿宋_GB2312"/>
          <w:i w:val="0"/>
          <w:caps w:val="0"/>
          <w:color w:val="000000"/>
          <w:spacing w:val="0"/>
          <w:kern w:val="0"/>
          <w:sz w:val="32"/>
          <w:szCs w:val="32"/>
          <w:shd w:val="clear" w:fill="FFFFFF"/>
          <w:lang w:val="en-US" w:eastAsia="zh-CN" w:bidi="ar"/>
        </w:rPr>
        <w:t>国有资本经营预算</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 </w:t>
      </w:r>
      <w:r>
        <w:rPr>
          <w:rFonts w:hint="eastAsia" w:ascii="仿宋_GB2312" w:hAnsi="微软雅黑" w:eastAsia="仿宋_GB2312" w:cs="仿宋_GB2312"/>
          <w:i w:val="0"/>
          <w:caps w:val="0"/>
          <w:color w:val="000000"/>
          <w:spacing w:val="0"/>
          <w:kern w:val="0"/>
          <w:sz w:val="32"/>
          <w:szCs w:val="32"/>
          <w:shd w:val="clear" w:fill="FFFFFF"/>
          <w:lang w:val="en-US" w:eastAsia="zh-CN" w:bidi="ar"/>
        </w:rPr>
        <w:t>是对国有资本收益作出支出安排的收支预算。应当按照收支平衡的原则编制，不列赤字，并安排资金调入一般公共预算。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微软雅黑" w:hAnsi="微软雅黑" w:eastAsia="微软雅黑" w:cs="微软雅黑"/>
          <w:i w:val="0"/>
          <w:caps w:val="0"/>
          <w:color w:val="666666"/>
          <w:spacing w:val="0"/>
          <w:sz w:val="24"/>
          <w:szCs w:val="24"/>
        </w:rPr>
      </w:pPr>
      <w:r>
        <w:rPr>
          <w:rFonts w:hint="default" w:ascii="Times New Roman" w:hAnsi="Times New Roman" w:eastAsia="微软雅黑" w:cs="Times New Roman"/>
          <w:i w:val="0"/>
          <w:caps w:val="0"/>
          <w:color w:val="000000"/>
          <w:spacing w:val="0"/>
          <w:kern w:val="0"/>
          <w:sz w:val="32"/>
          <w:szCs w:val="32"/>
          <w:shd w:val="clear" w:fill="FFFFFF"/>
          <w:lang w:val="en-US" w:eastAsia="zh-CN" w:bidi="ar"/>
        </w:rPr>
        <w:t>4.</w:t>
      </w:r>
      <w:r>
        <w:rPr>
          <w:rFonts w:hint="eastAsia" w:ascii="仿宋_GB2312" w:hAnsi="微软雅黑" w:eastAsia="仿宋_GB2312" w:cs="仿宋_GB2312"/>
          <w:i w:val="0"/>
          <w:caps w:val="0"/>
          <w:color w:val="000000"/>
          <w:spacing w:val="0"/>
          <w:kern w:val="0"/>
          <w:sz w:val="32"/>
          <w:szCs w:val="32"/>
          <w:shd w:val="clear" w:fill="FFFFFF"/>
          <w:lang w:val="en-US" w:eastAsia="zh-CN" w:bidi="ar"/>
        </w:rPr>
        <w:t>社会保险基金预算</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 </w:t>
      </w:r>
      <w:r>
        <w:rPr>
          <w:rFonts w:hint="eastAsia" w:ascii="仿宋_GB2312" w:hAnsi="微软雅黑" w:eastAsia="仿宋_GB2312" w:cs="仿宋_GB2312"/>
          <w:i w:val="0"/>
          <w:caps w:val="0"/>
          <w:color w:val="000000"/>
          <w:spacing w:val="0"/>
          <w:kern w:val="0"/>
          <w:sz w:val="32"/>
          <w:szCs w:val="32"/>
          <w:shd w:val="clear" w:fill="FFFFFF"/>
          <w:lang w:val="en-US" w:eastAsia="zh-CN" w:bidi="ar"/>
        </w:rPr>
        <w:t>是对社会保险缴款、一般公共预算安排和其他方式筹集的资金，专项用于社会保险的收支预算。应当按照统筹层次和社会保险项目分别编制，做到收支平衡。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微软雅黑" w:hAnsi="微软雅黑" w:eastAsia="微软雅黑" w:cs="微软雅黑"/>
          <w:i w:val="0"/>
          <w:caps w:val="0"/>
          <w:color w:val="666666"/>
          <w:spacing w:val="0"/>
          <w:sz w:val="24"/>
          <w:szCs w:val="24"/>
        </w:rPr>
      </w:pPr>
      <w:r>
        <w:rPr>
          <w:rFonts w:hint="default" w:ascii="Times New Roman" w:hAnsi="Times New Roman" w:eastAsia="微软雅黑" w:cs="Times New Roman"/>
          <w:i w:val="0"/>
          <w:caps w:val="0"/>
          <w:color w:val="000000"/>
          <w:spacing w:val="0"/>
          <w:kern w:val="0"/>
          <w:sz w:val="32"/>
          <w:szCs w:val="32"/>
          <w:shd w:val="clear" w:fill="FFFFFF"/>
          <w:lang w:val="en-US" w:eastAsia="zh-CN" w:bidi="ar"/>
        </w:rPr>
        <w:t>5.</w:t>
      </w:r>
      <w:r>
        <w:rPr>
          <w:rFonts w:hint="eastAsia" w:ascii="仿宋_GB2312" w:hAnsi="微软雅黑" w:eastAsia="仿宋_GB2312" w:cs="仿宋_GB2312"/>
          <w:i w:val="0"/>
          <w:caps w:val="0"/>
          <w:color w:val="000000"/>
          <w:spacing w:val="0"/>
          <w:kern w:val="0"/>
          <w:sz w:val="32"/>
          <w:szCs w:val="32"/>
          <w:shd w:val="clear" w:fill="FFFFFF"/>
          <w:lang w:val="en-US" w:eastAsia="zh-CN" w:bidi="ar"/>
        </w:rPr>
        <w:t>基本支出：指为保障机构正常运转、完成日常工作任务而发生的人员支出和公用支出。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微软雅黑" w:hAnsi="微软雅黑" w:eastAsia="微软雅黑" w:cs="微软雅黑"/>
          <w:i w:val="0"/>
          <w:caps w:val="0"/>
          <w:color w:val="666666"/>
          <w:spacing w:val="0"/>
          <w:sz w:val="24"/>
          <w:szCs w:val="24"/>
        </w:rPr>
      </w:pPr>
      <w:r>
        <w:rPr>
          <w:rFonts w:hint="default" w:ascii="Times New Roman" w:hAnsi="Times New Roman" w:eastAsia="微软雅黑" w:cs="Times New Roman"/>
          <w:i w:val="0"/>
          <w:caps w:val="0"/>
          <w:color w:val="000000"/>
          <w:spacing w:val="0"/>
          <w:kern w:val="0"/>
          <w:sz w:val="32"/>
          <w:szCs w:val="32"/>
          <w:shd w:val="clear" w:fill="FFFFFF"/>
          <w:lang w:val="en-US" w:eastAsia="zh-CN" w:bidi="ar"/>
        </w:rPr>
        <w:t>6.</w:t>
      </w:r>
      <w:r>
        <w:rPr>
          <w:rFonts w:hint="eastAsia" w:ascii="仿宋_GB2312" w:hAnsi="微软雅黑" w:eastAsia="仿宋_GB2312" w:cs="仿宋_GB2312"/>
          <w:i w:val="0"/>
          <w:caps w:val="0"/>
          <w:color w:val="000000"/>
          <w:spacing w:val="0"/>
          <w:kern w:val="0"/>
          <w:sz w:val="32"/>
          <w:szCs w:val="32"/>
          <w:shd w:val="clear" w:fill="FFFFFF"/>
          <w:lang w:val="en-US" w:eastAsia="zh-CN" w:bidi="ar"/>
        </w:rPr>
        <w:t>项目支出：指在基本支出之外为完成特定行政任务和事业发展目标所发生的支出。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default" w:ascii="Times New Roman" w:hAnsi="Times New Roman" w:eastAsia="微软雅黑" w:cs="Times New Roman"/>
          <w:i w:val="0"/>
          <w:caps w:val="0"/>
          <w:color w:val="000000"/>
          <w:spacing w:val="0"/>
          <w:kern w:val="0"/>
          <w:sz w:val="32"/>
          <w:szCs w:val="32"/>
          <w:shd w:val="clear" w:fill="FFFFFF"/>
          <w:lang w:val="en-US" w:eastAsia="zh-CN" w:bidi="ar"/>
        </w:rPr>
        <w:t>7. “</w:t>
      </w:r>
      <w:r>
        <w:rPr>
          <w:rFonts w:hint="eastAsia" w:ascii="仿宋_GB2312" w:hAnsi="微软雅黑" w:eastAsia="仿宋_GB2312" w:cs="仿宋_GB2312"/>
          <w:i w:val="0"/>
          <w:caps w:val="0"/>
          <w:color w:val="000000"/>
          <w:spacing w:val="0"/>
          <w:kern w:val="0"/>
          <w:sz w:val="32"/>
          <w:szCs w:val="32"/>
          <w:shd w:val="clear" w:fill="FFFFFF"/>
          <w:lang w:val="en-US" w:eastAsia="zh-CN" w:bidi="ar"/>
        </w:rPr>
        <w:t>三公</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经费：是指商品和服务支出中的因公出国（境）费用、公务用车购置及运行维护费和公务接待费。</w:t>
      </w:r>
      <w:r>
        <w:rPr>
          <w:rFonts w:hint="eastAsia" w:ascii="微软雅黑" w:hAnsi="微软雅黑" w:eastAsia="微软雅黑" w:cs="微软雅黑"/>
          <w:i w:val="0"/>
          <w:caps w:val="0"/>
          <w:color w:val="000000"/>
          <w:spacing w:val="0"/>
          <w:kern w:val="0"/>
          <w:sz w:val="32"/>
          <w:szCs w:val="32"/>
          <w:shd w:val="clear" w:fill="FFFFFF"/>
          <w:lang w:val="en-US" w:eastAsia="zh-CN" w:bidi="ar"/>
        </w:rPr>
        <w:br w:type="textWrapping"/>
      </w:r>
      <w:r>
        <w:rPr>
          <w:rFonts w:hint="default" w:ascii="Times New Roman" w:hAnsi="Times New Roman" w:eastAsia="微软雅黑" w:cs="Times New Roman"/>
          <w:i w:val="0"/>
          <w:caps w:val="0"/>
          <w:color w:val="000000"/>
          <w:spacing w:val="0"/>
          <w:kern w:val="0"/>
          <w:sz w:val="32"/>
          <w:szCs w:val="32"/>
          <w:shd w:val="clear" w:fill="FFFFFF"/>
          <w:lang w:val="en-US" w:eastAsia="zh-CN" w:bidi="ar"/>
        </w:rPr>
        <w:t>     8.</w:t>
      </w:r>
      <w:r>
        <w:rPr>
          <w:rFonts w:hint="eastAsia" w:ascii="仿宋_GB2312" w:hAnsi="微软雅黑" w:eastAsia="仿宋_GB2312" w:cs="仿宋_GB2312"/>
          <w:i w:val="0"/>
          <w:caps w:val="0"/>
          <w:color w:val="000000"/>
          <w:spacing w:val="0"/>
          <w:kern w:val="0"/>
          <w:sz w:val="32"/>
          <w:szCs w:val="32"/>
          <w:shd w:val="clear" w:fill="FFFFFF"/>
          <w:lang w:val="en-US" w:eastAsia="zh-CN" w:bidi="ar"/>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附表1：部门收支总表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附表2：部门收入总表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附表3：部门支出总表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附表4：部门支出总表(分类)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附表5：基本支出预算明细表－工资福利支出附表6：单位运转经费支出预算表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附表7：基本支出预算明细表－对个人和家庭的补助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附表8：财政拨款收支总表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附表9：一般公共预算拨款支出预算分类汇总表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附表10：一般公共预算基本支出预算明细表－工资福利支出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附表11：一般公共预算基本支出预算明细表－一般商品和服务支出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附表12：一般公共预算基本支出预算明细表－对个人和家庭的补助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附表13：政府性基金拨款部门支出总表(分类)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附表14：纳入专户管理的非税收入拨款部门支出总表(分类)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附表15：项目支出预算明细表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附表16：“三公”经费预算表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附表17：部门整体支出绩效申报表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附表18：2018年本级单位专项支出预算绩效目标表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93102"/>
    <w:rsid w:val="19DF58AF"/>
    <w:rsid w:val="5000632D"/>
    <w:rsid w:val="5649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2019-03-06T07:07:00Z</dcterms:created>
  <dc:creator>请叫我雷锋1404619811</dc:creator>
  <cp:lastModifiedBy>请叫我雷锋1404619811</cp:lastModifiedBy>
  <cp:lastPrinted>2019-03-06T07:21:00Z</cp:lastPrinted>
  <dcterms:modified xsi:type="dcterms:W3CDTF">2019-03-15T01:51:19Z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