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6"/>
          <w:szCs w:val="36"/>
        </w:rPr>
      </w:pPr>
      <w:r>
        <w:rPr>
          <w:rFonts w:hint="eastAsia"/>
          <w:b/>
          <w:sz w:val="36"/>
          <w:szCs w:val="36"/>
        </w:rPr>
        <w:t>株洲市荷塘区2017年决算公开说明</w:t>
      </w:r>
    </w:p>
    <w:p>
      <w:pPr>
        <w:jc w:val="left"/>
        <w:rPr>
          <w:rFonts w:hint="eastAsia" w:ascii="仿宋_GB2312" w:hAnsi="仿宋_GB2312" w:eastAsia="仿宋_GB2312" w:cs="仿宋_GB2312"/>
          <w:sz w:val="32"/>
          <w:szCs w:val="32"/>
        </w:rPr>
      </w:pPr>
    </w:p>
    <w:p>
      <w:pPr>
        <w:jc w:val="left"/>
        <w:rPr>
          <w:rFonts w:hint="eastAsia" w:ascii="仿宋" w:hAnsi="仿宋" w:eastAsia="仿宋" w:cs="仿宋"/>
          <w:color w:val="000000"/>
          <w:sz w:val="32"/>
          <w:szCs w:val="32"/>
          <w:shd w:val="clear" w:color="auto" w:fill="FFFFFF"/>
        </w:rPr>
      </w:pPr>
      <w:r>
        <w:rPr>
          <w:rFonts w:hint="eastAsia" w:ascii="仿宋_GB2312" w:hAnsi="仿宋_GB2312" w:eastAsia="仿宋_GB2312" w:cs="仿宋_GB2312"/>
          <w:b/>
          <w:sz w:val="32"/>
          <w:szCs w:val="32"/>
        </w:rPr>
        <w:t>1、预算绩效工作开展情况说明：</w:t>
      </w:r>
      <w:r>
        <w:rPr>
          <w:rFonts w:hint="eastAsia" w:ascii="仿宋_GB2312" w:hAnsi="仿宋_GB2312" w:eastAsia="仿宋_GB2312" w:cs="仿宋_GB2312"/>
          <w:sz w:val="32"/>
          <w:szCs w:val="32"/>
        </w:rPr>
        <w:t>2017年对全区预算单位开展了部门整体支出绩效评价自评工作以及第三方评价工作，评价结果总体良好。</w:t>
      </w:r>
      <w:r>
        <w:rPr>
          <w:rFonts w:ascii="仿宋" w:hAnsi="仿宋" w:eastAsia="仿宋" w:cs="仿宋"/>
          <w:sz w:val="32"/>
          <w:szCs w:val="32"/>
        </w:rPr>
        <w:t>2017</w:t>
      </w:r>
      <w:r>
        <w:rPr>
          <w:rFonts w:hint="eastAsia" w:ascii="仿宋" w:hAnsi="仿宋" w:eastAsia="仿宋" w:cs="仿宋"/>
          <w:sz w:val="32"/>
          <w:szCs w:val="32"/>
        </w:rPr>
        <w:t>年</w:t>
      </w:r>
      <w:r>
        <w:rPr>
          <w:rFonts w:ascii="仿宋" w:hAnsi="仿宋" w:eastAsia="仿宋" w:cs="仿宋"/>
          <w:sz w:val="32"/>
          <w:szCs w:val="32"/>
        </w:rPr>
        <w:t>9</w:t>
      </w:r>
      <w:r>
        <w:rPr>
          <w:rFonts w:hint="eastAsia" w:ascii="仿宋" w:hAnsi="仿宋" w:eastAsia="仿宋" w:cs="仿宋"/>
          <w:sz w:val="32"/>
          <w:szCs w:val="32"/>
        </w:rPr>
        <w:t>月，我区预算单位对</w:t>
      </w:r>
      <w:r>
        <w:rPr>
          <w:rFonts w:ascii="仿宋" w:hAnsi="仿宋" w:eastAsia="仿宋" w:cs="仿宋"/>
          <w:sz w:val="32"/>
          <w:szCs w:val="32"/>
        </w:rPr>
        <w:t>2016</w:t>
      </w:r>
      <w:r>
        <w:rPr>
          <w:rFonts w:hint="eastAsia" w:ascii="仿宋" w:hAnsi="仿宋" w:eastAsia="仿宋" w:cs="仿宋"/>
          <w:sz w:val="32"/>
          <w:szCs w:val="32"/>
        </w:rPr>
        <w:t>年度部门整体进行了自评，实现了整体支出自评全覆盖。</w:t>
      </w:r>
      <w:r>
        <w:rPr>
          <w:rFonts w:hint="eastAsia" w:ascii="仿宋" w:hAnsi="仿宋" w:eastAsia="仿宋" w:cs="仿宋"/>
          <w:color w:val="000000"/>
          <w:sz w:val="32"/>
          <w:szCs w:val="32"/>
          <w:shd w:val="clear" w:color="auto" w:fill="FFFFFF"/>
        </w:rPr>
        <w:t>对于</w:t>
      </w:r>
      <w:r>
        <w:rPr>
          <w:rFonts w:ascii="仿宋" w:hAnsi="仿宋" w:eastAsia="仿宋" w:cs="仿宋"/>
          <w:color w:val="000000"/>
          <w:sz w:val="32"/>
          <w:szCs w:val="32"/>
          <w:shd w:val="clear" w:color="auto" w:fill="FFFFFF"/>
        </w:rPr>
        <w:t>2016</w:t>
      </w:r>
      <w:r>
        <w:rPr>
          <w:rFonts w:hint="eastAsia" w:ascii="仿宋" w:hAnsi="仿宋" w:eastAsia="仿宋" w:cs="仿宋"/>
          <w:color w:val="000000"/>
          <w:sz w:val="32"/>
          <w:szCs w:val="32"/>
          <w:shd w:val="clear" w:color="auto" w:fill="FFFFFF"/>
        </w:rPr>
        <w:t>年完成的绩效评价工作，在</w:t>
      </w:r>
      <w:r>
        <w:rPr>
          <w:rFonts w:ascii="仿宋" w:hAnsi="仿宋" w:eastAsia="仿宋" w:cs="仿宋"/>
          <w:color w:val="000000"/>
          <w:sz w:val="32"/>
          <w:szCs w:val="32"/>
          <w:shd w:val="clear" w:color="auto" w:fill="FFFFFF"/>
        </w:rPr>
        <w:t>2017</w:t>
      </w:r>
      <w:r>
        <w:rPr>
          <w:rFonts w:hint="eastAsia" w:ascii="仿宋" w:hAnsi="仿宋" w:eastAsia="仿宋" w:cs="仿宋"/>
          <w:color w:val="000000"/>
          <w:sz w:val="32"/>
          <w:szCs w:val="32"/>
          <w:shd w:val="clear" w:color="auto" w:fill="FFFFFF"/>
        </w:rPr>
        <w:t>年预算时候，我区财政局对相关部门专项资金调减了</w:t>
      </w:r>
      <w:r>
        <w:rPr>
          <w:rFonts w:ascii="仿宋" w:hAnsi="仿宋" w:eastAsia="仿宋" w:cs="仿宋"/>
          <w:color w:val="000000"/>
          <w:sz w:val="32"/>
          <w:szCs w:val="32"/>
          <w:shd w:val="clear" w:color="auto" w:fill="FFFFFF"/>
        </w:rPr>
        <w:t>1942</w:t>
      </w:r>
      <w:r>
        <w:rPr>
          <w:rFonts w:hint="eastAsia" w:ascii="仿宋" w:hAnsi="仿宋" w:eastAsia="仿宋" w:cs="仿宋"/>
          <w:color w:val="000000"/>
          <w:sz w:val="32"/>
          <w:szCs w:val="32"/>
          <w:shd w:val="clear" w:color="auto" w:fill="FFFFFF"/>
        </w:rPr>
        <w:t>万，调整幅度达到了</w:t>
      </w:r>
      <w:r>
        <w:rPr>
          <w:rFonts w:ascii="仿宋" w:hAnsi="仿宋" w:eastAsia="仿宋" w:cs="仿宋"/>
          <w:color w:val="000000"/>
          <w:sz w:val="32"/>
          <w:szCs w:val="32"/>
          <w:shd w:val="clear" w:color="auto" w:fill="FFFFFF"/>
        </w:rPr>
        <w:t>14.3%</w:t>
      </w:r>
      <w:r>
        <w:rPr>
          <w:rFonts w:hint="eastAsia" w:ascii="仿宋" w:hAnsi="仿宋" w:eastAsia="仿宋" w:cs="仿宋"/>
          <w:color w:val="000000"/>
          <w:sz w:val="32"/>
          <w:szCs w:val="32"/>
          <w:shd w:val="clear" w:color="auto" w:fill="FFFFFF"/>
        </w:rPr>
        <w:t>，严格尊重了好钱要用在刀刃上的原则。</w:t>
      </w:r>
    </w:p>
    <w:p>
      <w:pPr>
        <w:jc w:val="left"/>
        <w:rPr>
          <w:rFonts w:ascii="仿宋" w:hAnsi="仿宋" w:eastAsia="仿宋" w:cs="仿宋"/>
          <w:color w:val="000000"/>
          <w:sz w:val="32"/>
          <w:szCs w:val="32"/>
          <w:shd w:val="clear" w:color="auto" w:fill="FFFFFF"/>
        </w:rPr>
      </w:pPr>
      <w:r>
        <w:rPr>
          <w:rFonts w:hint="eastAsia" w:ascii="仿宋" w:hAnsi="仿宋" w:eastAsia="仿宋" w:cs="仿宋"/>
          <w:b/>
          <w:color w:val="000000"/>
          <w:sz w:val="32"/>
          <w:szCs w:val="32"/>
          <w:shd w:val="clear" w:color="auto" w:fill="FFFFFF"/>
        </w:rPr>
        <w:t>2、债务情况说明：</w:t>
      </w:r>
      <w:r>
        <w:rPr>
          <w:rFonts w:hint="eastAsia" w:ascii="仿宋" w:hAnsi="仿宋" w:eastAsia="仿宋" w:cs="仿宋"/>
          <w:color w:val="000000"/>
          <w:sz w:val="32"/>
          <w:szCs w:val="32"/>
          <w:shd w:val="clear" w:color="auto" w:fill="FFFFFF"/>
        </w:rPr>
        <w:t>2017年末荷塘区政府债务余额164885万元，其中：一般债务余额27624万元，专项债务余额137261万元。</w:t>
      </w:r>
    </w:p>
    <w:p>
      <w:pPr>
        <w:rPr>
          <w:rFonts w:hint="eastAsia" w:ascii="仿宋" w:hAnsi="仿宋" w:eastAsia="仿宋" w:cs="仿宋"/>
          <w:color w:val="000000"/>
          <w:sz w:val="32"/>
          <w:szCs w:val="32"/>
          <w:shd w:val="clear" w:color="auto" w:fill="FFFFFF"/>
        </w:rPr>
      </w:pPr>
      <w:r>
        <w:rPr>
          <w:rFonts w:hint="eastAsia" w:ascii="仿宋" w:hAnsi="仿宋" w:eastAsia="仿宋" w:cs="仿宋"/>
          <w:b/>
          <w:color w:val="000000"/>
          <w:sz w:val="32"/>
          <w:szCs w:val="32"/>
          <w:shd w:val="clear" w:color="auto" w:fill="FFFFFF"/>
        </w:rPr>
        <w:t>3、转移支付执行情况说明：</w:t>
      </w:r>
      <w:r>
        <w:rPr>
          <w:rFonts w:hint="eastAsia" w:ascii="仿宋" w:hAnsi="仿宋" w:eastAsia="仿宋" w:cs="仿宋"/>
          <w:color w:val="000000"/>
          <w:sz w:val="32"/>
          <w:szCs w:val="32"/>
          <w:shd w:val="clear" w:color="auto" w:fill="FFFFFF"/>
        </w:rPr>
        <w:t>2017年一般性转移支付32814万元，专项转移支付26588万元，已全部按指标文件要求的用途拨付到预算单位，并专款专用。</w:t>
      </w:r>
    </w:p>
    <w:p>
      <w:pPr>
        <w:rPr>
          <w:rFonts w:ascii="仿宋" w:hAnsi="仿宋" w:eastAsia="仿宋"/>
          <w:sz w:val="32"/>
          <w:szCs w:val="32"/>
        </w:rPr>
      </w:pPr>
      <w:bookmarkStart w:id="0" w:name="_GoBack"/>
      <w:bookmarkEnd w:id="0"/>
      <w:r>
        <w:rPr>
          <w:rFonts w:hint="eastAsia" w:ascii="仿宋" w:hAnsi="仿宋" w:eastAsia="仿宋" w:cs="仿宋"/>
          <w:b/>
          <w:color w:val="000000"/>
          <w:sz w:val="32"/>
          <w:szCs w:val="32"/>
          <w:shd w:val="clear" w:color="auto" w:fill="FFFFFF"/>
        </w:rPr>
        <w:t>4、“三公”经费决算执行情况说明：</w:t>
      </w:r>
      <w:r>
        <w:rPr>
          <w:rFonts w:hint="eastAsia" w:ascii="仿宋" w:hAnsi="仿宋" w:eastAsia="仿宋"/>
          <w:sz w:val="32"/>
          <w:szCs w:val="32"/>
        </w:rPr>
        <w:t xml:space="preserve">  2017年荷塘区"三公"经费支出为817.47万元，其中：因公出国（境）费用为24.94万元；公务接待费274.97万元；公务用车517.56万元（其中：公务用车运行维护费333.21万元，公务用车购置184.35万元)。2017年“三公”经费支出比2016年增加71.18万元，增长9.54%，其中：因公出国（境）费用增加24.94万元，主要是2017年根据《湖南省人民政府出国、赴港澳任务批件》（湘政外出字【2017】0572号）和湖南省人民政府台湾事务办公室赴台批件（湘台赴字（2017）217号）文件精神，参加了上级部门组织的赴澳大利亚、新西兰等国招商引资公务考察团及赴台考察特色小城镇建设交流考察团；公务接待费减少</w:t>
      </w:r>
      <w:r>
        <w:rPr>
          <w:rFonts w:hint="eastAsia" w:ascii="仿宋" w:hAnsi="仿宋" w:eastAsia="仿宋"/>
          <w:color w:val="000000" w:themeColor="text1"/>
          <w:sz w:val="32"/>
          <w:szCs w:val="32"/>
          <w14:textFill>
            <w14:solidFill>
              <w14:schemeClr w14:val="tx1"/>
            </w14:solidFill>
          </w14:textFill>
        </w:rPr>
        <w:t>32.61</w:t>
      </w:r>
      <w:r>
        <w:rPr>
          <w:rFonts w:hint="eastAsia" w:ascii="仿宋" w:hAnsi="仿宋" w:eastAsia="仿宋"/>
          <w:sz w:val="32"/>
          <w:szCs w:val="32"/>
        </w:rPr>
        <w:t>万元，下降</w:t>
      </w:r>
      <w:r>
        <w:rPr>
          <w:rFonts w:hint="eastAsia" w:ascii="仿宋" w:hAnsi="仿宋" w:eastAsia="仿宋"/>
          <w:color w:val="000000" w:themeColor="text1"/>
          <w:sz w:val="32"/>
          <w:szCs w:val="32"/>
          <w14:textFill>
            <w14:solidFill>
              <w14:schemeClr w14:val="tx1"/>
            </w14:solidFill>
          </w14:textFill>
        </w:rPr>
        <w:t>10.6</w:t>
      </w:r>
      <w:r>
        <w:rPr>
          <w:rFonts w:hint="eastAsia" w:ascii="仿宋" w:hAnsi="仿宋" w:eastAsia="仿宋"/>
          <w:sz w:val="32"/>
          <w:szCs w:val="32"/>
        </w:rPr>
        <w:t>%，主要是严格遵照中央“八项规定”以及省、市、区有关“三公”经费管理办法的规定，严格控制接待范围和接待标准；公务用车增加78.85万元，增长17.97%（其中：公务用车运行维护费减少102.22万元，公务用车购置费增加181.06万元）。公务用车运行维护费减少主要是我区行政单位实行了公务车改革，加强公务用车日常管理，由专人负责，严禁公车私用，同时从车辆油耗、维修、过路过桥费以及驾驶人员费用等方面加强控制，公务用车购置费增加主要是公务用车改革后公车平台更新购置新车。</w:t>
      </w:r>
    </w:p>
    <w:p>
      <w:pPr>
        <w:rPr>
          <w:rFonts w:ascii="仿宋" w:hAnsi="仿宋" w:eastAsia="仿宋" w:cs="仿宋"/>
          <w:color w:val="000000"/>
          <w:sz w:val="32"/>
          <w:szCs w:val="32"/>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FCE"/>
    <w:rsid w:val="00071ACA"/>
    <w:rsid w:val="000B331E"/>
    <w:rsid w:val="000D7B36"/>
    <w:rsid w:val="00334149"/>
    <w:rsid w:val="00365E07"/>
    <w:rsid w:val="004A6F6F"/>
    <w:rsid w:val="005112E2"/>
    <w:rsid w:val="006A1B03"/>
    <w:rsid w:val="009401ED"/>
    <w:rsid w:val="00974150"/>
    <w:rsid w:val="00AA3487"/>
    <w:rsid w:val="00C64FCE"/>
    <w:rsid w:val="00D3557B"/>
    <w:rsid w:val="00EB5CC5"/>
    <w:rsid w:val="00F3404E"/>
    <w:rsid w:val="00FD41C9"/>
    <w:rsid w:val="3B232F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paragraph" w:styleId="9">
    <w:name w:val="List Paragraph"/>
    <w:basedOn w:val="1"/>
    <w:qFormat/>
    <w:uiPriority w:val="34"/>
    <w:pPr>
      <w:ind w:firstLine="420" w:firstLineChars="200"/>
    </w:pPr>
  </w:style>
  <w:style w:type="character" w:customStyle="1" w:styleId="10">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138</Words>
  <Characters>792</Characters>
  <Lines>6</Lines>
  <Paragraphs>1</Paragraphs>
  <TotalTime>47</TotalTime>
  <ScaleCrop>false</ScaleCrop>
  <LinksUpToDate>false</LinksUpToDate>
  <CharactersWithSpaces>929</CharactersWithSpaces>
  <Application>WPS Office_11.1.0.8412_F1E327BC-269C-435d-A152-05C5408002CA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2019-01-21T09:03:00Z</dcterms:created>
  <dc:creator>PC</dc:creator>
  <cp:lastModifiedBy>绿豆1392626195</cp:lastModifiedBy>
  <cp:lastPrinted>2019-01-22T01:21:00Z</cp:lastPrinted>
  <dcterms:modified xsi:type="dcterms:W3CDTF">2019-01-22T06:06:18Z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2052-11.1.0.8412</vt:lpwstr>
  </property>
</Properties>
</file>