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0E33DC" w:rsidRDefault="000E33DC">
      <w:pPr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项目单位：石峰区教育局  （盖章）  项目名称：</w:t>
      </w:r>
      <w:r w:rsidR="003B3A0F" w:rsidRPr="003B3A0F">
        <w:rPr>
          <w:rFonts w:ascii="仿宋" w:eastAsia="仿宋" w:hAnsi="仿宋" w:hint="eastAsia"/>
          <w:b/>
          <w:sz w:val="28"/>
          <w:szCs w:val="32"/>
        </w:rPr>
        <w:t>跟岗教师培训经费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144345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144345" w:rsidRDefault="00144345" w:rsidP="00551AC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44345">
              <w:rPr>
                <w:rFonts w:ascii="宋体" w:hAnsi="宋体" w:hint="eastAsia"/>
                <w:sz w:val="24"/>
              </w:rPr>
              <w:t>加强</w:t>
            </w:r>
            <w:r>
              <w:rPr>
                <w:rFonts w:ascii="宋体" w:hAnsi="宋体" w:hint="eastAsia"/>
                <w:sz w:val="24"/>
              </w:rPr>
              <w:t>教师培训，提高教师业务</w:t>
            </w:r>
            <w:r w:rsidR="00551AC9">
              <w:rPr>
                <w:rFonts w:ascii="宋体" w:hAnsi="宋体" w:hint="eastAsia"/>
                <w:sz w:val="24"/>
              </w:rPr>
              <w:t>能力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144345">
              <w:rPr>
                <w:rFonts w:ascii="宋体" w:hAnsi="宋体" w:hint="eastAsia"/>
                <w:sz w:val="24"/>
              </w:rPr>
              <w:t>整体提升教育水平。</w:t>
            </w:r>
          </w:p>
        </w:tc>
      </w:tr>
      <w:tr w:rsidR="00DC1706" w:rsidTr="00DC1706">
        <w:trPr>
          <w:trHeight w:val="1860"/>
        </w:trPr>
        <w:tc>
          <w:tcPr>
            <w:tcW w:w="2703" w:type="dxa"/>
            <w:gridSpan w:val="2"/>
            <w:vAlign w:val="center"/>
          </w:tcPr>
          <w:p w:rsidR="00DC1706" w:rsidRDefault="00DC170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DC1706" w:rsidRDefault="00DC170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3B3A0F">
              <w:rPr>
                <w:rFonts w:ascii="宋体" w:hAnsi="宋体" w:hint="eastAsia"/>
                <w:sz w:val="24"/>
              </w:rPr>
              <w:t>50000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3B3A0F">
              <w:rPr>
                <w:rFonts w:ascii="宋体" w:hAnsi="宋体" w:hint="eastAsia"/>
                <w:sz w:val="24"/>
              </w:rPr>
              <w:t>50000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DC1706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E33DC" w:rsidTr="00DC1706">
        <w:trPr>
          <w:trHeight w:val="687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E750C1" w:rsidRDefault="003B3A0F" w:rsidP="003B3A0F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以全面提升</w:t>
            </w:r>
            <w:r w:rsidR="00675168" w:rsidRPr="00E65395">
              <w:rPr>
                <w:rFonts w:ascii="宋体" w:hAnsi="宋体" w:cs="宋体" w:hint="eastAsia"/>
                <w:color w:val="333333"/>
                <w:kern w:val="0"/>
                <w:sz w:val="24"/>
              </w:rPr>
              <w:t>教师队伍综合素质为目标，以集中培训、远程研修和校本培训为主要形式，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形成多层次、多元化、全员参与的教师培训格局</w:t>
            </w:r>
            <w:r w:rsidR="00675168" w:rsidRPr="00E65395">
              <w:rPr>
                <w:rFonts w:ascii="宋体" w:hAnsi="宋体" w:cs="宋体" w:hint="eastAsia"/>
                <w:color w:val="333333"/>
                <w:kern w:val="0"/>
                <w:sz w:val="24"/>
              </w:rPr>
              <w:t>；充分发挥</w:t>
            </w:r>
            <w:r w:rsidR="00675168">
              <w:rPr>
                <w:rFonts w:ascii="宋体" w:hAnsi="宋体" w:cs="宋体" w:hint="eastAsia"/>
                <w:color w:val="333333"/>
                <w:kern w:val="0"/>
                <w:sz w:val="24"/>
              </w:rPr>
              <w:t>骨干</w:t>
            </w:r>
            <w:r w:rsidR="00675168" w:rsidRPr="00E65395">
              <w:rPr>
                <w:rFonts w:ascii="宋体" w:hAnsi="宋体" w:cs="宋体" w:hint="eastAsia"/>
                <w:color w:val="333333"/>
                <w:kern w:val="0"/>
                <w:sz w:val="24"/>
              </w:rPr>
              <w:t>教师的示范、引领、指导作用，培养优秀教师、开展教育教学研究、推广教育教学成果、分享教育教学优质资源，促进教育均衡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  <w:r w:rsidR="00675168" w:rsidRPr="00E750C1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E33DC" w:rsidTr="00DC1706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F04619" w:rsidRDefault="00675168" w:rsidP="003B3A0F">
            <w:pPr>
              <w:spacing w:line="480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F04619">
              <w:rPr>
                <w:rFonts w:ascii="宋体" w:hAnsi="宋体" w:cs="宋体" w:hint="eastAsia"/>
                <w:color w:val="333333"/>
                <w:kern w:val="0"/>
                <w:sz w:val="24"/>
              </w:rPr>
              <w:t>以培养促发展，开展教学能手和教坛新秀选拔。加强学校教研管理，进一步提升办学品味。狠抓教学视导工作，对教学常规、课堂教学以及</w:t>
            </w:r>
            <w:r w:rsidR="003B3A0F">
              <w:rPr>
                <w:rFonts w:ascii="宋体" w:hAnsi="宋体" w:cs="宋体" w:hint="eastAsia"/>
                <w:color w:val="333333"/>
                <w:kern w:val="0"/>
                <w:sz w:val="24"/>
              </w:rPr>
              <w:t>教研教改和学生学习现状等方面进行了全方位的检查指导，并及时反馈</w:t>
            </w:r>
            <w:r w:rsidRPr="00F04619">
              <w:rPr>
                <w:rFonts w:ascii="宋体" w:hAnsi="宋体" w:cs="宋体" w:hint="eastAsia"/>
                <w:color w:val="333333"/>
                <w:kern w:val="0"/>
                <w:sz w:val="24"/>
              </w:rPr>
              <w:t>；狠抓课堂教学改革，</w:t>
            </w:r>
            <w:r w:rsidR="00F04619">
              <w:rPr>
                <w:rFonts w:ascii="宋体" w:hAnsi="宋体" w:cs="宋体" w:hint="eastAsia"/>
                <w:color w:val="333333"/>
                <w:kern w:val="0"/>
                <w:sz w:val="24"/>
              </w:rPr>
              <w:t>经常组织</w:t>
            </w:r>
            <w:r w:rsidRPr="00F04619">
              <w:rPr>
                <w:rFonts w:ascii="宋体" w:hAnsi="宋体" w:cs="宋体" w:hint="eastAsia"/>
                <w:color w:val="333333"/>
                <w:kern w:val="0"/>
                <w:sz w:val="24"/>
              </w:rPr>
              <w:t>教学能手、骨干教师外出观摩学习和随堂听课，努力提高教师的专业知识水平。</w:t>
            </w:r>
            <w:r w:rsidR="00F04619">
              <w:rPr>
                <w:rFonts w:ascii="宋体" w:hAnsi="宋体" w:cs="宋体" w:hint="eastAsia"/>
                <w:color w:val="333333"/>
                <w:kern w:val="0"/>
                <w:sz w:val="24"/>
              </w:rPr>
              <w:t>同时</w:t>
            </w:r>
            <w:r w:rsidR="00F04619" w:rsidRPr="00F04619">
              <w:rPr>
                <w:rFonts w:ascii="宋体" w:hAnsi="宋体" w:cs="宋体" w:hint="eastAsia"/>
                <w:color w:val="333333"/>
                <w:kern w:val="0"/>
                <w:sz w:val="24"/>
              </w:rPr>
              <w:t>带活学校教研组，整体提升教育水平。</w:t>
            </w:r>
          </w:p>
        </w:tc>
      </w:tr>
      <w:tr w:rsidR="000E33DC" w:rsidTr="00DC1706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DC1706">
        <w:rPr>
          <w:rFonts w:ascii="仿宋" w:eastAsia="仿宋" w:hAnsi="仿宋" w:hint="eastAsia"/>
          <w:b/>
          <w:kern w:val="0"/>
          <w:sz w:val="24"/>
        </w:rPr>
        <w:t>22529872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DC1706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DC1706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</w:t>
      </w:r>
      <w:r w:rsidR="00DC1706">
        <w:rPr>
          <w:rFonts w:ascii="仿宋" w:eastAsia="仿宋" w:hAnsi="仿宋" w:hint="eastAsia"/>
          <w:b/>
          <w:kern w:val="0"/>
          <w:sz w:val="24"/>
        </w:rPr>
        <w:t>19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CCD" w:rsidRDefault="00F70CCD" w:rsidP="00335933">
      <w:r>
        <w:separator/>
      </w:r>
    </w:p>
  </w:endnote>
  <w:endnote w:type="continuationSeparator" w:id="1">
    <w:p w:rsidR="00F70CCD" w:rsidRDefault="00F70CCD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CCD" w:rsidRDefault="00F70CCD" w:rsidP="00335933">
      <w:r>
        <w:separator/>
      </w:r>
    </w:p>
  </w:footnote>
  <w:footnote w:type="continuationSeparator" w:id="1">
    <w:p w:rsidR="00F70CCD" w:rsidRDefault="00F70CCD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4345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3A0F"/>
    <w:rsid w:val="003B4248"/>
    <w:rsid w:val="003B5F54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1AC9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75168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65FB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27EA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1706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2BFF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47713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0C1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4619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CCD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6D0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2018-07-13T03:40:00Z</dcterms:created>
  <dcterms:modified xsi:type="dcterms:W3CDTF">2018-07-13T03:40:00Z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