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30"/>
          <w:szCs w:val="30"/>
        </w:rPr>
      </w:pPr>
      <w:bookmarkStart w:id="0" w:name="_Toc469236685"/>
      <w:bookmarkStart w:id="1" w:name="_Toc469067200"/>
      <w:bookmarkStart w:id="2" w:name="_Toc468872185"/>
    </w:p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84"/>
          <w:szCs w:val="84"/>
        </w:rPr>
      </w:pPr>
      <w:r>
        <w:rPr>
          <w:rFonts w:ascii="Times New Roman" w:eastAsia="黑体" w:cs="Times New Roman"/>
          <w:b/>
          <w:sz w:val="84"/>
          <w:szCs w:val="84"/>
        </w:rPr>
        <w:t>王仙镇土地利用总体规划（</w:t>
      </w:r>
      <w:r>
        <w:rPr>
          <w:rFonts w:ascii="Times New Roman" w:hAnsi="Times New Roman" w:eastAsia="黑体" w:cs="Times New Roman"/>
          <w:b/>
          <w:sz w:val="84"/>
          <w:szCs w:val="84"/>
        </w:rPr>
        <w:t>20</w:t>
      </w:r>
      <w:r>
        <w:rPr>
          <w:rFonts w:hint="eastAsia" w:ascii="Times New Roman" w:hAnsi="Times New Roman" w:eastAsia="黑体" w:cs="Times New Roman"/>
          <w:b/>
          <w:sz w:val="84"/>
          <w:szCs w:val="84"/>
        </w:rPr>
        <w:t>0</w:t>
      </w:r>
      <w:r>
        <w:rPr>
          <w:rFonts w:ascii="Times New Roman" w:hAnsi="Times New Roman" w:eastAsia="黑体" w:cs="Times New Roman"/>
          <w:b/>
          <w:sz w:val="84"/>
          <w:szCs w:val="84"/>
        </w:rPr>
        <w:t>6-2020</w:t>
      </w:r>
      <w:r>
        <w:rPr>
          <w:rFonts w:ascii="Times New Roman" w:eastAsia="黑体" w:cs="Times New Roman"/>
          <w:b/>
          <w:sz w:val="84"/>
          <w:szCs w:val="84"/>
        </w:rPr>
        <w:t>年）</w:t>
      </w:r>
    </w:p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84"/>
          <w:szCs w:val="84"/>
        </w:rPr>
      </w:pPr>
      <w:r>
        <w:rPr>
          <w:rFonts w:ascii="Times New Roman" w:hAnsi="Times New Roman" w:eastAsia="黑体" w:cs="Times New Roman"/>
          <w:b/>
          <w:sz w:val="84"/>
          <w:szCs w:val="84"/>
        </w:rPr>
        <w:t>2016</w:t>
      </w:r>
      <w:r>
        <w:rPr>
          <w:rFonts w:ascii="Times New Roman" w:eastAsia="黑体" w:cs="Times New Roman"/>
          <w:b/>
          <w:sz w:val="84"/>
          <w:szCs w:val="84"/>
        </w:rPr>
        <w:t>年调整完善方案</w:t>
      </w:r>
    </w:p>
    <w:p>
      <w:pPr>
        <w:spacing w:beforeLines="100" w:afterLines="100"/>
        <w:jc w:val="center"/>
        <w:rPr>
          <w:rFonts w:ascii="Times New Roman" w:hAnsi="Times New Roman" w:cs="Times New Roman"/>
          <w:szCs w:val="28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spacing w:line="360" w:lineRule="auto"/>
        <w:jc w:val="center"/>
        <w:rPr>
          <w:rFonts w:ascii="Times New Roman" w:hAnsi="Times New Roman" w:eastAsia="黑体" w:cs="Times New Roman"/>
          <w:spacing w:val="87"/>
          <w:kern w:val="0"/>
          <w:sz w:val="48"/>
          <w:szCs w:val="44"/>
        </w:rPr>
      </w:pPr>
      <w:r>
        <w:rPr>
          <w:rFonts w:ascii="Times New Roman" w:eastAsia="黑体" w:cs="Times New Roman"/>
          <w:spacing w:val="87"/>
          <w:kern w:val="0"/>
          <w:sz w:val="48"/>
          <w:szCs w:val="44"/>
          <w:fitText w:val="4402" w:id="0"/>
        </w:rPr>
        <w:t>王仙镇人民政</w:t>
      </w:r>
      <w:r>
        <w:rPr>
          <w:rFonts w:ascii="Times New Roman" w:eastAsia="黑体" w:cs="Times New Roman"/>
          <w:spacing w:val="-1"/>
          <w:kern w:val="0"/>
          <w:sz w:val="48"/>
          <w:szCs w:val="44"/>
          <w:fitText w:val="4402" w:id="0"/>
        </w:rPr>
        <w:t>府</w:t>
      </w:r>
    </w:p>
    <w:p>
      <w:pPr>
        <w:spacing w:line="360" w:lineRule="auto"/>
        <w:jc w:val="center"/>
        <w:rPr>
          <w:rFonts w:ascii="Times New Roman" w:hAnsi="Times New Roman" w:eastAsia="黑体" w:cs="Times New Roman"/>
          <w:b/>
          <w:sz w:val="30"/>
          <w:szCs w:val="30"/>
        </w:rPr>
        <w:sectPr>
          <w:footerReference r:id="rId3" w:type="default"/>
          <w:pgSz w:w="23814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eastAsia="黑体" w:cs="Times New Roman"/>
          <w:spacing w:val="87"/>
          <w:kern w:val="0"/>
          <w:sz w:val="48"/>
          <w:szCs w:val="44"/>
          <w:fitText w:val="4402" w:id="1"/>
        </w:rPr>
        <w:t>二〇一七年</w:t>
      </w:r>
      <w:r>
        <w:rPr>
          <w:rFonts w:hint="eastAsia" w:ascii="Times New Roman" w:eastAsia="黑体" w:cs="Times New Roman"/>
          <w:spacing w:val="87"/>
          <w:kern w:val="0"/>
          <w:sz w:val="48"/>
          <w:szCs w:val="44"/>
          <w:fitText w:val="4402" w:id="1"/>
        </w:rPr>
        <w:t>四</w:t>
      </w:r>
      <w:r>
        <w:rPr>
          <w:rFonts w:ascii="Times New Roman" w:eastAsia="黑体" w:cs="Times New Roman"/>
          <w:spacing w:val="-1"/>
          <w:kern w:val="0"/>
          <w:sz w:val="48"/>
          <w:szCs w:val="44"/>
          <w:fitText w:val="4402" w:id="1"/>
        </w:rPr>
        <w:t>月</w:t>
      </w:r>
    </w:p>
    <w:p>
      <w:pPr>
        <w:spacing w:line="360" w:lineRule="auto"/>
        <w:jc w:val="center"/>
        <w:rPr>
          <w:rFonts w:ascii="Times New Roman" w:hAnsi="Times New Roman" w:eastAsia="黑体" w:cs="Times New Roman"/>
          <w:b/>
          <w:sz w:val="30"/>
          <w:szCs w:val="30"/>
        </w:rPr>
      </w:pPr>
      <w:r>
        <w:rPr>
          <w:rFonts w:ascii="Times New Roman" w:hAnsi="Times New Roman" w:eastAsia="黑体" w:cs="Times New Roman"/>
          <w:b/>
          <w:sz w:val="30"/>
          <w:szCs w:val="30"/>
        </w:rPr>
        <w:t>目录</w:t>
      </w:r>
    </w:p>
    <w:p>
      <w:pPr>
        <w:pStyle w:val="12"/>
        <w:tabs>
          <w:tab w:val="right" w:leader="dot" w:pos="9884"/>
        </w:tabs>
        <w:rPr>
          <w:rFonts w:asciiTheme="minorHAnsi" w:hAnsiTheme="minorHAnsi" w:eastAsiaTheme="minorEastAsia"/>
          <w:sz w:val="21"/>
        </w:rPr>
      </w:pPr>
      <w:r>
        <w:rPr>
          <w:rFonts w:cs="Times New Roman"/>
          <w:kern w:val="0"/>
          <w:sz w:val="32"/>
          <w:szCs w:val="32"/>
        </w:rPr>
        <w:fldChar w:fldCharType="begin"/>
      </w:r>
      <w:r>
        <w:rPr>
          <w:rFonts w:cs="Times New Roman"/>
          <w:kern w:val="0"/>
          <w:sz w:val="32"/>
          <w:szCs w:val="32"/>
        </w:rPr>
        <w:instrText xml:space="preserve"> TOC \o "1-2" \h \z \u </w:instrText>
      </w:r>
      <w:r>
        <w:rPr>
          <w:rFonts w:cs="Times New Roman"/>
          <w:kern w:val="0"/>
          <w:sz w:val="32"/>
          <w:szCs w:val="32"/>
        </w:rPr>
        <w:fldChar w:fldCharType="separate"/>
      </w:r>
      <w:r>
        <w:fldChar w:fldCharType="begin"/>
      </w:r>
      <w:r>
        <w:instrText xml:space="preserve"> HYPERLINK \l "_Toc485908598" </w:instrText>
      </w:r>
      <w:r>
        <w:fldChar w:fldCharType="separate"/>
      </w:r>
      <w:r>
        <w:rPr>
          <w:rStyle w:val="18"/>
          <w:rFonts w:hint="eastAsia" w:cs="Times New Roman"/>
          <w:color w:val="auto"/>
          <w:kern w:val="0"/>
        </w:rPr>
        <w:t>一、基本情况</w:t>
      </w:r>
      <w:r>
        <w:tab/>
      </w:r>
      <w:r>
        <w:fldChar w:fldCharType="begin"/>
      </w:r>
      <w:r>
        <w:instrText xml:space="preserve"> PAGEREF _Toc485908598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"_Toc485908599" </w:instrText>
      </w:r>
      <w:r>
        <w:fldChar w:fldCharType="separate"/>
      </w:r>
      <w:r>
        <w:rPr>
          <w:rStyle w:val="18"/>
          <w:rFonts w:hint="eastAsia"/>
          <w:color w:val="auto"/>
        </w:rPr>
        <w:t>（一）行政区划调整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_Toc485908599 \h </w:instrText>
      </w:r>
      <w:r>
        <w:rPr>
          <w:color w:val="auto"/>
        </w:rPr>
        <w:fldChar w:fldCharType="separate"/>
      </w:r>
      <w:r>
        <w:rPr>
          <w:color w:val="auto"/>
        </w:rPr>
        <w:t>1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"_Toc485908600" </w:instrText>
      </w:r>
      <w:r>
        <w:fldChar w:fldCharType="separate"/>
      </w:r>
      <w:r>
        <w:rPr>
          <w:rStyle w:val="18"/>
          <w:rFonts w:hint="eastAsia"/>
          <w:color w:val="auto"/>
        </w:rPr>
        <w:t>（二）地理区位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_Toc485908600 \h </w:instrText>
      </w:r>
      <w:r>
        <w:rPr>
          <w:color w:val="auto"/>
        </w:rPr>
        <w:fldChar w:fldCharType="separate"/>
      </w:r>
      <w:r>
        <w:rPr>
          <w:color w:val="auto"/>
        </w:rPr>
        <w:t>1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"_Toc485908601" </w:instrText>
      </w:r>
      <w:r>
        <w:fldChar w:fldCharType="separate"/>
      </w:r>
      <w:r>
        <w:rPr>
          <w:rStyle w:val="18"/>
          <w:rFonts w:hint="eastAsia"/>
          <w:color w:val="auto"/>
        </w:rPr>
        <w:t>（三）经济发展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_Toc485908601 \h </w:instrText>
      </w:r>
      <w:r>
        <w:rPr>
          <w:color w:val="auto"/>
        </w:rPr>
        <w:fldChar w:fldCharType="separate"/>
      </w:r>
      <w:r>
        <w:rPr>
          <w:color w:val="auto"/>
        </w:rPr>
        <w:t>1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"_Toc485908602" </w:instrText>
      </w:r>
      <w:r>
        <w:fldChar w:fldCharType="separate"/>
      </w:r>
      <w:r>
        <w:rPr>
          <w:rStyle w:val="18"/>
          <w:rFonts w:hint="eastAsia"/>
          <w:color w:val="auto"/>
        </w:rPr>
        <w:t>（四）土地利用现状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_Toc485908602 \h </w:instrText>
      </w:r>
      <w:r>
        <w:rPr>
          <w:color w:val="auto"/>
        </w:rPr>
        <w:fldChar w:fldCharType="separate"/>
      </w:r>
      <w:r>
        <w:rPr>
          <w:color w:val="auto"/>
        </w:rPr>
        <w:t>1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2"/>
        <w:tabs>
          <w:tab w:val="right" w:leader="dot" w:pos="9884"/>
        </w:tabs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"_Toc485908603" </w:instrText>
      </w:r>
      <w:r>
        <w:fldChar w:fldCharType="separate"/>
      </w:r>
      <w:r>
        <w:rPr>
          <w:rStyle w:val="18"/>
          <w:rFonts w:hint="eastAsia" w:cs="Times New Roman"/>
          <w:color w:val="auto"/>
          <w:kern w:val="0"/>
        </w:rPr>
        <w:t>二、规划修改期限与范围</w:t>
      </w:r>
      <w:r>
        <w:tab/>
      </w:r>
      <w:r>
        <w:fldChar w:fldCharType="begin"/>
      </w:r>
      <w:r>
        <w:instrText xml:space="preserve"> PAGEREF _Toc485908603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"_Toc485908604" </w:instrText>
      </w:r>
      <w:r>
        <w:fldChar w:fldCharType="separate"/>
      </w:r>
      <w:r>
        <w:rPr>
          <w:rStyle w:val="18"/>
          <w:rFonts w:hint="eastAsia" w:cs="Times New Roman"/>
          <w:color w:val="auto"/>
          <w:kern w:val="0"/>
        </w:rPr>
        <w:t>三、土地利用规划目标</w:t>
      </w:r>
      <w:r>
        <w:tab/>
      </w:r>
      <w:r>
        <w:fldChar w:fldCharType="begin"/>
      </w:r>
      <w:r>
        <w:instrText xml:space="preserve"> PAGEREF _Toc485908604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"_Toc485908605" </w:instrText>
      </w:r>
      <w:r>
        <w:fldChar w:fldCharType="separate"/>
      </w:r>
      <w:r>
        <w:rPr>
          <w:rStyle w:val="18"/>
          <w:rFonts w:hint="eastAsia" w:cs="Times New Roman"/>
          <w:color w:val="auto"/>
          <w:kern w:val="0"/>
        </w:rPr>
        <w:t>四、永久基本农田划定情况</w:t>
      </w:r>
      <w:r>
        <w:tab/>
      </w:r>
      <w:r>
        <w:fldChar w:fldCharType="begin"/>
      </w:r>
      <w:r>
        <w:instrText xml:space="preserve"> PAGEREF _Toc485908605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"_Toc485908606" </w:instrText>
      </w:r>
      <w:r>
        <w:fldChar w:fldCharType="separate"/>
      </w:r>
      <w:r>
        <w:rPr>
          <w:rStyle w:val="18"/>
          <w:rFonts w:hint="eastAsia"/>
          <w:color w:val="auto"/>
        </w:rPr>
        <w:t>（一）调出情况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_Toc485908606 \h </w:instrText>
      </w:r>
      <w:r>
        <w:rPr>
          <w:color w:val="auto"/>
        </w:rPr>
        <w:fldChar w:fldCharType="separate"/>
      </w:r>
      <w:r>
        <w:rPr>
          <w:color w:val="auto"/>
        </w:rPr>
        <w:t>1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"_Toc485908607" </w:instrText>
      </w:r>
      <w:r>
        <w:fldChar w:fldCharType="separate"/>
      </w:r>
      <w:r>
        <w:rPr>
          <w:rStyle w:val="18"/>
          <w:rFonts w:hint="eastAsia"/>
          <w:color w:val="auto"/>
        </w:rPr>
        <w:t>（二）补划情况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_Toc485908607 \h </w:instrText>
      </w:r>
      <w:r>
        <w:rPr>
          <w:color w:val="auto"/>
        </w:rPr>
        <w:fldChar w:fldCharType="separate"/>
      </w:r>
      <w:r>
        <w:rPr>
          <w:color w:val="auto"/>
        </w:rPr>
        <w:t>1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2"/>
        <w:tabs>
          <w:tab w:val="right" w:leader="dot" w:pos="9884"/>
        </w:tabs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"_Toc485908608" </w:instrText>
      </w:r>
      <w:r>
        <w:fldChar w:fldCharType="separate"/>
      </w:r>
      <w:r>
        <w:rPr>
          <w:rStyle w:val="18"/>
          <w:rFonts w:hint="eastAsia" w:cs="Times New Roman"/>
          <w:color w:val="auto"/>
          <w:kern w:val="0"/>
        </w:rPr>
        <w:t>五、建设用地规模与布局调整</w:t>
      </w:r>
      <w:r>
        <w:tab/>
      </w:r>
      <w:r>
        <w:fldChar w:fldCharType="begin"/>
      </w:r>
      <w:r>
        <w:instrText xml:space="preserve"> PAGEREF _Toc485908608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"_Toc485908609" </w:instrText>
      </w:r>
      <w:r>
        <w:fldChar w:fldCharType="separate"/>
      </w:r>
      <w:r>
        <w:rPr>
          <w:rStyle w:val="18"/>
          <w:rFonts w:hint="eastAsia"/>
          <w:color w:val="auto"/>
        </w:rPr>
        <w:t>（二）农村居民点用地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_Toc485908609 \h </w:instrText>
      </w:r>
      <w:r>
        <w:rPr>
          <w:color w:val="auto"/>
        </w:rPr>
        <w:fldChar w:fldCharType="separate"/>
      </w:r>
      <w:r>
        <w:rPr>
          <w:color w:val="auto"/>
        </w:rPr>
        <w:t>2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"_Toc485908610" </w:instrText>
      </w:r>
      <w:r>
        <w:fldChar w:fldCharType="separate"/>
      </w:r>
      <w:r>
        <w:rPr>
          <w:rStyle w:val="18"/>
          <w:rFonts w:hint="eastAsia"/>
          <w:color w:val="auto"/>
        </w:rPr>
        <w:t>（三）采矿及其他独立建设用地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_Toc485908610 \h </w:instrText>
      </w:r>
      <w:r>
        <w:rPr>
          <w:color w:val="auto"/>
        </w:rPr>
        <w:fldChar w:fldCharType="separate"/>
      </w:r>
      <w:r>
        <w:rPr>
          <w:color w:val="auto"/>
        </w:rPr>
        <w:t>3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"_Toc485908611" </w:instrText>
      </w:r>
      <w:r>
        <w:fldChar w:fldCharType="separate"/>
      </w:r>
      <w:r>
        <w:rPr>
          <w:rStyle w:val="18"/>
          <w:rFonts w:hint="eastAsia"/>
          <w:color w:val="auto"/>
        </w:rPr>
        <w:t>（四）交通水利用地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_Toc485908611 \h </w:instrText>
      </w:r>
      <w:r>
        <w:rPr>
          <w:color w:val="auto"/>
        </w:rPr>
        <w:fldChar w:fldCharType="separate"/>
      </w:r>
      <w:r>
        <w:rPr>
          <w:color w:val="auto"/>
        </w:rPr>
        <w:t>3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"_Toc485908612" </w:instrText>
      </w:r>
      <w:r>
        <w:fldChar w:fldCharType="separate"/>
      </w:r>
      <w:r>
        <w:rPr>
          <w:rStyle w:val="18"/>
          <w:rFonts w:hint="eastAsia"/>
          <w:color w:val="auto"/>
        </w:rPr>
        <w:t>（五）其他建设用地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_Toc485908612 \h </w:instrText>
      </w:r>
      <w:r>
        <w:rPr>
          <w:color w:val="auto"/>
        </w:rPr>
        <w:fldChar w:fldCharType="separate"/>
      </w:r>
      <w:r>
        <w:rPr>
          <w:color w:val="auto"/>
        </w:rPr>
        <w:t>3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2"/>
        <w:tabs>
          <w:tab w:val="right" w:leader="dot" w:pos="9884"/>
        </w:tabs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"_Toc485908613" </w:instrText>
      </w:r>
      <w:r>
        <w:fldChar w:fldCharType="separate"/>
      </w:r>
      <w:r>
        <w:rPr>
          <w:rStyle w:val="18"/>
          <w:rFonts w:hint="eastAsia" w:cs="Times New Roman"/>
          <w:color w:val="auto"/>
          <w:kern w:val="0"/>
        </w:rPr>
        <w:t>六、土地利用分区调整情况</w:t>
      </w:r>
      <w:r>
        <w:tab/>
      </w:r>
      <w:r>
        <w:fldChar w:fldCharType="begin"/>
      </w:r>
      <w:r>
        <w:instrText xml:space="preserve"> PAGEREF _Toc485908613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"_Toc485908614" </w:instrText>
      </w:r>
      <w:r>
        <w:fldChar w:fldCharType="separate"/>
      </w:r>
      <w:r>
        <w:rPr>
          <w:rStyle w:val="18"/>
          <w:rFonts w:hint="eastAsia"/>
          <w:color w:val="auto"/>
        </w:rPr>
        <w:t>（一）土地用途分区修改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_Toc485908614 \h </w:instrText>
      </w:r>
      <w:r>
        <w:rPr>
          <w:color w:val="auto"/>
        </w:rPr>
        <w:fldChar w:fldCharType="separate"/>
      </w:r>
      <w:r>
        <w:rPr>
          <w:color w:val="auto"/>
        </w:rPr>
        <w:t>3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"_Toc485908615" </w:instrText>
      </w:r>
      <w:r>
        <w:fldChar w:fldCharType="separate"/>
      </w:r>
      <w:r>
        <w:rPr>
          <w:rStyle w:val="18"/>
          <w:rFonts w:hint="eastAsia"/>
          <w:color w:val="auto"/>
        </w:rPr>
        <w:t>（二）建设用地管制分区修改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_Toc485908615 \h </w:instrText>
      </w:r>
      <w:r>
        <w:rPr>
          <w:color w:val="auto"/>
        </w:rPr>
        <w:fldChar w:fldCharType="separate"/>
      </w:r>
      <w:r>
        <w:rPr>
          <w:color w:val="auto"/>
        </w:rPr>
        <w:t>3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2"/>
        <w:tabs>
          <w:tab w:val="right" w:leader="dot" w:pos="9884"/>
        </w:tabs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"_Toc485908616" </w:instrText>
      </w:r>
      <w:r>
        <w:fldChar w:fldCharType="separate"/>
      </w:r>
      <w:r>
        <w:rPr>
          <w:rStyle w:val="18"/>
          <w:rFonts w:hint="eastAsia" w:cs="Times New Roman"/>
          <w:color w:val="auto"/>
          <w:kern w:val="0"/>
        </w:rPr>
        <w:t>附表</w:t>
      </w:r>
      <w:r>
        <w:tab/>
      </w:r>
      <w:r>
        <w:fldChar w:fldCharType="begin"/>
      </w:r>
      <w:r>
        <w:instrText xml:space="preserve"> PAGEREF _Toc485908616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"_Toc485908617" </w:instrText>
      </w:r>
      <w:r>
        <w:fldChar w:fldCharType="separate"/>
      </w:r>
      <w:r>
        <w:rPr>
          <w:rStyle w:val="18"/>
          <w:rFonts w:hint="eastAsia"/>
          <w:color w:val="auto"/>
        </w:rPr>
        <w:t>附表</w:t>
      </w:r>
      <w:r>
        <w:rPr>
          <w:rStyle w:val="18"/>
          <w:color w:val="auto"/>
        </w:rPr>
        <w:t xml:space="preserve">1  </w:t>
      </w:r>
      <w:r>
        <w:rPr>
          <w:rStyle w:val="18"/>
          <w:rFonts w:hint="eastAsia"/>
          <w:color w:val="auto"/>
        </w:rPr>
        <w:t>王仙镇土地利用现状表（</w:t>
      </w:r>
      <w:r>
        <w:rPr>
          <w:rStyle w:val="18"/>
          <w:color w:val="auto"/>
        </w:rPr>
        <w:t>2014</w:t>
      </w:r>
      <w:r>
        <w:rPr>
          <w:rStyle w:val="18"/>
          <w:rFonts w:hint="eastAsia"/>
          <w:color w:val="auto"/>
        </w:rPr>
        <w:t>年）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_Toc485908617 \h </w:instrText>
      </w:r>
      <w:r>
        <w:rPr>
          <w:color w:val="auto"/>
        </w:rPr>
        <w:fldChar w:fldCharType="separate"/>
      </w:r>
      <w:r>
        <w:rPr>
          <w:color w:val="auto"/>
        </w:rPr>
        <w:t>4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"_Toc485908618" </w:instrText>
      </w:r>
      <w:r>
        <w:fldChar w:fldCharType="separate"/>
      </w:r>
      <w:r>
        <w:rPr>
          <w:rStyle w:val="18"/>
          <w:rFonts w:hint="eastAsia"/>
          <w:color w:val="auto"/>
        </w:rPr>
        <w:t>附表</w:t>
      </w:r>
      <w:r>
        <w:rPr>
          <w:rStyle w:val="18"/>
          <w:color w:val="auto"/>
        </w:rPr>
        <w:t xml:space="preserve">2  </w:t>
      </w:r>
      <w:r>
        <w:rPr>
          <w:rStyle w:val="18"/>
          <w:rFonts w:hint="eastAsia"/>
          <w:color w:val="auto"/>
        </w:rPr>
        <w:t>王仙镇土地利用结构调整表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_Toc485908618 \h </w:instrText>
      </w:r>
      <w:r>
        <w:rPr>
          <w:color w:val="auto"/>
        </w:rPr>
        <w:fldChar w:fldCharType="separate"/>
      </w:r>
      <w:r>
        <w:rPr>
          <w:color w:val="auto"/>
        </w:rPr>
        <w:t>5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"_Toc485908619" </w:instrText>
      </w:r>
      <w:r>
        <w:fldChar w:fldCharType="separate"/>
      </w:r>
      <w:r>
        <w:rPr>
          <w:rStyle w:val="18"/>
          <w:rFonts w:hint="eastAsia"/>
          <w:color w:val="auto"/>
        </w:rPr>
        <w:t>附表</w:t>
      </w:r>
      <w:r>
        <w:rPr>
          <w:rStyle w:val="18"/>
          <w:color w:val="auto"/>
        </w:rPr>
        <w:t xml:space="preserve">3  </w:t>
      </w:r>
      <w:r>
        <w:rPr>
          <w:rStyle w:val="18"/>
          <w:rFonts w:hint="eastAsia"/>
          <w:color w:val="auto"/>
        </w:rPr>
        <w:t>王仙镇土地利用规划目标调整表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_Toc485908619 \h </w:instrText>
      </w:r>
      <w:r>
        <w:rPr>
          <w:color w:val="auto"/>
        </w:rPr>
        <w:fldChar w:fldCharType="separate"/>
      </w:r>
      <w:r>
        <w:rPr>
          <w:color w:val="auto"/>
        </w:rPr>
        <w:t>6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"_Toc485908620" </w:instrText>
      </w:r>
      <w:r>
        <w:fldChar w:fldCharType="separate"/>
      </w:r>
      <w:r>
        <w:rPr>
          <w:rStyle w:val="18"/>
          <w:rFonts w:hint="eastAsia"/>
          <w:color w:val="auto"/>
        </w:rPr>
        <w:t>附表</w:t>
      </w:r>
      <w:r>
        <w:rPr>
          <w:rStyle w:val="18"/>
          <w:color w:val="auto"/>
        </w:rPr>
        <w:t xml:space="preserve">4  </w:t>
      </w:r>
      <w:r>
        <w:rPr>
          <w:rStyle w:val="18"/>
          <w:rFonts w:hint="eastAsia"/>
          <w:color w:val="auto"/>
        </w:rPr>
        <w:t>王仙镇落实上一级土地利用规划指标情况表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_Toc485908620 \h </w:instrText>
      </w:r>
      <w:r>
        <w:rPr>
          <w:color w:val="auto"/>
        </w:rPr>
        <w:fldChar w:fldCharType="separate"/>
      </w:r>
      <w:r>
        <w:rPr>
          <w:color w:val="auto"/>
        </w:rPr>
        <w:t>6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"_Toc485908621" </w:instrText>
      </w:r>
      <w:r>
        <w:fldChar w:fldCharType="separate"/>
      </w:r>
      <w:r>
        <w:rPr>
          <w:rStyle w:val="18"/>
          <w:rFonts w:hint="eastAsia"/>
          <w:color w:val="auto"/>
        </w:rPr>
        <w:t>附表</w:t>
      </w:r>
      <w:r>
        <w:rPr>
          <w:rStyle w:val="18"/>
          <w:color w:val="auto"/>
        </w:rPr>
        <w:t xml:space="preserve">5  </w:t>
      </w:r>
      <w:r>
        <w:rPr>
          <w:rStyle w:val="18"/>
          <w:rFonts w:hint="eastAsia"/>
          <w:color w:val="auto"/>
        </w:rPr>
        <w:t>调入区域规划调整前后对比表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_Toc485908621 \h </w:instrText>
      </w:r>
      <w:r>
        <w:rPr>
          <w:color w:val="auto"/>
        </w:rPr>
        <w:fldChar w:fldCharType="separate"/>
      </w:r>
      <w:r>
        <w:rPr>
          <w:color w:val="auto"/>
        </w:rPr>
        <w:t>7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"_Toc485908622" </w:instrText>
      </w:r>
      <w:r>
        <w:fldChar w:fldCharType="separate"/>
      </w:r>
      <w:r>
        <w:rPr>
          <w:rStyle w:val="18"/>
          <w:rFonts w:hint="eastAsia"/>
          <w:color w:val="auto"/>
        </w:rPr>
        <w:t>附表</w:t>
      </w:r>
      <w:r>
        <w:rPr>
          <w:rStyle w:val="18"/>
          <w:color w:val="auto"/>
        </w:rPr>
        <w:t xml:space="preserve">6  </w:t>
      </w:r>
      <w:r>
        <w:rPr>
          <w:rStyle w:val="18"/>
          <w:rFonts w:hint="eastAsia"/>
          <w:color w:val="auto"/>
        </w:rPr>
        <w:t>调出区域规划调整前后对比表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_Toc485908622 \h </w:instrText>
      </w:r>
      <w:r>
        <w:rPr>
          <w:color w:val="auto"/>
        </w:rPr>
        <w:fldChar w:fldCharType="separate"/>
      </w:r>
      <w:r>
        <w:rPr>
          <w:color w:val="auto"/>
        </w:rPr>
        <w:t>7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"_Toc485908623" </w:instrText>
      </w:r>
      <w:r>
        <w:fldChar w:fldCharType="separate"/>
      </w:r>
      <w:r>
        <w:rPr>
          <w:rStyle w:val="18"/>
          <w:rFonts w:hint="eastAsia"/>
          <w:color w:val="auto"/>
        </w:rPr>
        <w:t>附表</w:t>
      </w:r>
      <w:r>
        <w:rPr>
          <w:rStyle w:val="18"/>
          <w:color w:val="auto"/>
        </w:rPr>
        <w:t xml:space="preserve">7  </w:t>
      </w:r>
      <w:r>
        <w:rPr>
          <w:rStyle w:val="18"/>
          <w:rFonts w:hint="eastAsia"/>
          <w:color w:val="auto"/>
        </w:rPr>
        <w:t>王仙镇耕地保有量和基本农田保护面积分解表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_Toc485908623 \h </w:instrText>
      </w:r>
      <w:r>
        <w:rPr>
          <w:color w:val="auto"/>
        </w:rPr>
        <w:fldChar w:fldCharType="separate"/>
      </w:r>
      <w:r>
        <w:rPr>
          <w:color w:val="auto"/>
        </w:rPr>
        <w:t>8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"_Toc485908624" </w:instrText>
      </w:r>
      <w:r>
        <w:fldChar w:fldCharType="separate"/>
      </w:r>
      <w:r>
        <w:rPr>
          <w:rStyle w:val="18"/>
          <w:rFonts w:hint="eastAsia"/>
          <w:color w:val="auto"/>
        </w:rPr>
        <w:t>附表</w:t>
      </w:r>
      <w:r>
        <w:rPr>
          <w:rStyle w:val="18"/>
          <w:color w:val="auto"/>
        </w:rPr>
        <w:t xml:space="preserve">8  </w:t>
      </w:r>
      <w:r>
        <w:rPr>
          <w:rStyle w:val="18"/>
          <w:rFonts w:hint="eastAsia"/>
          <w:color w:val="auto"/>
        </w:rPr>
        <w:t>王仙镇土地用途分区修改情况表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_Toc485908624 \h </w:instrText>
      </w:r>
      <w:r>
        <w:rPr>
          <w:color w:val="auto"/>
        </w:rPr>
        <w:fldChar w:fldCharType="separate"/>
      </w:r>
      <w:r>
        <w:rPr>
          <w:color w:val="auto"/>
        </w:rPr>
        <w:t>9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"_Toc485908625" </w:instrText>
      </w:r>
      <w:r>
        <w:fldChar w:fldCharType="separate"/>
      </w:r>
      <w:r>
        <w:rPr>
          <w:rStyle w:val="18"/>
          <w:rFonts w:hint="eastAsia"/>
          <w:color w:val="auto"/>
        </w:rPr>
        <w:t>附表</w:t>
      </w:r>
      <w:r>
        <w:rPr>
          <w:rStyle w:val="18"/>
          <w:color w:val="auto"/>
        </w:rPr>
        <w:t xml:space="preserve">9  </w:t>
      </w:r>
      <w:r>
        <w:rPr>
          <w:rStyle w:val="18"/>
          <w:rFonts w:hint="eastAsia"/>
          <w:color w:val="auto"/>
        </w:rPr>
        <w:t>王仙镇建设用地空间管制分区修改情况表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_Toc485908625 \h </w:instrText>
      </w:r>
      <w:r>
        <w:rPr>
          <w:color w:val="auto"/>
        </w:rPr>
        <w:fldChar w:fldCharType="separate"/>
      </w:r>
      <w:r>
        <w:rPr>
          <w:color w:val="auto"/>
        </w:rPr>
        <w:t>9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"_Toc485908626" </w:instrText>
      </w:r>
      <w:r>
        <w:fldChar w:fldCharType="separate"/>
      </w:r>
      <w:r>
        <w:rPr>
          <w:rStyle w:val="18"/>
          <w:rFonts w:hint="eastAsia"/>
          <w:color w:val="auto"/>
        </w:rPr>
        <w:t>附表</w:t>
      </w:r>
      <w:r>
        <w:rPr>
          <w:rStyle w:val="18"/>
          <w:color w:val="auto"/>
        </w:rPr>
        <w:t xml:space="preserve">10  </w:t>
      </w:r>
      <w:r>
        <w:rPr>
          <w:rStyle w:val="18"/>
          <w:rFonts w:hint="eastAsia"/>
          <w:color w:val="auto"/>
        </w:rPr>
        <w:t>王仙镇</w:t>
      </w:r>
      <w:r>
        <w:rPr>
          <w:rStyle w:val="18"/>
          <w:color w:val="auto"/>
        </w:rPr>
        <w:t>2016-2020</w:t>
      </w:r>
      <w:r>
        <w:rPr>
          <w:rStyle w:val="18"/>
          <w:rFonts w:hint="eastAsia"/>
          <w:color w:val="auto"/>
        </w:rPr>
        <w:t>年重点建设用地项目规划表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_Toc485908626 \h </w:instrText>
      </w:r>
      <w:r>
        <w:rPr>
          <w:color w:val="auto"/>
        </w:rPr>
        <w:fldChar w:fldCharType="separate"/>
      </w:r>
      <w:r>
        <w:rPr>
          <w:color w:val="auto"/>
        </w:rPr>
        <w:t>10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"_Toc485908627" </w:instrText>
      </w:r>
      <w:r>
        <w:fldChar w:fldCharType="separate"/>
      </w:r>
      <w:r>
        <w:rPr>
          <w:rStyle w:val="18"/>
          <w:rFonts w:hint="eastAsia"/>
          <w:color w:val="auto"/>
        </w:rPr>
        <w:t>附表</w:t>
      </w:r>
      <w:r>
        <w:rPr>
          <w:rStyle w:val="18"/>
          <w:color w:val="auto"/>
        </w:rPr>
        <w:t xml:space="preserve">11  </w:t>
      </w:r>
      <w:r>
        <w:rPr>
          <w:rStyle w:val="18"/>
          <w:rFonts w:hint="eastAsia"/>
          <w:color w:val="auto"/>
        </w:rPr>
        <w:t>王仙镇土地用途分区面积统计表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_Toc485908627 \h </w:instrText>
      </w:r>
      <w:r>
        <w:rPr>
          <w:color w:val="auto"/>
        </w:rPr>
        <w:fldChar w:fldCharType="separate"/>
      </w:r>
      <w:r>
        <w:rPr>
          <w:color w:val="auto"/>
        </w:rPr>
        <w:t>11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"_Toc485908628" </w:instrText>
      </w:r>
      <w:r>
        <w:fldChar w:fldCharType="separate"/>
      </w:r>
      <w:r>
        <w:rPr>
          <w:rStyle w:val="18"/>
          <w:rFonts w:hint="eastAsia"/>
          <w:color w:val="auto"/>
        </w:rPr>
        <w:t>附表</w:t>
      </w:r>
      <w:r>
        <w:rPr>
          <w:rStyle w:val="18"/>
          <w:color w:val="auto"/>
        </w:rPr>
        <w:t xml:space="preserve">12  </w:t>
      </w:r>
      <w:r>
        <w:rPr>
          <w:rStyle w:val="18"/>
          <w:rFonts w:hint="eastAsia"/>
          <w:color w:val="auto"/>
        </w:rPr>
        <w:t>王仙镇</w:t>
      </w:r>
      <w:r>
        <w:rPr>
          <w:rStyle w:val="18"/>
          <w:color w:val="auto"/>
        </w:rPr>
        <w:t>2006-2020</w:t>
      </w:r>
      <w:r>
        <w:rPr>
          <w:rStyle w:val="18"/>
          <w:rFonts w:hint="eastAsia"/>
          <w:color w:val="auto"/>
        </w:rPr>
        <w:t>年地类结构平衡表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_Toc485908628 \h </w:instrText>
      </w:r>
      <w:r>
        <w:rPr>
          <w:color w:val="auto"/>
        </w:rPr>
        <w:fldChar w:fldCharType="separate"/>
      </w:r>
      <w:r>
        <w:rPr>
          <w:color w:val="auto"/>
        </w:rPr>
        <w:t>12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widowControl/>
        <w:spacing w:line="360" w:lineRule="auto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fldChar w:fldCharType="end"/>
      </w:r>
    </w:p>
    <w:p>
      <w:pPr>
        <w:widowControl/>
        <w:spacing w:line="360" w:lineRule="auto"/>
        <w:ind w:left="420" w:leftChars="200"/>
        <w:jc w:val="left"/>
        <w:rPr>
          <w:rFonts w:ascii="Times New Roman" w:hAnsi="Times New Roman" w:eastAsia="黑体" w:cs="Times New Roman"/>
          <w:kern w:val="0"/>
          <w:sz w:val="24"/>
          <w:szCs w:val="24"/>
        </w:rPr>
      </w:pPr>
    </w:p>
    <w:p>
      <w:pPr>
        <w:widowControl/>
        <w:spacing w:beforeLines="50" w:afterLines="50" w:line="60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  <w:sectPr>
          <w:footerReference r:id="rId4" w:type="default"/>
          <w:pgSz w:w="23814" w:h="16839"/>
          <w:pgMar w:top="1440" w:right="1800" w:bottom="1440" w:left="1800" w:header="851" w:footer="992" w:gutter="0"/>
          <w:pgNumType w:fmt="upperRoman" w:start="1"/>
          <w:cols w:space="425" w:num="2"/>
          <w:docGrid w:type="lines" w:linePitch="312" w:charSpace="0"/>
        </w:sectPr>
      </w:pPr>
    </w:p>
    <w:bookmarkEnd w:id="0"/>
    <w:bookmarkEnd w:id="1"/>
    <w:bookmarkEnd w:id="2"/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3" w:name="_Toc485908598"/>
      <w:bookmarkStart w:id="4" w:name="_Toc469235313"/>
      <w:r>
        <w:rPr>
          <w:rFonts w:ascii="Times New Roman" w:hAnsi="Times New Roman" w:eastAsia="黑体" w:cs="Times New Roman"/>
          <w:kern w:val="0"/>
          <w:sz w:val="32"/>
          <w:szCs w:val="32"/>
        </w:rPr>
        <w:t>一、基本情况</w:t>
      </w:r>
      <w:bookmarkEnd w:id="3"/>
      <w:bookmarkEnd w:id="4"/>
    </w:p>
    <w:p>
      <w:pPr>
        <w:spacing w:line="360" w:lineRule="auto"/>
        <w:jc w:val="left"/>
        <w:outlineLvl w:val="1"/>
        <w:rPr>
          <w:rFonts w:ascii="Times New Roman" w:hAnsi="Times New Roman" w:eastAsia="仿宋_GB2312" w:cs="Times New Roman"/>
          <w:b/>
          <w:kern w:val="0"/>
          <w:sz w:val="28"/>
          <w:szCs w:val="28"/>
        </w:rPr>
      </w:pPr>
      <w:bookmarkStart w:id="5" w:name="_Toc485908599"/>
      <w:r>
        <w:rPr>
          <w:rFonts w:ascii="Times New Roman" w:hAnsi="Times New Roman" w:eastAsia="黑体" w:cs="Times New Roman"/>
          <w:sz w:val="30"/>
          <w:szCs w:val="30"/>
        </w:rPr>
        <w:t>（一）行政区划调整</w:t>
      </w:r>
      <w:bookmarkEnd w:id="5"/>
    </w:p>
    <w:p>
      <w:pPr>
        <w:widowControl/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根据湖南省民政厅《关于同意醴陵市乡镇区划调整方案的批复》（湘民行发〔2015〕85号）以及醴陵市人民政府《关于同意王仙镇建制村合并调整的批复》（醴政函〔2016〕52号）：王仙镇行政区域做出如下调整：将原王坊镇的5个建制村划归王仙镇，并将原王仙镇的3个建制村划归来龙门街道管辖。调整后，王仙镇下辖10个村、两个居委会。总人口4.87万人，镇人民政府驻王仙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6" w:name="_Toc485908600"/>
      <w:r>
        <w:rPr>
          <w:rFonts w:ascii="Times New Roman" w:hAnsi="Times New Roman" w:eastAsia="黑体" w:cs="Times New Roman"/>
          <w:sz w:val="30"/>
          <w:szCs w:val="30"/>
        </w:rPr>
        <w:t>（二）地理区位</w:t>
      </w:r>
      <w:bookmarkEnd w:id="6"/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王仙镇地处醴陵东北部，距城市中心14公里，东临浦口镇，西临沩山镇，北部与官庄镇和李畋镇毗邻，南部和东富镇接壤。2014年，沪昆高铁竣工通车并设“醴陵东站”（原王仙站），106国道和醴浏铁路纵横交错，交通便利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7" w:name="_Toc485908601"/>
      <w:r>
        <w:rPr>
          <w:rFonts w:ascii="Times New Roman" w:hAnsi="Times New Roman" w:eastAsia="黑体" w:cs="Times New Roman"/>
          <w:sz w:val="30"/>
          <w:szCs w:val="30"/>
        </w:rPr>
        <w:t>（三）经济发展</w:t>
      </w:r>
      <w:bookmarkEnd w:id="7"/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bookmarkStart w:id="8" w:name="_Toc469235315"/>
      <w:r>
        <w:rPr>
          <w:rFonts w:ascii="Times New Roman" w:hAnsi="Times New Roman" w:eastAsia="仿宋_GB2312" w:cs="Times New Roman"/>
          <w:kern w:val="0"/>
          <w:sz w:val="28"/>
          <w:szCs w:val="28"/>
        </w:rPr>
        <w:t>王仙镇是醴陵市东北部的门户、工业重镇和经济强镇，工业门类齐全，产业布局合理，形成了日用陶瓷、电瓷、瓷坭、纸业、活塞环、鞭炮烟花为主的六大支柱产业；王仙镇的农业以种植高产优质水稻为主，也是湖南省的一个重要苗木、花卉生产基地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9" w:name="_Toc485908602"/>
      <w:r>
        <w:rPr>
          <w:rFonts w:ascii="Times New Roman" w:hAnsi="Times New Roman" w:eastAsia="黑体" w:cs="Times New Roman"/>
          <w:sz w:val="30"/>
          <w:szCs w:val="30"/>
        </w:rPr>
        <w:t>（四）土地利用现状</w:t>
      </w:r>
      <w:bookmarkEnd w:id="8"/>
      <w:bookmarkEnd w:id="9"/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2014年，王仙镇土地总面积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D:\\醴陵调整完善\\表格(净2013)\\乡镇表格\\14王仙镇\\乡镇规划附表.xlsx 结构表!R4C6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8586.67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公顷，其中农用地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D:\\醴陵调整完善\\表格(净2013)\\乡镇表格\\14王仙镇\\乡镇规划附表.xlsx 结构表!R10C6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7329.23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D:\\醴陵调整完善\\表格(净2013)\\乡镇表格\\14王仙镇\\乡镇规划附表.xlsx 结构表!R10C7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85.36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%；建设用地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D:\\醴陵调整完善\\表格(净2013)\\乡镇表格\\14王仙镇\\乡镇规划附表.xlsx 结构表!R18C6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1094.85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D:\\醴陵调整完善\\表格(净2013)\\乡镇表格\\14王仙镇\\乡镇规划附表.xlsx 结构表!R18C7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12.75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%；其他土地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D:\\醴陵调整完善\\表格(净2013)\\乡镇表格\\14王仙镇\\乡镇规划附表.xlsx 结构表!R21C6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162.59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D:\\醴陵调整完善\\表格(净2013)\\乡镇表格\\14王仙镇\\乡镇规划附表.xlsx 结构表!R21C7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1.89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%。（详见附表1）</w:t>
      </w:r>
    </w:p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10" w:name="_Toc485908603"/>
      <w:bookmarkStart w:id="11" w:name="_Toc469235316"/>
      <w:bookmarkStart w:id="12" w:name="_Toc468872186"/>
      <w:r>
        <w:rPr>
          <w:rFonts w:ascii="Times New Roman" w:hAnsi="Times New Roman" w:eastAsia="黑体" w:cs="Times New Roman"/>
          <w:kern w:val="0"/>
          <w:sz w:val="32"/>
          <w:szCs w:val="32"/>
        </w:rPr>
        <w:t>二、规划修改期限与范围</w:t>
      </w:r>
      <w:bookmarkEnd w:id="10"/>
      <w:bookmarkEnd w:id="11"/>
      <w:bookmarkEnd w:id="12"/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本次规划修改以2005年为基期年，2014年为规划修改年，2020年为目标年。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规划范围为王仙镇区域内的所有土地，土地总面积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D:\\醴陵调整完善\\表格(净2013)\\乡镇表格\\14王仙镇\\乡镇规划附表.xlsx 结构表!R4C8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8586.67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13" w:name="_Toc469235317"/>
      <w:bookmarkStart w:id="14" w:name="_Toc485908604"/>
      <w:bookmarkStart w:id="15" w:name="_Toc233731124"/>
      <w:bookmarkStart w:id="16" w:name="_Toc233731296"/>
      <w:bookmarkStart w:id="17" w:name="_Toc233771272"/>
      <w:r>
        <w:rPr>
          <w:rFonts w:ascii="Times New Roman" w:hAnsi="Times New Roman" w:eastAsia="黑体" w:cs="Times New Roman"/>
          <w:kern w:val="0"/>
          <w:sz w:val="32"/>
          <w:szCs w:val="32"/>
        </w:rPr>
        <w:t>三、土地利用规划目标</w:t>
      </w:r>
      <w:bookmarkEnd w:id="13"/>
      <w:bookmarkEnd w:id="14"/>
    </w:p>
    <w:bookmarkEnd w:id="15"/>
    <w:bookmarkEnd w:id="16"/>
    <w:bookmarkEnd w:id="17"/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规划修改后，到2020年，全镇耕地保有量不低于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D:\\醴陵调整完善\\表格(净2013)\\乡镇表格\\14王仙镇\\乡镇规划附表.xlsx 目标!R4C4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1689.00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公顷；基本农田保护面积不低于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D:\\醴陵调整完善\\表格(净2013)\\乡镇表格\\14王仙镇\\乡镇规划附表.xlsx 目标!R5C4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1380.00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公顷；全镇通过土地开发整理复垦补充耕地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D:\\醴陵调整完善\\表格(净2013)\\乡镇表格\\14王仙镇\\乡镇规划附表.xlsx 目标!R12C4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95.72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规划修改后，到2020年，全镇建设用地总规模控制在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D:\\醴陵调整完善\\表格(净2013)\\乡镇表格\\14王仙镇\\乡镇规划附表.xlsx 目标!R6C4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1090.71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公顷以内，城乡建设用地规模控制在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D:\\醴陵调整完善\\表格(净2013)\\乡镇表格\\14王仙镇\\乡镇规划附表.xlsx 目标!R7C4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989.84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公顷以内；城镇工矿用地规模控制在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D:\\醴陵调整完善\\表格(净2013)\\乡镇表格\\14王仙镇\\乡镇规划附表.xlsx 目标!R8C4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356.08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公顷以内；2006-2020年，新增建设用地规模控制在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D:\\醴陵调整完善\\表格(净2013)\\乡镇表格\\14王仙镇\\乡镇规划附表.xlsx 目标!R9C4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220.17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公顷以内，新增建设占用农用地规模控制在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D:\\醴陵调整完善\\表格(净2013)\\乡镇表格\\14王仙镇\\乡镇规划附表.xlsx 目标!R10C4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217.17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公顷以内，新增建设占用耕地规模控制在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D:\\醴陵调整完善\\表格(净2013)\\乡镇表格\\14王仙镇\\乡镇规划附表.xlsx 目标!R11C4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102.75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公顷以内。修改前后各项规划目标及变化情况见附表3。</w:t>
      </w:r>
    </w:p>
    <w:p>
      <w:pPr>
        <w:spacing w:before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18" w:name="_Toc469235327"/>
      <w:bookmarkStart w:id="19" w:name="_Toc485908605"/>
      <w:bookmarkStart w:id="20" w:name="_Toc469235320"/>
      <w:bookmarkStart w:id="21" w:name="_Toc229458166"/>
      <w:bookmarkStart w:id="22" w:name="_Toc204342104"/>
      <w:bookmarkStart w:id="23" w:name="_Toc145225166"/>
      <w:r>
        <w:rPr>
          <w:rFonts w:ascii="Times New Roman" w:hAnsi="Times New Roman" w:eastAsia="黑体" w:cs="Times New Roman"/>
          <w:kern w:val="0"/>
          <w:sz w:val="32"/>
          <w:szCs w:val="32"/>
        </w:rPr>
        <w:t>四、</w:t>
      </w:r>
      <w:bookmarkEnd w:id="18"/>
      <w:r>
        <w:rPr>
          <w:rFonts w:ascii="Times New Roman" w:hAnsi="Times New Roman" w:eastAsia="黑体" w:cs="Times New Roman"/>
          <w:kern w:val="0"/>
          <w:sz w:val="32"/>
          <w:szCs w:val="32"/>
        </w:rPr>
        <w:t>永久基本农田划定情况</w:t>
      </w:r>
      <w:bookmarkEnd w:id="19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24" w:name="_Toc485908606"/>
      <w:r>
        <w:rPr>
          <w:rFonts w:ascii="Times New Roman" w:hAnsi="Times New Roman" w:eastAsia="黑体" w:cs="Times New Roman"/>
          <w:sz w:val="30"/>
          <w:szCs w:val="30"/>
        </w:rPr>
        <w:t>（一）调出情况</w:t>
      </w:r>
      <w:bookmarkEnd w:id="24"/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本次规划修改共计减少基本农田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D:\\醴陵调整完善\\表格(净2013)\\乡镇表格\\14王仙镇\\乡镇规划附表.xlsx 耕基!R12C7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116.41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公顷，其中因建设占用调出基本农田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D:\\醴陵调整完善\\表格(净2013)\\乡镇表格\\14王仙镇\\乡镇规划附表.xlsx 耕基!R12C5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29.87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公顷，位于王仙居委会和司徒村等；同时调出质量较差基本农田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D:\\醴陵调整完善\\表格(净2013)\\乡镇表格\\14王仙镇\\乡镇规划附表.xlsx 耕基!R12C6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86.54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公顷，全镇各村均有涉及。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25" w:name="_Toc485908607"/>
      <w:r>
        <w:rPr>
          <w:rFonts w:ascii="Times New Roman" w:hAnsi="Times New Roman" w:eastAsia="黑体" w:cs="Times New Roman"/>
          <w:sz w:val="30"/>
          <w:szCs w:val="30"/>
        </w:rPr>
        <w:t>（二）补划情况</w:t>
      </w:r>
      <w:bookmarkEnd w:id="25"/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本次规划修改共计补划基本农田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D:\\醴陵调整完善\\表格(净2013)\\乡镇表格\\14王仙镇\\乡镇规划附表.xlsx 耕基!R12C4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37.77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公顷，其中因规划新增建设用地调出补划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D:\\醴陵调整完善\\表格(净2013)\\乡镇表格\\14王仙镇\\乡镇规划附表.xlsx 耕基!R12C2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15.43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公顷，主要分布在书堂村、司徒村等；调入优质耕地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D:\\醴陵调整完善\\表格(净2013)\\乡镇表格\\14王仙镇\\乡镇规划附表.xlsx 耕基!R12C3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22.34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公顷，位于司徒村、申熙村等。</w:t>
      </w:r>
    </w:p>
    <w:p>
      <w:pPr>
        <w:tabs>
          <w:tab w:val="left" w:pos="17065"/>
        </w:tabs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划定后，王仙镇永久基本农田面积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D:\\醴陵调整完善\\表格(净2013)\\乡镇表格\\14王仙镇\\乡镇规划附表.xlsx 耕基!R12C9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1381.20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公顷（较规划修改前减少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D:\\醴陵调整完善\\表格(净2013)\\乡镇表格\\14王仙镇\\乡镇规划附表.xlsx 耕基!R12C8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78.64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公顷），落实了基本农田保护任务，全镇各村均有布局。</w:t>
      </w:r>
    </w:p>
    <w:p>
      <w:pPr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br w:type="column"/>
      </w:r>
      <w:r>
        <w:rPr>
          <w:rFonts w:ascii="Times New Roman" w:hAnsi="Times New Roman" w:eastAsia="黑体" w:cs="Times New Roman"/>
          <w:sz w:val="24"/>
          <w:szCs w:val="24"/>
        </w:rPr>
        <w:t>表1 王仙镇基本农田布局调整情况表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21"/>
        <w:tblW w:w="10203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357"/>
        <w:gridCol w:w="1018"/>
        <w:gridCol w:w="1018"/>
        <w:gridCol w:w="849"/>
        <w:gridCol w:w="1539"/>
        <w:gridCol w:w="951"/>
        <w:gridCol w:w="1071"/>
        <w:gridCol w:w="1247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修改前</w:t>
            </w:r>
          </w:p>
        </w:tc>
        <w:tc>
          <w:tcPr>
            <w:tcW w:w="3393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339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071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修改后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建设用地调出补划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优质耕地调入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建设占用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质量较差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07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1459.84 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15.43 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22.34 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37.77 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29.87 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86.54 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116.41 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-78.64 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1381.20 </w:t>
            </w:r>
          </w:p>
        </w:tc>
      </w:tr>
      <w:bookmarkEnd w:id="20"/>
    </w:tbl>
    <w:p>
      <w:pPr>
        <w:spacing w:before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26" w:name="_Toc485908608"/>
      <w:r>
        <w:rPr>
          <w:rFonts w:ascii="Times New Roman" w:hAnsi="Times New Roman" w:eastAsia="黑体" w:cs="Times New Roman"/>
          <w:kern w:val="0"/>
          <w:sz w:val="32"/>
          <w:szCs w:val="32"/>
        </w:rPr>
        <w:t>五、建设用地规模与布局调整</w:t>
      </w:r>
      <w:bookmarkEnd w:id="26"/>
    </w:p>
    <w:p>
      <w:pPr>
        <w:spacing w:line="360" w:lineRule="auto"/>
        <w:ind w:firstLine="600" w:firstLineChars="2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（一）城镇用地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王仙镇地处醴陵市中东部，紧邻中心城区，是全市的工业重镇。2014年，沪昆高铁竣工通车并设“醴陵东站”（原王仙站），贯通株洲市东部新城至江西省界的东城大道也将于近期开展建设，城区发展方向向高铁片区延伸，距离高铁站仅2公里的王仙镇同样迎来了新的发展契机，区位条件更加优越，用地需求呈爆发式增长。对此，王仙镇将依托高铁片区优势资源打造王仙智慧健康产业园，积极响应醴陵市高新技术产业的引入和发展，以产业园带动城镇信息化建设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：规划修改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规划调入</w:t>
      </w:r>
      <w:r>
        <w:rPr>
          <w:rFonts w:ascii="Times New Roman" w:hAnsi="Times New Roman" w:eastAsia="仿宋_GB2312" w:cs="Times New Roman"/>
          <w:sz w:val="28"/>
          <w:szCs w:val="28"/>
        </w:rPr>
        <w:t>增加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城镇</w:t>
      </w:r>
      <w:r>
        <w:rPr>
          <w:rFonts w:ascii="Times New Roman" w:hAnsi="Times New Roman" w:eastAsia="仿宋_GB2312" w:cs="Times New Roman"/>
          <w:sz w:val="28"/>
          <w:szCs w:val="28"/>
        </w:rPr>
        <w:t>用地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74.18</w:t>
      </w:r>
      <w:r>
        <w:rPr>
          <w:rFonts w:ascii="Times New Roman" w:hAnsi="Times New Roman" w:eastAsia="仿宋_GB2312" w:cs="Times New Roman"/>
          <w:sz w:val="28"/>
          <w:szCs w:val="28"/>
        </w:rPr>
        <w:t>公顷，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用于集镇和王仙智慧健康产业园建设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：规划修改因调出减少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城镇</w:t>
      </w:r>
      <w:r>
        <w:rPr>
          <w:rFonts w:ascii="Times New Roman" w:hAnsi="Times New Roman" w:eastAsia="仿宋_GB2312" w:cs="Times New Roman"/>
          <w:sz w:val="28"/>
          <w:szCs w:val="28"/>
        </w:rPr>
        <w:t>用地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7.15</w:t>
      </w:r>
      <w:r>
        <w:rPr>
          <w:rFonts w:ascii="Times New Roman" w:hAnsi="Times New Roman" w:eastAsia="仿宋_GB2312" w:cs="Times New Roman"/>
          <w:sz w:val="28"/>
          <w:szCs w:val="28"/>
        </w:rPr>
        <w:t>公顷，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用于规划绿地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4"/>
        </w:rPr>
        <w:t>修改后，</w:t>
      </w:r>
      <w:r>
        <w:rPr>
          <w:rFonts w:ascii="Times New Roman" w:hAnsi="Times New Roman" w:eastAsia="仿宋_GB2312" w:cs="Times New Roman"/>
          <w:sz w:val="28"/>
          <w:szCs w:val="28"/>
        </w:rPr>
        <w:t>城镇用地规模由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D:\\醴陵调整完善\\表格(净2013)\\乡镇表格\\14王仙镇\\乡镇规划附表.xlsx 城!R5C1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183.98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D:\\醴陵调整完善\\表格(净2013)\\乡镇表格\\14王仙镇\\乡镇规划附表.xlsx 城!R5C11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251.29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公顷，净增加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D:\\醴陵调整完善\\表格(净2013)\\乡镇表格\\14王仙镇\\乡镇规划附表.xlsx 城!R5C10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67.31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公顷。</w:t>
      </w:r>
    </w:p>
    <w:p>
      <w:pPr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表2  王仙镇城镇用地布局调整情况表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21"/>
        <w:tblW w:w="10203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shd w:val="clear" w:color="000000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1983"/>
        <w:gridCol w:w="1914"/>
        <w:gridCol w:w="1914"/>
        <w:gridCol w:w="1912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000000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480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2020年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（修改前）</w:t>
            </w:r>
          </w:p>
        </w:tc>
        <w:tc>
          <w:tcPr>
            <w:tcW w:w="1983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调入增加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1914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调出减少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914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912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2020年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（修改后）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80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183.98 </w:t>
            </w:r>
          </w:p>
        </w:tc>
        <w:tc>
          <w:tcPr>
            <w:tcW w:w="1983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74.46 </w:t>
            </w:r>
          </w:p>
        </w:tc>
        <w:tc>
          <w:tcPr>
            <w:tcW w:w="1914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7.15 </w:t>
            </w:r>
          </w:p>
        </w:tc>
        <w:tc>
          <w:tcPr>
            <w:tcW w:w="1914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67.31 </w:t>
            </w:r>
          </w:p>
        </w:tc>
        <w:tc>
          <w:tcPr>
            <w:tcW w:w="1912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251.29 </w:t>
            </w:r>
          </w:p>
        </w:tc>
      </w:tr>
    </w:tbl>
    <w:p>
      <w:pPr>
        <w:pStyle w:val="82"/>
        <w:ind w:firstLine="0" w:firstLineChars="0"/>
        <w:jc w:val="both"/>
        <w:rPr>
          <w:rFonts w:ascii="Times New Roman" w:hAnsi="Times New Roman" w:eastAsia="黑体" w:cs="Times New Roman"/>
          <w:b/>
          <w:sz w:val="30"/>
          <w:szCs w:val="30"/>
        </w:rPr>
      </w:pPr>
      <w:r>
        <w:pict>
          <v:group id="_x0000_s1037" o:spid="_x0000_s1037" o:spt="203" style="position:absolute;left:0pt;margin-left:206.55pt;margin-top:349.5pt;height:53.6pt;width:92.45pt;z-index:251662336;mso-width-relative:page;mso-height-relative:page;" coordorigin="7823,3052" coordsize="1849,1072">
            <o:lock v:ext="edit"/>
            <v:shape id="_x0000_s1038" o:spid="_x0000_s1038" o:spt="32" type="#_x0000_t32" style="position:absolute;left:7823;top:3052;flip:x y;height:688;width:474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9438YAAADcAAAADwAAAGRycy9kb3ducmV2LnhtbESPQWvCQBSE74X+h+UVvNWNPViN2Ugp&#10;VETpoUaC3h7Z1yQ0+zbsrhr767sFweMwM98w2XIwnTiT861lBZNxAoK4srrlWsG++HiegfABWWNn&#10;mRRcycMyf3zIMNX2wl903oVaRAj7FBU0IfSplL5qyKAf2544et/WGQxRulpqh5cIN518SZKpNNhy&#10;XGiwp/eGqp/dySg4bOen8lp+0qaczDdHdMb/FiulRk/D2wJEoCHcw7f2WiuYzl7h/0w8AjL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UveN/GAAAA3AAAAA8AAAAAAAAA&#10;AAAAAAAAoQIAAGRycy9kb3ducmV2LnhtbFBLBQYAAAAABAAEAPkAAACUAwAAAAA=&#10;">
              <v:path arrowok="t"/>
              <v:fill on="f" focussize="0,0"/>
              <v:stroke endarrow="block"/>
              <v:imagedata o:title=""/>
              <o:lock v:ext="edit"/>
            </v:shape>
            <v:rect id="_x0000_s1039" o:spid="_x0000_s1039" o:spt="1" style="position:absolute;left:8102;top:3740;height:384;width:157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C9q8IA&#10;AADcAAAADwAAAGRycy9kb3ducmV2LnhtbERPu27CMBTdK/UfrFupW3GgUgQBgxCIqoyQLGyX+JKk&#10;ja+j2HnA1+OhUsej815tRlOLnlpXWVYwnUQgiHOrKy4UZOnhYw7CeWSNtWVScCcHm/XrywoTbQc+&#10;UX/2hQgh7BJUUHrfJFK6vCSDbmIb4sDdbGvQB9gWUrc4hHBTy1kUxdJgxaGhxIZ2JeW/584ouFaz&#10;DB+n9Csyi8OnP47pT3fZK/X+Nm6XIDyN/l/85/7WCuJ5WBvOhCM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oL2rwgAAANwAAAAPAAAAAAAAAAAAAAAAAJgCAABkcnMvZG93&#10;bnJldi54bWxQSwUGAAAAAAQABAD1AAAAhwMAAAAA&#10;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spacing w:line="240" w:lineRule="exact"/>
                      <w:rPr>
                        <w:b/>
                        <w:szCs w:val="21"/>
                      </w:rPr>
                    </w:pPr>
                    <w:r>
                      <w:rPr>
                        <w:rFonts w:hint="eastAsia"/>
                        <w:b/>
                        <w:szCs w:val="21"/>
                      </w:rPr>
                      <w:t>规划绿地调出</w:t>
                    </w:r>
                  </w:p>
                </w:txbxContent>
              </v:textbox>
            </v:rect>
          </v:group>
        </w:pict>
      </w:r>
      <w:r>
        <w:pict>
          <v:group id="_x0000_s1028" o:spid="_x0000_s1028" o:spt="203" style="position:absolute;left:0pt;margin-left:74.5pt;margin-top:213.1pt;height:188.3pt;width:109.1pt;z-index:251660288;mso-width-relative:page;mso-height-relative:page;" coordorigin="2249,6060" coordsize="2281,3961">
            <o:lock v:ext="edit"/>
            <v:shape id="_x0000_s1029" o:spid="_x0000_s1029" o:spt="32" type="#_x0000_t32" style="position:absolute;left:3654;top:7890;flip:y;height:1764;width:649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9438YAAADcAAAADwAAAGRycy9kb3ducmV2LnhtbESPQWvCQBSE74X+h+UVvNWNPViN2Ugp&#10;VETpoUaC3h7Z1yQ0+zbsrhr767sFweMwM98w2XIwnTiT861lBZNxAoK4srrlWsG++HiegfABWWNn&#10;mRRcycMyf3zIMNX2wl903oVaRAj7FBU0IfSplL5qyKAf2544et/WGQxRulpqh5cIN518SZKpNNhy&#10;XGiwp/eGqp/dySg4bOen8lp+0qaczDdHdMb/FiulRk/D2wJEoCHcw7f2WiuYzl7h/0w8AjL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UveN/GAAAA3AAAAA8AAAAAAAAA&#10;AAAAAAAAoQIAAGRycy9kb3ducmV2LnhtbFBLBQYAAAAABAAEAPkAAACUAwAAAAA=&#10;">
              <v:path arrowok="t"/>
              <v:fill on="f" focussize="0,0"/>
              <v:stroke endarrow="block"/>
              <v:imagedata o:title=""/>
              <o:lock v:ext="edit"/>
            </v:shape>
            <v:rect id="_x0000_s1030" o:spid="_x0000_s1030" o:spt="1" style="position:absolute;left:2249;top:9591;height:430;width:2281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C9q8IA&#10;AADcAAAADwAAAGRycy9kb3ducmV2LnhtbERPu27CMBTdK/UfrFupW3GgUgQBgxCIqoyQLGyX+JKk&#10;ja+j2HnA1+OhUsej815tRlOLnlpXWVYwnUQgiHOrKy4UZOnhYw7CeWSNtWVScCcHm/XrywoTbQc+&#10;UX/2hQgh7BJUUHrfJFK6vCSDbmIb4sDdbGvQB9gWUrc4hHBTy1kUxdJgxaGhxIZ2JeW/584ouFaz&#10;DB+n9Csyi8OnP47pT3fZK/X+Nm6XIDyN/l/85/7WCuJ5WBvOhCM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oL2rwgAAANwAAAAPAAAAAAAAAAAAAAAAAJgCAABkcnMvZG93&#10;bnJldi54bWxQSwUGAAAAAAQABAD1AAAAhwMAAAAA&#10;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rPr>
                        <w:szCs w:val="21"/>
                      </w:rPr>
                    </w:pPr>
                    <w:r>
                      <w:rPr>
                        <w:rFonts w:hint="eastAsia"/>
                        <w:b/>
                        <w:szCs w:val="21"/>
                      </w:rPr>
                      <w:t>王仙智慧健康产业园</w:t>
                    </w:r>
                  </w:p>
                </w:txbxContent>
              </v:textbox>
            </v:rect>
            <v:group id="_x0000_s1031" o:spid="_x0000_s1031" o:spt="203" style="position:absolute;left:2374;top:6060;height:2670;width:739;" coordorigin="2374,6060" coordsize="739,2670">
              <o:lock v:ext="edit"/>
              <v:shape id="_x0000_s1032" o:spid="_x0000_s1032" o:spt="202" type="#_x0000_t202" style="position:absolute;left:2374;top:6060;height:617;width:580;" stroked="f" coordsize="21600,21600">
                <v:path/>
                <v:fill focussize="0,0"/>
                <v:stroke on="f" joinstyle="miter"/>
                <v:imagedata o:title=""/>
                <o:lock v:ext="edit"/>
                <v:textbox>
                  <w:txbxContent>
                    <w:p>
                      <w:pPr>
                        <w:rPr>
                          <w:rFonts w:ascii="黑体" w:eastAsia="黑体"/>
                          <w:b/>
                          <w:sz w:val="28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28"/>
                        </w:rPr>
                        <w:t>城</w:t>
                      </w:r>
                    </w:p>
                  </w:txbxContent>
                </v:textbox>
              </v:shape>
              <v:shape id="_x0000_s1033" o:spid="_x0000_s1033" o:spt="202" type="#_x0000_t202" style="position:absolute;left:2533;top:8113;height:617;width:580;" stroked="f" coordsize="21600,21600">
                <v:path/>
                <v:fill focussize="0,0"/>
                <v:stroke on="f" joinstyle="miter"/>
                <v:imagedata o:title=""/>
                <o:lock v:ext="edit"/>
                <v:textbox>
                  <w:txbxContent>
                    <w:p>
                      <w:pPr>
                        <w:rPr>
                          <w:rFonts w:ascii="黑体" w:eastAsia="黑体"/>
                          <w:b/>
                          <w:sz w:val="28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28"/>
                        </w:rPr>
                        <w:t>区</w:t>
                      </w:r>
                    </w:p>
                  </w:txbxContent>
                </v:textbox>
              </v:shape>
            </v:group>
          </v:group>
        </w:pict>
      </w:r>
      <w:bookmarkStart w:id="27" w:name="_Toc485908609"/>
      <w:bookmarkStart w:id="62" w:name="_GoBack"/>
      <w:bookmarkEnd w:id="62"/>
      <w:r>
        <w:rPr>
          <w:rFonts w:ascii="Times New Roman" w:hAnsi="Times New Roman" w:eastAsia="黑体" w:cs="Times New Roman"/>
          <w:sz w:val="30"/>
          <w:szCs w:val="30"/>
        </w:rPr>
        <w:t>（二）农村居民点用地</w:t>
      </w:r>
      <w:bookmarkEnd w:id="27"/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4"/>
        </w:rPr>
        <w:t>本次规划修改，按照</w:t>
      </w:r>
      <w:r>
        <w:rPr>
          <w:rFonts w:ascii="Times New Roman" w:hAnsi="Times New Roman" w:eastAsia="仿宋_GB2312" w:cs="Times New Roman"/>
          <w:sz w:val="28"/>
          <w:szCs w:val="28"/>
        </w:rPr>
        <w:t>“农民集中居住、农业集中经营、农田集中耕作”的理念，结合易地扶贫搬迁安置工程及新农村建设，对王仙镇农村居民点用地布局进行调整。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：规划修改共增加农村居民点用地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D:\\醴陵调整完善\\表格(净2013)\\乡镇表格\\14王仙镇\\乡镇规划附表.xlsx 农!R5C4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36.49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公顷，其中：因调入增加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D:\\醴陵调整完善\\表格(净2013)\\乡镇表格\\14王仙镇\\乡镇规划附表.xlsx 农!R5C2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36.21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公顷，因切块调出还原增加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D:\\醴陵调整完善\\表格(净2013)\\乡镇表格\\14王仙镇\\乡镇规划附表.xlsx 农!R5C3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0.28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公顷，主要分布在三狮村、灌冲村、书堂村等。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：规划修改因调出减少农村居民点用地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D:\\醴陵调整完善\\表格(净2013)\\乡镇表格\\14王仙镇\\乡镇规划附表.xlsx 农!R5C9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54.73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其中调出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LINK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D:\\醴陵调整完善\\表格(净2013)\\乡镇表格\\14王仙镇\\乡镇规划附表.xlsx 农!R5C5 \a \t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8.12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28"/>
        </w:rPr>
        <w:t>公顷，为远景规划用地，建设占用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LINK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D:\\醴陵调整完善\\表格(净2013)\\乡镇表格\\14王仙镇\\乡镇规划附表.xlsx 农!R5C6 \a \t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27.35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28"/>
        </w:rPr>
        <w:t>公顷，土地复垦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LINK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D:\\醴陵调整完善\\表格(净2013)\\乡镇表格\\14王仙镇\\乡镇规划附表.xlsx 农!R5C8 \a \t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19.25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28"/>
        </w:rPr>
        <w:t>公顷，</w:t>
      </w:r>
      <w:r>
        <w:rPr>
          <w:rFonts w:ascii="Times New Roman" w:hAnsi="Times New Roman" w:eastAsia="仿宋_GB2312" w:cs="Times New Roman"/>
          <w:sz w:val="28"/>
          <w:szCs w:val="28"/>
        </w:rPr>
        <w:t>主要分布在申熙村。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sz w:val="28"/>
          <w:szCs w:val="24"/>
        </w:rPr>
        <w:t>修改后，农村居民点用地规模由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D:\\醴陵调整完善\\表格(净2013)\\乡镇表格\\14王仙镇\\乡镇规划附表.xlsx 农!R5C1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652.00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公顷调整为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D:\\醴陵调整完善\\表格(净2013)\\乡镇表格\\14王仙镇\\乡镇规划附表.xlsx 农!R5C11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633.77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公顷，净减少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D:\\醴陵调整完善\\表格(净2013)\\乡镇表格\\14王仙镇\\乡镇规划附表.xlsx 农!R5C10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18.23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公顷。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表3王仙镇农村居民点用地布局调整情况表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21"/>
        <w:tblW w:w="102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745"/>
        <w:gridCol w:w="853"/>
        <w:gridCol w:w="849"/>
        <w:gridCol w:w="708"/>
        <w:gridCol w:w="853"/>
        <w:gridCol w:w="708"/>
        <w:gridCol w:w="818"/>
        <w:gridCol w:w="1284"/>
        <w:gridCol w:w="17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8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（修改前）</w:t>
            </w:r>
          </w:p>
        </w:tc>
        <w:tc>
          <w:tcPr>
            <w:tcW w:w="2447" w:type="dxa"/>
            <w:gridSpan w:val="3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087" w:type="dxa"/>
            <w:gridSpan w:val="4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28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757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28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</w:t>
            </w:r>
          </w:p>
        </w:tc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调出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还原</w:t>
            </w:r>
          </w:p>
        </w:tc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调出</w:t>
            </w:r>
          </w:p>
        </w:tc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 xml:space="preserve">       建设占用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土地复垦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28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62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652.00 </w:t>
            </w:r>
          </w:p>
        </w:tc>
        <w:tc>
          <w:tcPr>
            <w:tcW w:w="745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36.21 </w:t>
            </w:r>
          </w:p>
        </w:tc>
        <w:tc>
          <w:tcPr>
            <w:tcW w:w="853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0.28 </w:t>
            </w:r>
          </w:p>
        </w:tc>
        <w:tc>
          <w:tcPr>
            <w:tcW w:w="849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36.49 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8.12 </w:t>
            </w:r>
          </w:p>
        </w:tc>
        <w:tc>
          <w:tcPr>
            <w:tcW w:w="853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27.35 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19.25 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54.73 </w:t>
            </w:r>
          </w:p>
        </w:tc>
        <w:tc>
          <w:tcPr>
            <w:tcW w:w="1284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-18.23 </w:t>
            </w:r>
          </w:p>
        </w:tc>
        <w:tc>
          <w:tcPr>
            <w:tcW w:w="1757" w:type="dxa"/>
            <w:tcBorders>
              <w:top w:val="nil"/>
              <w:left w:val="single" w:color="auto" w:sz="4" w:space="0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633.77 </w:t>
            </w:r>
          </w:p>
        </w:tc>
      </w:tr>
    </w:tbl>
    <w:p>
      <w:pPr>
        <w:spacing w:beforeLines="50"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28" w:name="_Toc485908610"/>
      <w:bookmarkStart w:id="29" w:name="_Toc469235323"/>
      <w:r>
        <w:rPr>
          <w:rFonts w:ascii="Times New Roman" w:hAnsi="Times New Roman" w:eastAsia="黑体" w:cs="Times New Roman"/>
          <w:sz w:val="30"/>
          <w:szCs w:val="30"/>
        </w:rPr>
        <w:t>（三）采矿及其他独立建设用地</w:t>
      </w:r>
      <w:bookmarkEnd w:id="28"/>
      <w:bookmarkEnd w:id="29"/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：规划修改因调入增加采矿及其他独立建设用地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D:\\醴陵调整完善\\表格(净2013)\\乡镇表格\\14王仙镇\\乡镇规划附表.xlsx 采独!R5C2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33.27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公顷，主要分布在灌冲村、申熙村、三狮村等，用于王仙镇集体企业建设。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：规划修改共减少采矿及其他独立建设用地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D:\\醴陵调整完善\\表格(净2013)\\乡镇表格\\14王仙镇\\乡镇规划附表.xlsx 采独!R5C9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72.54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公顷，其中因建设用地内部转换减少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D:\\醴陵调整完善\\表格(净2013)\\乡镇表格\\14王仙镇\\乡镇规划附表.xlsx 采独!R5C6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2.62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公顷，切块调出减少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D:\\醴陵调整完善\\表格(净2013)\\乡镇表格\\14王仙镇\\乡镇规划附表.xlsx 采独!R5C5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57.83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土地复垦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LINK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D:\\醴陵调整完善\\表格(净2013)\\乡镇表格\\14王仙镇\\乡镇规划附表.xlsx 采独!R5C8 \a \t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12.09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28"/>
        </w:rPr>
        <w:t>公顷，</w:t>
      </w:r>
      <w:r>
        <w:rPr>
          <w:rFonts w:ascii="Times New Roman" w:hAnsi="Times New Roman" w:eastAsia="仿宋_GB2312" w:cs="Times New Roman"/>
          <w:sz w:val="28"/>
          <w:szCs w:val="28"/>
        </w:rPr>
        <w:t>主要位于观口村、司徒村等。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修改后，采矿及其他独立建设用地规模由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D:\\醴陵调整完善\\表格(净2013)\\乡镇表格\\14王仙镇\\乡镇规划附表.xlsx 采独!R5C1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144.06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D:\\醴陵调整完善\\表格(净2013)\\乡镇表格\\14王仙镇\\乡镇规划附表.xlsx 采独!R5C11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104.79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公顷，净减少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D:\\醴陵调整完善\\表格(净2013)\\乡镇表格\\14王仙镇\\乡镇规划附表.xlsx 采独!R5C10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39.27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公顷。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widowControl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表4王仙镇采矿及其他独立建设用地布局调整情况表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21"/>
        <w:tblW w:w="10203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802"/>
        <w:gridCol w:w="804"/>
        <w:gridCol w:w="702"/>
        <w:gridCol w:w="1065"/>
        <w:gridCol w:w="804"/>
        <w:gridCol w:w="1124"/>
        <w:gridCol w:w="1447"/>
        <w:gridCol w:w="1402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5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年（修改前）</w:t>
            </w:r>
          </w:p>
        </w:tc>
        <w:tc>
          <w:tcPr>
            <w:tcW w:w="160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增加①</w:t>
            </w:r>
          </w:p>
        </w:tc>
        <w:tc>
          <w:tcPr>
            <w:tcW w:w="369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减少②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②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（修改后）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53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</w:t>
            </w: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7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调出</w:t>
            </w:r>
          </w:p>
        </w:tc>
        <w:tc>
          <w:tcPr>
            <w:tcW w:w="10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内部转换</w:t>
            </w:r>
          </w:p>
        </w:tc>
        <w:tc>
          <w:tcPr>
            <w:tcW w:w="80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土地复垦</w:t>
            </w:r>
          </w:p>
        </w:tc>
        <w:tc>
          <w:tcPr>
            <w:tcW w:w="11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小计</w:t>
            </w:r>
          </w:p>
        </w:tc>
        <w:tc>
          <w:tcPr>
            <w:tcW w:w="144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40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5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144.06 </w:t>
            </w:r>
          </w:p>
        </w:tc>
        <w:tc>
          <w:tcPr>
            <w:tcW w:w="80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33.27 </w:t>
            </w: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33.27 </w:t>
            </w:r>
          </w:p>
        </w:tc>
        <w:tc>
          <w:tcPr>
            <w:tcW w:w="70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57.83 </w:t>
            </w:r>
          </w:p>
        </w:tc>
        <w:tc>
          <w:tcPr>
            <w:tcW w:w="1065" w:type="dxa"/>
            <w:tcBorders>
              <w:top w:val="single" w:color="auto" w:sz="4" w:space="0"/>
              <w:bottom w:val="doub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2.62 </w:t>
            </w:r>
          </w:p>
        </w:tc>
        <w:tc>
          <w:tcPr>
            <w:tcW w:w="804" w:type="dxa"/>
            <w:tcBorders>
              <w:top w:val="single" w:color="auto" w:sz="4" w:space="0"/>
              <w:bottom w:val="doub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12.09 </w:t>
            </w:r>
          </w:p>
        </w:tc>
        <w:tc>
          <w:tcPr>
            <w:tcW w:w="11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72.54 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-39.27 </w:t>
            </w:r>
          </w:p>
        </w:tc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104.79 </w:t>
            </w:r>
          </w:p>
        </w:tc>
      </w:tr>
    </w:tbl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0" w:name="_Toc469235324"/>
      <w:bookmarkStart w:id="31" w:name="_Toc485908611"/>
      <w:r>
        <w:rPr>
          <w:rFonts w:ascii="Times New Roman" w:hAnsi="Times New Roman" w:eastAsia="黑体" w:cs="Times New Roman"/>
          <w:sz w:val="30"/>
          <w:szCs w:val="30"/>
        </w:rPr>
        <w:t>（四）交通水利用</w:t>
      </w:r>
      <w:bookmarkEnd w:id="30"/>
      <w:bookmarkStart w:id="32" w:name="_Toc478394146"/>
      <w:r>
        <w:rPr>
          <w:rFonts w:ascii="Times New Roman" w:hAnsi="Times New Roman" w:eastAsia="黑体" w:cs="Times New Roman"/>
          <w:sz w:val="30"/>
          <w:szCs w:val="30"/>
        </w:rPr>
        <w:t>地</w:t>
      </w:r>
      <w:bookmarkEnd w:id="31"/>
    </w:p>
    <w:bookmarkEnd w:id="32"/>
    <w:p>
      <w:pPr>
        <w:spacing w:line="600" w:lineRule="exact"/>
        <w:ind w:firstLine="551" w:firstLineChars="196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：本次规划修改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交通水利用地无调入增加。</w:t>
      </w:r>
    </w:p>
    <w:p>
      <w:pPr>
        <w:spacing w:line="600" w:lineRule="exact"/>
        <w:ind w:firstLine="551" w:firstLineChars="196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：本次规划修改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共调出交通水利用地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D:\\醴陵调整完善\\表格(净2013)\\乡镇表格\\14王仙镇\\乡镇规划附表.xlsx 交!R5C5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9.81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28"/>
        </w:rPr>
        <w:t>公顷。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修改后，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交通水利用地</w:t>
      </w:r>
      <w:r>
        <w:rPr>
          <w:rFonts w:ascii="Times New Roman" w:hAnsi="Times New Roman" w:eastAsia="仿宋_GB2312" w:cs="Times New Roman"/>
          <w:sz w:val="28"/>
          <w:szCs w:val="28"/>
        </w:rPr>
        <w:t>规模由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D:\\醴陵调整完善\\表格(净2013)\\乡镇表格\\14王仙镇\\乡镇规划附表.xlsx 交!R5C1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91.09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D:\\醴陵调整完善\\表格(净2013)\\乡镇表格\\14王仙镇\\乡镇规划附表.xlsx 交!R5C11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81.28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公顷，净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D:\\醴陵调整完善\\表格(净2013)\\乡镇表格\\14王仙镇\\乡镇规划附表.xlsx 其!R5C10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t xml:space="preserve">9.81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表5  王仙镇</w:t>
      </w:r>
      <w:r>
        <w:rPr>
          <w:rFonts w:hint="eastAsia" w:ascii="Times New Roman" w:hAnsi="Times New Roman" w:eastAsia="黑体" w:cs="Times New Roman"/>
          <w:sz w:val="24"/>
          <w:szCs w:val="24"/>
        </w:rPr>
        <w:t>交通水利</w:t>
      </w:r>
      <w:r>
        <w:rPr>
          <w:rFonts w:ascii="Times New Roman" w:hAnsi="Times New Roman" w:eastAsia="黑体" w:cs="Times New Roman"/>
          <w:sz w:val="24"/>
          <w:szCs w:val="24"/>
        </w:rPr>
        <w:t>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21"/>
        <w:tblW w:w="102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282"/>
        <w:gridCol w:w="1275"/>
        <w:gridCol w:w="1275"/>
        <w:gridCol w:w="1275"/>
        <w:gridCol w:w="1275"/>
        <w:gridCol w:w="12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6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年（修改前）</w:t>
            </w:r>
          </w:p>
        </w:tc>
        <w:tc>
          <w:tcPr>
            <w:tcW w:w="2558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增加①</w:t>
            </w:r>
          </w:p>
        </w:tc>
        <w:tc>
          <w:tcPr>
            <w:tcW w:w="3825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减少②</w:t>
            </w:r>
          </w:p>
        </w:tc>
        <w:tc>
          <w:tcPr>
            <w:tcW w:w="1275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净变化①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②</w:t>
            </w:r>
          </w:p>
        </w:tc>
        <w:tc>
          <w:tcPr>
            <w:tcW w:w="1269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年（修改后）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6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调入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调出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建设占用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275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9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91.09 </w:t>
            </w:r>
          </w:p>
        </w:tc>
        <w:tc>
          <w:tcPr>
            <w:tcW w:w="127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8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7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9.81 </w:t>
            </w:r>
          </w:p>
        </w:tc>
        <w:tc>
          <w:tcPr>
            <w:tcW w:w="127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7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9.81 </w:t>
            </w:r>
          </w:p>
        </w:tc>
        <w:tc>
          <w:tcPr>
            <w:tcW w:w="127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-9.81 </w:t>
            </w:r>
          </w:p>
        </w:tc>
        <w:tc>
          <w:tcPr>
            <w:tcW w:w="1269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81.28 </w:t>
            </w:r>
          </w:p>
        </w:tc>
      </w:tr>
    </w:tbl>
    <w:p>
      <w:pPr>
        <w:spacing w:line="360" w:lineRule="auto"/>
        <w:jc w:val="left"/>
        <w:outlineLvl w:val="1"/>
        <w:rPr>
          <w:rFonts w:ascii="Times New Roman" w:hAnsi="Times New Roman" w:eastAsia="仿宋_GB2312" w:cs="Times New Roman"/>
          <w:sz w:val="28"/>
          <w:szCs w:val="28"/>
        </w:rPr>
      </w:pPr>
      <w:bookmarkStart w:id="33" w:name="_Toc469235325"/>
      <w:bookmarkStart w:id="34" w:name="_Toc485908612"/>
      <w:r>
        <w:rPr>
          <w:rFonts w:ascii="Times New Roman" w:hAnsi="Times New Roman" w:eastAsia="黑体" w:cs="Times New Roman"/>
          <w:sz w:val="30"/>
          <w:szCs w:val="30"/>
        </w:rPr>
        <w:t>（五）其他建设用地</w:t>
      </w:r>
      <w:bookmarkEnd w:id="33"/>
      <w:bookmarkEnd w:id="34"/>
    </w:p>
    <w:p>
      <w:pPr>
        <w:spacing w:line="600" w:lineRule="exact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：本次规划修改无其他建设用地调入增加。</w:t>
      </w:r>
    </w:p>
    <w:p>
      <w:pPr>
        <w:spacing w:line="6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：本次规划修改共减少其他建设用地面积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D:\\醴陵调整完善\\表格(净2013)\\乡镇表格\\14王仙镇\\乡镇规划附表.xlsx 其!R5C6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0.75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公顷，全部为建设用地内部转换，主要用于三狮村集镇建设。</w:t>
      </w:r>
    </w:p>
    <w:p>
      <w:pPr>
        <w:spacing w:line="6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修改后，其他建设用规模由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D:\\醴陵调整完善\\表格(净2013)\\乡镇表格\\14王仙镇\\乡镇规划附表.xlsx 其!R5C1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20.34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D:\\醴陵调整完善\\表格(净2013)\\乡镇表格\\14王仙镇\\乡镇规划附表.xlsx 其!R5C11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19.59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公顷，净减少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D:\\醴陵调整完善\\表格(净2013)\\乡镇表格\\14王仙镇\\乡镇规划附表.xlsx 其!R5C10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0.75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公顷。</w:t>
      </w:r>
    </w:p>
    <w:p>
      <w:pPr>
        <w:spacing w:line="360" w:lineRule="auto"/>
        <w:ind w:firstLine="480" w:firstLineChars="200"/>
        <w:rPr>
          <w:rFonts w:ascii="Times New Roman" w:hAnsi="Times New Roman" w:eastAsia="黑体" w:cs="Times New Roman"/>
          <w:sz w:val="24"/>
          <w:szCs w:val="24"/>
        </w:rPr>
      </w:pPr>
      <w:bookmarkStart w:id="35" w:name="_Toc478394148"/>
      <w:r>
        <w:rPr>
          <w:rFonts w:ascii="Times New Roman" w:hAnsi="Times New Roman" w:eastAsia="黑体" w:cs="Times New Roman"/>
          <w:sz w:val="24"/>
          <w:szCs w:val="24"/>
        </w:rPr>
        <w:t>表</w:t>
      </w:r>
      <w:r>
        <w:rPr>
          <w:rFonts w:hint="eastAsia" w:ascii="Times New Roman" w:hAnsi="Times New Roman" w:eastAsia="黑体" w:cs="Times New Roman"/>
          <w:sz w:val="24"/>
          <w:szCs w:val="24"/>
        </w:rPr>
        <w:t>6</w:t>
      </w:r>
      <w:r>
        <w:rPr>
          <w:rFonts w:ascii="Times New Roman" w:hAnsi="Times New Roman" w:eastAsia="黑体" w:cs="Times New Roman"/>
          <w:sz w:val="24"/>
          <w:szCs w:val="24"/>
        </w:rPr>
        <w:t>王仙镇其他建设用地布局调整情况表</w:t>
      </w:r>
      <w:bookmarkEnd w:id="35"/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21"/>
        <w:tblW w:w="102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608"/>
        <w:gridCol w:w="2247"/>
        <w:gridCol w:w="1447"/>
        <w:gridCol w:w="1284"/>
        <w:gridCol w:w="14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11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年（修改前）</w:t>
            </w:r>
          </w:p>
        </w:tc>
        <w:tc>
          <w:tcPr>
            <w:tcW w:w="1608" w:type="dxa"/>
            <w:vMerge w:val="restart"/>
            <w:tcBorders>
              <w:top w:val="double" w:color="auto" w:sz="6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增加①</w:t>
            </w:r>
          </w:p>
        </w:tc>
        <w:tc>
          <w:tcPr>
            <w:tcW w:w="3694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减少②</w:t>
            </w:r>
          </w:p>
        </w:tc>
        <w:tc>
          <w:tcPr>
            <w:tcW w:w="128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②</w:t>
            </w:r>
          </w:p>
        </w:tc>
        <w:tc>
          <w:tcPr>
            <w:tcW w:w="1406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11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0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建设用地内部转换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28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406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1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20.34 </w:t>
            </w:r>
          </w:p>
        </w:tc>
        <w:tc>
          <w:tcPr>
            <w:tcW w:w="160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24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0.75 </w:t>
            </w:r>
          </w:p>
        </w:tc>
        <w:tc>
          <w:tcPr>
            <w:tcW w:w="144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0.75 </w:t>
            </w:r>
          </w:p>
        </w:tc>
        <w:tc>
          <w:tcPr>
            <w:tcW w:w="128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-0.75 </w:t>
            </w:r>
          </w:p>
        </w:tc>
        <w:tc>
          <w:tcPr>
            <w:tcW w:w="1406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19.59 </w:t>
            </w:r>
          </w:p>
        </w:tc>
      </w:tr>
    </w:tbl>
    <w:p>
      <w:pPr>
        <w:spacing w:before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36" w:name="_Toc469235329"/>
      <w:bookmarkStart w:id="37" w:name="_Toc485908613"/>
      <w:r>
        <w:rPr>
          <w:rFonts w:ascii="Times New Roman" w:hAnsi="Times New Roman" w:eastAsia="黑体" w:cs="Times New Roman"/>
          <w:kern w:val="0"/>
          <w:sz w:val="32"/>
          <w:szCs w:val="32"/>
        </w:rPr>
        <w:t>六、</w:t>
      </w:r>
      <w:bookmarkEnd w:id="36"/>
      <w:r>
        <w:rPr>
          <w:rFonts w:ascii="Times New Roman" w:hAnsi="Times New Roman" w:eastAsia="黑体" w:cs="Times New Roman"/>
          <w:kern w:val="0"/>
          <w:sz w:val="32"/>
          <w:szCs w:val="32"/>
        </w:rPr>
        <w:t>土地利用分区调整情况</w:t>
      </w:r>
      <w:bookmarkEnd w:id="37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8" w:name="_Toc469235330"/>
      <w:bookmarkStart w:id="39" w:name="_Toc485908614"/>
      <w:r>
        <w:rPr>
          <w:rFonts w:ascii="Times New Roman" w:hAnsi="Times New Roman" w:eastAsia="黑体" w:cs="Times New Roman"/>
          <w:sz w:val="30"/>
          <w:szCs w:val="30"/>
        </w:rPr>
        <w:t>（一）土地用途分区修改</w:t>
      </w:r>
      <w:bookmarkEnd w:id="38"/>
      <w:bookmarkEnd w:id="39"/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修改后，将王仙镇土地划分为六个用途区，包括：基本农田保护区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D:\\醴陵调整完善\\表格(净2013)\\乡镇表格\\14王仙镇\\乡镇规划附表.xlsx 用途区!R3C3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1559.26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公顷、一般农地区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D:\\醴陵调整完善\\表格(净2013)\\乡镇表格\\14王仙镇\\乡镇规划附表.xlsx 用途区!R4C3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510.22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公顷、城镇建设用地区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D:\\醴陵调整完善\\表格(净2013)\\乡镇表格\\14王仙镇\\乡镇规划附表.xlsx 用途区!R5C3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260.52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公顷、村镇建设用地区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D:\\醴陵调整完善\\表格(净2013)\\乡镇表格\\14王仙镇\\乡镇规划附表.xlsx 用途区!R6C3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>648.73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公顷、独立工矿区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D:\\醴陵调整完善\\表格(净2013)\\乡镇表格\\14王仙镇\\乡镇规划附表.xlsx 用途区!R7C3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101.67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公顷和林业用地区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D:\\醴陵调整完善\\表格(净2013)\\乡镇表格\\14王仙镇\\乡镇规划附表.xlsx 用途区!R10C3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5081.00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公顷。</w:t>
      </w:r>
    </w:p>
    <w:bookmarkEnd w:id="21"/>
    <w:bookmarkEnd w:id="22"/>
    <w:bookmarkEnd w:id="23"/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40" w:name="_Toc485908615"/>
      <w:bookmarkStart w:id="41" w:name="_Toc469235331"/>
      <w:r>
        <w:rPr>
          <w:rFonts w:ascii="Times New Roman" w:hAnsi="Times New Roman" w:eastAsia="黑体" w:cs="Times New Roman"/>
          <w:sz w:val="30"/>
          <w:szCs w:val="30"/>
        </w:rPr>
        <w:t>（二）建设用地管制分区修改</w:t>
      </w:r>
      <w:bookmarkEnd w:id="40"/>
      <w:bookmarkEnd w:id="41"/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为加强对城乡建设用地的空间管制，本次规划修改，根据土地管理需要，因地制宜地将规划范围内的土地划分为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三</w:t>
      </w:r>
      <w:r>
        <w:rPr>
          <w:rFonts w:ascii="Times New Roman" w:hAnsi="Times New Roman" w:eastAsia="仿宋_GB2312" w:cs="Times New Roman"/>
          <w:sz w:val="28"/>
          <w:szCs w:val="32"/>
        </w:rPr>
        <w:t>个区，分别为允许建设区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D:\\醴陵调整完善\\表格(净2013)\\乡镇表格\\14王仙镇\\乡镇规划附表.xlsx 管制区!R3C3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989.84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、有条件</w:t>
      </w:r>
      <w:r>
        <w:rPr>
          <w:rFonts w:ascii="Times New Roman" w:hAnsi="Times New Roman" w:eastAsia="仿宋_GB2312" w:cs="Times New Roman"/>
          <w:sz w:val="28"/>
          <w:szCs w:val="32"/>
        </w:rPr>
        <w:t>建设区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D:\\醴陵调整完善\\表格(净2013)\\乡镇表格\\14王仙镇\\乡镇规划附表.xlsx 管制区!R4C3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11.18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公顷和限制建设区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D:\\醴陵调整完善\\表格(净2013)\\乡镇表格\\14王仙镇\\乡镇规划附表.xlsx 管制区!R5C3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7585.65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公顷。其中：允许建设区较修改前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增加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D:\\醴陵调整完善\\表格(净2013)\\乡镇表格\\14王仙镇\\乡镇规划附表.xlsx 管制区!R3C4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9.80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公顷，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有条件</w:t>
      </w:r>
      <w:r>
        <w:rPr>
          <w:rFonts w:ascii="Times New Roman" w:hAnsi="Times New Roman" w:eastAsia="仿宋_GB2312" w:cs="Times New Roman"/>
          <w:sz w:val="28"/>
          <w:szCs w:val="32"/>
        </w:rPr>
        <w:t>建设区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增加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LINK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D:\\醴陵调整完善\\表格(净2013)\\乡镇表格\\14王仙镇\\乡镇规划附表.xlsx 管制区!R4C4 \a \t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11.18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32"/>
        </w:rPr>
        <w:t>公顷，</w:t>
      </w:r>
      <w:r>
        <w:rPr>
          <w:rFonts w:ascii="Times New Roman" w:hAnsi="Times New Roman" w:eastAsia="仿宋_GB2312" w:cs="Times New Roman"/>
          <w:sz w:val="28"/>
          <w:szCs w:val="32"/>
        </w:rPr>
        <w:t>限制建设区较修改前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减少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D:\\醴陵调整完善\\表格(净2013)\\乡镇表格\\14王仙镇\\乡镇规划附表.xlsx 管制区!R5C4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20.98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公顷。</w:t>
      </w:r>
    </w:p>
    <w:p>
      <w:pPr>
        <w:widowControl/>
        <w:spacing w:beforeLines="50" w:afterLines="50" w:line="600" w:lineRule="exact"/>
        <w:ind w:firstLine="600" w:firstLineChars="200"/>
        <w:jc w:val="left"/>
        <w:rPr>
          <w:rFonts w:ascii="Times New Roman" w:hAnsi="Times New Roman" w:eastAsia="仿宋" w:cs="Times New Roman"/>
          <w:kern w:val="0"/>
          <w:sz w:val="30"/>
          <w:szCs w:val="30"/>
        </w:rPr>
        <w:sectPr>
          <w:footerReference r:id="rId5" w:type="default"/>
          <w:pgSz w:w="23814" w:h="16839"/>
          <w:pgMar w:top="1418" w:right="1418" w:bottom="1418" w:left="1701" w:header="851" w:footer="992" w:gutter="0"/>
          <w:pgNumType w:start="1"/>
          <w:cols w:space="720" w:num="2"/>
          <w:docGrid w:type="lines" w:linePitch="312" w:charSpace="0"/>
        </w:sectPr>
      </w:pPr>
    </w:p>
    <w:p>
      <w:pPr>
        <w:spacing w:beforeLines="50" w:after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42" w:name="_Toc469235332"/>
      <w:bookmarkStart w:id="43" w:name="_Toc485908616"/>
      <w:r>
        <w:rPr>
          <w:rFonts w:ascii="Times New Roman" w:hAnsi="Times New Roman" w:eastAsia="黑体" w:cs="Times New Roman"/>
          <w:kern w:val="0"/>
          <w:sz w:val="32"/>
          <w:szCs w:val="32"/>
        </w:rPr>
        <w:t>附表</w:t>
      </w:r>
      <w:bookmarkEnd w:id="42"/>
      <w:bookmarkEnd w:id="43"/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44" w:name="_Toc485908617"/>
      <w:r>
        <w:rPr>
          <w:rFonts w:ascii="Times New Roman" w:hAnsi="Times New Roman" w:eastAsia="黑体" w:cs="Times New Roman"/>
          <w:sz w:val="24"/>
          <w:szCs w:val="24"/>
        </w:rPr>
        <w:t>附表1  王仙镇土地利用现状表（2014年）</w:t>
      </w:r>
      <w:bookmarkEnd w:id="44"/>
    </w:p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单位：公顷、%</w:t>
      </w:r>
    </w:p>
    <w:tbl>
      <w:tblPr>
        <w:tblStyle w:val="21"/>
        <w:tblW w:w="20889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5"/>
        <w:gridCol w:w="3033"/>
        <w:gridCol w:w="5260"/>
        <w:gridCol w:w="4947"/>
        <w:gridCol w:w="4324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8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地类</w:t>
            </w:r>
          </w:p>
        </w:tc>
        <w:tc>
          <w:tcPr>
            <w:tcW w:w="92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2014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8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面积</w:t>
            </w:r>
          </w:p>
        </w:tc>
        <w:tc>
          <w:tcPr>
            <w:tcW w:w="43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比重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土地总面积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8586.67</w:t>
            </w:r>
          </w:p>
        </w:tc>
        <w:tc>
          <w:tcPr>
            <w:tcW w:w="43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农用地</w:t>
            </w:r>
          </w:p>
        </w:tc>
        <w:tc>
          <w:tcPr>
            <w:tcW w:w="829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1716.19</w:t>
            </w:r>
          </w:p>
        </w:tc>
        <w:tc>
          <w:tcPr>
            <w:tcW w:w="43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19.99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29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园地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29.96</w:t>
            </w:r>
          </w:p>
        </w:tc>
        <w:tc>
          <w:tcPr>
            <w:tcW w:w="43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0.35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29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林地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5129.64</w:t>
            </w:r>
          </w:p>
        </w:tc>
        <w:tc>
          <w:tcPr>
            <w:tcW w:w="43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59.74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29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牧草地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43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29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其他农用地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453.44</w:t>
            </w:r>
          </w:p>
        </w:tc>
        <w:tc>
          <w:tcPr>
            <w:tcW w:w="43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5.28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29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7329.23</w:t>
            </w:r>
          </w:p>
        </w:tc>
        <w:tc>
          <w:tcPr>
            <w:tcW w:w="43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85.36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</w:t>
            </w:r>
          </w:p>
        </w:tc>
        <w:tc>
          <w:tcPr>
            <w:tcW w:w="303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</w:t>
            </w:r>
          </w:p>
        </w:tc>
        <w:tc>
          <w:tcPr>
            <w:tcW w:w="5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138.28</w:t>
            </w:r>
          </w:p>
        </w:tc>
        <w:tc>
          <w:tcPr>
            <w:tcW w:w="43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1.61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03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771.54</w:t>
            </w:r>
          </w:p>
        </w:tc>
        <w:tc>
          <w:tcPr>
            <w:tcW w:w="43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8.99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03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采矿用地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62.34</w:t>
            </w:r>
          </w:p>
        </w:tc>
        <w:tc>
          <w:tcPr>
            <w:tcW w:w="43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0.73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03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其他独立建设用地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43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03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972.16</w:t>
            </w:r>
          </w:p>
        </w:tc>
        <w:tc>
          <w:tcPr>
            <w:tcW w:w="43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11.32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29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102.03</w:t>
            </w:r>
          </w:p>
        </w:tc>
        <w:tc>
          <w:tcPr>
            <w:tcW w:w="43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1.19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29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20.66</w:t>
            </w:r>
          </w:p>
        </w:tc>
        <w:tc>
          <w:tcPr>
            <w:tcW w:w="43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0.24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29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1094.85</w:t>
            </w:r>
          </w:p>
        </w:tc>
        <w:tc>
          <w:tcPr>
            <w:tcW w:w="43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12.75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其他土地</w:t>
            </w:r>
          </w:p>
        </w:tc>
        <w:tc>
          <w:tcPr>
            <w:tcW w:w="829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水域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136.25</w:t>
            </w:r>
          </w:p>
        </w:tc>
        <w:tc>
          <w:tcPr>
            <w:tcW w:w="43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1.59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29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自然保留地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26.34</w:t>
            </w:r>
          </w:p>
        </w:tc>
        <w:tc>
          <w:tcPr>
            <w:tcW w:w="43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0.31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29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162.59</w:t>
            </w:r>
          </w:p>
        </w:tc>
        <w:tc>
          <w:tcPr>
            <w:tcW w:w="43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1.89</w:t>
            </w:r>
          </w:p>
        </w:tc>
      </w:tr>
    </w:tbl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spacing w:beforeLines="50" w:after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  <w:sectPr>
          <w:pgSz w:w="23814" w:h="16839"/>
          <w:pgMar w:top="1440" w:right="1440" w:bottom="1440" w:left="1701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45" w:name="_Toc485908618"/>
      <w:bookmarkStart w:id="46" w:name="_Toc469235333"/>
      <w:r>
        <w:rPr>
          <w:rFonts w:ascii="Times New Roman" w:hAnsi="Times New Roman" w:eastAsia="黑体" w:cs="Times New Roman"/>
          <w:sz w:val="24"/>
          <w:szCs w:val="24"/>
        </w:rPr>
        <w:t>附表2王仙镇土地利用结构调整表</w:t>
      </w:r>
      <w:bookmarkEnd w:id="45"/>
    </w:p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单位:公顷、%</w:t>
      </w:r>
    </w:p>
    <w:tbl>
      <w:tblPr>
        <w:tblStyle w:val="21"/>
        <w:tblW w:w="20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836"/>
        <w:gridCol w:w="2924"/>
        <w:gridCol w:w="1671"/>
        <w:gridCol w:w="1462"/>
        <w:gridCol w:w="1479"/>
        <w:gridCol w:w="1654"/>
        <w:gridCol w:w="1671"/>
        <w:gridCol w:w="1884"/>
        <w:gridCol w:w="1876"/>
        <w:gridCol w:w="1884"/>
        <w:gridCol w:w="25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755" w:type="dxa"/>
            <w:gridSpan w:val="3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地类</w:t>
            </w:r>
          </w:p>
        </w:tc>
        <w:tc>
          <w:tcPr>
            <w:tcW w:w="3133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2005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</w:tc>
        <w:tc>
          <w:tcPr>
            <w:tcW w:w="3133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2014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</w:tc>
        <w:tc>
          <w:tcPr>
            <w:tcW w:w="3555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规划修改前（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年）</w:t>
            </w:r>
          </w:p>
        </w:tc>
        <w:tc>
          <w:tcPr>
            <w:tcW w:w="3760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规划修改后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(2020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)</w:t>
            </w:r>
          </w:p>
        </w:tc>
        <w:tc>
          <w:tcPr>
            <w:tcW w:w="255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年（修改后）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-2014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755" w:type="dxa"/>
            <w:gridSpan w:val="3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面积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比重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面积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比重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面积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比重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面积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比重</w:t>
            </w:r>
          </w:p>
        </w:tc>
        <w:tc>
          <w:tcPr>
            <w:tcW w:w="255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土地总面积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8586.67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8586.67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8586.67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8586.67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农用地</w:t>
            </w: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1714.01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19.96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1716.19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19.99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1715.45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19.98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1706.98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19.88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-9.21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园地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30.50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0.36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29.96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0.35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114.08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1.33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112.80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1.31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林地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5171.90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60.23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5129.64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59.74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5092.21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59.30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5071.73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59.07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-57.91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牧草地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其他农用地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453.40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5.28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453.44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5.28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423.12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4.93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454.82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5.30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7369.81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85.83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7329.23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85.36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7344.86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85.54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7346.33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85.56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</w:t>
            </w:r>
          </w:p>
        </w:tc>
        <w:tc>
          <w:tcPr>
            <w:tcW w:w="8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</w:t>
            </w:r>
          </w:p>
        </w:tc>
        <w:tc>
          <w:tcPr>
            <w:tcW w:w="2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137.25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1.60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138.28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1.61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183.98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2.14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251.29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2.93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113.01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750.29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8.74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771.54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8.99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652.00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7.59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633.77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7.38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-137.77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采矿用地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64.51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0.75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62.34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0.73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65.88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0.77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51.17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-11.17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其他独立建设用地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78.18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0.91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53.62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0.62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53.62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952.05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11.09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972.16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11.32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980.04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11.41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989.84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11.53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80.12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0.93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102.03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1.19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91.09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1.06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81.28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0.95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-20.75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20.00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0.23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20.66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0.24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20.34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0.24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19.59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0.23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-1.07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1052.17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12.25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1094.85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12.75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1091.47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12.71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1090.71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12.70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-4.14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5" w:type="dxa"/>
            <w:vMerge w:val="restart"/>
            <w:tcBorders>
              <w:top w:val="nil"/>
              <w:left w:val="nil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其他土地</w:t>
            </w: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水域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137.06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1.60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136.25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1.59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136.14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1.59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135.60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1.58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-0.65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5" w:type="dxa"/>
            <w:vMerge w:val="continue"/>
            <w:tcBorders>
              <w:top w:val="nil"/>
              <w:left w:val="nil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自然保留地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27.63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0.32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26.34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0.31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14.20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0.17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14.03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0.16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-12.31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5" w:type="dxa"/>
            <w:vMerge w:val="continue"/>
            <w:tcBorders>
              <w:top w:val="nil"/>
              <w:left w:val="nil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16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164.69</w:t>
            </w:r>
          </w:p>
        </w:tc>
        <w:tc>
          <w:tcPr>
            <w:tcW w:w="146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1.92</w:t>
            </w:r>
          </w:p>
        </w:tc>
        <w:tc>
          <w:tcPr>
            <w:tcW w:w="147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162.59</w:t>
            </w:r>
          </w:p>
        </w:tc>
        <w:tc>
          <w:tcPr>
            <w:tcW w:w="165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1.89</w:t>
            </w:r>
          </w:p>
        </w:tc>
        <w:tc>
          <w:tcPr>
            <w:tcW w:w="16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150.34</w:t>
            </w:r>
          </w:p>
        </w:tc>
        <w:tc>
          <w:tcPr>
            <w:tcW w:w="188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1.75</w:t>
            </w:r>
          </w:p>
        </w:tc>
        <w:tc>
          <w:tcPr>
            <w:tcW w:w="187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149.63</w:t>
            </w:r>
          </w:p>
        </w:tc>
        <w:tc>
          <w:tcPr>
            <w:tcW w:w="188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1.74</w:t>
            </w:r>
          </w:p>
        </w:tc>
        <w:tc>
          <w:tcPr>
            <w:tcW w:w="2553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-12.96</w:t>
            </w:r>
          </w:p>
        </w:tc>
      </w:tr>
    </w:tbl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黑体" w:cs="Times New Roman"/>
          <w:sz w:val="24"/>
          <w:szCs w:val="24"/>
        </w:rPr>
        <w:sectPr>
          <w:pgSz w:w="23814" w:h="16839"/>
          <w:pgMar w:top="1440" w:right="1440" w:bottom="1440" w:left="1701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47" w:name="_Toc485908619"/>
      <w:r>
        <w:rPr>
          <w:rFonts w:ascii="Times New Roman" w:hAnsi="Times New Roman" w:eastAsia="黑体" w:cs="Times New Roman"/>
          <w:sz w:val="24"/>
          <w:szCs w:val="24"/>
        </w:rPr>
        <w:t>附表3王仙镇</w:t>
      </w:r>
      <w:bookmarkEnd w:id="46"/>
      <w:r>
        <w:rPr>
          <w:rFonts w:ascii="Times New Roman" w:hAnsi="Times New Roman" w:eastAsia="黑体" w:cs="Times New Roman"/>
          <w:sz w:val="24"/>
          <w:szCs w:val="24"/>
        </w:rPr>
        <w:t>土地利用规划目标调整表</w:t>
      </w:r>
      <w:bookmarkEnd w:id="47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21"/>
        <w:tblW w:w="20889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6910"/>
        <w:gridCol w:w="3940"/>
        <w:gridCol w:w="3200"/>
        <w:gridCol w:w="2853"/>
        <w:gridCol w:w="2745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51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指标名称</w:t>
            </w:r>
          </w:p>
        </w:tc>
        <w:tc>
          <w:tcPr>
            <w:tcW w:w="39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规划修改前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2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规划修改后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285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差值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②-①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指标属性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总量目标</w:t>
            </w: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耕地保有量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1715.45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1689.00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-26.45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基本农田保护面积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1459.84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1380.00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-79.84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建设用地总规模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1091.47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1090.71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-0.76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城乡建设用地规模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980.04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989.84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9.80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城镇工矿用地规模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328.04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356.08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28.04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增量目标</w:t>
            </w: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新增建设用地规模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189.59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220.17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30.58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新增建设占用农用地规模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187.30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217.17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29.87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新增建设占用耕地规模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83.85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102.75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18.90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补充耕地任务量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85.29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95.72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10.43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</w:tbl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8"/>
          <w:szCs w:val="24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48" w:name="_Toc485908620"/>
      <w:r>
        <w:rPr>
          <w:rFonts w:ascii="Times New Roman" w:hAnsi="Times New Roman" w:eastAsia="黑体" w:cs="Times New Roman"/>
          <w:sz w:val="24"/>
          <w:szCs w:val="24"/>
        </w:rPr>
        <w:t>附表4王仙镇落实上一级土地利用规划指标情况表</w:t>
      </w:r>
      <w:bookmarkEnd w:id="48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21"/>
        <w:tblW w:w="20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6923"/>
        <w:gridCol w:w="3956"/>
        <w:gridCol w:w="3631"/>
        <w:gridCol w:w="2306"/>
        <w:gridCol w:w="28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3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指标名称</w:t>
            </w:r>
          </w:p>
        </w:tc>
        <w:tc>
          <w:tcPr>
            <w:tcW w:w="395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上级规划下达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年目标①</w:t>
            </w:r>
          </w:p>
        </w:tc>
        <w:tc>
          <w:tcPr>
            <w:tcW w:w="363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本镇规划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年落实数②</w:t>
            </w:r>
          </w:p>
        </w:tc>
        <w:tc>
          <w:tcPr>
            <w:tcW w:w="230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差值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②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①</w:t>
            </w:r>
          </w:p>
        </w:tc>
        <w:tc>
          <w:tcPr>
            <w:tcW w:w="2833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指标属性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总量目标</w:t>
            </w:r>
          </w:p>
        </w:tc>
        <w:tc>
          <w:tcPr>
            <w:tcW w:w="6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耕地保有量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1689.00</w:t>
            </w:r>
          </w:p>
        </w:tc>
        <w:tc>
          <w:tcPr>
            <w:tcW w:w="3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1706.98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17.98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基本农田保护面积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1380.00</w:t>
            </w:r>
          </w:p>
        </w:tc>
        <w:tc>
          <w:tcPr>
            <w:tcW w:w="3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1381.20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1.20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建设用地总规模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1090.71</w:t>
            </w:r>
          </w:p>
        </w:tc>
        <w:tc>
          <w:tcPr>
            <w:tcW w:w="3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1090.71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城乡建设用地规模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989.84</w:t>
            </w:r>
          </w:p>
        </w:tc>
        <w:tc>
          <w:tcPr>
            <w:tcW w:w="3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989.84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vMerge w:val="continue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92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城镇工矿用地规模</w:t>
            </w:r>
          </w:p>
        </w:tc>
        <w:tc>
          <w:tcPr>
            <w:tcW w:w="395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356.08</w:t>
            </w:r>
          </w:p>
        </w:tc>
        <w:tc>
          <w:tcPr>
            <w:tcW w:w="363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356.08</w:t>
            </w:r>
          </w:p>
        </w:tc>
        <w:tc>
          <w:tcPr>
            <w:tcW w:w="230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833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</w:tbl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  <w:sectPr>
          <w:pgSz w:w="23814" w:h="16839"/>
          <w:pgMar w:top="1440" w:right="1440" w:bottom="1440" w:left="1701" w:header="851" w:footer="992" w:gutter="0"/>
          <w:cols w:space="720" w:num="1"/>
          <w:docGrid w:type="lines" w:linePitch="312" w:charSpace="0"/>
        </w:sectPr>
      </w:pPr>
      <w:bookmarkStart w:id="49" w:name="_Toc469235338"/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0" w:name="_Toc469235336"/>
      <w:bookmarkStart w:id="51" w:name="_Toc485908621"/>
      <w:r>
        <w:rPr>
          <w:rFonts w:ascii="Times New Roman" w:hAnsi="Times New Roman" w:eastAsia="黑体" w:cs="Times New Roman"/>
          <w:sz w:val="24"/>
          <w:szCs w:val="24"/>
        </w:rPr>
        <w:t>附表5  调入区域规划调整前后对比表</w:t>
      </w:r>
      <w:bookmarkEnd w:id="50"/>
      <w:bookmarkEnd w:id="51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21"/>
        <w:tblW w:w="212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951"/>
        <w:gridCol w:w="1277"/>
        <w:gridCol w:w="1417"/>
        <w:gridCol w:w="1277"/>
        <w:gridCol w:w="1842"/>
        <w:gridCol w:w="2894"/>
        <w:gridCol w:w="1600"/>
        <w:gridCol w:w="1600"/>
        <w:gridCol w:w="1133"/>
        <w:gridCol w:w="1277"/>
        <w:gridCol w:w="1133"/>
        <w:gridCol w:w="36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44" w:type="dxa"/>
            <w:gridSpan w:val="1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调整前</w:t>
            </w:r>
          </w:p>
        </w:tc>
        <w:tc>
          <w:tcPr>
            <w:tcW w:w="3675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调整后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耕地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园地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林地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其他农用地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城镇用地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农村居民点用地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采矿及其他独立建设用地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交通水利用地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其他建设用地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水域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自然保留地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小计</w:t>
            </w:r>
          </w:p>
        </w:tc>
        <w:tc>
          <w:tcPr>
            <w:tcW w:w="3675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22.71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0.65 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22.45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2.71 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25.32 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0.08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0.54 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74.46 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10.45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0.23 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24.85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0.43 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0.22 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0.06 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0.08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0.17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36.49 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6.01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0.54 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21.11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0.37 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2.03 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2.62 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0.59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33.27 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采矿及其他独立建设用地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其它建设用地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39.17 </w:t>
            </w:r>
          </w:p>
        </w:tc>
        <w:tc>
          <w:tcPr>
            <w:tcW w:w="95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1.42 </w:t>
            </w:r>
          </w:p>
        </w:tc>
        <w:tc>
          <w:tcPr>
            <w:tcW w:w="127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68.41 </w:t>
            </w:r>
          </w:p>
        </w:tc>
        <w:tc>
          <w:tcPr>
            <w:tcW w:w="141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3.51 </w:t>
            </w:r>
          </w:p>
        </w:tc>
        <w:tc>
          <w:tcPr>
            <w:tcW w:w="127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0.22 </w:t>
            </w:r>
          </w:p>
        </w:tc>
        <w:tc>
          <w:tcPr>
            <w:tcW w:w="184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27.35 </w:t>
            </w:r>
          </w:p>
        </w:tc>
        <w:tc>
          <w:tcPr>
            <w:tcW w:w="289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2.68 </w:t>
            </w:r>
          </w:p>
        </w:tc>
        <w:tc>
          <w:tcPr>
            <w:tcW w:w="16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0.75 </w:t>
            </w:r>
          </w:p>
        </w:tc>
        <w:tc>
          <w:tcPr>
            <w:tcW w:w="113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0.54 </w:t>
            </w:r>
          </w:p>
        </w:tc>
        <w:tc>
          <w:tcPr>
            <w:tcW w:w="127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0.17 </w:t>
            </w:r>
          </w:p>
        </w:tc>
        <w:tc>
          <w:tcPr>
            <w:tcW w:w="113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144.22 </w:t>
            </w:r>
          </w:p>
        </w:tc>
        <w:tc>
          <w:tcPr>
            <w:tcW w:w="3675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</w:tr>
    </w:tbl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2" w:name="_Toc485908622"/>
      <w:r>
        <w:rPr>
          <w:rFonts w:ascii="Times New Roman" w:hAnsi="Times New Roman" w:eastAsia="黑体" w:cs="Times New Roman"/>
          <w:sz w:val="24"/>
          <w:szCs w:val="24"/>
        </w:rPr>
        <w:t>附表6  调出区域规划调整前后对比表</w:t>
      </w:r>
      <w:bookmarkEnd w:id="52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21"/>
        <w:tblW w:w="20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6"/>
        <w:gridCol w:w="995"/>
        <w:gridCol w:w="991"/>
        <w:gridCol w:w="994"/>
        <w:gridCol w:w="1700"/>
        <w:gridCol w:w="1136"/>
        <w:gridCol w:w="1951"/>
        <w:gridCol w:w="2582"/>
        <w:gridCol w:w="1558"/>
        <w:gridCol w:w="1562"/>
        <w:gridCol w:w="1132"/>
        <w:gridCol w:w="1558"/>
        <w:gridCol w:w="15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26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调整前</w:t>
            </w:r>
          </w:p>
        </w:tc>
        <w:tc>
          <w:tcPr>
            <w:tcW w:w="17663" w:type="dxa"/>
            <w:gridSpan w:val="12"/>
            <w:tcBorders>
              <w:top w:val="double" w:color="auto" w:sz="6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调整后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26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耕地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园地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林地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其他农用地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城镇用地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农村居民点用地</w:t>
            </w:r>
          </w:p>
        </w:tc>
        <w:tc>
          <w:tcPr>
            <w:tcW w:w="2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采矿及其他独立建设用地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交通水利用地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其他建设用地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水域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自然保留地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1.83 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5.01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0.10 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0.22 </w:t>
            </w:r>
          </w:p>
        </w:tc>
        <w:tc>
          <w:tcPr>
            <w:tcW w:w="2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7.15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27.38 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25.32 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2.03 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54.73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采矿及其他独立建设用地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22.41 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0.14 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45.88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1.43 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0.06 </w:t>
            </w:r>
          </w:p>
        </w:tc>
        <w:tc>
          <w:tcPr>
            <w:tcW w:w="2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2.62 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72.54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9.81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9.81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0.08 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0.08 </w:t>
            </w:r>
          </w:p>
        </w:tc>
        <w:tc>
          <w:tcPr>
            <w:tcW w:w="2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0.59 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0.75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2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99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51.61 </w:t>
            </w:r>
          </w:p>
        </w:tc>
        <w:tc>
          <w:tcPr>
            <w:tcW w:w="99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0.14 </w:t>
            </w:r>
          </w:p>
        </w:tc>
        <w:tc>
          <w:tcPr>
            <w:tcW w:w="99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60.70 </w:t>
            </w:r>
          </w:p>
        </w:tc>
        <w:tc>
          <w:tcPr>
            <w:tcW w:w="17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1.52 </w:t>
            </w:r>
          </w:p>
        </w:tc>
        <w:tc>
          <w:tcPr>
            <w:tcW w:w="113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25.40 </w:t>
            </w:r>
          </w:p>
        </w:tc>
        <w:tc>
          <w:tcPr>
            <w:tcW w:w="195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0.36 </w:t>
            </w:r>
          </w:p>
        </w:tc>
        <w:tc>
          <w:tcPr>
            <w:tcW w:w="258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5.24 </w:t>
            </w:r>
          </w:p>
        </w:tc>
        <w:tc>
          <w:tcPr>
            <w:tcW w:w="155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6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3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5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04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144.98 </w:t>
            </w:r>
          </w:p>
        </w:tc>
      </w:tr>
    </w:tbl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  <w:sectPr>
          <w:pgSz w:w="23814" w:h="16839"/>
          <w:pgMar w:top="1440" w:right="1440" w:bottom="1440" w:left="1701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3" w:name="_Toc485908623"/>
      <w:r>
        <w:rPr>
          <w:rFonts w:ascii="Times New Roman" w:hAnsi="Times New Roman" w:eastAsia="黑体" w:cs="Times New Roman"/>
          <w:sz w:val="24"/>
          <w:szCs w:val="24"/>
        </w:rPr>
        <w:t>附表7  王仙镇耕地保有量和基本农田保护面积分解表</w:t>
      </w:r>
      <w:bookmarkEnd w:id="53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21"/>
        <w:tblW w:w="20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7"/>
        <w:gridCol w:w="4286"/>
        <w:gridCol w:w="7257"/>
        <w:gridCol w:w="64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7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序号</w:t>
            </w:r>
          </w:p>
        </w:tc>
        <w:tc>
          <w:tcPr>
            <w:tcW w:w="4286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单位</w:t>
            </w:r>
          </w:p>
        </w:tc>
        <w:tc>
          <w:tcPr>
            <w:tcW w:w="7257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规划2020年耕地保有量</w:t>
            </w:r>
          </w:p>
        </w:tc>
        <w:tc>
          <w:tcPr>
            <w:tcW w:w="6459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规划期间基本农田保护面积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887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286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7257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6459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灌冲村</w:t>
            </w:r>
          </w:p>
        </w:tc>
        <w:tc>
          <w:tcPr>
            <w:tcW w:w="7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157.20 </w:t>
            </w:r>
          </w:p>
        </w:tc>
        <w:tc>
          <w:tcPr>
            <w:tcW w:w="64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126.93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温泉村</w:t>
            </w:r>
          </w:p>
        </w:tc>
        <w:tc>
          <w:tcPr>
            <w:tcW w:w="7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143.40 </w:t>
            </w:r>
          </w:p>
        </w:tc>
        <w:tc>
          <w:tcPr>
            <w:tcW w:w="64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118.32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大屏村</w:t>
            </w:r>
          </w:p>
        </w:tc>
        <w:tc>
          <w:tcPr>
            <w:tcW w:w="7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167.12 </w:t>
            </w:r>
          </w:p>
        </w:tc>
        <w:tc>
          <w:tcPr>
            <w:tcW w:w="64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130.27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申熙村</w:t>
            </w:r>
          </w:p>
        </w:tc>
        <w:tc>
          <w:tcPr>
            <w:tcW w:w="7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293.96 </w:t>
            </w:r>
          </w:p>
        </w:tc>
        <w:tc>
          <w:tcPr>
            <w:tcW w:w="64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252.13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李山村</w:t>
            </w:r>
          </w:p>
        </w:tc>
        <w:tc>
          <w:tcPr>
            <w:tcW w:w="7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177.23 </w:t>
            </w:r>
          </w:p>
        </w:tc>
        <w:tc>
          <w:tcPr>
            <w:tcW w:w="64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95.84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书堂村</w:t>
            </w:r>
          </w:p>
        </w:tc>
        <w:tc>
          <w:tcPr>
            <w:tcW w:w="7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68.87 </w:t>
            </w:r>
          </w:p>
        </w:tc>
        <w:tc>
          <w:tcPr>
            <w:tcW w:w="64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61.26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观口村</w:t>
            </w:r>
          </w:p>
        </w:tc>
        <w:tc>
          <w:tcPr>
            <w:tcW w:w="7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76.21 </w:t>
            </w:r>
          </w:p>
        </w:tc>
        <w:tc>
          <w:tcPr>
            <w:tcW w:w="64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55.08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王仙居委会</w:t>
            </w:r>
          </w:p>
        </w:tc>
        <w:tc>
          <w:tcPr>
            <w:tcW w:w="7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12.02 </w:t>
            </w:r>
          </w:p>
        </w:tc>
        <w:tc>
          <w:tcPr>
            <w:tcW w:w="64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9.15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司徒村</w:t>
            </w:r>
          </w:p>
        </w:tc>
        <w:tc>
          <w:tcPr>
            <w:tcW w:w="7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130.46 </w:t>
            </w:r>
          </w:p>
        </w:tc>
        <w:tc>
          <w:tcPr>
            <w:tcW w:w="64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117.82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香水村</w:t>
            </w:r>
          </w:p>
        </w:tc>
        <w:tc>
          <w:tcPr>
            <w:tcW w:w="7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190.28 </w:t>
            </w:r>
          </w:p>
        </w:tc>
        <w:tc>
          <w:tcPr>
            <w:tcW w:w="64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164.62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三狮村</w:t>
            </w:r>
          </w:p>
        </w:tc>
        <w:tc>
          <w:tcPr>
            <w:tcW w:w="7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290.24 </w:t>
            </w:r>
          </w:p>
        </w:tc>
        <w:tc>
          <w:tcPr>
            <w:tcW w:w="64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249.77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7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合计</w:t>
            </w:r>
          </w:p>
        </w:tc>
        <w:tc>
          <w:tcPr>
            <w:tcW w:w="4286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王仙镇</w:t>
            </w:r>
          </w:p>
        </w:tc>
        <w:tc>
          <w:tcPr>
            <w:tcW w:w="7257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1706.98 </w:t>
            </w:r>
          </w:p>
        </w:tc>
        <w:tc>
          <w:tcPr>
            <w:tcW w:w="6459" w:type="dxa"/>
            <w:tcBorders>
              <w:top w:val="single" w:color="auto" w:sz="4" w:space="0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1381.20</w:t>
            </w:r>
          </w:p>
        </w:tc>
      </w:tr>
    </w:tbl>
    <w:p>
      <w:pPr>
        <w:outlineLvl w:val="1"/>
        <w:rPr>
          <w:rFonts w:ascii="Times New Roman" w:hAnsi="Times New Roman" w:eastAsia="黑体" w:cs="Times New Roman"/>
          <w:sz w:val="24"/>
          <w:szCs w:val="24"/>
        </w:rPr>
        <w:sectPr>
          <w:pgSz w:w="23814" w:h="16839"/>
          <w:pgMar w:top="1440" w:right="1440" w:bottom="1440" w:left="1701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4" w:name="_Toc485908624"/>
      <w:r>
        <w:rPr>
          <w:rFonts w:ascii="Times New Roman" w:hAnsi="Times New Roman" w:eastAsia="黑体" w:cs="Times New Roman"/>
          <w:sz w:val="24"/>
          <w:szCs w:val="24"/>
        </w:rPr>
        <w:t>附表8王仙镇</w:t>
      </w:r>
      <w:bookmarkEnd w:id="49"/>
      <w:r>
        <w:rPr>
          <w:rFonts w:ascii="Times New Roman" w:hAnsi="Times New Roman" w:eastAsia="黑体" w:cs="Times New Roman"/>
          <w:sz w:val="24"/>
          <w:szCs w:val="24"/>
        </w:rPr>
        <w:t>土地用途分区修改情况表</w:t>
      </w:r>
      <w:bookmarkEnd w:id="54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21"/>
        <w:tblW w:w="20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3"/>
        <w:gridCol w:w="5448"/>
        <w:gridCol w:w="5448"/>
        <w:gridCol w:w="43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3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用途分区类型</w:t>
            </w:r>
          </w:p>
        </w:tc>
        <w:tc>
          <w:tcPr>
            <w:tcW w:w="544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年（修改前）</w:t>
            </w:r>
          </w:p>
        </w:tc>
        <w:tc>
          <w:tcPr>
            <w:tcW w:w="544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年（修改后）</w:t>
            </w:r>
          </w:p>
        </w:tc>
        <w:tc>
          <w:tcPr>
            <w:tcW w:w="4320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修改后-修改前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基本农田保护区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1637.90 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1559.26 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-78.64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一般农地区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669.40 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699.82 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30.42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城镇建设用地区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192.99 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260.33 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67.34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村镇建设用地区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666.66 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648.42 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-18.23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独立工矿区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140.94 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101.67 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-39.27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风景旅游用地区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20.34 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-20.34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林业用地区</w:t>
            </w:r>
          </w:p>
        </w:tc>
        <w:tc>
          <w:tcPr>
            <w:tcW w:w="544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5102.97 </w:t>
            </w:r>
          </w:p>
        </w:tc>
        <w:tc>
          <w:tcPr>
            <w:tcW w:w="544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5082.49 </w:t>
            </w:r>
          </w:p>
        </w:tc>
        <w:tc>
          <w:tcPr>
            <w:tcW w:w="4320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-20.48 </w:t>
            </w:r>
          </w:p>
        </w:tc>
      </w:tr>
    </w:tbl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rPr>
          <w:rFonts w:ascii="Times New Roman" w:hAnsi="Times New Roman" w:eastAsia="宋体" w:cs="Times New Roman"/>
          <w:szCs w:val="21"/>
        </w:rPr>
      </w:pPr>
    </w:p>
    <w:p>
      <w:pPr>
        <w:jc w:val="center"/>
        <w:rPr>
          <w:rFonts w:ascii="Times New Roman" w:hAnsi="Times New Roman" w:eastAsia="宋体" w:cs="Times New Roman"/>
          <w:szCs w:val="21"/>
        </w:rPr>
      </w:pPr>
    </w:p>
    <w:p>
      <w:pPr>
        <w:jc w:val="center"/>
        <w:rPr>
          <w:rFonts w:ascii="Times New Roman" w:hAnsi="Times New Roman" w:eastAsia="宋体" w:cs="Times New Roman"/>
          <w:szCs w:val="21"/>
        </w:rPr>
      </w:pPr>
    </w:p>
    <w:p>
      <w:pPr>
        <w:jc w:val="center"/>
        <w:rPr>
          <w:rFonts w:ascii="Times New Roman" w:hAnsi="Times New Roman" w:eastAsia="宋体" w:cs="Times New Roman"/>
          <w:szCs w:val="21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5" w:name="_Toc469235339"/>
      <w:bookmarkStart w:id="56" w:name="_Toc485908625"/>
      <w:r>
        <w:rPr>
          <w:rFonts w:ascii="Times New Roman" w:hAnsi="Times New Roman" w:eastAsia="黑体" w:cs="Times New Roman"/>
          <w:sz w:val="24"/>
          <w:szCs w:val="24"/>
        </w:rPr>
        <w:t>附表9王仙镇建设用地空间管制分区修改情况表</w:t>
      </w:r>
      <w:bookmarkEnd w:id="55"/>
      <w:bookmarkEnd w:id="56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21"/>
        <w:tblW w:w="20889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6"/>
        <w:gridCol w:w="5527"/>
        <w:gridCol w:w="5389"/>
        <w:gridCol w:w="4337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管制分区类型</w:t>
            </w:r>
          </w:p>
        </w:tc>
        <w:tc>
          <w:tcPr>
            <w:tcW w:w="55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年（修改前）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年（修改后）</w:t>
            </w:r>
          </w:p>
        </w:tc>
        <w:tc>
          <w:tcPr>
            <w:tcW w:w="43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修改前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允许建设区</w:t>
            </w:r>
          </w:p>
        </w:tc>
        <w:tc>
          <w:tcPr>
            <w:tcW w:w="552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980.04 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989.84 </w:t>
            </w:r>
          </w:p>
        </w:tc>
        <w:tc>
          <w:tcPr>
            <w:tcW w:w="43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9.80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有条件建设区</w:t>
            </w:r>
          </w:p>
        </w:tc>
        <w:tc>
          <w:tcPr>
            <w:tcW w:w="552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11.18 </w:t>
            </w:r>
          </w:p>
        </w:tc>
        <w:tc>
          <w:tcPr>
            <w:tcW w:w="43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11.18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限制建设区</w:t>
            </w:r>
          </w:p>
        </w:tc>
        <w:tc>
          <w:tcPr>
            <w:tcW w:w="552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7606.63 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7585.65 </w:t>
            </w:r>
          </w:p>
        </w:tc>
        <w:tc>
          <w:tcPr>
            <w:tcW w:w="43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-20.98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552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8586.67 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8586.67</w:t>
            </w:r>
          </w:p>
        </w:tc>
        <w:tc>
          <w:tcPr>
            <w:tcW w:w="43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</w:tr>
    </w:tbl>
    <w:p>
      <w:pPr>
        <w:rPr>
          <w:rFonts w:ascii="Times New Roman" w:hAnsi="Times New Roman" w:cs="Times New Roman"/>
          <w:sz w:val="28"/>
          <w:szCs w:val="24"/>
        </w:rPr>
      </w:pPr>
    </w:p>
    <w:p>
      <w:pPr>
        <w:rPr>
          <w:rFonts w:ascii="Times New Roman" w:hAnsi="Times New Roman" w:cs="Times New Roman"/>
          <w:sz w:val="28"/>
          <w:szCs w:val="24"/>
        </w:rPr>
        <w:sectPr>
          <w:pgSz w:w="23814" w:h="16839"/>
          <w:pgMar w:top="1440" w:right="1440" w:bottom="1440" w:left="1701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7" w:name="_Toc469235340"/>
      <w:bookmarkStart w:id="58" w:name="_Toc485908626"/>
      <w:r>
        <w:rPr>
          <w:rFonts w:ascii="Times New Roman" w:hAnsi="Times New Roman" w:eastAsia="黑体" w:cs="Times New Roman"/>
          <w:sz w:val="24"/>
          <w:szCs w:val="24"/>
        </w:rPr>
        <w:t>附表10王仙镇2016-2020年重点建设用地项目规划表</w:t>
      </w:r>
      <w:bookmarkEnd w:id="57"/>
      <w:bookmarkEnd w:id="58"/>
    </w:p>
    <w:tbl>
      <w:tblPr>
        <w:tblStyle w:val="21"/>
        <w:tblW w:w="204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10624"/>
        <w:gridCol w:w="3731"/>
        <w:gridCol w:w="40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2034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624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3731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建设性质</w:t>
            </w:r>
          </w:p>
        </w:tc>
        <w:tc>
          <w:tcPr>
            <w:tcW w:w="4041" w:type="dxa"/>
            <w:tcBorders>
              <w:top w:val="double" w:color="auto" w:sz="6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43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一、交通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0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国道106提质升级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改造升级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0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醴陵-娄底高速公路扩容工程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醴娄高速公路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0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G106醴陵城区绕城公路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10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老关至铁河口公路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0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清水江至茶陵公路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10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枫树桥至王仙公路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7</w:t>
            </w:r>
          </w:p>
        </w:tc>
        <w:tc>
          <w:tcPr>
            <w:tcW w:w="10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渌水航道建设工程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10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渌江大西滩至渌口段航道疏浚工程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9</w:t>
            </w:r>
          </w:p>
        </w:tc>
        <w:tc>
          <w:tcPr>
            <w:tcW w:w="10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渡改桥项目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0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危桥改造项目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11</w:t>
            </w:r>
          </w:p>
        </w:tc>
        <w:tc>
          <w:tcPr>
            <w:tcW w:w="10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生命防护工程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12</w:t>
            </w:r>
          </w:p>
        </w:tc>
        <w:tc>
          <w:tcPr>
            <w:tcW w:w="10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应急抢险（水毁抢险、路桥养护、行道树、砍伐更新、警示标志）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13</w:t>
            </w:r>
          </w:p>
        </w:tc>
        <w:tc>
          <w:tcPr>
            <w:tcW w:w="10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码头改造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14</w:t>
            </w:r>
          </w:p>
        </w:tc>
        <w:tc>
          <w:tcPr>
            <w:tcW w:w="10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农村公路路基拓宽改造工程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15</w:t>
            </w:r>
          </w:p>
        </w:tc>
        <w:tc>
          <w:tcPr>
            <w:tcW w:w="10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招呼站建设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43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二、水利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16</w:t>
            </w:r>
          </w:p>
        </w:tc>
        <w:tc>
          <w:tcPr>
            <w:tcW w:w="10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长塘保护圈工程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17</w:t>
            </w:r>
          </w:p>
        </w:tc>
        <w:tc>
          <w:tcPr>
            <w:tcW w:w="10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渌江及支流治理工程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18</w:t>
            </w:r>
          </w:p>
        </w:tc>
        <w:tc>
          <w:tcPr>
            <w:tcW w:w="10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中小河流治理工程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430" w:type="dxa"/>
            <w:gridSpan w:val="4"/>
            <w:tcBorders>
              <w:top w:val="single" w:color="auto" w:sz="8" w:space="0"/>
              <w:left w:val="nil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三、环保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19</w:t>
            </w:r>
          </w:p>
        </w:tc>
        <w:tc>
          <w:tcPr>
            <w:tcW w:w="10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王仙镇污水处理厂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20</w:t>
            </w:r>
          </w:p>
        </w:tc>
        <w:tc>
          <w:tcPr>
            <w:tcW w:w="10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王仙镇垃圾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中转站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43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四、民生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21</w:t>
            </w:r>
          </w:p>
        </w:tc>
        <w:tc>
          <w:tcPr>
            <w:tcW w:w="10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老关至铁河口公路拆迁安置区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22</w:t>
            </w:r>
          </w:p>
        </w:tc>
        <w:tc>
          <w:tcPr>
            <w:tcW w:w="10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农村饮水安全及水源工程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23</w:t>
            </w:r>
          </w:p>
        </w:tc>
        <w:tc>
          <w:tcPr>
            <w:tcW w:w="10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王仙第二敬老院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24</w:t>
            </w:r>
          </w:p>
        </w:tc>
        <w:tc>
          <w:tcPr>
            <w:tcW w:w="10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王仙花溪敬老院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25</w:t>
            </w:r>
          </w:p>
        </w:tc>
        <w:tc>
          <w:tcPr>
            <w:tcW w:w="10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王仙镇温泉村幼儿园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26</w:t>
            </w:r>
          </w:p>
        </w:tc>
        <w:tc>
          <w:tcPr>
            <w:tcW w:w="10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王仙镇村级活动中心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全镇各村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43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五、旅游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27</w:t>
            </w:r>
          </w:p>
        </w:tc>
        <w:tc>
          <w:tcPr>
            <w:tcW w:w="10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瑞禄园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28</w:t>
            </w:r>
          </w:p>
        </w:tc>
        <w:tc>
          <w:tcPr>
            <w:tcW w:w="10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天济寺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2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29</w:t>
            </w:r>
          </w:p>
        </w:tc>
        <w:tc>
          <w:tcPr>
            <w:tcW w:w="10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王仙镇宝源禅寺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43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六、其他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30</w:t>
            </w:r>
          </w:p>
        </w:tc>
        <w:tc>
          <w:tcPr>
            <w:tcW w:w="10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醴陵市第四轮安全巡查烟花鞭炮企业</w:t>
            </w:r>
          </w:p>
        </w:tc>
        <w:tc>
          <w:tcPr>
            <w:tcW w:w="37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4041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4" w:type="dxa"/>
            <w:tcBorders>
              <w:top w:val="single" w:color="auto" w:sz="8" w:space="0"/>
              <w:left w:val="nil"/>
              <w:bottom w:val="doub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31</w:t>
            </w:r>
          </w:p>
        </w:tc>
        <w:tc>
          <w:tcPr>
            <w:tcW w:w="10624" w:type="dxa"/>
            <w:tcBorders>
              <w:top w:val="single" w:color="auto" w:sz="8" w:space="0"/>
              <w:left w:val="nil"/>
              <w:bottom w:val="doub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</w:rPr>
              <w:t>中南大学高速列车研究中心及试验研究平台</w:t>
            </w:r>
          </w:p>
        </w:tc>
        <w:tc>
          <w:tcPr>
            <w:tcW w:w="3731" w:type="dxa"/>
            <w:tcBorders>
              <w:top w:val="single" w:color="auto" w:sz="8" w:space="0"/>
              <w:left w:val="nil"/>
              <w:bottom w:val="doub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</w:rPr>
              <w:t>新建</w:t>
            </w:r>
          </w:p>
        </w:tc>
        <w:tc>
          <w:tcPr>
            <w:tcW w:w="4041" w:type="dxa"/>
            <w:tcBorders>
              <w:top w:val="single" w:color="auto" w:sz="8" w:space="0"/>
              <w:left w:val="nil"/>
              <w:bottom w:val="doub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</w:tbl>
    <w:p>
      <w:pPr>
        <w:rPr>
          <w:rFonts w:ascii="Times New Roman" w:hAnsi="Times New Roman" w:eastAsia="Times New Roman" w:cs="Times New Roman"/>
          <w:sz w:val="28"/>
          <w:szCs w:val="24"/>
        </w:rPr>
        <w:sectPr>
          <w:pgSz w:w="23814" w:h="16839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9" w:name="_Toc485908627"/>
      <w:r>
        <w:rPr>
          <w:rFonts w:ascii="Times New Roman" w:hAnsi="Times New Roman" w:eastAsia="黑体" w:cs="Times New Roman"/>
          <w:sz w:val="24"/>
          <w:szCs w:val="24"/>
        </w:rPr>
        <w:t>附表11  王仙镇土地用途分区面积统计表</w:t>
      </w:r>
      <w:bookmarkEnd w:id="59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21"/>
        <w:tblW w:w="204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8"/>
        <w:gridCol w:w="2653"/>
        <w:gridCol w:w="2538"/>
        <w:gridCol w:w="2541"/>
        <w:gridCol w:w="2541"/>
        <w:gridCol w:w="2541"/>
        <w:gridCol w:w="2541"/>
        <w:gridCol w:w="25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3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653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53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基本农田保护区</w:t>
            </w:r>
          </w:p>
        </w:tc>
        <w:tc>
          <w:tcPr>
            <w:tcW w:w="254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一般农地区</w:t>
            </w:r>
          </w:p>
        </w:tc>
        <w:tc>
          <w:tcPr>
            <w:tcW w:w="254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城镇建设用地区</w:t>
            </w:r>
          </w:p>
        </w:tc>
        <w:tc>
          <w:tcPr>
            <w:tcW w:w="254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村镇建设用地区</w:t>
            </w:r>
          </w:p>
        </w:tc>
        <w:tc>
          <w:tcPr>
            <w:tcW w:w="254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独立工矿区</w:t>
            </w:r>
          </w:p>
        </w:tc>
        <w:tc>
          <w:tcPr>
            <w:tcW w:w="2537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林业用地区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大屏村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155.31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84.74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0.22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44.96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10.78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502.54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观口村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64.10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26.89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22.35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29.69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12.77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248.04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灌冲村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149.87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47.75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84.51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9.18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416.14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李山村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122.02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122.36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43.56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2.39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2462.90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三狮村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273.04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65.70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0.86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106.05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11.35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359.83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申熙村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274.97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56.66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0.32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114.61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19.37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181.21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书堂村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77.13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17.22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14.11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41.38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6.91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499.77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司徒村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127.93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18.66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83.67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79.90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4.20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176.32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王仙居委会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10.17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5.00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137.25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3.19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0.70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63.31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温泉村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126.96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31.60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0.00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43.69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16.36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62.32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香水村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177.77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33.63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1.75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57.19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7.66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108.61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3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65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王仙镇</w:t>
            </w:r>
          </w:p>
        </w:tc>
        <w:tc>
          <w:tcPr>
            <w:tcW w:w="253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1559.26</w:t>
            </w:r>
          </w:p>
        </w:tc>
        <w:tc>
          <w:tcPr>
            <w:tcW w:w="254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510.22</w:t>
            </w:r>
          </w:p>
        </w:tc>
        <w:tc>
          <w:tcPr>
            <w:tcW w:w="254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260.52</w:t>
            </w:r>
          </w:p>
        </w:tc>
        <w:tc>
          <w:tcPr>
            <w:tcW w:w="254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648.73</w:t>
            </w:r>
          </w:p>
        </w:tc>
        <w:tc>
          <w:tcPr>
            <w:tcW w:w="254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101.67</w:t>
            </w:r>
          </w:p>
        </w:tc>
        <w:tc>
          <w:tcPr>
            <w:tcW w:w="2537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5081.00</w:t>
            </w:r>
          </w:p>
        </w:tc>
      </w:tr>
    </w:tbl>
    <w:p>
      <w:pPr>
        <w:rPr>
          <w:rFonts w:ascii="Times New Roman" w:hAnsi="Times New Roman" w:eastAsia="Times New Roman" w:cs="Times New Roman"/>
          <w:sz w:val="28"/>
          <w:szCs w:val="24"/>
        </w:rPr>
        <w:sectPr>
          <w:pgSz w:w="23814" w:h="16839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60" w:name="_Toc485908628"/>
      <w:bookmarkStart w:id="61" w:name="_Toc469235341"/>
      <w:r>
        <w:rPr>
          <w:rFonts w:ascii="Times New Roman" w:hAnsi="Times New Roman" w:eastAsia="黑体" w:cs="Times New Roman"/>
          <w:sz w:val="24"/>
          <w:szCs w:val="24"/>
        </w:rPr>
        <w:t>附表12王仙镇2006-2020年地类结构平衡表</w:t>
      </w:r>
      <w:bookmarkEnd w:id="60"/>
      <w:bookmarkEnd w:id="61"/>
    </w:p>
    <w:p>
      <w:pPr>
        <w:widowControl/>
        <w:ind w:firstLine="360" w:firstLineChars="200"/>
        <w:jc w:val="right"/>
        <w:rPr>
          <w:rFonts w:ascii="Times New Roman" w:hAnsi="Times New Roman" w:eastAsia="仿宋_GB2312" w:cs="Times New Roman"/>
          <w:sz w:val="18"/>
          <w:szCs w:val="21"/>
        </w:rPr>
      </w:pPr>
      <w:r>
        <w:rPr>
          <w:rFonts w:ascii="Times New Roman" w:hAnsi="Times New Roman" w:eastAsia="仿宋_GB2312" w:cs="Times New Roman"/>
          <w:sz w:val="18"/>
          <w:szCs w:val="21"/>
        </w:rPr>
        <w:t>单位:公顷</w:t>
      </w:r>
    </w:p>
    <w:tbl>
      <w:tblPr>
        <w:tblStyle w:val="21"/>
        <w:tblW w:w="20628" w:type="dxa"/>
        <w:tblInd w:w="0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1517"/>
        <w:gridCol w:w="1002"/>
        <w:gridCol w:w="1002"/>
        <w:gridCol w:w="936"/>
        <w:gridCol w:w="936"/>
        <w:gridCol w:w="1002"/>
        <w:gridCol w:w="937"/>
        <w:gridCol w:w="800"/>
        <w:gridCol w:w="937"/>
        <w:gridCol w:w="937"/>
        <w:gridCol w:w="937"/>
        <w:gridCol w:w="937"/>
        <w:gridCol w:w="937"/>
        <w:gridCol w:w="937"/>
        <w:gridCol w:w="949"/>
        <w:gridCol w:w="937"/>
        <w:gridCol w:w="937"/>
        <w:gridCol w:w="747"/>
        <w:gridCol w:w="937"/>
        <w:gridCol w:w="937"/>
        <w:gridCol w:w="990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7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地类</w:t>
            </w:r>
          </w:p>
        </w:tc>
        <w:tc>
          <w:tcPr>
            <w:tcW w:w="1002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规划基期现状面积</w:t>
            </w:r>
          </w:p>
        </w:tc>
        <w:tc>
          <w:tcPr>
            <w:tcW w:w="14805" w:type="dxa"/>
            <w:gridSpan w:val="16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规划期间调整至其他地类</w:t>
            </w:r>
          </w:p>
        </w:tc>
        <w:tc>
          <w:tcPr>
            <w:tcW w:w="937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期间减少</w:t>
            </w:r>
          </w:p>
        </w:tc>
        <w:tc>
          <w:tcPr>
            <w:tcW w:w="937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净增减</w:t>
            </w:r>
          </w:p>
        </w:tc>
        <w:tc>
          <w:tcPr>
            <w:tcW w:w="99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规划目标年面积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613" w:type="dxa"/>
            <w:gridSpan w:val="6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农用地</w:t>
            </w:r>
          </w:p>
        </w:tc>
        <w:tc>
          <w:tcPr>
            <w:tcW w:w="6571" w:type="dxa"/>
            <w:gridSpan w:val="7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建设用地</w:t>
            </w:r>
          </w:p>
        </w:tc>
        <w:tc>
          <w:tcPr>
            <w:tcW w:w="2621" w:type="dxa"/>
            <w:gridSpan w:val="3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其他土地</w:t>
            </w:r>
          </w:p>
        </w:tc>
        <w:tc>
          <w:tcPr>
            <w:tcW w:w="9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耕地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园地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林地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牧草地</w:t>
            </w:r>
          </w:p>
        </w:tc>
        <w:tc>
          <w:tcPr>
            <w:tcW w:w="80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其他农用地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城镇用地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农村居民点用地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采矿用地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其他独立建设用地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交通水利用地</w:t>
            </w:r>
          </w:p>
        </w:tc>
        <w:tc>
          <w:tcPr>
            <w:tcW w:w="94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其他建设用地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水域</w:t>
            </w:r>
          </w:p>
        </w:tc>
        <w:tc>
          <w:tcPr>
            <w:tcW w:w="74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自然保留地</w:t>
            </w:r>
          </w:p>
        </w:tc>
        <w:tc>
          <w:tcPr>
            <w:tcW w:w="9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7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土地总面积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8586.67 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7346.33 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1706.98 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112.80 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5071.73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800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454.82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1090.71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251.29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633.77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51.17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53.62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81.28 </w:t>
            </w:r>
          </w:p>
        </w:tc>
        <w:tc>
          <w:tcPr>
            <w:tcW w:w="94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19.59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149.63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135.60 </w:t>
            </w:r>
          </w:p>
        </w:tc>
        <w:tc>
          <w:tcPr>
            <w:tcW w:w="74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14.03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-0.00 </w:t>
            </w:r>
          </w:p>
        </w:tc>
        <w:tc>
          <w:tcPr>
            <w:tcW w:w="990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8586.67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农用地</w:t>
            </w:r>
          </w:p>
        </w:tc>
        <w:tc>
          <w:tcPr>
            <w:tcW w:w="15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7369.81 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22.88 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22.88 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800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217.17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87.14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75.54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1.44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31.81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20.80 </w:t>
            </w:r>
          </w:p>
        </w:tc>
        <w:tc>
          <w:tcPr>
            <w:tcW w:w="94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0.44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217.17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-23.48 </w:t>
            </w:r>
          </w:p>
        </w:tc>
        <w:tc>
          <w:tcPr>
            <w:tcW w:w="990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7346.33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耕地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1714.01 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　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800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102.75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51.16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38.01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0.18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3.34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9.92 </w:t>
            </w:r>
          </w:p>
        </w:tc>
        <w:tc>
          <w:tcPr>
            <w:tcW w:w="94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0.14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102.75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-7.03 </w:t>
            </w:r>
          </w:p>
        </w:tc>
        <w:tc>
          <w:tcPr>
            <w:tcW w:w="990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1706.98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园地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30.50 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　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800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1.42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0.65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0.23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0.54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4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1.42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82.30 </w:t>
            </w:r>
          </w:p>
        </w:tc>
        <w:tc>
          <w:tcPr>
            <w:tcW w:w="990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112.80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林地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5171.90 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16.88 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16.88 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　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800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95.35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26.88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31.72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1.23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26.26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8.98 </w:t>
            </w:r>
          </w:p>
        </w:tc>
        <w:tc>
          <w:tcPr>
            <w:tcW w:w="94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0.28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112.23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-100.17 </w:t>
            </w:r>
          </w:p>
        </w:tc>
        <w:tc>
          <w:tcPr>
            <w:tcW w:w="990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5071.73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牧草地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　</w:t>
            </w:r>
          </w:p>
        </w:tc>
        <w:tc>
          <w:tcPr>
            <w:tcW w:w="800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4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90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其他农用地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453.40 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6.00 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6.00 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800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　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17.65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8.45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5.58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0.03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1.67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1.90 </w:t>
            </w:r>
          </w:p>
        </w:tc>
        <w:tc>
          <w:tcPr>
            <w:tcW w:w="94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0.02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23.65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1.42 </w:t>
            </w:r>
          </w:p>
        </w:tc>
        <w:tc>
          <w:tcPr>
            <w:tcW w:w="990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454.82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建设用地</w:t>
            </w:r>
          </w:p>
        </w:tc>
        <w:tc>
          <w:tcPr>
            <w:tcW w:w="15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1052.17 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181.63 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72.84 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83.72 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800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25.07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52.79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26.24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0.08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21.45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4.92 </w:t>
            </w:r>
          </w:p>
        </w:tc>
        <w:tc>
          <w:tcPr>
            <w:tcW w:w="94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0.10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181.63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38.54 </w:t>
            </w:r>
          </w:p>
        </w:tc>
        <w:tc>
          <w:tcPr>
            <w:tcW w:w="990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1090.71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城镇用地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137.25 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800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　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4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114.04 </w:t>
            </w:r>
          </w:p>
        </w:tc>
        <w:tc>
          <w:tcPr>
            <w:tcW w:w="990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251.29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农村居民点用地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750.29 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144.06 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60.34 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83.72 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800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49.15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26.16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　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18.04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4.85 </w:t>
            </w:r>
          </w:p>
        </w:tc>
        <w:tc>
          <w:tcPr>
            <w:tcW w:w="94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0.10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193.21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-116.52 </w:t>
            </w:r>
          </w:p>
        </w:tc>
        <w:tc>
          <w:tcPr>
            <w:tcW w:w="990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633.77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采矿用地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64.51 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12.09 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12.09 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800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2.69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　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2.62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0.07 </w:t>
            </w:r>
          </w:p>
        </w:tc>
        <w:tc>
          <w:tcPr>
            <w:tcW w:w="94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14.78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-13.34 </w:t>
            </w:r>
          </w:p>
        </w:tc>
        <w:tc>
          <w:tcPr>
            <w:tcW w:w="990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51.17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其他独立建设用地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800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　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4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53.62 </w:t>
            </w:r>
          </w:p>
        </w:tc>
        <w:tc>
          <w:tcPr>
            <w:tcW w:w="990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53.62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交通水利用地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80.12 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25.48 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0.41 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800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25.07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　</w:t>
            </w:r>
          </w:p>
        </w:tc>
        <w:tc>
          <w:tcPr>
            <w:tcW w:w="94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25.48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1.16 </w:t>
            </w:r>
          </w:p>
        </w:tc>
        <w:tc>
          <w:tcPr>
            <w:tcW w:w="990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81.28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其他建设用地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20.00 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800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0.95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0.08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0.08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0.79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4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　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0.95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-0.41 </w:t>
            </w:r>
          </w:p>
        </w:tc>
        <w:tc>
          <w:tcPr>
            <w:tcW w:w="990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19.59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其他土地</w:t>
            </w:r>
          </w:p>
        </w:tc>
        <w:tc>
          <w:tcPr>
            <w:tcW w:w="15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164.69 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12.06 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12.06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800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0.65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1.07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0.36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0.92 </w:t>
            </w:r>
          </w:p>
        </w:tc>
        <w:tc>
          <w:tcPr>
            <w:tcW w:w="94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15.06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-15.06 </w:t>
            </w:r>
          </w:p>
        </w:tc>
        <w:tc>
          <w:tcPr>
            <w:tcW w:w="990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149.63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水域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137.06 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800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1.46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0.54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0.92 </w:t>
            </w:r>
          </w:p>
        </w:tc>
        <w:tc>
          <w:tcPr>
            <w:tcW w:w="94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　</w:t>
            </w:r>
          </w:p>
        </w:tc>
        <w:tc>
          <w:tcPr>
            <w:tcW w:w="74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1.46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-1.46 </w:t>
            </w:r>
          </w:p>
        </w:tc>
        <w:tc>
          <w:tcPr>
            <w:tcW w:w="990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135.60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自然保留地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27.63 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12.06 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12.06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800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1.54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0.11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1.07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0.36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4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　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13.60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-13.60 </w:t>
            </w:r>
          </w:p>
        </w:tc>
        <w:tc>
          <w:tcPr>
            <w:tcW w:w="990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14.03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7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期间增加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193.69 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95.72 </w:t>
            </w:r>
          </w:p>
        </w:tc>
        <w:tc>
          <w:tcPr>
            <w:tcW w:w="936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83.72 </w:t>
            </w:r>
          </w:p>
        </w:tc>
        <w:tc>
          <w:tcPr>
            <w:tcW w:w="1002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12.06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800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25.07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220.17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114.04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76.69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1.44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53.62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26.64 </w:t>
            </w:r>
          </w:p>
        </w:tc>
        <w:tc>
          <w:tcPr>
            <w:tcW w:w="949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0.54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90" w:type="dxa"/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</w:tr>
    </w:tbl>
    <w:p>
      <w:pPr>
        <w:widowControl/>
        <w:ind w:firstLine="360" w:firstLineChars="200"/>
        <w:jc w:val="right"/>
        <w:rPr>
          <w:rFonts w:ascii="Times New Roman" w:hAnsi="Times New Roman" w:eastAsia="仿宋_GB2312" w:cs="Times New Roman"/>
          <w:sz w:val="18"/>
          <w:szCs w:val="21"/>
        </w:rPr>
      </w:pPr>
    </w:p>
    <w:sectPr>
      <w:pgSz w:w="23814" w:h="16839"/>
      <w:pgMar w:top="1134" w:right="1701" w:bottom="1440" w:left="1701" w:header="851" w:footer="992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ascii="Times New Roman" w:hAnsi="Times New Roman" w:cs="Times New Roman"/>
      </w:rPr>
    </w:pPr>
  </w:p>
  <w:p>
    <w:pPr>
      <w:pStyle w:val="10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5302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10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 PAGE   \* MERGEFORMAT 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I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10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5301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10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 PAGE   \* MERGEFORMAT 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11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10"/>
      <w:rPr>
        <w:rFonts w:ascii="Times New Roman" w:hAns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1CCC"/>
    <w:rsid w:val="00002191"/>
    <w:rsid w:val="00004EA1"/>
    <w:rsid w:val="000139AE"/>
    <w:rsid w:val="000171DE"/>
    <w:rsid w:val="000177B8"/>
    <w:rsid w:val="00023FC8"/>
    <w:rsid w:val="00032533"/>
    <w:rsid w:val="00036FC5"/>
    <w:rsid w:val="00042B8A"/>
    <w:rsid w:val="00044D4C"/>
    <w:rsid w:val="00047A70"/>
    <w:rsid w:val="00050ED3"/>
    <w:rsid w:val="000532ED"/>
    <w:rsid w:val="0007133B"/>
    <w:rsid w:val="000A4264"/>
    <w:rsid w:val="000B2CCD"/>
    <w:rsid w:val="000B66F3"/>
    <w:rsid w:val="000C0BE5"/>
    <w:rsid w:val="000D4193"/>
    <w:rsid w:val="000D4A09"/>
    <w:rsid w:val="000D58CF"/>
    <w:rsid w:val="000E778D"/>
    <w:rsid w:val="000F3A70"/>
    <w:rsid w:val="001056D3"/>
    <w:rsid w:val="00113197"/>
    <w:rsid w:val="00116268"/>
    <w:rsid w:val="00121236"/>
    <w:rsid w:val="0012269D"/>
    <w:rsid w:val="00126A61"/>
    <w:rsid w:val="00126BB0"/>
    <w:rsid w:val="00141C3E"/>
    <w:rsid w:val="00176BDC"/>
    <w:rsid w:val="00177762"/>
    <w:rsid w:val="00190F0F"/>
    <w:rsid w:val="001A5B57"/>
    <w:rsid w:val="001B360B"/>
    <w:rsid w:val="001C03BA"/>
    <w:rsid w:val="001E0D7B"/>
    <w:rsid w:val="001F2E5A"/>
    <w:rsid w:val="001F7986"/>
    <w:rsid w:val="00201E7C"/>
    <w:rsid w:val="00203A50"/>
    <w:rsid w:val="00211AE0"/>
    <w:rsid w:val="00212787"/>
    <w:rsid w:val="00224CE3"/>
    <w:rsid w:val="00226878"/>
    <w:rsid w:val="0023075F"/>
    <w:rsid w:val="00261BDF"/>
    <w:rsid w:val="00264CBB"/>
    <w:rsid w:val="00272F9A"/>
    <w:rsid w:val="00277AD3"/>
    <w:rsid w:val="00297DE5"/>
    <w:rsid w:val="002A1A65"/>
    <w:rsid w:val="002A4624"/>
    <w:rsid w:val="002B08A6"/>
    <w:rsid w:val="002B2C62"/>
    <w:rsid w:val="002C0B72"/>
    <w:rsid w:val="002C16EB"/>
    <w:rsid w:val="002D55EB"/>
    <w:rsid w:val="002E23C8"/>
    <w:rsid w:val="002F616A"/>
    <w:rsid w:val="002F77EC"/>
    <w:rsid w:val="00305FDF"/>
    <w:rsid w:val="00306B13"/>
    <w:rsid w:val="00307A6E"/>
    <w:rsid w:val="00312546"/>
    <w:rsid w:val="003172D7"/>
    <w:rsid w:val="00323445"/>
    <w:rsid w:val="00325F19"/>
    <w:rsid w:val="00336A5A"/>
    <w:rsid w:val="00346617"/>
    <w:rsid w:val="003571CA"/>
    <w:rsid w:val="003654F5"/>
    <w:rsid w:val="00374A1F"/>
    <w:rsid w:val="003759DD"/>
    <w:rsid w:val="003853B1"/>
    <w:rsid w:val="003864FA"/>
    <w:rsid w:val="00390AB9"/>
    <w:rsid w:val="00396DD0"/>
    <w:rsid w:val="003A7427"/>
    <w:rsid w:val="003E22DE"/>
    <w:rsid w:val="003E3758"/>
    <w:rsid w:val="003F57E9"/>
    <w:rsid w:val="003F722A"/>
    <w:rsid w:val="00413139"/>
    <w:rsid w:val="00414AB2"/>
    <w:rsid w:val="004169A9"/>
    <w:rsid w:val="0042182E"/>
    <w:rsid w:val="004301EE"/>
    <w:rsid w:val="0044564E"/>
    <w:rsid w:val="0045678F"/>
    <w:rsid w:val="00457BC0"/>
    <w:rsid w:val="00465321"/>
    <w:rsid w:val="004764D0"/>
    <w:rsid w:val="00485F74"/>
    <w:rsid w:val="004A058F"/>
    <w:rsid w:val="004A0F40"/>
    <w:rsid w:val="004A6E91"/>
    <w:rsid w:val="004B069A"/>
    <w:rsid w:val="004B084B"/>
    <w:rsid w:val="004C0B8E"/>
    <w:rsid w:val="004D305A"/>
    <w:rsid w:val="004F5736"/>
    <w:rsid w:val="004F6E85"/>
    <w:rsid w:val="00502A4F"/>
    <w:rsid w:val="00502F17"/>
    <w:rsid w:val="0051576A"/>
    <w:rsid w:val="00530243"/>
    <w:rsid w:val="00533601"/>
    <w:rsid w:val="00540DD8"/>
    <w:rsid w:val="00557C34"/>
    <w:rsid w:val="00562F52"/>
    <w:rsid w:val="00574C7B"/>
    <w:rsid w:val="00586758"/>
    <w:rsid w:val="005A190D"/>
    <w:rsid w:val="005C386F"/>
    <w:rsid w:val="005E0424"/>
    <w:rsid w:val="005E33E0"/>
    <w:rsid w:val="005F3065"/>
    <w:rsid w:val="005F6FDC"/>
    <w:rsid w:val="005F7FEA"/>
    <w:rsid w:val="006260D3"/>
    <w:rsid w:val="00627537"/>
    <w:rsid w:val="006367DD"/>
    <w:rsid w:val="00661225"/>
    <w:rsid w:val="00665F69"/>
    <w:rsid w:val="006701DE"/>
    <w:rsid w:val="006774EF"/>
    <w:rsid w:val="00685C25"/>
    <w:rsid w:val="00695D0E"/>
    <w:rsid w:val="006A648B"/>
    <w:rsid w:val="006B1A8E"/>
    <w:rsid w:val="006B6CD1"/>
    <w:rsid w:val="006C1972"/>
    <w:rsid w:val="006D4393"/>
    <w:rsid w:val="006E1ADA"/>
    <w:rsid w:val="006E41A4"/>
    <w:rsid w:val="006E7807"/>
    <w:rsid w:val="006F7206"/>
    <w:rsid w:val="00707826"/>
    <w:rsid w:val="00711027"/>
    <w:rsid w:val="00715FB8"/>
    <w:rsid w:val="00716B48"/>
    <w:rsid w:val="007174CF"/>
    <w:rsid w:val="00726874"/>
    <w:rsid w:val="00727D3A"/>
    <w:rsid w:val="007369E3"/>
    <w:rsid w:val="00751280"/>
    <w:rsid w:val="007717F7"/>
    <w:rsid w:val="0078765E"/>
    <w:rsid w:val="007952E2"/>
    <w:rsid w:val="007A295C"/>
    <w:rsid w:val="007B1076"/>
    <w:rsid w:val="00810E96"/>
    <w:rsid w:val="008153A1"/>
    <w:rsid w:val="00817A24"/>
    <w:rsid w:val="008223EC"/>
    <w:rsid w:val="00823E04"/>
    <w:rsid w:val="008249B9"/>
    <w:rsid w:val="00831334"/>
    <w:rsid w:val="00831E31"/>
    <w:rsid w:val="00834664"/>
    <w:rsid w:val="0084548C"/>
    <w:rsid w:val="00850984"/>
    <w:rsid w:val="00853528"/>
    <w:rsid w:val="00861734"/>
    <w:rsid w:val="00865D22"/>
    <w:rsid w:val="00872679"/>
    <w:rsid w:val="00876F83"/>
    <w:rsid w:val="00877F32"/>
    <w:rsid w:val="0088078B"/>
    <w:rsid w:val="00890CB1"/>
    <w:rsid w:val="00897EB9"/>
    <w:rsid w:val="008B0BE9"/>
    <w:rsid w:val="008B1F6D"/>
    <w:rsid w:val="008C063E"/>
    <w:rsid w:val="008C1099"/>
    <w:rsid w:val="008C3E53"/>
    <w:rsid w:val="008C5C79"/>
    <w:rsid w:val="008E7009"/>
    <w:rsid w:val="008E75D1"/>
    <w:rsid w:val="008F45EC"/>
    <w:rsid w:val="00902589"/>
    <w:rsid w:val="00922830"/>
    <w:rsid w:val="009331B8"/>
    <w:rsid w:val="0093500E"/>
    <w:rsid w:val="0096122F"/>
    <w:rsid w:val="00983B43"/>
    <w:rsid w:val="009967A9"/>
    <w:rsid w:val="009A00D9"/>
    <w:rsid w:val="009A2D8F"/>
    <w:rsid w:val="009A7582"/>
    <w:rsid w:val="009B6B1A"/>
    <w:rsid w:val="009C0AB9"/>
    <w:rsid w:val="009C5EB9"/>
    <w:rsid w:val="009C7C0E"/>
    <w:rsid w:val="009D0A7E"/>
    <w:rsid w:val="009D20E1"/>
    <w:rsid w:val="009F043E"/>
    <w:rsid w:val="009F1057"/>
    <w:rsid w:val="009F6EC9"/>
    <w:rsid w:val="009F7166"/>
    <w:rsid w:val="00A154F8"/>
    <w:rsid w:val="00A22CE2"/>
    <w:rsid w:val="00A46CED"/>
    <w:rsid w:val="00A7599D"/>
    <w:rsid w:val="00A80E9A"/>
    <w:rsid w:val="00A82DE1"/>
    <w:rsid w:val="00A85005"/>
    <w:rsid w:val="00AA3128"/>
    <w:rsid w:val="00AB4459"/>
    <w:rsid w:val="00AD122B"/>
    <w:rsid w:val="00AD67FD"/>
    <w:rsid w:val="00AE46A7"/>
    <w:rsid w:val="00AF2CDB"/>
    <w:rsid w:val="00B21AEA"/>
    <w:rsid w:val="00B276F3"/>
    <w:rsid w:val="00B475FC"/>
    <w:rsid w:val="00B5466F"/>
    <w:rsid w:val="00B72120"/>
    <w:rsid w:val="00B86F4F"/>
    <w:rsid w:val="00BB77FA"/>
    <w:rsid w:val="00BC0C90"/>
    <w:rsid w:val="00BC3A96"/>
    <w:rsid w:val="00BC4193"/>
    <w:rsid w:val="00BF3A99"/>
    <w:rsid w:val="00C00ADA"/>
    <w:rsid w:val="00C047A2"/>
    <w:rsid w:val="00C04F8F"/>
    <w:rsid w:val="00C11923"/>
    <w:rsid w:val="00C11C26"/>
    <w:rsid w:val="00C21E60"/>
    <w:rsid w:val="00C24541"/>
    <w:rsid w:val="00C33B57"/>
    <w:rsid w:val="00C340FA"/>
    <w:rsid w:val="00C35066"/>
    <w:rsid w:val="00C35BD5"/>
    <w:rsid w:val="00C360DA"/>
    <w:rsid w:val="00C47893"/>
    <w:rsid w:val="00C534A9"/>
    <w:rsid w:val="00C609B5"/>
    <w:rsid w:val="00C63C8E"/>
    <w:rsid w:val="00C64547"/>
    <w:rsid w:val="00C7492D"/>
    <w:rsid w:val="00C878A4"/>
    <w:rsid w:val="00C91621"/>
    <w:rsid w:val="00C944A5"/>
    <w:rsid w:val="00C972B1"/>
    <w:rsid w:val="00CA6FE7"/>
    <w:rsid w:val="00CC0586"/>
    <w:rsid w:val="00CC3B6F"/>
    <w:rsid w:val="00CC3BBB"/>
    <w:rsid w:val="00CE0462"/>
    <w:rsid w:val="00CE7975"/>
    <w:rsid w:val="00CF19F7"/>
    <w:rsid w:val="00CF2DC3"/>
    <w:rsid w:val="00CF7FE6"/>
    <w:rsid w:val="00D01BC4"/>
    <w:rsid w:val="00D02703"/>
    <w:rsid w:val="00D04505"/>
    <w:rsid w:val="00D12925"/>
    <w:rsid w:val="00D31EF6"/>
    <w:rsid w:val="00D36943"/>
    <w:rsid w:val="00D4157F"/>
    <w:rsid w:val="00D41C80"/>
    <w:rsid w:val="00D519C8"/>
    <w:rsid w:val="00D607A6"/>
    <w:rsid w:val="00D65C02"/>
    <w:rsid w:val="00D72C43"/>
    <w:rsid w:val="00D72E63"/>
    <w:rsid w:val="00D73420"/>
    <w:rsid w:val="00D97607"/>
    <w:rsid w:val="00DA34BB"/>
    <w:rsid w:val="00DA5510"/>
    <w:rsid w:val="00DA7FB3"/>
    <w:rsid w:val="00DB2E20"/>
    <w:rsid w:val="00DC64A6"/>
    <w:rsid w:val="00DC7351"/>
    <w:rsid w:val="00DD5CBC"/>
    <w:rsid w:val="00DE4DEA"/>
    <w:rsid w:val="00DF7D81"/>
    <w:rsid w:val="00E079F4"/>
    <w:rsid w:val="00E3338E"/>
    <w:rsid w:val="00E34D08"/>
    <w:rsid w:val="00E36465"/>
    <w:rsid w:val="00E4218C"/>
    <w:rsid w:val="00E44547"/>
    <w:rsid w:val="00E44D8B"/>
    <w:rsid w:val="00E464D0"/>
    <w:rsid w:val="00E60AB5"/>
    <w:rsid w:val="00E85040"/>
    <w:rsid w:val="00E9330A"/>
    <w:rsid w:val="00E951A9"/>
    <w:rsid w:val="00EC7344"/>
    <w:rsid w:val="00EE4B2C"/>
    <w:rsid w:val="00F10C3F"/>
    <w:rsid w:val="00F115DD"/>
    <w:rsid w:val="00F2212F"/>
    <w:rsid w:val="00F30582"/>
    <w:rsid w:val="00F36BAA"/>
    <w:rsid w:val="00F401ED"/>
    <w:rsid w:val="00F41CCC"/>
    <w:rsid w:val="00F666B5"/>
    <w:rsid w:val="00F7004F"/>
    <w:rsid w:val="00F713C5"/>
    <w:rsid w:val="00F725DC"/>
    <w:rsid w:val="00F75BB7"/>
    <w:rsid w:val="00F929F2"/>
    <w:rsid w:val="00FA3FA5"/>
    <w:rsid w:val="00FA54A6"/>
    <w:rsid w:val="00FC29C9"/>
    <w:rsid w:val="00FC7960"/>
    <w:rsid w:val="00FF211B"/>
    <w:rsid w:val="00FF5A85"/>
    <w:rsid w:val="173B6A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9"/>
        <o:r id="V:Rule2" type="connector" idref="#_x0000_s1038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qFormat/>
    <w:uiPriority w:val="0"/>
    <w:pPr>
      <w:keepNext/>
      <w:keepLines/>
      <w:widowControl/>
      <w:spacing w:before="260" w:after="260" w:line="416" w:lineRule="auto"/>
      <w:jc w:val="left"/>
      <w:outlineLvl w:val="1"/>
    </w:pPr>
    <w:rPr>
      <w:rFonts w:ascii="Cambria" w:hAnsi="Cambria" w:eastAsia="Times New Roman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9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15">
    <w:name w:val="Default Paragraph Font"/>
    <w:semiHidden/>
    <w:unhideWhenUsed/>
    <w:uiPriority w:val="1"/>
  </w:style>
  <w:style w:type="table" w:default="1" w:styleId="2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subject"/>
    <w:basedOn w:val="7"/>
    <w:next w:val="7"/>
    <w:link w:val="85"/>
    <w:semiHidden/>
    <w:unhideWhenUsed/>
    <w:qFormat/>
    <w:uiPriority w:val="99"/>
    <w:rPr>
      <w:b/>
      <w:bCs/>
    </w:rPr>
  </w:style>
  <w:style w:type="paragraph" w:styleId="7">
    <w:name w:val="annotation text"/>
    <w:basedOn w:val="1"/>
    <w:link w:val="84"/>
    <w:semiHidden/>
    <w:unhideWhenUsed/>
    <w:qFormat/>
    <w:uiPriority w:val="99"/>
    <w:pPr>
      <w:jc w:val="left"/>
    </w:pPr>
  </w:style>
  <w:style w:type="paragraph" w:styleId="8">
    <w:name w:val="Document Map"/>
    <w:basedOn w:val="1"/>
    <w:link w:val="25"/>
    <w:semiHidden/>
    <w:unhideWhenUsed/>
    <w:uiPriority w:val="99"/>
    <w:rPr>
      <w:rFonts w:ascii="宋体" w:eastAsia="宋体"/>
      <w:sz w:val="18"/>
      <w:szCs w:val="18"/>
    </w:rPr>
  </w:style>
  <w:style w:type="paragraph" w:styleId="9">
    <w:name w:val="Balloon Text"/>
    <w:basedOn w:val="1"/>
    <w:link w:val="83"/>
    <w:semiHidden/>
    <w:unhideWhenUsed/>
    <w:uiPriority w:val="99"/>
    <w:rPr>
      <w:sz w:val="18"/>
      <w:szCs w:val="18"/>
    </w:rPr>
  </w:style>
  <w:style w:type="paragraph" w:styleId="10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spacing w:line="360" w:lineRule="auto"/>
      <w:outlineLvl w:val="0"/>
    </w:pPr>
    <w:rPr>
      <w:rFonts w:ascii="Times New Roman" w:hAnsi="Times New Roman" w:eastAsia="黑体"/>
      <w:sz w:val="28"/>
    </w:rPr>
  </w:style>
  <w:style w:type="paragraph" w:styleId="13">
    <w:name w:val="footnote text"/>
    <w:basedOn w:val="1"/>
    <w:link w:val="65"/>
    <w:qFormat/>
    <w:uiPriority w:val="0"/>
    <w:pPr>
      <w:snapToGrid w:val="0"/>
      <w:jc w:val="left"/>
    </w:pPr>
    <w:rPr>
      <w:rFonts w:ascii="Times New Roman" w:hAnsi="Times New Roman" w:eastAsia="Times New Roman" w:cs="Times New Roman"/>
      <w:sz w:val="18"/>
      <w:szCs w:val="18"/>
    </w:rPr>
  </w:style>
  <w:style w:type="paragraph" w:styleId="14">
    <w:name w:val="toc 2"/>
    <w:basedOn w:val="1"/>
    <w:next w:val="1"/>
    <w:link w:val="66"/>
    <w:unhideWhenUsed/>
    <w:qFormat/>
    <w:uiPriority w:val="39"/>
    <w:pPr>
      <w:tabs>
        <w:tab w:val="right" w:leader="dot" w:pos="9923"/>
      </w:tabs>
      <w:spacing w:line="360" w:lineRule="auto"/>
      <w:ind w:left="420" w:leftChars="200"/>
      <w:jc w:val="left"/>
      <w:outlineLvl w:val="1"/>
    </w:pPr>
    <w:rPr>
      <w:rFonts w:ascii="Times New Roman" w:hAnsi="Times New Roman" w:eastAsia="黑体" w:cs="Times New Roman"/>
      <w:color w:val="0070C0"/>
      <w:kern w:val="0"/>
      <w:sz w:val="24"/>
      <w:szCs w:val="32"/>
    </w:rPr>
  </w:style>
  <w:style w:type="character" w:styleId="16">
    <w:name w:val="Strong"/>
    <w:qFormat/>
    <w:uiPriority w:val="0"/>
    <w:rPr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unhideWhenUsed/>
    <w:uiPriority w:val="99"/>
    <w:rPr>
      <w:color w:val="0000FF" w:themeColor="hyperlink"/>
      <w:u w:val="single"/>
    </w:rPr>
  </w:style>
  <w:style w:type="character" w:styleId="19">
    <w:name w:val="annotation reference"/>
    <w:basedOn w:val="15"/>
    <w:semiHidden/>
    <w:unhideWhenUsed/>
    <w:uiPriority w:val="99"/>
    <w:rPr>
      <w:sz w:val="21"/>
      <w:szCs w:val="21"/>
    </w:rPr>
  </w:style>
  <w:style w:type="character" w:styleId="20">
    <w:name w:val="footnote reference"/>
    <w:basedOn w:val="15"/>
    <w:qFormat/>
    <w:uiPriority w:val="0"/>
    <w:rPr>
      <w:vertAlign w:val="superscript"/>
    </w:rPr>
  </w:style>
  <w:style w:type="table" w:styleId="22">
    <w:name w:val="Table Grid"/>
    <w:basedOn w:val="21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页眉 Char"/>
    <w:basedOn w:val="15"/>
    <w:link w:val="11"/>
    <w:qFormat/>
    <w:uiPriority w:val="99"/>
    <w:rPr>
      <w:sz w:val="18"/>
      <w:szCs w:val="18"/>
    </w:rPr>
  </w:style>
  <w:style w:type="character" w:customStyle="1" w:styleId="24">
    <w:name w:val="页脚 Char"/>
    <w:basedOn w:val="15"/>
    <w:link w:val="10"/>
    <w:uiPriority w:val="99"/>
    <w:rPr>
      <w:sz w:val="18"/>
      <w:szCs w:val="18"/>
    </w:rPr>
  </w:style>
  <w:style w:type="character" w:customStyle="1" w:styleId="25">
    <w:name w:val="文档结构图 Char"/>
    <w:basedOn w:val="15"/>
    <w:link w:val="8"/>
    <w:qFormat/>
    <w:uiPriority w:val="0"/>
    <w:rPr>
      <w:rFonts w:ascii="宋体" w:eastAsia="宋体"/>
      <w:sz w:val="18"/>
      <w:szCs w:val="18"/>
    </w:rPr>
  </w:style>
  <w:style w:type="character" w:customStyle="1" w:styleId="26">
    <w:name w:val="标题 3 Char"/>
    <w:basedOn w:val="15"/>
    <w:link w:val="4"/>
    <w:uiPriority w:val="0"/>
    <w:rPr>
      <w:b/>
      <w:bCs/>
      <w:sz w:val="32"/>
      <w:szCs w:val="32"/>
    </w:rPr>
  </w:style>
  <w:style w:type="character" w:customStyle="1" w:styleId="27">
    <w:name w:val="标题 1 Char"/>
    <w:basedOn w:val="15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8">
    <w:name w:val="标题 2 Char"/>
    <w:basedOn w:val="15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9">
    <w:name w:val="标题 4 Char"/>
    <w:basedOn w:val="15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30">
    <w:name w:val="标题 2 Char1"/>
    <w:link w:val="3"/>
    <w:qFormat/>
    <w:uiPriority w:val="0"/>
    <w:rPr>
      <w:rFonts w:ascii="Cambria" w:hAnsi="Cambria" w:eastAsia="Times New Roman" w:cs="Times New Roman"/>
      <w:b/>
      <w:bCs/>
      <w:kern w:val="0"/>
      <w:sz w:val="32"/>
      <w:szCs w:val="32"/>
    </w:rPr>
  </w:style>
  <w:style w:type="paragraph" w:customStyle="1" w:styleId="31">
    <w:name w:val="Char Char Char Char"/>
    <w:basedOn w:val="8"/>
    <w:uiPriority w:val="0"/>
  </w:style>
  <w:style w:type="character" w:customStyle="1" w:styleId="32">
    <w:name w:val="文档结构图 Char1"/>
    <w:basedOn w:val="15"/>
    <w:semiHidden/>
    <w:qFormat/>
    <w:uiPriority w:val="99"/>
    <w:rPr>
      <w:rFonts w:eastAsia="Times New Roman"/>
      <w:kern w:val="2"/>
      <w:sz w:val="28"/>
      <w:szCs w:val="24"/>
      <w:shd w:val="clear" w:color="auto" w:fill="000080"/>
    </w:rPr>
  </w:style>
  <w:style w:type="paragraph" w:customStyle="1" w:styleId="33">
    <w:name w:val="正文专用"/>
    <w:basedOn w:val="1"/>
    <w:uiPriority w:val="0"/>
    <w:pPr>
      <w:snapToGrid w:val="0"/>
      <w:spacing w:line="360" w:lineRule="auto"/>
      <w:ind w:firstLine="560" w:firstLineChars="200"/>
      <w:jc w:val="left"/>
    </w:pPr>
    <w:rPr>
      <w:rFonts w:ascii="Times New Roman" w:hAnsi="Times New Roman" w:eastAsia="仿宋_GB2312" w:cs="Times New Roman"/>
      <w:sz w:val="28"/>
      <w:szCs w:val="21"/>
    </w:rPr>
  </w:style>
  <w:style w:type="character" w:customStyle="1" w:styleId="34">
    <w:name w:val="纯文本 Char"/>
    <w:basedOn w:val="15"/>
    <w:link w:val="35"/>
    <w:qFormat/>
    <w:uiPriority w:val="0"/>
    <w:rPr>
      <w:rFonts w:ascii="宋体" w:hAnsi="Courier New"/>
      <w:lang w:val="en-US" w:eastAsia="zh-CN"/>
    </w:rPr>
  </w:style>
  <w:style w:type="paragraph" w:customStyle="1" w:styleId="35">
    <w:name w:val="纯文本1"/>
    <w:basedOn w:val="1"/>
    <w:link w:val="34"/>
    <w:qFormat/>
    <w:uiPriority w:val="0"/>
    <w:rPr>
      <w:rFonts w:ascii="宋体" w:hAnsi="Courier New"/>
    </w:rPr>
  </w:style>
  <w:style w:type="character" w:customStyle="1" w:styleId="36">
    <w:name w:val="txt1"/>
    <w:uiPriority w:val="0"/>
    <w:rPr>
      <w:color w:val="000000"/>
      <w:sz w:val="22"/>
      <w:szCs w:val="22"/>
    </w:rPr>
  </w:style>
  <w:style w:type="character" w:customStyle="1" w:styleId="37">
    <w:name w:val="正文文本缩进 Char"/>
    <w:basedOn w:val="15"/>
    <w:link w:val="38"/>
    <w:uiPriority w:val="0"/>
    <w:rPr>
      <w:rFonts w:eastAsia="仿宋"/>
      <w:sz w:val="28"/>
      <w:szCs w:val="24"/>
    </w:rPr>
  </w:style>
  <w:style w:type="paragraph" w:customStyle="1" w:styleId="38">
    <w:name w:val="正文文本缩进1"/>
    <w:basedOn w:val="1"/>
    <w:link w:val="37"/>
    <w:qFormat/>
    <w:uiPriority w:val="0"/>
    <w:pPr>
      <w:ind w:firstLine="540" w:firstLineChars="257"/>
    </w:pPr>
    <w:rPr>
      <w:rFonts w:eastAsia="仿宋"/>
      <w:sz w:val="28"/>
      <w:szCs w:val="24"/>
    </w:rPr>
  </w:style>
  <w:style w:type="character" w:customStyle="1" w:styleId="39">
    <w:name w:val="正文文本缩进 3 Char"/>
    <w:basedOn w:val="15"/>
    <w:link w:val="40"/>
    <w:uiPriority w:val="0"/>
    <w:rPr>
      <w:rFonts w:eastAsia="仿宋"/>
      <w:color w:val="000000"/>
      <w:sz w:val="24"/>
      <w:szCs w:val="24"/>
    </w:rPr>
  </w:style>
  <w:style w:type="paragraph" w:customStyle="1" w:styleId="40">
    <w:name w:val="正文文本缩进 31"/>
    <w:basedOn w:val="1"/>
    <w:link w:val="39"/>
    <w:uiPriority w:val="0"/>
    <w:pPr>
      <w:spacing w:beforeLines="50" w:afterLines="50" w:line="400" w:lineRule="exact"/>
      <w:ind w:firstLine="480" w:firstLineChars="200"/>
    </w:pPr>
    <w:rPr>
      <w:rFonts w:eastAsia="仿宋"/>
      <w:color w:val="000000"/>
      <w:sz w:val="24"/>
      <w:szCs w:val="24"/>
    </w:rPr>
  </w:style>
  <w:style w:type="character" w:customStyle="1" w:styleId="41">
    <w:name w:val="普通文字 Char Char Char Char Char Char Char Char"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42">
    <w:name w:val="highlight1"/>
    <w:uiPriority w:val="0"/>
    <w:rPr>
      <w:sz w:val="21"/>
      <w:szCs w:val="21"/>
    </w:rPr>
  </w:style>
  <w:style w:type="character" w:customStyle="1" w:styleId="43">
    <w:name w:val="正文文本缩进 2 Char"/>
    <w:basedOn w:val="15"/>
    <w:link w:val="44"/>
    <w:uiPriority w:val="0"/>
    <w:rPr>
      <w:rFonts w:eastAsia="仿宋"/>
      <w:sz w:val="28"/>
      <w:szCs w:val="24"/>
    </w:rPr>
  </w:style>
  <w:style w:type="paragraph" w:customStyle="1" w:styleId="44">
    <w:name w:val="正文文本缩进 21"/>
    <w:basedOn w:val="1"/>
    <w:link w:val="43"/>
    <w:uiPriority w:val="0"/>
    <w:pPr>
      <w:spacing w:after="120" w:line="480" w:lineRule="auto"/>
      <w:ind w:left="420"/>
    </w:pPr>
    <w:rPr>
      <w:rFonts w:eastAsia="仿宋"/>
      <w:sz w:val="28"/>
      <w:szCs w:val="24"/>
    </w:rPr>
  </w:style>
  <w:style w:type="character" w:customStyle="1" w:styleId="45">
    <w:name w:val="正文文本 Char"/>
    <w:basedOn w:val="15"/>
    <w:link w:val="46"/>
    <w:uiPriority w:val="0"/>
    <w:rPr>
      <w:rFonts w:eastAsia="仿宋"/>
      <w:sz w:val="28"/>
      <w:szCs w:val="24"/>
    </w:rPr>
  </w:style>
  <w:style w:type="paragraph" w:customStyle="1" w:styleId="46">
    <w:name w:val="正文文本1"/>
    <w:basedOn w:val="1"/>
    <w:link w:val="45"/>
    <w:uiPriority w:val="0"/>
    <w:pPr>
      <w:spacing w:after="120"/>
    </w:pPr>
    <w:rPr>
      <w:rFonts w:eastAsia="仿宋"/>
      <w:sz w:val="28"/>
      <w:szCs w:val="24"/>
    </w:rPr>
  </w:style>
  <w:style w:type="character" w:customStyle="1" w:styleId="47">
    <w:name w:val="f14b1"/>
    <w:uiPriority w:val="0"/>
    <w:rPr>
      <w:b/>
      <w:bCs/>
      <w:sz w:val="21"/>
      <w:szCs w:val="21"/>
    </w:rPr>
  </w:style>
  <w:style w:type="character" w:customStyle="1" w:styleId="48">
    <w:name w:val="日期 Char"/>
    <w:basedOn w:val="15"/>
    <w:link w:val="49"/>
    <w:uiPriority w:val="0"/>
    <w:rPr>
      <w:rFonts w:eastAsia="仿宋"/>
      <w:sz w:val="28"/>
    </w:rPr>
  </w:style>
  <w:style w:type="paragraph" w:customStyle="1" w:styleId="49">
    <w:name w:val="日期1"/>
    <w:basedOn w:val="1"/>
    <w:next w:val="1"/>
    <w:link w:val="48"/>
    <w:uiPriority w:val="0"/>
    <w:rPr>
      <w:rFonts w:eastAsia="仿宋"/>
      <w:sz w:val="28"/>
    </w:rPr>
  </w:style>
  <w:style w:type="character" w:customStyle="1" w:styleId="50">
    <w:name w:val="批注框文本 Char"/>
    <w:basedOn w:val="15"/>
    <w:link w:val="51"/>
    <w:uiPriority w:val="0"/>
    <w:rPr>
      <w:rFonts w:eastAsia="仿宋"/>
      <w:sz w:val="18"/>
      <w:szCs w:val="18"/>
    </w:rPr>
  </w:style>
  <w:style w:type="paragraph" w:customStyle="1" w:styleId="51">
    <w:name w:val="批注框文本1"/>
    <w:basedOn w:val="1"/>
    <w:link w:val="50"/>
    <w:uiPriority w:val="0"/>
    <w:rPr>
      <w:rFonts w:eastAsia="仿宋"/>
      <w:sz w:val="18"/>
      <w:szCs w:val="18"/>
    </w:rPr>
  </w:style>
  <w:style w:type="character" w:customStyle="1" w:styleId="52">
    <w:name w:val="biaoti1"/>
    <w:uiPriority w:val="0"/>
    <w:rPr>
      <w:b/>
      <w:bCs/>
      <w:sz w:val="49"/>
      <w:szCs w:val="49"/>
    </w:rPr>
  </w:style>
  <w:style w:type="character" w:customStyle="1" w:styleId="53">
    <w:name w:val="批注引用1"/>
    <w:uiPriority w:val="0"/>
    <w:rPr>
      <w:sz w:val="21"/>
      <w:szCs w:val="21"/>
    </w:rPr>
  </w:style>
  <w:style w:type="character" w:customStyle="1" w:styleId="54">
    <w:name w:val="批注文字 Char"/>
    <w:basedOn w:val="15"/>
    <w:link w:val="55"/>
    <w:uiPriority w:val="0"/>
    <w:rPr>
      <w:rFonts w:eastAsia="仿宋"/>
      <w:sz w:val="28"/>
      <w:szCs w:val="24"/>
    </w:rPr>
  </w:style>
  <w:style w:type="paragraph" w:customStyle="1" w:styleId="55">
    <w:name w:val="批注文字1"/>
    <w:basedOn w:val="1"/>
    <w:link w:val="54"/>
    <w:uiPriority w:val="0"/>
    <w:pPr>
      <w:jc w:val="left"/>
    </w:pPr>
    <w:rPr>
      <w:rFonts w:eastAsia="仿宋"/>
      <w:sz w:val="28"/>
      <w:szCs w:val="24"/>
    </w:rPr>
  </w:style>
  <w:style w:type="character" w:customStyle="1" w:styleId="56">
    <w:name w:val="已访问的超链接1"/>
    <w:uiPriority w:val="0"/>
    <w:rPr>
      <w:color w:val="800080"/>
      <w:u w:val="single"/>
    </w:rPr>
  </w:style>
  <w:style w:type="character" w:customStyle="1" w:styleId="57">
    <w:name w:val="脚注文本 Char"/>
    <w:basedOn w:val="15"/>
    <w:link w:val="58"/>
    <w:uiPriority w:val="0"/>
    <w:rPr>
      <w:rFonts w:eastAsia="仿宋"/>
      <w:sz w:val="18"/>
      <w:szCs w:val="18"/>
    </w:rPr>
  </w:style>
  <w:style w:type="paragraph" w:customStyle="1" w:styleId="58">
    <w:name w:val="脚注文本1"/>
    <w:basedOn w:val="1"/>
    <w:link w:val="57"/>
    <w:uiPriority w:val="0"/>
    <w:pPr>
      <w:snapToGrid w:val="0"/>
      <w:jc w:val="left"/>
    </w:pPr>
    <w:rPr>
      <w:rFonts w:eastAsia="仿宋"/>
      <w:sz w:val="18"/>
      <w:szCs w:val="18"/>
    </w:rPr>
  </w:style>
  <w:style w:type="character" w:customStyle="1" w:styleId="59">
    <w:name w:val="脚注引用1"/>
    <w:uiPriority w:val="0"/>
    <w:rPr>
      <w:vertAlign w:val="superscript"/>
    </w:rPr>
  </w:style>
  <w:style w:type="character" w:customStyle="1" w:styleId="60">
    <w:name w:val="批注主题 Char"/>
    <w:basedOn w:val="54"/>
    <w:link w:val="61"/>
    <w:uiPriority w:val="0"/>
    <w:rPr>
      <w:rFonts w:eastAsia="仿宋"/>
      <w:b/>
      <w:bCs/>
      <w:sz w:val="28"/>
      <w:szCs w:val="24"/>
    </w:rPr>
  </w:style>
  <w:style w:type="paragraph" w:customStyle="1" w:styleId="61">
    <w:name w:val="批注主题1"/>
    <w:basedOn w:val="55"/>
    <w:next w:val="55"/>
    <w:link w:val="60"/>
    <w:qFormat/>
    <w:uiPriority w:val="0"/>
    <w:rPr>
      <w:b/>
      <w:bCs/>
    </w:rPr>
  </w:style>
  <w:style w:type="paragraph" w:customStyle="1" w:styleId="62">
    <w:name w:val="文档结构图1"/>
    <w:basedOn w:val="1"/>
    <w:uiPriority w:val="0"/>
    <w:pPr>
      <w:shd w:val="clear" w:color="auto" w:fill="000080"/>
    </w:pPr>
    <w:rPr>
      <w:rFonts w:ascii="Times New Roman" w:hAnsi="Times New Roman" w:eastAsia="仿宋" w:cs="Times New Roman"/>
      <w:kern w:val="0"/>
      <w:sz w:val="28"/>
      <w:szCs w:val="24"/>
      <w:shd w:val="clear" w:color="auto" w:fill="000080"/>
    </w:rPr>
  </w:style>
  <w:style w:type="character" w:customStyle="1" w:styleId="63">
    <w:name w:val="段 Char"/>
    <w:link w:val="64"/>
    <w:uiPriority w:val="0"/>
    <w:rPr>
      <w:rFonts w:ascii="宋体"/>
    </w:rPr>
  </w:style>
  <w:style w:type="paragraph" w:customStyle="1" w:styleId="64">
    <w:name w:val="段"/>
    <w:link w:val="63"/>
    <w:qFormat/>
    <w:uiPriority w:val="0"/>
    <w:pPr>
      <w:autoSpaceDE w:val="0"/>
      <w:autoSpaceDN w:val="0"/>
      <w:ind w:firstLine="20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65">
    <w:name w:val="脚注文本 Char1"/>
    <w:basedOn w:val="15"/>
    <w:link w:val="13"/>
    <w:qFormat/>
    <w:uiPriority w:val="0"/>
    <w:rPr>
      <w:rFonts w:ascii="Times New Roman" w:hAnsi="Times New Roman" w:eastAsia="Times New Roman" w:cs="Times New Roman"/>
      <w:sz w:val="18"/>
      <w:szCs w:val="18"/>
    </w:rPr>
  </w:style>
  <w:style w:type="character" w:customStyle="1" w:styleId="66">
    <w:name w:val="目录 2 Char"/>
    <w:basedOn w:val="15"/>
    <w:link w:val="14"/>
    <w:qFormat/>
    <w:uiPriority w:val="39"/>
    <w:rPr>
      <w:rFonts w:ascii="Times New Roman" w:hAnsi="Times New Roman" w:eastAsia="黑体" w:cs="Times New Roman"/>
      <w:color w:val="0070C0"/>
      <w:kern w:val="0"/>
      <w:sz w:val="24"/>
      <w:szCs w:val="32"/>
    </w:rPr>
  </w:style>
  <w:style w:type="paragraph" w:customStyle="1" w:styleId="67">
    <w:name w:val="Char Char Char Char1"/>
    <w:basedOn w:val="8"/>
    <w:uiPriority w:val="0"/>
    <w:pPr>
      <w:widowControl/>
      <w:shd w:val="clear" w:color="auto" w:fill="000080"/>
      <w:jc w:val="left"/>
    </w:pPr>
    <w:rPr>
      <w:rFonts w:ascii="Times New Roman" w:hAnsi="Times New Roman" w:eastAsia="Times New Roman" w:cs="宋体"/>
      <w:kern w:val="0"/>
      <w:sz w:val="24"/>
      <w:szCs w:val="20"/>
    </w:rPr>
  </w:style>
  <w:style w:type="paragraph" w:customStyle="1" w:styleId="68">
    <w:name w:val="纯文本2"/>
    <w:basedOn w:val="1"/>
    <w:qFormat/>
    <w:uiPriority w:val="0"/>
    <w:rPr>
      <w:rFonts w:ascii="宋体" w:hAnsi="Courier New" w:eastAsia="宋体" w:cs="Times New Roman"/>
      <w:kern w:val="0"/>
      <w:sz w:val="20"/>
      <w:szCs w:val="20"/>
    </w:rPr>
  </w:style>
  <w:style w:type="paragraph" w:customStyle="1" w:styleId="69">
    <w:name w:val="正文文本缩进2"/>
    <w:basedOn w:val="1"/>
    <w:uiPriority w:val="0"/>
    <w:pPr>
      <w:ind w:firstLine="540" w:firstLineChars="257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70">
    <w:name w:val="正文文本缩进 32"/>
    <w:basedOn w:val="1"/>
    <w:qFormat/>
    <w:uiPriority w:val="0"/>
    <w:pPr>
      <w:spacing w:beforeLines="50" w:afterLines="50" w:line="400" w:lineRule="exact"/>
      <w:ind w:firstLine="480" w:firstLineChars="200"/>
    </w:pPr>
    <w:rPr>
      <w:rFonts w:ascii="Times New Roman" w:hAnsi="Times New Roman" w:eastAsia="仿宋" w:cs="Times New Roman"/>
      <w:color w:val="000000"/>
      <w:kern w:val="0"/>
      <w:sz w:val="24"/>
      <w:szCs w:val="24"/>
    </w:rPr>
  </w:style>
  <w:style w:type="paragraph" w:customStyle="1" w:styleId="71">
    <w:name w:val="正文文本缩进 22"/>
    <w:basedOn w:val="1"/>
    <w:qFormat/>
    <w:uiPriority w:val="0"/>
    <w:pPr>
      <w:spacing w:after="120" w:line="480" w:lineRule="auto"/>
      <w:ind w:left="420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72">
    <w:name w:val="正文文本2"/>
    <w:basedOn w:val="1"/>
    <w:uiPriority w:val="0"/>
    <w:pPr>
      <w:spacing w:after="120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73">
    <w:name w:val="日期2"/>
    <w:basedOn w:val="1"/>
    <w:next w:val="1"/>
    <w:qFormat/>
    <w:uiPriority w:val="0"/>
    <w:rPr>
      <w:rFonts w:ascii="Times New Roman" w:hAnsi="Times New Roman" w:eastAsia="仿宋" w:cs="Times New Roman"/>
      <w:kern w:val="0"/>
      <w:sz w:val="28"/>
      <w:szCs w:val="20"/>
    </w:rPr>
  </w:style>
  <w:style w:type="paragraph" w:customStyle="1" w:styleId="74">
    <w:name w:val="批注框文本2"/>
    <w:basedOn w:val="1"/>
    <w:uiPriority w:val="0"/>
    <w:rPr>
      <w:rFonts w:ascii="Times New Roman" w:hAnsi="Times New Roman" w:eastAsia="仿宋" w:cs="Times New Roman"/>
      <w:kern w:val="0"/>
      <w:sz w:val="18"/>
      <w:szCs w:val="18"/>
    </w:rPr>
  </w:style>
  <w:style w:type="character" w:customStyle="1" w:styleId="75">
    <w:name w:val="批注引用2"/>
    <w:qFormat/>
    <w:uiPriority w:val="0"/>
    <w:rPr>
      <w:sz w:val="21"/>
      <w:szCs w:val="21"/>
    </w:rPr>
  </w:style>
  <w:style w:type="paragraph" w:customStyle="1" w:styleId="76">
    <w:name w:val="批注文字2"/>
    <w:basedOn w:val="1"/>
    <w:qFormat/>
    <w:uiPriority w:val="0"/>
    <w:pPr>
      <w:jc w:val="left"/>
    </w:pPr>
    <w:rPr>
      <w:rFonts w:ascii="Times New Roman" w:hAnsi="Times New Roman" w:eastAsia="仿宋" w:cs="Times New Roman"/>
      <w:kern w:val="0"/>
      <w:sz w:val="28"/>
      <w:szCs w:val="24"/>
    </w:rPr>
  </w:style>
  <w:style w:type="character" w:customStyle="1" w:styleId="77">
    <w:name w:val="已访问的超链接2"/>
    <w:qFormat/>
    <w:uiPriority w:val="0"/>
    <w:rPr>
      <w:color w:val="800080"/>
      <w:u w:val="single"/>
    </w:rPr>
  </w:style>
  <w:style w:type="paragraph" w:customStyle="1" w:styleId="78">
    <w:name w:val="脚注文本2"/>
    <w:basedOn w:val="1"/>
    <w:qFormat/>
    <w:uiPriority w:val="0"/>
    <w:pPr>
      <w:snapToGrid w:val="0"/>
      <w:jc w:val="left"/>
    </w:pPr>
    <w:rPr>
      <w:rFonts w:ascii="Times New Roman" w:hAnsi="Times New Roman" w:eastAsia="仿宋" w:cs="Times New Roman"/>
      <w:kern w:val="0"/>
      <w:sz w:val="18"/>
      <w:szCs w:val="18"/>
    </w:rPr>
  </w:style>
  <w:style w:type="character" w:customStyle="1" w:styleId="79">
    <w:name w:val="脚注引用2"/>
    <w:uiPriority w:val="0"/>
    <w:rPr>
      <w:vertAlign w:val="superscript"/>
    </w:rPr>
  </w:style>
  <w:style w:type="paragraph" w:customStyle="1" w:styleId="80">
    <w:name w:val="批注主题2"/>
    <w:basedOn w:val="76"/>
    <w:next w:val="76"/>
    <w:uiPriority w:val="0"/>
    <w:rPr>
      <w:b/>
      <w:bCs/>
    </w:rPr>
  </w:style>
  <w:style w:type="paragraph" w:customStyle="1" w:styleId="81">
    <w:name w:val="文档结构图2"/>
    <w:basedOn w:val="1"/>
    <w:qFormat/>
    <w:uiPriority w:val="0"/>
    <w:pPr>
      <w:shd w:val="clear" w:color="auto" w:fill="000080"/>
    </w:pPr>
    <w:rPr>
      <w:rFonts w:ascii="Times New Roman" w:hAnsi="Times New Roman" w:eastAsia="仿宋" w:cs="Times New Roman"/>
      <w:kern w:val="0"/>
      <w:sz w:val="28"/>
      <w:szCs w:val="24"/>
      <w:shd w:val="clear" w:color="auto" w:fill="000080"/>
    </w:rPr>
  </w:style>
  <w:style w:type="paragraph" w:customStyle="1" w:styleId="82">
    <w:name w:val="007正文首行缩进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仿宋_GB2312" w:cs="Times New Roman"/>
      <w:sz w:val="28"/>
      <w:szCs w:val="24"/>
    </w:rPr>
  </w:style>
  <w:style w:type="character" w:customStyle="1" w:styleId="83">
    <w:name w:val="批注框文本 Char1"/>
    <w:basedOn w:val="15"/>
    <w:link w:val="9"/>
    <w:semiHidden/>
    <w:qFormat/>
    <w:uiPriority w:val="99"/>
    <w:rPr>
      <w:sz w:val="18"/>
      <w:szCs w:val="18"/>
    </w:rPr>
  </w:style>
  <w:style w:type="character" w:customStyle="1" w:styleId="84">
    <w:name w:val="批注文字 Char1"/>
    <w:basedOn w:val="15"/>
    <w:link w:val="7"/>
    <w:semiHidden/>
    <w:uiPriority w:val="99"/>
  </w:style>
  <w:style w:type="character" w:customStyle="1" w:styleId="85">
    <w:name w:val="批注主题 Char1"/>
    <w:basedOn w:val="8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38"/>
    <customShpInfo spid="_x0000_s1039"/>
    <customShpInfo spid="_x0000_s1037"/>
    <customShpInfo spid="_x0000_s1029"/>
    <customShpInfo spid="_x0000_s1030"/>
    <customShpInfo spid="_x0000_s1032"/>
    <customShpInfo spid="_x0000_s1033"/>
    <customShpInfo spid="_x0000_s1031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877B61-21EC-4516-B36C-3F90448613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3149</Words>
  <Characters>17951</Characters>
  <Lines>149</Lines>
  <Paragraphs>42</Paragraphs>
  <TotalTime>1359</TotalTime>
  <ScaleCrop>false</ScaleCrop>
  <LinksUpToDate>false</LinksUpToDate>
  <CharactersWithSpaces>21058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2016-12-11T08:24:00Z</dcterms:created>
  <dc:creator>X</dc:creator>
  <cp:lastModifiedBy>Administrator</cp:lastModifiedBy>
  <cp:lastPrinted>2017-06-28T09:41:00Z</cp:lastPrinted>
  <dcterms:modified xsi:type="dcterms:W3CDTF">2018-06-27T08:46:29Z</dcterms:modified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