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8872185"/>
      <w:bookmarkStart w:id="1" w:name="_Toc469067200"/>
      <w:bookmarkStart w:id="2" w:name="_Toc4692366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孙家湾镇土地利用总体规划（2006-2020年）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40"/>
          <w:kern w:val="0"/>
          <w:sz w:val="48"/>
          <w:szCs w:val="44"/>
          <w:fitText w:val="4402" w:id="0"/>
        </w:rPr>
        <w:t>孙家湾镇人民政</w:t>
      </w:r>
      <w:r>
        <w:rPr>
          <w:rFonts w:ascii="Times New Roman" w:hAnsi="Times New Roman" w:eastAsia="黑体" w:cs="Times New Roman"/>
          <w:spacing w:val="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type w:val="continuous"/>
          <w:pgSz w:w="23814" w:h="16839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pStyle w:val="10"/>
        <w:rPr>
          <w:rFonts w:cs="Times New Roman"/>
          <w:kern w:val="0"/>
        </w:rPr>
      </w:pPr>
      <w:r>
        <w:rPr>
          <w:rFonts w:cs="Times New Roman"/>
          <w:kern w:val="0"/>
        </w:rPr>
        <w:t>目录</w:t>
      </w:r>
    </w:p>
    <w:p>
      <w:pPr>
        <w:pStyle w:val="10"/>
        <w:rPr>
          <w:rFonts w:cs="Times New Roman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"_Toc485914838" </w:instrText>
      </w:r>
      <w:r>
        <w:fldChar w:fldCharType="separate"/>
      </w:r>
      <w:r>
        <w:rPr>
          <w:rStyle w:val="16"/>
          <w:rFonts w:cs="Times New Roman"/>
          <w:color w:val="auto"/>
          <w:kern w:val="0"/>
        </w:rPr>
        <w:t>一、基本情况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_Toc485914838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"_Toc485914839" </w:instrText>
      </w:r>
      <w:r>
        <w:fldChar w:fldCharType="separate"/>
      </w:r>
      <w:r>
        <w:rPr>
          <w:rStyle w:val="16"/>
          <w:color w:val="auto"/>
        </w:rPr>
        <w:t>（一）行政区划调整</w:t>
      </w:r>
      <w:r>
        <w:tab/>
      </w:r>
      <w:r>
        <w:fldChar w:fldCharType="begin"/>
      </w:r>
      <w:r>
        <w:instrText xml:space="preserve"> PAGEREF _Toc485914839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"_Toc485914840" </w:instrText>
      </w:r>
      <w:r>
        <w:fldChar w:fldCharType="separate"/>
      </w:r>
      <w:r>
        <w:rPr>
          <w:rStyle w:val="16"/>
          <w:color w:val="auto"/>
        </w:rPr>
        <w:t>（二）地理区位</w:t>
      </w:r>
      <w:r>
        <w:tab/>
      </w:r>
      <w:r>
        <w:fldChar w:fldCharType="begin"/>
      </w:r>
      <w:r>
        <w:instrText xml:space="preserve"> PAGEREF _Toc485914840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"_Toc485914841" </w:instrText>
      </w:r>
      <w:r>
        <w:fldChar w:fldCharType="separate"/>
      </w:r>
      <w:r>
        <w:rPr>
          <w:rStyle w:val="16"/>
          <w:color w:val="auto"/>
        </w:rPr>
        <w:t>（三）经济发展</w:t>
      </w:r>
      <w:r>
        <w:tab/>
      </w:r>
      <w:r>
        <w:fldChar w:fldCharType="begin"/>
      </w:r>
      <w:r>
        <w:instrText xml:space="preserve"> PAGEREF _Toc485914841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"_Toc485914842" </w:instrText>
      </w:r>
      <w:r>
        <w:fldChar w:fldCharType="separate"/>
      </w:r>
      <w:r>
        <w:rPr>
          <w:rStyle w:val="16"/>
          <w:color w:val="auto"/>
        </w:rPr>
        <w:t>（四）土地利用现状</w:t>
      </w:r>
      <w:r>
        <w:tab/>
      </w:r>
      <w:r>
        <w:fldChar w:fldCharType="begin"/>
      </w:r>
      <w:r>
        <w:instrText xml:space="preserve"> PAGEREF _Toc485914842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"_Toc485914843" </w:instrText>
      </w:r>
      <w:r>
        <w:fldChar w:fldCharType="separate"/>
      </w:r>
      <w:r>
        <w:rPr>
          <w:rStyle w:val="16"/>
          <w:rFonts w:cs="Times New Roman"/>
          <w:color w:val="auto"/>
          <w:kern w:val="0"/>
        </w:rPr>
        <w:t>二、规划修改期限与范围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_Toc485914843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"_Toc485914844" </w:instrText>
      </w:r>
      <w:r>
        <w:fldChar w:fldCharType="separate"/>
      </w:r>
      <w:r>
        <w:rPr>
          <w:rStyle w:val="16"/>
          <w:rFonts w:cs="Times New Roman"/>
          <w:color w:val="auto"/>
          <w:kern w:val="0"/>
        </w:rPr>
        <w:t>三、土地利用规划目标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_Toc485914844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"_Toc485914845" </w:instrText>
      </w:r>
      <w:r>
        <w:fldChar w:fldCharType="separate"/>
      </w:r>
      <w:r>
        <w:rPr>
          <w:rStyle w:val="16"/>
          <w:rFonts w:cs="Times New Roman"/>
          <w:color w:val="auto"/>
          <w:kern w:val="0"/>
        </w:rPr>
        <w:t>四、永久基本农田划定情况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_Toc485914845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"_Toc485914846" </w:instrText>
      </w:r>
      <w:r>
        <w:fldChar w:fldCharType="separate"/>
      </w:r>
      <w:r>
        <w:rPr>
          <w:rStyle w:val="16"/>
          <w:color w:val="auto"/>
        </w:rPr>
        <w:t>（一）调出情况</w:t>
      </w:r>
      <w:r>
        <w:tab/>
      </w:r>
      <w:r>
        <w:fldChar w:fldCharType="begin"/>
      </w:r>
      <w:r>
        <w:instrText xml:space="preserve"> PAGEREF _Toc485914846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"_Toc485914847" </w:instrText>
      </w:r>
      <w:r>
        <w:fldChar w:fldCharType="separate"/>
      </w:r>
      <w:r>
        <w:rPr>
          <w:rStyle w:val="16"/>
          <w:color w:val="auto"/>
        </w:rPr>
        <w:t>（二）补划情况</w:t>
      </w:r>
      <w:r>
        <w:tab/>
      </w:r>
      <w:r>
        <w:fldChar w:fldCharType="begin"/>
      </w:r>
      <w:r>
        <w:instrText xml:space="preserve"> PAGEREF _Toc485914847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"_Toc485914848" </w:instrText>
      </w:r>
      <w:r>
        <w:fldChar w:fldCharType="separate"/>
      </w:r>
      <w:r>
        <w:rPr>
          <w:rStyle w:val="16"/>
          <w:rFonts w:cs="Times New Roman"/>
          <w:color w:val="auto"/>
          <w:kern w:val="0"/>
        </w:rPr>
        <w:t>五、建设用地规模与布局调整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_Toc485914848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2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"_Toc485914849" </w:instrText>
      </w:r>
      <w:r>
        <w:fldChar w:fldCharType="separate"/>
      </w:r>
      <w:r>
        <w:rPr>
          <w:rStyle w:val="16"/>
          <w:color w:val="auto"/>
        </w:rPr>
        <w:t>（一）城镇用地</w:t>
      </w:r>
      <w:r>
        <w:tab/>
      </w:r>
      <w:r>
        <w:fldChar w:fldCharType="begin"/>
      </w:r>
      <w:r>
        <w:instrText xml:space="preserve"> PAGEREF _Toc485914849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"_Toc485914850" </w:instrText>
      </w:r>
      <w:r>
        <w:fldChar w:fldCharType="separate"/>
      </w:r>
      <w:r>
        <w:rPr>
          <w:rStyle w:val="16"/>
          <w:color w:val="auto"/>
        </w:rPr>
        <w:t>（二）农村居民点用地</w:t>
      </w:r>
      <w:r>
        <w:tab/>
      </w:r>
      <w:r>
        <w:fldChar w:fldCharType="begin"/>
      </w:r>
      <w:r>
        <w:instrText xml:space="preserve"> PAGEREF _Toc485914850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"_Toc485914851" </w:instrText>
      </w:r>
      <w:r>
        <w:fldChar w:fldCharType="separate"/>
      </w:r>
      <w:r>
        <w:rPr>
          <w:rStyle w:val="16"/>
          <w:color w:val="auto"/>
        </w:rPr>
        <w:t>（三）采矿及其他独立建设用地</w:t>
      </w:r>
      <w:r>
        <w:tab/>
      </w:r>
      <w:r>
        <w:fldChar w:fldCharType="begin"/>
      </w:r>
      <w:r>
        <w:instrText xml:space="preserve"> PAGEREF _Toc485914851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"_Toc485914852" </w:instrText>
      </w:r>
      <w:r>
        <w:fldChar w:fldCharType="separate"/>
      </w:r>
      <w:r>
        <w:rPr>
          <w:rStyle w:val="16"/>
          <w:color w:val="auto"/>
        </w:rPr>
        <w:t>（四）交通水利用地</w:t>
      </w:r>
      <w:r>
        <w:tab/>
      </w:r>
      <w:r>
        <w:fldChar w:fldCharType="begin"/>
      </w:r>
      <w:r>
        <w:instrText xml:space="preserve"> PAGEREF _Toc485914852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"_Toc485914853" </w:instrText>
      </w:r>
      <w:r>
        <w:fldChar w:fldCharType="separate"/>
      </w:r>
      <w:r>
        <w:rPr>
          <w:rStyle w:val="16"/>
          <w:color w:val="auto"/>
        </w:rPr>
        <w:t>（五）其他建设用地</w:t>
      </w:r>
      <w:r>
        <w:tab/>
      </w:r>
      <w:r>
        <w:fldChar w:fldCharType="begin"/>
      </w:r>
      <w:r>
        <w:instrText xml:space="preserve"> PAGEREF _Toc485914853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0"/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"_Toc485914854" </w:instrText>
      </w:r>
      <w:r>
        <w:fldChar w:fldCharType="separate"/>
      </w:r>
      <w:r>
        <w:rPr>
          <w:rStyle w:val="16"/>
          <w:rFonts w:cs="Times New Roman"/>
          <w:color w:val="auto"/>
          <w:kern w:val="0"/>
        </w:rPr>
        <w:t>六、土地利用分区调整情况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_Toc485914854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3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"_Toc485914855" </w:instrText>
      </w:r>
      <w:r>
        <w:fldChar w:fldCharType="separate"/>
      </w:r>
      <w:r>
        <w:rPr>
          <w:rStyle w:val="16"/>
          <w:color w:val="auto"/>
        </w:rPr>
        <w:t>（一）土地用途分区修改</w:t>
      </w:r>
      <w:r>
        <w:tab/>
      </w:r>
      <w:r>
        <w:fldChar w:fldCharType="begin"/>
      </w:r>
      <w:r>
        <w:instrText xml:space="preserve"> PAGEREF _Toc485914855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"_Toc485914856" </w:instrText>
      </w:r>
      <w:r>
        <w:fldChar w:fldCharType="separate"/>
      </w:r>
      <w:r>
        <w:rPr>
          <w:rStyle w:val="16"/>
          <w:color w:val="auto"/>
        </w:rPr>
        <w:t>（二）建设用地管制分区修改</w:t>
      </w:r>
      <w:r>
        <w:tab/>
      </w:r>
      <w:r>
        <w:fldChar w:fldCharType="begin"/>
      </w:r>
      <w:r>
        <w:instrText xml:space="preserve"> PAGEREF _Toc485914856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"_Toc485914857" </w:instrText>
      </w:r>
      <w:r>
        <w:fldChar w:fldCharType="separate"/>
      </w:r>
      <w:r>
        <w:rPr>
          <w:rStyle w:val="16"/>
          <w:rFonts w:cs="Times New Roman"/>
          <w:color w:val="auto"/>
          <w:kern w:val="0"/>
        </w:rPr>
        <w:t>附表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_Toc485914857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3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"_Toc485914858" </w:instrText>
      </w:r>
      <w:r>
        <w:fldChar w:fldCharType="separate"/>
      </w:r>
      <w:r>
        <w:rPr>
          <w:rStyle w:val="16"/>
          <w:color w:val="auto"/>
        </w:rPr>
        <w:t>附表1  孙家湾镇土地利用现状表（2014年）</w:t>
      </w:r>
      <w:r>
        <w:tab/>
      </w:r>
      <w:r>
        <w:fldChar w:fldCharType="begin"/>
      </w:r>
      <w:r>
        <w:instrText xml:space="preserve"> PAGEREF _Toc485914858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"_Toc485914859" </w:instrText>
      </w:r>
      <w:r>
        <w:fldChar w:fldCharType="separate"/>
      </w:r>
      <w:r>
        <w:rPr>
          <w:rStyle w:val="16"/>
          <w:color w:val="auto"/>
        </w:rPr>
        <w:t>附表2  孙家湾镇土地利用结构调整表</w:t>
      </w:r>
      <w:r>
        <w:tab/>
      </w:r>
      <w:r>
        <w:fldChar w:fldCharType="begin"/>
      </w:r>
      <w:r>
        <w:instrText xml:space="preserve"> PAGEREF _Toc485914859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"_Toc485914860" </w:instrText>
      </w:r>
      <w:r>
        <w:fldChar w:fldCharType="separate"/>
      </w:r>
      <w:r>
        <w:rPr>
          <w:rStyle w:val="16"/>
          <w:color w:val="auto"/>
        </w:rPr>
        <w:t>附表3  孙家湾镇土地利用规划目标调整表</w:t>
      </w:r>
      <w:r>
        <w:tab/>
      </w:r>
      <w:r>
        <w:fldChar w:fldCharType="begin"/>
      </w:r>
      <w:r>
        <w:instrText xml:space="preserve"> PAGEREF _Toc485914860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"_Toc485914861" </w:instrText>
      </w:r>
      <w:r>
        <w:fldChar w:fldCharType="separate"/>
      </w:r>
      <w:r>
        <w:rPr>
          <w:rStyle w:val="16"/>
          <w:color w:val="auto"/>
        </w:rPr>
        <w:t>附表4  孙家湾镇落实上一级土地利用规划指标情况表</w:t>
      </w:r>
      <w:r>
        <w:tab/>
      </w:r>
      <w:r>
        <w:fldChar w:fldCharType="begin"/>
      </w:r>
      <w:r>
        <w:instrText xml:space="preserve"> PAGEREF _Toc485914861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"_Toc485914862" </w:instrText>
      </w:r>
      <w:r>
        <w:fldChar w:fldCharType="separate"/>
      </w:r>
      <w:r>
        <w:rPr>
          <w:rStyle w:val="16"/>
          <w:color w:val="auto"/>
        </w:rPr>
        <w:t>附表5  调入区域规划调整前后对比表</w:t>
      </w:r>
      <w:r>
        <w:tab/>
      </w:r>
      <w:r>
        <w:fldChar w:fldCharType="begin"/>
      </w:r>
      <w:r>
        <w:instrText xml:space="preserve"> PAGEREF _Toc485914862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"_Toc485914863" </w:instrText>
      </w:r>
      <w:r>
        <w:fldChar w:fldCharType="separate"/>
      </w:r>
      <w:r>
        <w:rPr>
          <w:rStyle w:val="16"/>
          <w:color w:val="auto"/>
        </w:rPr>
        <w:t>附表6  调出区域规划调整前后对比表</w:t>
      </w:r>
      <w:r>
        <w:tab/>
      </w:r>
      <w:r>
        <w:fldChar w:fldCharType="begin"/>
      </w:r>
      <w:r>
        <w:instrText xml:space="preserve"> PAGEREF _Toc485914863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"_Toc485914864" </w:instrText>
      </w:r>
      <w:r>
        <w:fldChar w:fldCharType="separate"/>
      </w:r>
      <w:r>
        <w:rPr>
          <w:rStyle w:val="16"/>
          <w:color w:val="auto"/>
        </w:rPr>
        <w:t>附表7  孙家湾镇耕地保有量和基本农田保护面积分解表</w:t>
      </w:r>
      <w:r>
        <w:tab/>
      </w:r>
      <w:r>
        <w:fldChar w:fldCharType="begin"/>
      </w:r>
      <w:r>
        <w:instrText xml:space="preserve"> PAGEREF _Toc485914864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"_Toc485914865" </w:instrText>
      </w:r>
      <w:r>
        <w:fldChar w:fldCharType="separate"/>
      </w:r>
      <w:r>
        <w:rPr>
          <w:rStyle w:val="16"/>
          <w:color w:val="auto"/>
        </w:rPr>
        <w:t>附表8  孙家湾镇土地用途分区修改情况表</w:t>
      </w:r>
      <w:r>
        <w:tab/>
      </w:r>
      <w:r>
        <w:fldChar w:fldCharType="begin"/>
      </w:r>
      <w:r>
        <w:instrText xml:space="preserve"> PAGEREF _Toc485914865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"_Toc485914866" </w:instrText>
      </w:r>
      <w:r>
        <w:fldChar w:fldCharType="separate"/>
      </w:r>
      <w:r>
        <w:rPr>
          <w:rStyle w:val="16"/>
          <w:color w:val="auto"/>
        </w:rPr>
        <w:t>附表9  孙家湾镇建设用地空间管制分区修改情况表</w:t>
      </w:r>
      <w:r>
        <w:tab/>
      </w:r>
      <w:r>
        <w:fldChar w:fldCharType="begin"/>
      </w:r>
      <w:r>
        <w:instrText xml:space="preserve"> PAGEREF _Toc485914866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"_Toc485914867" </w:instrText>
      </w:r>
      <w:r>
        <w:fldChar w:fldCharType="separate"/>
      </w:r>
      <w:r>
        <w:rPr>
          <w:rStyle w:val="16"/>
          <w:color w:val="auto"/>
        </w:rPr>
        <w:t>附表11  孙家湾镇土地用途分区面积统计表</w:t>
      </w:r>
      <w:r>
        <w:tab/>
      </w:r>
      <w:r>
        <w:fldChar w:fldCharType="begin"/>
      </w:r>
      <w:r>
        <w:instrText xml:space="preserve"> PAGEREF _Toc485914867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1024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"_Toc485914868" </w:instrText>
      </w:r>
      <w:r>
        <w:fldChar w:fldCharType="separate"/>
      </w:r>
      <w:r>
        <w:rPr>
          <w:rStyle w:val="16"/>
          <w:color w:val="auto"/>
        </w:rPr>
        <w:t>附表12  孙家湾镇2006-2020年地类结构平衡表</w:t>
      </w:r>
      <w:r>
        <w:tab/>
      </w:r>
      <w:r>
        <w:fldChar w:fldCharType="begin"/>
      </w:r>
      <w:r>
        <w:instrText xml:space="preserve"> PAGEREF _Toc485914868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4" w:type="default"/>
          <w:pgSz w:w="23814" w:h="16839" w:orient="landscape"/>
          <w:pgMar w:top="1800" w:right="1440" w:bottom="1800" w:left="1440" w:header="851" w:footer="992" w:gutter="0"/>
          <w:pgNumType w:fmt="upperRoman" w:start="1"/>
          <w:cols w:space="425" w:num="2"/>
          <w:docGrid w:type="lines" w:linePitch="312" w:charSpace="0"/>
        </w:sectPr>
      </w:pPr>
      <w:bookmarkStart w:id="128" w:name="_GoBack"/>
      <w:bookmarkEnd w:id="128"/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85914838"/>
      <w:bookmarkStart w:id="4" w:name="_Toc485914689"/>
      <w:bookmarkStart w:id="5" w:name="_Toc477766069"/>
      <w:bookmarkStart w:id="6" w:name="_Toc476734945"/>
      <w:bookmarkStart w:id="7" w:name="_Toc46923531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  <w:bookmarkEnd w:id="5"/>
      <w:bookmarkEnd w:id="6"/>
      <w:bookmarkEnd w:id="7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8" w:name="_Toc485914839"/>
      <w:bookmarkStart w:id="9" w:name="_Toc485914690"/>
      <w:bookmarkStart w:id="10" w:name="_Toc476734946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8"/>
      <w:bookmarkEnd w:id="9"/>
      <w:bookmarkEnd w:id="10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根据湖南省民政厅《关于同意醴陵市乡镇区划调整方案的批复》（湘民行发〔2015〕85号）：撤销孙家湾乡设立孙家湾镇，行政区域不变。调整后孙家湾镇下辖6个建制村，总人口2.27万人，镇人民政府驻龙湖湾。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1" w:name="_Toc476734947"/>
      <w:bookmarkStart w:id="12" w:name="_Toc485914691"/>
      <w:bookmarkStart w:id="13" w:name="_Toc485914840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11"/>
      <w:bookmarkEnd w:id="12"/>
      <w:bookmarkEnd w:id="13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孙家湾镇位于醴陵市中南部，距醴陵城区8.5千米。东邻东富镇与沈潭镇，南接泗汾镇，西与茶山镇、嘉树镇毗邻，北与仙岳山街道接壤。孙家湾镇水陆交通十分便利，铁水自东南向西北经境内2个村，醴茶铁路和106国道横贯南北，333省道连接东西，属醴陵市“半小时经济圈”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4" w:name="_Toc485914841"/>
      <w:bookmarkStart w:id="15" w:name="_Toc476734948"/>
      <w:bookmarkStart w:id="16" w:name="_Toc485914692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14"/>
      <w:bookmarkEnd w:id="15"/>
      <w:bookmarkEnd w:id="1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17" w:name="_Toc469235315"/>
      <w:bookmarkStart w:id="18" w:name="_Toc476734949"/>
      <w:r>
        <w:rPr>
          <w:rFonts w:ascii="Times New Roman" w:hAnsi="Times New Roman" w:eastAsia="仿宋_GB2312" w:cs="Times New Roman"/>
          <w:kern w:val="0"/>
          <w:sz w:val="28"/>
          <w:szCs w:val="28"/>
        </w:rPr>
        <w:t>近年来，孙家湾镇产业结构不断优化、完善，全镇经济以现代产业农业与特色工业为发展方向，农业产业结构主要以现代种植业和规模养殖业为主。特色农产品有孙家湾黑猪、优质大枣。乡镇工业发展迅速，现已形成以陶瓷、包装印刷、农用机械加工制造为主导的特色工业结构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9" w:name="_Toc485914842"/>
      <w:bookmarkStart w:id="20" w:name="_Toc485914693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17"/>
      <w:bookmarkEnd w:id="18"/>
      <w:bookmarkEnd w:id="19"/>
      <w:bookmarkEnd w:id="20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2014年，孙家湾镇土地总面积</w:t>
      </w:r>
      <w:bookmarkStart w:id="21" w:name="OLE_LINK1"/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5277.89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bookmarkEnd w:id="21"/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4435.81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84.05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742.35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14.07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99.73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>1.89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2" w:name="_Toc485914843"/>
      <w:bookmarkStart w:id="23" w:name="_Toc485914694"/>
      <w:bookmarkStart w:id="24" w:name="_Toc476734950"/>
      <w:bookmarkStart w:id="25" w:name="_Toc469235316"/>
      <w:bookmarkStart w:id="26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22"/>
      <w:bookmarkEnd w:id="23"/>
      <w:bookmarkEnd w:id="24"/>
      <w:bookmarkEnd w:id="25"/>
      <w:bookmarkEnd w:id="26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规划范围为孙家湾镇区域内的所有土地，土地总面积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结构表!R4C10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5277.89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7" w:name="_Toc469235317"/>
      <w:bookmarkStart w:id="28" w:name="_Toc476734951"/>
      <w:bookmarkStart w:id="29" w:name="_Toc485914695"/>
      <w:bookmarkStart w:id="30" w:name="_Toc485914844"/>
      <w:bookmarkStart w:id="31" w:name="_Toc233731124"/>
      <w:bookmarkStart w:id="32" w:name="_Toc233731296"/>
      <w:bookmarkStart w:id="33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27"/>
      <w:bookmarkEnd w:id="28"/>
      <w:bookmarkEnd w:id="29"/>
      <w:bookmarkEnd w:id="30"/>
    </w:p>
    <w:bookmarkEnd w:id="31"/>
    <w:bookmarkEnd w:id="32"/>
    <w:bookmarkEnd w:id="33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1828.00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1636.00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154.42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752.20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663.86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149.72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166.36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162.41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42.35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4" w:name="_Toc469235327"/>
      <w:bookmarkStart w:id="35" w:name="_Toc485914845"/>
      <w:bookmarkStart w:id="36" w:name="_Toc485914696"/>
      <w:bookmarkStart w:id="37" w:name="_Toc476734952"/>
      <w:bookmarkStart w:id="38" w:name="_Toc469235320"/>
      <w:bookmarkStart w:id="39" w:name="_Toc229458166"/>
      <w:bookmarkStart w:id="40" w:name="_Toc204342104"/>
      <w:bookmarkStart w:id="41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34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35"/>
      <w:bookmarkEnd w:id="36"/>
      <w:bookmarkEnd w:id="37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2" w:name="_Toc485914846"/>
      <w:bookmarkStart w:id="43" w:name="_Toc485914697"/>
      <w:bookmarkStart w:id="44" w:name="_Toc476734953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42"/>
      <w:bookmarkEnd w:id="43"/>
      <w:bookmarkEnd w:id="44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42.60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7.20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公顷，同时调出质量较差基本农田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35.39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5" w:name="_Toc476734954"/>
      <w:bookmarkStart w:id="46" w:name="_Toc485914698"/>
      <w:bookmarkStart w:id="47" w:name="_Toc485914847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45"/>
      <w:bookmarkEnd w:id="46"/>
      <w:bookmarkEnd w:id="47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85.96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公顷，其中因建设用地调出补划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9.50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公顷，主要分布在文家湾村，优质耕地调入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76.46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公顷，主要集中在龙湖湾村、孙家湾村、李家山村。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划定后，孙家湾镇永久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基本农田面积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1636.26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</w:t>
      </w:r>
      <w:r>
        <w:rPr>
          <w:rFonts w:ascii="Times New Roman" w:hAnsi="Times New Roman" w:eastAsia="仿宋_GB2312" w:cs="Times New Roman"/>
          <w:sz w:val="28"/>
          <w:szCs w:val="28"/>
        </w:rPr>
        <w:t>（较规划修改前增加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耕基!R12C8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43.36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</w:t>
      </w:r>
      <w:r>
        <w:rPr>
          <w:rFonts w:ascii="Times New Roman" w:hAnsi="Times New Roman" w:eastAsia="仿宋_GB2312" w:cs="Times New Roman"/>
          <w:sz w:val="28"/>
          <w:szCs w:val="28"/>
        </w:rPr>
        <w:t>），此次调整完善优化全镇基本农田布局。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 孙家湾镇基本农田布局调整情况表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73"/>
        <w:gridCol w:w="1030"/>
        <w:gridCol w:w="1030"/>
        <w:gridCol w:w="859"/>
        <w:gridCol w:w="1557"/>
        <w:gridCol w:w="962"/>
        <w:gridCol w:w="1084"/>
        <w:gridCol w:w="1261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1592.90 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9.5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76.46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85.9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7.20 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35.39 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42.60 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43.</w:t>
            </w:r>
            <w:r>
              <w:rPr>
                <w:rFonts w:hint="eastAsia" w:ascii="Times New Roman" w:hAnsi="Times New Roman" w:cs="Times New Roman"/>
                <w:szCs w:val="21"/>
              </w:rPr>
              <w:t>36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1636.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8" w:name="_Toc485914848"/>
      <w:bookmarkStart w:id="49" w:name="_Toc485914699"/>
      <w:bookmarkStart w:id="50" w:name="_Toc476734955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38"/>
      <w:bookmarkEnd w:id="48"/>
      <w:bookmarkEnd w:id="49"/>
      <w:bookmarkEnd w:id="50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1" w:name="_Toc485914849"/>
      <w:bookmarkStart w:id="52" w:name="_Toc485914700"/>
      <w:bookmarkStart w:id="53" w:name="_Toc476734956"/>
      <w:bookmarkStart w:id="54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51"/>
      <w:bookmarkEnd w:id="52"/>
      <w:bookmarkEnd w:id="53"/>
      <w:bookmarkEnd w:id="54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规划修改共增加城镇用地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城!R5C4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12.88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公顷，全部为集镇开发建设调入，集中分布在龙虎湾村、孙家湾村。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4"/>
        </w:rPr>
        <w:t>本次规划修改</w:t>
      </w:r>
      <w:r>
        <w:rPr>
          <w:rFonts w:ascii="Times New Roman" w:hAnsi="Times New Roman" w:eastAsia="仿宋_GB2312" w:cs="Times New Roman"/>
          <w:sz w:val="28"/>
          <w:szCs w:val="28"/>
        </w:rPr>
        <w:t>城镇用地无调出减少。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城!R5C1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1.51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城!R5C11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14.39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城!R5C10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12.88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表2孙家湾镇城镇用地布局调整情况表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007"/>
        <w:gridCol w:w="1937"/>
        <w:gridCol w:w="1937"/>
        <w:gridCol w:w="193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1.51 </w:t>
            </w:r>
          </w:p>
        </w:tc>
        <w:tc>
          <w:tcPr>
            <w:tcW w:w="200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12.88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93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12.88 </w:t>
            </w:r>
          </w:p>
        </w:tc>
        <w:tc>
          <w:tcPr>
            <w:tcW w:w="1935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14.39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5" w:name="_Toc485914850"/>
      <w:bookmarkStart w:id="56" w:name="_Toc485914701"/>
      <w:bookmarkStart w:id="57" w:name="_Toc476734957"/>
      <w:bookmarkStart w:id="58" w:name="_Toc46923532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55"/>
      <w:bookmarkEnd w:id="56"/>
      <w:bookmarkEnd w:id="57"/>
      <w:bookmarkEnd w:id="58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“农民集中居住、农业集中经营、农田集中耕作”的理念，结合易地扶贫搬迁安置工程及新农村建设，对孙家湾镇农村居民点用地布局进行调整。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规划修改因规划建设调入增加农村居民点用地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农!R5C4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10.74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公顷，其中一般调入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农!R5C2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7.94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公顷，因切块调出还原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农!R5C3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公顷，主要分布在龙虎湾村、孙家湾村、西岸村。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规划修改因调出减少农村居民点用地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农!R5C9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0.87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公顷，主要分布在观前村。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修改后，农村居民点用地规模由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农!R5C1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504.26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农!R5C11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514.13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农!R5C10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9.87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表3孙家湾镇农村居民点用地布局调整情况表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611"/>
        <w:gridCol w:w="615"/>
        <w:gridCol w:w="910"/>
        <w:gridCol w:w="923"/>
        <w:gridCol w:w="1224"/>
        <w:gridCol w:w="1204"/>
        <w:gridCol w:w="1280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99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611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428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8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75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99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切块调出还原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8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9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504.26 </w:t>
            </w:r>
          </w:p>
        </w:tc>
        <w:tc>
          <w:tcPr>
            <w:tcW w:w="1226" w:type="dxa"/>
            <w:gridSpan w:val="2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7.94 </w:t>
            </w:r>
          </w:p>
        </w:tc>
        <w:tc>
          <w:tcPr>
            <w:tcW w:w="91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10.74 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9.87 </w:t>
            </w:r>
          </w:p>
        </w:tc>
        <w:tc>
          <w:tcPr>
            <w:tcW w:w="1757" w:type="dxa"/>
            <w:tcBorders>
              <w:top w:val="nil"/>
              <w:left w:val="single" w:color="auto" w:sz="4" w:space="0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514.13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9" w:name="_Toc485914851"/>
      <w:bookmarkStart w:id="60" w:name="_Toc485914702"/>
      <w:bookmarkStart w:id="61" w:name="_Toc476734958"/>
      <w:bookmarkStart w:id="62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59"/>
      <w:bookmarkEnd w:id="60"/>
      <w:bookmarkEnd w:id="61"/>
      <w:bookmarkEnd w:id="6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：规划修改因规划调入增加采矿及其他独立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采独!R5C4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19.78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主要用于镇村办企业建设。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：规划修改因调出减少采矿及其他独立建设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采独!R5C9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38.68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公顷，全</w:t>
      </w:r>
      <w:r>
        <w:rPr>
          <w:rFonts w:ascii="Times New Roman" w:hAnsi="Times New Roman" w:eastAsia="仿宋_GB2312" w:cs="Times New Roman"/>
          <w:sz w:val="28"/>
          <w:szCs w:val="28"/>
        </w:rPr>
        <w:t>镇各村均有涉及。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D:\\醴陵调整完善\\表格(净2013)\\乡镇表格\\7孙家湾镇\\乡镇规划附表.xlsx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154.23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D:\\醴陵调整完善\\表格(净2013)\\乡镇表格\\7孙家湾镇\\乡镇规划附表.xlsx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135.33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D:\\醴陵调整完善\\表格(净2013)\\乡镇表格\\7孙家湾镇\\乡镇规划附表.xlsx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18.90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表4孙家湾镇采矿及其他独立建设用地布局调整情况表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298"/>
        <w:gridCol w:w="1140"/>
        <w:gridCol w:w="1301"/>
        <w:gridCol w:w="1138"/>
        <w:gridCol w:w="1301"/>
        <w:gridCol w:w="20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43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43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30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206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30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154.23 </w:t>
            </w:r>
          </w:p>
        </w:tc>
        <w:tc>
          <w:tcPr>
            <w:tcW w:w="129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19.78 </w:t>
            </w:r>
          </w:p>
        </w:tc>
        <w:tc>
          <w:tcPr>
            <w:tcW w:w="11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19.78 </w:t>
            </w:r>
          </w:p>
        </w:tc>
        <w:tc>
          <w:tcPr>
            <w:tcW w:w="13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38.68 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38.68 </w:t>
            </w:r>
          </w:p>
        </w:tc>
        <w:tc>
          <w:tcPr>
            <w:tcW w:w="13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-18.90 </w:t>
            </w:r>
          </w:p>
        </w:tc>
        <w:tc>
          <w:tcPr>
            <w:tcW w:w="206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135.33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3" w:name="_Toc476734959"/>
      <w:bookmarkStart w:id="64" w:name="_Toc485914852"/>
      <w:bookmarkStart w:id="65" w:name="_Toc469235324"/>
      <w:bookmarkStart w:id="66" w:name="_Toc485914703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63"/>
      <w:bookmarkEnd w:id="64"/>
      <w:bookmarkEnd w:id="65"/>
      <w:bookmarkEnd w:id="66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：规划修改因规划调入增加交通水利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交!R5C4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1.56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</w:t>
      </w:r>
      <w:r>
        <w:rPr>
          <w:rFonts w:ascii="Times New Roman" w:hAnsi="Times New Roman" w:eastAsia="仿宋_GB2312" w:cs="Times New Roman"/>
          <w:sz w:val="28"/>
          <w:szCs w:val="28"/>
        </w:rPr>
        <w:t>用于醴陵-娄底高速公路扩容工程孙家湾段、醴陵城区绕城公路孙家湾段等重点交通项目建设。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4"/>
        </w:rPr>
        <w:t>规划修改因调剂预留指标减少交通水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利用地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交!R5C9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24.78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D:\\醴陵调整完善\\表格(净2013)\\乡镇表格\\7孙家湾镇\\乡镇规划附表.xlsx 交!R5C1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90.73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D:\\醴陵调整完善\\表格(净2013)\\乡镇表格\\7孙家湾镇\\乡镇规划附表.xlsx 交!R5C11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67.51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D:\\醴陵调整完善\\表格(净2013)\\乡镇表格\\7孙家湾镇\\乡镇规划附表.xlsx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23.22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表5孙家湾镇交通水利用地布局调整情况表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299"/>
        <w:gridCol w:w="1140"/>
        <w:gridCol w:w="1140"/>
        <w:gridCol w:w="983"/>
        <w:gridCol w:w="1627"/>
        <w:gridCol w:w="2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7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43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12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62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206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7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调剂预留指标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62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6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90.73 </w:t>
            </w:r>
          </w:p>
        </w:tc>
        <w:tc>
          <w:tcPr>
            <w:tcW w:w="129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1.56 </w:t>
            </w:r>
          </w:p>
        </w:tc>
        <w:tc>
          <w:tcPr>
            <w:tcW w:w="11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1.56 </w:t>
            </w:r>
          </w:p>
        </w:tc>
        <w:tc>
          <w:tcPr>
            <w:tcW w:w="11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24.78 </w:t>
            </w:r>
          </w:p>
        </w:tc>
        <w:tc>
          <w:tcPr>
            <w:tcW w:w="98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24.78 </w:t>
            </w:r>
          </w:p>
        </w:tc>
        <w:tc>
          <w:tcPr>
            <w:tcW w:w="162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-23.22 </w:t>
            </w:r>
          </w:p>
        </w:tc>
        <w:tc>
          <w:tcPr>
            <w:tcW w:w="206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67.51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7" w:name="_Toc469235325"/>
      <w:bookmarkStart w:id="68" w:name="_Toc476734960"/>
      <w:bookmarkStart w:id="69" w:name="_Toc485914853"/>
      <w:bookmarkStart w:id="70" w:name="_Toc485914704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67"/>
      <w:bookmarkEnd w:id="68"/>
      <w:bookmarkEnd w:id="69"/>
      <w:bookmarkEnd w:id="70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bookmarkStart w:id="71" w:name="_Toc469235329"/>
      <w:bookmarkStart w:id="72" w:name="_Toc476734961"/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：其他建设用地无调入增加。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4"/>
        </w:rPr>
        <w:t>规划修改因建设占用调出减少其他建设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其!R5C9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0.21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修改后，其他建设用地规模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由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其!R5C1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21.05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其!R5C11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20.84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公顷，净减少0.21公顷。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表6孙家湾镇其他建设用地布局调整情况表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970"/>
        <w:gridCol w:w="974"/>
        <w:gridCol w:w="1301"/>
        <w:gridCol w:w="1142"/>
        <w:gridCol w:w="1627"/>
        <w:gridCol w:w="2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2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94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44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62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206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2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62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6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21.05</w:t>
            </w:r>
          </w:p>
        </w:tc>
        <w:tc>
          <w:tcPr>
            <w:tcW w:w="9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30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0.21</w:t>
            </w:r>
          </w:p>
        </w:tc>
        <w:tc>
          <w:tcPr>
            <w:tcW w:w="11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0.21</w:t>
            </w:r>
          </w:p>
        </w:tc>
        <w:tc>
          <w:tcPr>
            <w:tcW w:w="162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-0.21</w:t>
            </w:r>
          </w:p>
        </w:tc>
        <w:tc>
          <w:tcPr>
            <w:tcW w:w="206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20.84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73" w:name="_Toc485914705"/>
      <w:bookmarkStart w:id="74" w:name="_Toc485914854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71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72"/>
      <w:bookmarkEnd w:id="73"/>
      <w:bookmarkEnd w:id="74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5" w:name="_Toc485914855"/>
      <w:bookmarkStart w:id="76" w:name="_Toc469235330"/>
      <w:bookmarkStart w:id="77" w:name="_Toc476734962"/>
      <w:bookmarkStart w:id="78" w:name="_Toc485914706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75"/>
      <w:bookmarkEnd w:id="76"/>
      <w:bookmarkEnd w:id="77"/>
      <w:bookmarkEnd w:id="78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修改后，将孙家湾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镇土地划分为六个用途区，包括：基本农田保护区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用途区!R3C3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1835.19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公顷、一般农地区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323.97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公顷、城镇建设用地区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用途区!R5C3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14.53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公顷、村镇建设用地区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用途区!R6C3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523.83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公顷、独立工矿区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用途区!R7C3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135.95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公顷和林业用地区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用途区!R10C3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1859.42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bookmarkEnd w:id="39"/>
    <w:bookmarkEnd w:id="40"/>
    <w:bookmarkEnd w:id="41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9" w:name="_Toc485914856"/>
      <w:bookmarkStart w:id="80" w:name="_Toc485914707"/>
      <w:bookmarkStart w:id="81" w:name="_Toc476734963"/>
      <w:bookmarkStart w:id="8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79"/>
      <w:bookmarkEnd w:id="80"/>
      <w:bookmarkEnd w:id="81"/>
      <w:bookmarkEnd w:id="82"/>
    </w:p>
    <w:p>
      <w:pPr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管制区!R3C3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663.86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公顷和限制建设区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管制区!R5C3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4614.03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公顷。其中：允许建设区较修改</w:t>
      </w:r>
      <w:r>
        <w:rPr>
          <w:rFonts w:ascii="Times New Roman" w:hAnsi="Times New Roman" w:eastAsia="仿宋_GB2312" w:cs="Times New Roman"/>
          <w:sz w:val="28"/>
          <w:szCs w:val="32"/>
        </w:rPr>
        <w:t>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D:\\醴陵调整完善\\表格(净2013)\\乡镇表格\\7孙家湾镇\\乡镇规划附表.xlsx 管制区!R3C4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3.86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，限制建设区较修改前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D:\\醴陵调整完善\\表格(净2013)\\乡镇表格\\7孙家湾镇\\乡镇规划附表.xlsx 管制区!R5C4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3.86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83" w:name="_Toc469235332"/>
      <w:bookmarkStart w:id="84" w:name="_Toc476734964"/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bookmarkStart w:id="85" w:name="_Toc485914708"/>
      <w:bookmarkStart w:id="86" w:name="_Toc485914857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83"/>
      <w:bookmarkEnd w:id="84"/>
      <w:bookmarkEnd w:id="85"/>
      <w:bookmarkEnd w:id="86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7" w:name="_Toc476734965"/>
      <w:bookmarkStart w:id="88" w:name="_Toc485914709"/>
      <w:bookmarkStart w:id="89" w:name="_Toc485914858"/>
      <w:r>
        <w:rPr>
          <w:rFonts w:ascii="Times New Roman" w:hAnsi="Times New Roman" w:eastAsia="黑体" w:cs="Times New Roman"/>
          <w:sz w:val="24"/>
          <w:szCs w:val="24"/>
        </w:rPr>
        <w:t>附表1  孙家湾镇土地利用现状表（2014年）</w:t>
      </w:r>
      <w:bookmarkEnd w:id="87"/>
      <w:bookmarkEnd w:id="88"/>
      <w:bookmarkEnd w:id="89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16"/>
        <w:gridCol w:w="2599"/>
        <w:gridCol w:w="2444"/>
        <w:gridCol w:w="21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5277.89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1823.63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34.55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13.93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1886.39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35.74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711.86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13.49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4435.81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84.04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650.69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12.33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26.51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679.11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12.87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42.50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20.74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742.35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14.07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51.44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48.29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99.73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1.89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 w:orient="landscape"/>
          <w:pgMar w:top="1701" w:right="1440" w:bottom="1440" w:left="1440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0" w:name="_Toc476734966"/>
      <w:bookmarkStart w:id="91" w:name="_Toc485914710"/>
      <w:bookmarkStart w:id="92" w:name="_Toc485914859"/>
      <w:bookmarkStart w:id="93" w:name="_Toc469235333"/>
      <w:r>
        <w:rPr>
          <w:rFonts w:ascii="Times New Roman" w:hAnsi="Times New Roman" w:eastAsia="黑体" w:cs="Times New Roman"/>
          <w:sz w:val="24"/>
          <w:szCs w:val="24"/>
        </w:rPr>
        <w:t>附表2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孙家湾镇土地利用结构调整表</w:t>
      </w:r>
      <w:bookmarkEnd w:id="90"/>
      <w:bookmarkEnd w:id="91"/>
      <w:bookmarkEnd w:id="92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40"/>
        <w:gridCol w:w="1989"/>
        <w:gridCol w:w="1801"/>
        <w:gridCol w:w="1730"/>
        <w:gridCol w:w="1801"/>
        <w:gridCol w:w="1621"/>
        <w:gridCol w:w="1838"/>
        <w:gridCol w:w="1730"/>
        <w:gridCol w:w="1692"/>
        <w:gridCol w:w="1692"/>
        <w:gridCol w:w="260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4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年）</w:t>
            </w:r>
          </w:p>
        </w:tc>
        <w:tc>
          <w:tcPr>
            <w:tcW w:w="33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60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7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5277.89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5277.89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5277.89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5277.89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1754.31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33.24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1823.63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34.55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1752.47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33.20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1831.38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34.70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7.75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16.69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0.32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13.93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0.26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80.69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1.53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77.57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1.47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63.64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2006.67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38.02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1886.39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35.74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1891.51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35.84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1835.37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34.77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-51.02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707.04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13.40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711.86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13.49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700.32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13.27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698.45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13.23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-13.41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4484.71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84.97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4435.81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84.05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4424.99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83.84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4442.77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84.18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6.96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0.03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1.91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0.04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0.03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14.39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0.27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12.48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607.99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11.52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650.69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12.33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504.26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9.55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514.13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9.74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-136.56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32.96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0.62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26.51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0.50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41.22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0.78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41.22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0.78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14.71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113.01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2.14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94.11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1.78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94.11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642.46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12.17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679.11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12.87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660.00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12.50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663.86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12.58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-15.25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42.71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0.81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42.50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0.81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90.73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1.72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67.51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1.28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25.01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21.14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20.74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0.39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21.05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0.40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20.84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0.39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706.31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13.38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742.35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14.07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771.78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14.62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752.20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14.25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9.85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51.44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0.97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51.44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0.97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51.44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0.97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51.38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0.97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-0.06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35.43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0.67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48.29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0.91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29.68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0.56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31.54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0.60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-16.75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86.87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1.65</w:t>
            </w: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99.73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1.89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81.12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1.54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82.92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1.57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-16.81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4" w:name="_Toc485914860"/>
      <w:bookmarkStart w:id="95" w:name="_Toc485914711"/>
      <w:bookmarkStart w:id="96" w:name="_Toc476734967"/>
      <w:r>
        <w:rPr>
          <w:rFonts w:ascii="Times New Roman" w:hAnsi="Times New Roman" w:eastAsia="黑体" w:cs="Times New Roman"/>
          <w:sz w:val="24"/>
          <w:szCs w:val="24"/>
        </w:rPr>
        <w:t>附表3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孙家湾镇</w:t>
      </w:r>
      <w:bookmarkEnd w:id="93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94"/>
      <w:bookmarkEnd w:id="95"/>
      <w:bookmarkEnd w:id="9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996"/>
        <w:gridCol w:w="3989"/>
        <w:gridCol w:w="3177"/>
        <w:gridCol w:w="2953"/>
        <w:gridCol w:w="27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1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9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1752.47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1828.00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75.53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1592.90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1636.00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43.10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771.78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752.20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-19.58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660.00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663.86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3.86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155.74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149.72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-6.02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185.94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166.36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-19.58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180.19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162.41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-17.78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44.79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42.35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42.95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154.42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111.47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7" w:name="_Toc476734968"/>
      <w:bookmarkStart w:id="98" w:name="_Toc485914712"/>
      <w:bookmarkStart w:id="99" w:name="_Toc485914861"/>
      <w:r>
        <w:rPr>
          <w:rFonts w:ascii="Times New Roman" w:hAnsi="Times New Roman" w:eastAsia="黑体" w:cs="Times New Roman"/>
          <w:sz w:val="24"/>
          <w:szCs w:val="24"/>
        </w:rPr>
        <w:t>附表4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孙家湾镇落实上一级土地利用规划指标情况表</w:t>
      </w:r>
      <w:bookmarkEnd w:id="97"/>
      <w:bookmarkEnd w:id="98"/>
      <w:bookmarkEnd w:id="99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9"/>
        <w:gridCol w:w="4006"/>
        <w:gridCol w:w="3147"/>
        <w:gridCol w:w="2978"/>
        <w:gridCol w:w="27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40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14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9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5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1828.00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1831.38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3.38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1636.00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1636.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752.20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752.20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663.86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663.86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40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149.72</w:t>
            </w:r>
          </w:p>
        </w:tc>
        <w:tc>
          <w:tcPr>
            <w:tcW w:w="31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149.72</w:t>
            </w:r>
          </w:p>
        </w:tc>
        <w:tc>
          <w:tcPr>
            <w:tcW w:w="29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275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  <w:bookmarkStart w:id="100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101" w:name="_Toc476734969"/>
      <w:bookmarkStart w:id="102" w:name="_Toc485914862"/>
      <w:bookmarkStart w:id="103" w:name="_Toc485914713"/>
      <w:bookmarkStart w:id="104" w:name="_Toc469235336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101"/>
      <w:bookmarkEnd w:id="102"/>
      <w:bookmarkEnd w:id="103"/>
      <w:bookmarkEnd w:id="104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15"/>
        <w:gridCol w:w="1015"/>
        <w:gridCol w:w="1213"/>
        <w:gridCol w:w="1213"/>
        <w:gridCol w:w="1209"/>
        <w:gridCol w:w="1617"/>
        <w:gridCol w:w="2220"/>
        <w:gridCol w:w="1213"/>
        <w:gridCol w:w="1415"/>
        <w:gridCol w:w="1011"/>
        <w:gridCol w:w="1213"/>
        <w:gridCol w:w="1217"/>
        <w:gridCol w:w="38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33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89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89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2.86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8.74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0.99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12.88 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3.79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3.77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0.18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1.76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1.04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10.74 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6.42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0.51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11.13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1.51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19.78 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0.34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1.56 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14.16 </w:t>
            </w:r>
          </w:p>
        </w:tc>
        <w:tc>
          <w:tcPr>
            <w:tcW w:w="10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1.00 </w:t>
            </w:r>
          </w:p>
        </w:tc>
        <w:tc>
          <w:tcPr>
            <w:tcW w:w="10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23.98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2.74 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1.76 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1.04 </w:t>
            </w:r>
          </w:p>
        </w:tc>
        <w:tc>
          <w:tcPr>
            <w:tcW w:w="14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0.06 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44.96 </w:t>
            </w:r>
          </w:p>
        </w:tc>
        <w:tc>
          <w:tcPr>
            <w:tcW w:w="389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105" w:name="_Toc485914863"/>
      <w:bookmarkStart w:id="106" w:name="_Toc485914714"/>
      <w:bookmarkStart w:id="107" w:name="_Toc476734970"/>
      <w:bookmarkStart w:id="108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105"/>
      <w:bookmarkEnd w:id="106"/>
      <w:bookmarkEnd w:id="107"/>
      <w:bookmarkEnd w:id="108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936"/>
        <w:gridCol w:w="267"/>
        <w:gridCol w:w="1003"/>
        <w:gridCol w:w="1011"/>
        <w:gridCol w:w="1209"/>
        <w:gridCol w:w="1209"/>
        <w:gridCol w:w="1209"/>
        <w:gridCol w:w="1609"/>
        <w:gridCol w:w="2220"/>
        <w:gridCol w:w="1411"/>
        <w:gridCol w:w="1407"/>
        <w:gridCol w:w="1007"/>
        <w:gridCol w:w="1267"/>
        <w:gridCol w:w="10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936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906" w:type="dxa"/>
            <w:gridSpan w:val="13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9.30 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24.89 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1.76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1.86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6.44 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17.30 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1.04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16.61 </w:t>
            </w:r>
          </w:p>
        </w:tc>
        <w:tc>
          <w:tcPr>
            <w:tcW w:w="10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42.19 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0.87 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6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2.80 </w:t>
            </w:r>
          </w:p>
        </w:tc>
        <w:tc>
          <w:tcPr>
            <w:tcW w:w="22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0.22 </w:t>
            </w:r>
          </w:p>
        </w:tc>
        <w:tc>
          <w:tcPr>
            <w:tcW w:w="14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4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6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1.86 </w:t>
            </w:r>
          </w:p>
        </w:tc>
        <w:tc>
          <w:tcPr>
            <w:tcW w:w="107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64.54 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134" w:right="1701" w:bottom="1440" w:left="1701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109" w:name="_Toc476734971"/>
      <w:bookmarkStart w:id="110" w:name="_Toc485914864"/>
      <w:bookmarkStart w:id="111" w:name="_Toc485914715"/>
      <w:r>
        <w:rPr>
          <w:rFonts w:ascii="Times New Roman" w:hAnsi="Times New Roman" w:eastAsia="黑体" w:cs="Times New Roman"/>
          <w:sz w:val="24"/>
          <w:szCs w:val="24"/>
        </w:rPr>
        <w:t>附表7  孙家湾镇耕地保有量和基本农田保护面积分解表</w:t>
      </w:r>
      <w:bookmarkEnd w:id="109"/>
      <w:bookmarkEnd w:id="110"/>
      <w:bookmarkEnd w:id="111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5398"/>
        <w:gridCol w:w="5179"/>
        <w:gridCol w:w="51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规划</w:t>
            </w:r>
            <w:r>
              <w:rPr>
                <w:rFonts w:ascii="Times New Roman" w:hAnsi="Times New Roman" w:cs="Times New Roman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szCs w:val="21"/>
              </w:rPr>
              <w:t>年耕地保有量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规划期间基本农田保护面积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观前村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349.34 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320.95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李家山村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321.24 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290.32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龙虎湾村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294.6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269.62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孙家湾村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262.61 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231.67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文家湾村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336.40 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295.09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西岸村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267.17 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228.6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5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孙家湾镇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1831.</w:t>
            </w:r>
            <w:r>
              <w:rPr>
                <w:rFonts w:hint="eastAsia" w:ascii="Times New Roman" w:hAnsi="Times New Roman" w:cs="Times New Roman"/>
                <w:szCs w:val="21"/>
              </w:rPr>
              <w:t>38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1636.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112" w:name="_Toc485914716"/>
      <w:bookmarkStart w:id="113" w:name="_Toc485914865"/>
      <w:bookmarkStart w:id="114" w:name="_Toc476734972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孙家湾镇</w:t>
      </w:r>
      <w:bookmarkEnd w:id="100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112"/>
      <w:bookmarkEnd w:id="113"/>
      <w:bookmarkEnd w:id="11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5516"/>
        <w:gridCol w:w="5516"/>
        <w:gridCol w:w="43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用途分区类型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5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7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1791.80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1835.19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43.40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一般农地区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328.96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323.97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-4.99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1.65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14.53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村镇建设用地区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513.95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523.83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独立工矿区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154.85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135.95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-18.90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风景旅游用地区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21.05 </w:t>
            </w:r>
          </w:p>
        </w:tc>
        <w:tc>
          <w:tcPr>
            <w:tcW w:w="5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-21.05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4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林业用地区</w:t>
            </w:r>
          </w:p>
        </w:tc>
        <w:tc>
          <w:tcPr>
            <w:tcW w:w="551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1915.56 </w:t>
            </w:r>
          </w:p>
        </w:tc>
        <w:tc>
          <w:tcPr>
            <w:tcW w:w="551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1859.42 </w:t>
            </w:r>
          </w:p>
        </w:tc>
        <w:tc>
          <w:tcPr>
            <w:tcW w:w="437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-56.14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115" w:name="_Toc485914866"/>
      <w:bookmarkStart w:id="116" w:name="_Toc485914717"/>
      <w:bookmarkStart w:id="117" w:name="_Toc476734973"/>
      <w:bookmarkStart w:id="118" w:name="_Toc469235339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孙家湾镇建设用地空间管制分区修改情况表</w:t>
      </w:r>
      <w:bookmarkEnd w:id="115"/>
      <w:bookmarkEnd w:id="116"/>
      <w:bookmarkEnd w:id="117"/>
      <w:bookmarkEnd w:id="11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7"/>
        <w:gridCol w:w="5529"/>
        <w:gridCol w:w="5529"/>
        <w:gridCol w:w="431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660.00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663.86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3.86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4617.89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4614.03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-3.86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5277.89 </w:t>
            </w:r>
          </w:p>
        </w:tc>
        <w:tc>
          <w:tcPr>
            <w:tcW w:w="552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5277.89 </w:t>
            </w:r>
          </w:p>
        </w:tc>
        <w:tc>
          <w:tcPr>
            <w:tcW w:w="431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Times New Roman" w:hAnsi="Times New Roman" w:eastAsia="黑体" w:cs="Times New Roman"/>
          <w:sz w:val="24"/>
          <w:szCs w:val="24"/>
        </w:rPr>
      </w:pPr>
      <w:bookmarkStart w:id="119" w:name="_Toc469235340"/>
      <w:bookmarkStart w:id="120" w:name="_Toc476734974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孙家湾镇2016-2020年重点建设用地项目规划表</w:t>
      </w:r>
      <w:bookmarkEnd w:id="119"/>
      <w:bookmarkEnd w:id="12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641"/>
        <w:gridCol w:w="3710"/>
        <w:gridCol w:w="3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6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71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374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醴陵-娄底高速公路扩容工程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醴陵锉断坳至杉仙殿公路（锉断坳至大障段）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升级改造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G106醴陵城区绕城公路（王仙-龙源冲）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老关至铁河口公路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早禾塘-韶山公路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碧山至马恋公路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渌江大西滩至渌口段航道疏浚工程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渌水航道建设工程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招呼站建设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二、农村公路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危桥改造项目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生命防护工程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大中修项目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渌江及支流治理工程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中小河流治理工程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孙家湾小</w:t>
            </w:r>
            <w:r>
              <w:rPr>
                <w:rFonts w:ascii="Times New Roman" w:hAnsi="Times New Roman" w:eastAsia="宋体" w:cs="Times New Roman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szCs w:val="21"/>
              </w:rPr>
              <w:t>型水库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孙家湾镇污水处理厂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孙家湾镇垃圾处理厂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05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1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老关至铁河口公路拆迁安置区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05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1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农村饮水安全及水源工程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05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1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孙家湾镇村级活动中心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05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1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养老服务配套工程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六、旅游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05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1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孙家湾城市郊野乡村休闲示范区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七、其他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南昌铁路局萍乡工务段醴茶铁路孙家湾巡养站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1164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孙家湾镇物流中心</w:t>
            </w:r>
          </w:p>
        </w:tc>
        <w:tc>
          <w:tcPr>
            <w:tcW w:w="3710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121" w:name="_Toc485914867"/>
      <w:bookmarkStart w:id="122" w:name="_Toc485914718"/>
      <w:bookmarkStart w:id="123" w:name="_Toc476734975"/>
      <w:r>
        <w:rPr>
          <w:rFonts w:ascii="Times New Roman" w:hAnsi="Times New Roman" w:eastAsia="黑体" w:cs="Times New Roman"/>
          <w:sz w:val="24"/>
          <w:szCs w:val="24"/>
        </w:rPr>
        <w:t>附表11  孙家湾镇土地用途分区面积统计表</w:t>
      </w:r>
      <w:bookmarkEnd w:id="121"/>
      <w:bookmarkEnd w:id="122"/>
      <w:bookmarkEnd w:id="123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43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3183"/>
        <w:gridCol w:w="2464"/>
        <w:gridCol w:w="2464"/>
        <w:gridCol w:w="2464"/>
        <w:gridCol w:w="2464"/>
        <w:gridCol w:w="2464"/>
        <w:gridCol w:w="246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序号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单位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一般农地区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城镇建设用地区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村镇建设用地区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独立工矿区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林业用地区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观前村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342.86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52.64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11.15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77.72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0.37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169.75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李家山村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341.11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59.33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81.86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50.34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386.69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龙虎湾村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289.10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41.20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1.73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123.32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30.67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189.27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孙家湾村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258.97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47.95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1.51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99.46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34.05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243.79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文家湾村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348.72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64.09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65.90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10.57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232.47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西岸村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254.44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58.76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75.56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9.95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637.44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孙家湾镇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1835.19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323.97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14.53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523.83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135.95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1859.42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124" w:name="_Toc469235341"/>
      <w:bookmarkStart w:id="125" w:name="_Toc476734976"/>
      <w:bookmarkStart w:id="126" w:name="_Toc485914868"/>
      <w:bookmarkStart w:id="127" w:name="_Toc485914719"/>
      <w:r>
        <w:rPr>
          <w:rFonts w:ascii="Times New Roman" w:hAnsi="Times New Roman" w:eastAsia="黑体" w:cs="Times New Roman"/>
          <w:sz w:val="24"/>
          <w:szCs w:val="24"/>
        </w:rPr>
        <w:t>附表12孙家湾镇2006-2020年地类结构平衡表</w:t>
      </w:r>
      <w:bookmarkEnd w:id="124"/>
      <w:bookmarkEnd w:id="125"/>
      <w:bookmarkEnd w:id="126"/>
      <w:bookmarkEnd w:id="127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0628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18"/>
        <w:gridCol w:w="1003"/>
        <w:gridCol w:w="1003"/>
        <w:gridCol w:w="937"/>
        <w:gridCol w:w="937"/>
        <w:gridCol w:w="1003"/>
        <w:gridCol w:w="937"/>
        <w:gridCol w:w="794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747"/>
        <w:gridCol w:w="937"/>
        <w:gridCol w:w="937"/>
        <w:gridCol w:w="100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规划基期现状面积</w:t>
            </w:r>
          </w:p>
        </w:tc>
        <w:tc>
          <w:tcPr>
            <w:tcW w:w="14791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规划期间调整至其他地类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期间减少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净增减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61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655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5277.89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4442.77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1831.38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77.57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1835.37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698.45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752.20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14.39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514.13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41.22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94.11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67.51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20.84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82.92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51.38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31.54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5277.89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4484.71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76.47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76.47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162.41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15.07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90.28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35.92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162.41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-41.94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4442.77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1754.31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2.86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13.91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18.32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77.07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1831.38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16.69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2.97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2.32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5.09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60.88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77.57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2006.67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74.35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74.35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96.95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8.74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7.07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62.93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10.87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171.30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-171.30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1835.37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707.04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20.14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11.13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6.58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20.14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-8.59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698.45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706.31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65.97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11.55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45.89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752.20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1.51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14.39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607.99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108.92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65.97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109.38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-93.86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514.13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32.96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41.22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94.11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94.11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42.71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11.55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11.55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11.76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24.80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67.51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21.14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0.30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-0.30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20.84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86.87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-3.95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82.92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51.44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-0.06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51.38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35.43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3.89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3.89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-3.89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31.54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期间增加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120.47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119.42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65.97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11.55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166.36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15.53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94.11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</w:p>
    <w:p>
      <w:pPr>
        <w:spacing w:beforeLines="50" w:afterLines="50" w:line="20" w:lineRule="exact"/>
        <w:jc w:val="left"/>
        <w:outlineLvl w:val="0"/>
        <w:rPr>
          <w:rFonts w:ascii="Times New Roman" w:hAnsi="Times New Roman" w:cs="Times New Roman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</w:rPr>
    </w:pPr>
  </w:p>
  <w:p>
    <w:pPr>
      <w:pStyle w:val="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72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7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02E44"/>
    <w:rsid w:val="0000344E"/>
    <w:rsid w:val="000139AE"/>
    <w:rsid w:val="00031742"/>
    <w:rsid w:val="00037F29"/>
    <w:rsid w:val="00044D4C"/>
    <w:rsid w:val="00045DEF"/>
    <w:rsid w:val="00047A70"/>
    <w:rsid w:val="00053952"/>
    <w:rsid w:val="0005484F"/>
    <w:rsid w:val="0007133B"/>
    <w:rsid w:val="00092ADB"/>
    <w:rsid w:val="0009706D"/>
    <w:rsid w:val="000973DA"/>
    <w:rsid w:val="000A4321"/>
    <w:rsid w:val="000B2CCD"/>
    <w:rsid w:val="000B402E"/>
    <w:rsid w:val="000B66F3"/>
    <w:rsid w:val="000C0BE5"/>
    <w:rsid w:val="000C138F"/>
    <w:rsid w:val="000C2794"/>
    <w:rsid w:val="000D3D66"/>
    <w:rsid w:val="000D4193"/>
    <w:rsid w:val="000D79A0"/>
    <w:rsid w:val="000E778D"/>
    <w:rsid w:val="000F3A70"/>
    <w:rsid w:val="00103575"/>
    <w:rsid w:val="00110349"/>
    <w:rsid w:val="00113197"/>
    <w:rsid w:val="00141EC9"/>
    <w:rsid w:val="00147EF9"/>
    <w:rsid w:val="00157473"/>
    <w:rsid w:val="00167E86"/>
    <w:rsid w:val="00171526"/>
    <w:rsid w:val="00176BDC"/>
    <w:rsid w:val="00177762"/>
    <w:rsid w:val="00190F0F"/>
    <w:rsid w:val="00191186"/>
    <w:rsid w:val="001A7608"/>
    <w:rsid w:val="001B1EF5"/>
    <w:rsid w:val="001B2A7E"/>
    <w:rsid w:val="001B360B"/>
    <w:rsid w:val="001B71EB"/>
    <w:rsid w:val="001C1629"/>
    <w:rsid w:val="001C674B"/>
    <w:rsid w:val="001D5279"/>
    <w:rsid w:val="001E0D7B"/>
    <w:rsid w:val="001F5E55"/>
    <w:rsid w:val="00210370"/>
    <w:rsid w:val="0021339B"/>
    <w:rsid w:val="0021688C"/>
    <w:rsid w:val="00225D8C"/>
    <w:rsid w:val="00226878"/>
    <w:rsid w:val="00231B32"/>
    <w:rsid w:val="002320D7"/>
    <w:rsid w:val="00242564"/>
    <w:rsid w:val="002604D6"/>
    <w:rsid w:val="00261723"/>
    <w:rsid w:val="00261BDF"/>
    <w:rsid w:val="002662CA"/>
    <w:rsid w:val="0028021B"/>
    <w:rsid w:val="00285483"/>
    <w:rsid w:val="002B568B"/>
    <w:rsid w:val="002C362E"/>
    <w:rsid w:val="002D55EB"/>
    <w:rsid w:val="002E23C8"/>
    <w:rsid w:val="002E2975"/>
    <w:rsid w:val="002F1E8C"/>
    <w:rsid w:val="002F616A"/>
    <w:rsid w:val="002F6174"/>
    <w:rsid w:val="002F710F"/>
    <w:rsid w:val="003064D3"/>
    <w:rsid w:val="00306B13"/>
    <w:rsid w:val="00307A6E"/>
    <w:rsid w:val="00312815"/>
    <w:rsid w:val="003144CB"/>
    <w:rsid w:val="00323445"/>
    <w:rsid w:val="00343CFC"/>
    <w:rsid w:val="00347D03"/>
    <w:rsid w:val="00353BC5"/>
    <w:rsid w:val="0035687C"/>
    <w:rsid w:val="003717F1"/>
    <w:rsid w:val="003B6F9B"/>
    <w:rsid w:val="003C1DCF"/>
    <w:rsid w:val="003C5198"/>
    <w:rsid w:val="003D2D91"/>
    <w:rsid w:val="003F58CC"/>
    <w:rsid w:val="003F63BE"/>
    <w:rsid w:val="00413139"/>
    <w:rsid w:val="00414AB2"/>
    <w:rsid w:val="0042182E"/>
    <w:rsid w:val="00424C98"/>
    <w:rsid w:val="004301EE"/>
    <w:rsid w:val="00470DB3"/>
    <w:rsid w:val="00475033"/>
    <w:rsid w:val="00484088"/>
    <w:rsid w:val="00485F74"/>
    <w:rsid w:val="004A1532"/>
    <w:rsid w:val="004C5A6E"/>
    <w:rsid w:val="004D799F"/>
    <w:rsid w:val="004E1D9F"/>
    <w:rsid w:val="004E6986"/>
    <w:rsid w:val="00502A4F"/>
    <w:rsid w:val="00521446"/>
    <w:rsid w:val="00522CC9"/>
    <w:rsid w:val="00530243"/>
    <w:rsid w:val="00531839"/>
    <w:rsid w:val="00533601"/>
    <w:rsid w:val="0053583F"/>
    <w:rsid w:val="00540245"/>
    <w:rsid w:val="005406E6"/>
    <w:rsid w:val="00544AA8"/>
    <w:rsid w:val="00545920"/>
    <w:rsid w:val="0054725D"/>
    <w:rsid w:val="005531F8"/>
    <w:rsid w:val="0055348E"/>
    <w:rsid w:val="00584E67"/>
    <w:rsid w:val="00585323"/>
    <w:rsid w:val="00591E9A"/>
    <w:rsid w:val="00595475"/>
    <w:rsid w:val="00595EBE"/>
    <w:rsid w:val="00597B3D"/>
    <w:rsid w:val="005A1E4F"/>
    <w:rsid w:val="005B18F0"/>
    <w:rsid w:val="005B65E5"/>
    <w:rsid w:val="005B7D08"/>
    <w:rsid w:val="005D3647"/>
    <w:rsid w:val="005D60B0"/>
    <w:rsid w:val="005D715F"/>
    <w:rsid w:val="005E0424"/>
    <w:rsid w:val="005E33E0"/>
    <w:rsid w:val="005E74DF"/>
    <w:rsid w:val="005E7B98"/>
    <w:rsid w:val="005F5C48"/>
    <w:rsid w:val="0060641C"/>
    <w:rsid w:val="006150FD"/>
    <w:rsid w:val="00627537"/>
    <w:rsid w:val="0064609D"/>
    <w:rsid w:val="00646E6F"/>
    <w:rsid w:val="006539BB"/>
    <w:rsid w:val="00667564"/>
    <w:rsid w:val="00691D36"/>
    <w:rsid w:val="00694A1E"/>
    <w:rsid w:val="00695D0E"/>
    <w:rsid w:val="006A648B"/>
    <w:rsid w:val="006B5F78"/>
    <w:rsid w:val="006B6CD1"/>
    <w:rsid w:val="006C3AB6"/>
    <w:rsid w:val="006C7061"/>
    <w:rsid w:val="006E7807"/>
    <w:rsid w:val="00706491"/>
    <w:rsid w:val="00711027"/>
    <w:rsid w:val="00722EB8"/>
    <w:rsid w:val="00734400"/>
    <w:rsid w:val="00742E5A"/>
    <w:rsid w:val="00742F33"/>
    <w:rsid w:val="00747A8A"/>
    <w:rsid w:val="0075489D"/>
    <w:rsid w:val="007952E2"/>
    <w:rsid w:val="007A7F74"/>
    <w:rsid w:val="007B1076"/>
    <w:rsid w:val="007B272B"/>
    <w:rsid w:val="007C2E74"/>
    <w:rsid w:val="007D344F"/>
    <w:rsid w:val="007D5E7D"/>
    <w:rsid w:val="007E581D"/>
    <w:rsid w:val="008223EC"/>
    <w:rsid w:val="00843F4F"/>
    <w:rsid w:val="00847F06"/>
    <w:rsid w:val="00850984"/>
    <w:rsid w:val="00852FAB"/>
    <w:rsid w:val="00865D22"/>
    <w:rsid w:val="0087033B"/>
    <w:rsid w:val="008710EF"/>
    <w:rsid w:val="00875C4D"/>
    <w:rsid w:val="00890CB1"/>
    <w:rsid w:val="0089392C"/>
    <w:rsid w:val="008A6A96"/>
    <w:rsid w:val="008B4F0A"/>
    <w:rsid w:val="008C1099"/>
    <w:rsid w:val="008C5C79"/>
    <w:rsid w:val="008D0BD5"/>
    <w:rsid w:val="008D43AE"/>
    <w:rsid w:val="008D4FB3"/>
    <w:rsid w:val="008E260B"/>
    <w:rsid w:val="008E4848"/>
    <w:rsid w:val="008E5AFA"/>
    <w:rsid w:val="008E758C"/>
    <w:rsid w:val="008F37DB"/>
    <w:rsid w:val="008F4F19"/>
    <w:rsid w:val="008F5332"/>
    <w:rsid w:val="008F6252"/>
    <w:rsid w:val="008F7CD0"/>
    <w:rsid w:val="00903716"/>
    <w:rsid w:val="00927C9B"/>
    <w:rsid w:val="0093390D"/>
    <w:rsid w:val="0093500E"/>
    <w:rsid w:val="00947229"/>
    <w:rsid w:val="009675D2"/>
    <w:rsid w:val="0096791D"/>
    <w:rsid w:val="00977ED7"/>
    <w:rsid w:val="00983FFE"/>
    <w:rsid w:val="00985686"/>
    <w:rsid w:val="00995603"/>
    <w:rsid w:val="009A7066"/>
    <w:rsid w:val="009B6B1A"/>
    <w:rsid w:val="009C0AB9"/>
    <w:rsid w:val="009C7C0E"/>
    <w:rsid w:val="009D2632"/>
    <w:rsid w:val="009D7ADA"/>
    <w:rsid w:val="009F1057"/>
    <w:rsid w:val="009F588A"/>
    <w:rsid w:val="00A154F8"/>
    <w:rsid w:val="00A318AF"/>
    <w:rsid w:val="00A346A5"/>
    <w:rsid w:val="00A35C03"/>
    <w:rsid w:val="00A40DB2"/>
    <w:rsid w:val="00A46CED"/>
    <w:rsid w:val="00A62E47"/>
    <w:rsid w:val="00A7599D"/>
    <w:rsid w:val="00A837D3"/>
    <w:rsid w:val="00AB1E6C"/>
    <w:rsid w:val="00AB4459"/>
    <w:rsid w:val="00AB6D00"/>
    <w:rsid w:val="00AC50CF"/>
    <w:rsid w:val="00AE46A7"/>
    <w:rsid w:val="00AF2CDB"/>
    <w:rsid w:val="00AF7E39"/>
    <w:rsid w:val="00B02CC1"/>
    <w:rsid w:val="00B03553"/>
    <w:rsid w:val="00B05982"/>
    <w:rsid w:val="00B20570"/>
    <w:rsid w:val="00B26592"/>
    <w:rsid w:val="00B475FC"/>
    <w:rsid w:val="00B63567"/>
    <w:rsid w:val="00B63F70"/>
    <w:rsid w:val="00B72120"/>
    <w:rsid w:val="00B75091"/>
    <w:rsid w:val="00B7697A"/>
    <w:rsid w:val="00B7717B"/>
    <w:rsid w:val="00B82A1A"/>
    <w:rsid w:val="00BB1B44"/>
    <w:rsid w:val="00BB77FA"/>
    <w:rsid w:val="00BC092B"/>
    <w:rsid w:val="00BC23D0"/>
    <w:rsid w:val="00BC3A96"/>
    <w:rsid w:val="00BC6359"/>
    <w:rsid w:val="00BF11AB"/>
    <w:rsid w:val="00C02330"/>
    <w:rsid w:val="00C02D3C"/>
    <w:rsid w:val="00C108FE"/>
    <w:rsid w:val="00C11C26"/>
    <w:rsid w:val="00C33B57"/>
    <w:rsid w:val="00C352CF"/>
    <w:rsid w:val="00C360DA"/>
    <w:rsid w:val="00C47893"/>
    <w:rsid w:val="00C534A9"/>
    <w:rsid w:val="00C63C8E"/>
    <w:rsid w:val="00C7492D"/>
    <w:rsid w:val="00C90604"/>
    <w:rsid w:val="00C93FD5"/>
    <w:rsid w:val="00C944A5"/>
    <w:rsid w:val="00CC0586"/>
    <w:rsid w:val="00CC112B"/>
    <w:rsid w:val="00CD2198"/>
    <w:rsid w:val="00CE0462"/>
    <w:rsid w:val="00CF303B"/>
    <w:rsid w:val="00CF4E2C"/>
    <w:rsid w:val="00CF7FE6"/>
    <w:rsid w:val="00D01E95"/>
    <w:rsid w:val="00D02703"/>
    <w:rsid w:val="00D04505"/>
    <w:rsid w:val="00D12925"/>
    <w:rsid w:val="00D24E8A"/>
    <w:rsid w:val="00D32AC5"/>
    <w:rsid w:val="00D4157F"/>
    <w:rsid w:val="00D41C80"/>
    <w:rsid w:val="00D5531D"/>
    <w:rsid w:val="00D60FBE"/>
    <w:rsid w:val="00D6125D"/>
    <w:rsid w:val="00D65C02"/>
    <w:rsid w:val="00D72D61"/>
    <w:rsid w:val="00D970C6"/>
    <w:rsid w:val="00DA34BB"/>
    <w:rsid w:val="00DA5E02"/>
    <w:rsid w:val="00DC37FC"/>
    <w:rsid w:val="00DE05F5"/>
    <w:rsid w:val="00DE513C"/>
    <w:rsid w:val="00DE58BC"/>
    <w:rsid w:val="00DF0D20"/>
    <w:rsid w:val="00DF7D81"/>
    <w:rsid w:val="00E03A10"/>
    <w:rsid w:val="00E11125"/>
    <w:rsid w:val="00E11E98"/>
    <w:rsid w:val="00E124E3"/>
    <w:rsid w:val="00E13ED0"/>
    <w:rsid w:val="00E17D2E"/>
    <w:rsid w:val="00E34F29"/>
    <w:rsid w:val="00E4187C"/>
    <w:rsid w:val="00E41EFA"/>
    <w:rsid w:val="00E464D0"/>
    <w:rsid w:val="00E562E0"/>
    <w:rsid w:val="00E608F1"/>
    <w:rsid w:val="00E60AB5"/>
    <w:rsid w:val="00E61B6D"/>
    <w:rsid w:val="00E90ADB"/>
    <w:rsid w:val="00E914D8"/>
    <w:rsid w:val="00E943E0"/>
    <w:rsid w:val="00E951A9"/>
    <w:rsid w:val="00EC7344"/>
    <w:rsid w:val="00EE0E4B"/>
    <w:rsid w:val="00EE4743"/>
    <w:rsid w:val="00EE4B2C"/>
    <w:rsid w:val="00F05691"/>
    <w:rsid w:val="00F077CD"/>
    <w:rsid w:val="00F14415"/>
    <w:rsid w:val="00F17C06"/>
    <w:rsid w:val="00F2244C"/>
    <w:rsid w:val="00F36BAA"/>
    <w:rsid w:val="00F36F6D"/>
    <w:rsid w:val="00F36F81"/>
    <w:rsid w:val="00F41CCC"/>
    <w:rsid w:val="00F42817"/>
    <w:rsid w:val="00F4313E"/>
    <w:rsid w:val="00F5413D"/>
    <w:rsid w:val="00F713C5"/>
    <w:rsid w:val="00F725DC"/>
    <w:rsid w:val="00F75BB7"/>
    <w:rsid w:val="00F76590"/>
    <w:rsid w:val="00F82C39"/>
    <w:rsid w:val="00F8702E"/>
    <w:rsid w:val="00F93111"/>
    <w:rsid w:val="00F958DE"/>
    <w:rsid w:val="00FB5E22"/>
    <w:rsid w:val="00FC29C9"/>
    <w:rsid w:val="00FC7B12"/>
    <w:rsid w:val="00FE075D"/>
    <w:rsid w:val="00FE42B2"/>
    <w:rsid w:val="00FF352A"/>
    <w:rsid w:val="00FF3938"/>
    <w:rsid w:val="3AE86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80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tabs>
        <w:tab w:val="right" w:leader="dot" w:pos="10244"/>
      </w:tabs>
      <w:spacing w:line="360" w:lineRule="auto"/>
      <w:jc w:val="center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qFormat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uiPriority w:val="99"/>
    <w:rPr>
      <w:color w:val="0000FF" w:themeColor="hyperlink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uiPriority w:val="0"/>
    <w:rPr>
      <w:rFonts w:ascii="宋体" w:hAnsi="Courier New"/>
    </w:rPr>
  </w:style>
  <w:style w:type="character" w:customStyle="1" w:styleId="33">
    <w:name w:val="txt1"/>
    <w:qFormat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qFormat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qFormat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qFormat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qFormat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qFormat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qFormat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qFormat/>
    <w:uiPriority w:val="0"/>
    <w:rPr>
      <w:rFonts w:eastAsia="仿宋"/>
      <w:sz w:val="18"/>
      <w:szCs w:val="18"/>
    </w:rPr>
  </w:style>
  <w:style w:type="character" w:customStyle="1" w:styleId="49">
    <w:name w:val="biaoti1"/>
    <w:qFormat/>
    <w:uiPriority w:val="0"/>
    <w:rPr>
      <w:b/>
      <w:bCs/>
      <w:sz w:val="49"/>
      <w:szCs w:val="49"/>
    </w:rPr>
  </w:style>
  <w:style w:type="character" w:customStyle="1" w:styleId="50">
    <w:name w:val="批注引用1"/>
    <w:qFormat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qFormat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qFormat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qFormat/>
    <w:uiPriority w:val="0"/>
    <w:rPr>
      <w:vertAlign w:val="superscript"/>
    </w:rPr>
  </w:style>
  <w:style w:type="character" w:customStyle="1" w:styleId="57">
    <w:name w:val="批注主题 Char"/>
    <w:basedOn w:val="51"/>
    <w:link w:val="58"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qFormat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qFormat/>
    <w:uiPriority w:val="0"/>
    <w:rPr>
      <w:rFonts w:ascii="宋体"/>
    </w:rPr>
  </w:style>
  <w:style w:type="paragraph" w:customStyle="1" w:styleId="61">
    <w:name w:val="段"/>
    <w:link w:val="60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qFormat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qFormat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qFormat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qFormat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qFormat/>
    <w:uiPriority w:val="0"/>
    <w:rPr>
      <w:sz w:val="21"/>
      <w:szCs w:val="21"/>
    </w:rPr>
  </w:style>
  <w:style w:type="paragraph" w:customStyle="1" w:styleId="73">
    <w:name w:val="批注文字2"/>
    <w:basedOn w:val="1"/>
    <w:qFormat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qFormat/>
    <w:uiPriority w:val="0"/>
    <w:rPr>
      <w:color w:val="800080"/>
      <w:u w:val="single"/>
    </w:rPr>
  </w:style>
  <w:style w:type="paragraph" w:customStyle="1" w:styleId="75">
    <w:name w:val="脚注文本2"/>
    <w:basedOn w:val="1"/>
    <w:qFormat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uiPriority w:val="0"/>
    <w:rPr>
      <w:b/>
      <w:bCs/>
    </w:rPr>
  </w:style>
  <w:style w:type="paragraph" w:customStyle="1" w:styleId="78">
    <w:name w:val="文档结构图2"/>
    <w:basedOn w:val="1"/>
    <w:qFormat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paragraph" w:customStyle="1" w:styleId="7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80">
    <w:name w:val="批注框文本 Char1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012986-045A-4115-B8DD-202EC85D6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2901</Words>
  <Characters>16536</Characters>
  <Lines>137</Lines>
  <Paragraphs>38</Paragraphs>
  <TotalTime>1314</TotalTime>
  <ScaleCrop>false</ScaleCrop>
  <LinksUpToDate>false</LinksUpToDate>
  <CharactersWithSpaces>19399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2017-06-22T09:38:00Z</cp:lastPrinted>
  <dcterms:modified xsi:type="dcterms:W3CDTF">2018-06-27T08:45:52Z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