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72"/>
          <w:szCs w:val="44"/>
        </w:rPr>
      </w:pPr>
      <w:bookmarkStart w:id="0" w:name="_Toc468872185"/>
      <w:bookmarkStart w:id="1" w:name="_Toc469067200"/>
      <w:bookmarkStart w:id="2" w:name="_Toc469236685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72"/>
          <w:szCs w:val="44"/>
        </w:rPr>
      </w:pPr>
      <w:r>
        <w:rPr>
          <w:rFonts w:hint="eastAsia" w:ascii="Times New Roman" w:hAnsi="Times New Roman" w:eastAsia="黑体" w:cs="Times New Roman"/>
          <w:b/>
          <w:sz w:val="72"/>
          <w:szCs w:val="44"/>
        </w:rPr>
        <w:t>泗汾镇</w:t>
      </w:r>
      <w:r>
        <w:rPr>
          <w:rFonts w:ascii="Times New Roman" w:hAnsi="Times New Roman" w:eastAsia="黑体" w:cs="Times New Roman"/>
          <w:b/>
          <w:sz w:val="72"/>
          <w:szCs w:val="44"/>
        </w:rPr>
        <w:t>土地利用总体规划（2006-2020年）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72"/>
          <w:szCs w:val="44"/>
        </w:rPr>
      </w:pPr>
      <w:r>
        <w:rPr>
          <w:rFonts w:ascii="Times New Roman" w:hAnsi="Times New Roman" w:eastAsia="黑体" w:cs="Times New Roman"/>
          <w:b/>
          <w:sz w:val="72"/>
          <w:szCs w:val="44"/>
        </w:rPr>
        <w:t>2016年调整完善方案</w:t>
      </w: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eastAsia="黑体" w:cs="Times New Roman"/>
          <w:spacing w:val="87"/>
          <w:kern w:val="0"/>
          <w:sz w:val="48"/>
          <w:szCs w:val="44"/>
        </w:rPr>
      </w:pPr>
      <w:r>
        <w:rPr>
          <w:rFonts w:hint="eastAsia" w:ascii="Times New Roman" w:eastAsia="黑体" w:cs="Times New Roman"/>
          <w:spacing w:val="87"/>
          <w:kern w:val="0"/>
          <w:sz w:val="48"/>
          <w:szCs w:val="44"/>
          <w:fitText w:val="4402" w:id="0"/>
        </w:rPr>
        <w:t>泗汾镇</w:t>
      </w:r>
      <w:r>
        <w:rPr>
          <w:rFonts w:ascii="Times New Roman" w:eastAsia="黑体" w:cs="Times New Roman"/>
          <w:spacing w:val="87"/>
          <w:kern w:val="0"/>
          <w:sz w:val="48"/>
          <w:szCs w:val="44"/>
          <w:fitText w:val="4402" w:id="0"/>
        </w:rPr>
        <w:t>人民政</w:t>
      </w:r>
      <w:r>
        <w:rPr>
          <w:rFonts w:ascii="Times New Roman" w:eastAsia="黑体" w:cs="Times New Roman"/>
          <w:spacing w:val="-1"/>
          <w:kern w:val="0"/>
          <w:sz w:val="48"/>
          <w:szCs w:val="44"/>
          <w:fitText w:val="4402" w:id="0"/>
        </w:rPr>
        <w:t>府</w:t>
      </w:r>
    </w:p>
    <w:p>
      <w:pPr>
        <w:jc w:val="center"/>
        <w:rPr>
          <w:rFonts w:ascii="Times New Roman" w:eastAsia="黑体" w:cs="Times New Roman"/>
          <w:spacing w:val="87"/>
          <w:kern w:val="0"/>
          <w:sz w:val="48"/>
          <w:szCs w:val="44"/>
        </w:rPr>
        <w:sectPr>
          <w:footerReference r:id="rId3" w:type="default"/>
          <w:pgSz w:w="23814" w:h="16839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eastAsia="黑体" w:cs="Times New Roman"/>
          <w:spacing w:val="87"/>
          <w:kern w:val="0"/>
          <w:sz w:val="48"/>
          <w:szCs w:val="44"/>
          <w:fitText w:val="4402" w:id="1"/>
        </w:rPr>
        <w:pict>
          <v:shape id="_x0000_s1026" o:spid="_x0000_s1026" o:spt="202" type="#_x0000_t202" style="position:absolute;left:0pt;margin-left:192.4pt;margin-top:63.25pt;height:33.7pt;width:31.8pt;z-index:251658240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Times New Roman" w:eastAsia="黑体" w:cs="Times New Roman"/>
          <w:spacing w:val="87"/>
          <w:kern w:val="0"/>
          <w:sz w:val="48"/>
          <w:szCs w:val="44"/>
          <w:fitText w:val="4402" w:id="2"/>
        </w:rPr>
        <w:t>二〇一</w:t>
      </w:r>
      <w:r>
        <w:rPr>
          <w:rFonts w:hint="eastAsia" w:ascii="Times New Roman" w:eastAsia="黑体" w:cs="Times New Roman"/>
          <w:spacing w:val="87"/>
          <w:kern w:val="0"/>
          <w:sz w:val="48"/>
          <w:szCs w:val="44"/>
          <w:fitText w:val="4402" w:id="2"/>
        </w:rPr>
        <w:t>七</w:t>
      </w:r>
      <w:r>
        <w:rPr>
          <w:rFonts w:ascii="Times New Roman" w:eastAsia="黑体" w:cs="Times New Roman"/>
          <w:spacing w:val="87"/>
          <w:kern w:val="0"/>
          <w:sz w:val="48"/>
          <w:szCs w:val="44"/>
          <w:fitText w:val="4402" w:id="2"/>
        </w:rPr>
        <w:t>年</w:t>
      </w:r>
      <w:r>
        <w:rPr>
          <w:rFonts w:hint="eastAsia" w:ascii="Times New Roman" w:eastAsia="黑体" w:cs="Times New Roman"/>
          <w:spacing w:val="87"/>
          <w:kern w:val="0"/>
          <w:sz w:val="48"/>
          <w:szCs w:val="44"/>
          <w:fitText w:val="4402" w:id="2"/>
        </w:rPr>
        <w:t>四</w:t>
      </w:r>
      <w:r>
        <w:rPr>
          <w:rFonts w:ascii="Times New Roman" w:eastAsia="黑体" w:cs="Times New Roman"/>
          <w:spacing w:val="-1"/>
          <w:kern w:val="0"/>
          <w:sz w:val="48"/>
          <w:szCs w:val="44"/>
          <w:fitText w:val="4402" w:id="2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</w:t>
      </w:r>
      <w:r>
        <w:rPr>
          <w:rFonts w:hint="eastAsia" w:ascii="Times New Roman" w:hAnsi="Times New Roman" w:eastAsia="黑体" w:cs="Times New Roman"/>
          <w:b/>
          <w:sz w:val="30"/>
          <w:szCs w:val="30"/>
        </w:rPr>
        <w:t xml:space="preserve">  </w:t>
      </w:r>
      <w:r>
        <w:rPr>
          <w:rFonts w:ascii="Times New Roman" w:hAnsi="Times New Roman" w:eastAsia="黑体" w:cs="Times New Roman"/>
          <w:b/>
          <w:sz w:val="30"/>
          <w:szCs w:val="30"/>
        </w:rPr>
        <w:t>录</w:t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rPr>
          <w:rFonts w:cs="Times New Roman"/>
          <w:kern w:val="0"/>
          <w:sz w:val="32"/>
          <w:szCs w:val="32"/>
        </w:rPr>
        <w:fldChar w:fldCharType="begin"/>
      </w:r>
      <w:r>
        <w:rPr>
          <w:rFonts w:cs="Times New Roman"/>
          <w:kern w:val="0"/>
          <w:sz w:val="32"/>
          <w:szCs w:val="32"/>
        </w:rPr>
        <w:instrText xml:space="preserve"> TOC \o "1-2" \h \z \u </w:instrText>
      </w:r>
      <w:r>
        <w:rPr>
          <w:rFonts w:cs="Times New Roman"/>
          <w:kern w:val="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"_Toc485914426"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一、基本情况</w:t>
      </w:r>
      <w:r>
        <w:tab/>
      </w:r>
      <w:r>
        <w:fldChar w:fldCharType="begin"/>
      </w:r>
      <w:r>
        <w:instrText xml:space="preserve"> PAGEREF _Toc485914426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"_Toc485914427" </w:instrText>
      </w:r>
      <w:r>
        <w:fldChar w:fldCharType="separate"/>
      </w:r>
      <w:r>
        <w:rPr>
          <w:rStyle w:val="16"/>
          <w:rFonts w:hint="eastAsia"/>
        </w:rPr>
        <w:t>（一）行政区划调整</w:t>
      </w:r>
      <w:r>
        <w:tab/>
      </w:r>
      <w:r>
        <w:fldChar w:fldCharType="begin"/>
      </w:r>
      <w:r>
        <w:instrText xml:space="preserve"> PAGEREF _Toc485914427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"_Toc485914428" </w:instrText>
      </w:r>
      <w:r>
        <w:fldChar w:fldCharType="separate"/>
      </w:r>
      <w:r>
        <w:rPr>
          <w:rStyle w:val="16"/>
          <w:rFonts w:hint="eastAsia"/>
        </w:rPr>
        <w:t>（二）地理区位</w:t>
      </w:r>
      <w:r>
        <w:tab/>
      </w:r>
      <w:r>
        <w:fldChar w:fldCharType="begin"/>
      </w:r>
      <w:r>
        <w:instrText xml:space="preserve"> PAGEREF _Toc485914428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"_Toc485914429" </w:instrText>
      </w:r>
      <w:r>
        <w:fldChar w:fldCharType="separate"/>
      </w:r>
      <w:r>
        <w:rPr>
          <w:rStyle w:val="16"/>
          <w:rFonts w:hint="eastAsia"/>
        </w:rPr>
        <w:t>（三）经济发展</w:t>
      </w:r>
      <w:r>
        <w:tab/>
      </w:r>
      <w:r>
        <w:fldChar w:fldCharType="begin"/>
      </w:r>
      <w:r>
        <w:instrText xml:space="preserve"> PAGEREF _Toc485914429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"_Toc485914430" </w:instrText>
      </w:r>
      <w:r>
        <w:fldChar w:fldCharType="separate"/>
      </w:r>
      <w:r>
        <w:rPr>
          <w:rStyle w:val="16"/>
          <w:rFonts w:hint="eastAsia"/>
        </w:rPr>
        <w:t>（四）土地利用现状</w:t>
      </w:r>
      <w:r>
        <w:tab/>
      </w:r>
      <w:r>
        <w:fldChar w:fldCharType="begin"/>
      </w:r>
      <w:r>
        <w:instrText xml:space="preserve"> PAGEREF _Toc485914430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"_Toc485914431"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二、规划修改期限与范围</w:t>
      </w:r>
      <w:r>
        <w:tab/>
      </w:r>
      <w:r>
        <w:fldChar w:fldCharType="begin"/>
      </w:r>
      <w:r>
        <w:instrText xml:space="preserve"> PAGEREF _Toc485914431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"_Toc485914432"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三、土地利用规划目标</w:t>
      </w:r>
      <w:r>
        <w:tab/>
      </w:r>
      <w:r>
        <w:fldChar w:fldCharType="begin"/>
      </w:r>
      <w:r>
        <w:instrText xml:space="preserve"> PAGEREF _Toc485914432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"_Toc485914433"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四、永久基本农田划定情况</w:t>
      </w:r>
      <w:r>
        <w:tab/>
      </w:r>
      <w:r>
        <w:fldChar w:fldCharType="begin"/>
      </w:r>
      <w:r>
        <w:instrText xml:space="preserve"> PAGEREF _Toc485914433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"_Toc485914434" </w:instrText>
      </w:r>
      <w:r>
        <w:fldChar w:fldCharType="separate"/>
      </w:r>
      <w:r>
        <w:rPr>
          <w:rStyle w:val="16"/>
          <w:rFonts w:hint="eastAsia"/>
        </w:rPr>
        <w:t>（一）调出情况</w:t>
      </w:r>
      <w:r>
        <w:tab/>
      </w:r>
      <w:r>
        <w:fldChar w:fldCharType="begin"/>
      </w:r>
      <w:r>
        <w:instrText xml:space="preserve"> PAGEREF _Toc485914434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"_Toc485914435" </w:instrText>
      </w:r>
      <w:r>
        <w:fldChar w:fldCharType="separate"/>
      </w:r>
      <w:r>
        <w:rPr>
          <w:rStyle w:val="16"/>
          <w:rFonts w:hint="eastAsia"/>
        </w:rPr>
        <w:t>（二）补划情况</w:t>
      </w:r>
      <w:r>
        <w:tab/>
      </w:r>
      <w:r>
        <w:fldChar w:fldCharType="begin"/>
      </w:r>
      <w:r>
        <w:instrText xml:space="preserve"> PAGEREF _Toc485914435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"_Toc485914436"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五、建设用地规模与布局调整</w:t>
      </w:r>
      <w:r>
        <w:tab/>
      </w:r>
      <w:r>
        <w:fldChar w:fldCharType="begin"/>
      </w:r>
      <w:r>
        <w:instrText xml:space="preserve"> PAGEREF _Toc485914436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"_Toc485914437" </w:instrText>
      </w:r>
      <w:r>
        <w:fldChar w:fldCharType="separate"/>
      </w:r>
      <w:r>
        <w:rPr>
          <w:rStyle w:val="16"/>
          <w:rFonts w:hint="eastAsia"/>
        </w:rPr>
        <w:t>（一）城镇用地</w:t>
      </w:r>
      <w:r>
        <w:tab/>
      </w:r>
      <w:r>
        <w:fldChar w:fldCharType="begin"/>
      </w:r>
      <w:r>
        <w:instrText xml:space="preserve"> PAGEREF _Toc485914437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"_Toc485914438" </w:instrText>
      </w:r>
      <w:r>
        <w:fldChar w:fldCharType="separate"/>
      </w:r>
      <w:r>
        <w:rPr>
          <w:rStyle w:val="16"/>
          <w:rFonts w:hint="eastAsia" w:eastAsia="仿宋_GB2312"/>
        </w:rPr>
        <w:t>规划修改未涉及城镇用地的调整，保持</w:t>
      </w:r>
      <w:r>
        <w:rPr>
          <w:rStyle w:val="16"/>
          <w:rFonts w:eastAsia="仿宋_GB2312"/>
        </w:rPr>
        <w:t>266.16</w:t>
      </w:r>
      <w:r>
        <w:rPr>
          <w:rStyle w:val="16"/>
          <w:rFonts w:hint="eastAsia" w:eastAsia="仿宋_GB2312"/>
        </w:rPr>
        <w:t>公顷不变。</w:t>
      </w:r>
      <w:r>
        <w:tab/>
      </w:r>
      <w:r>
        <w:fldChar w:fldCharType="begin"/>
      </w:r>
      <w:r>
        <w:instrText xml:space="preserve"> PAGEREF _Toc485914438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"_Toc485914439" </w:instrText>
      </w:r>
      <w:r>
        <w:fldChar w:fldCharType="separate"/>
      </w:r>
      <w:r>
        <w:rPr>
          <w:rStyle w:val="16"/>
          <w:rFonts w:hint="eastAsia"/>
        </w:rPr>
        <w:t>（二）农村居民点用地</w:t>
      </w:r>
      <w:r>
        <w:tab/>
      </w:r>
      <w:r>
        <w:fldChar w:fldCharType="begin"/>
      </w:r>
      <w:r>
        <w:instrText xml:space="preserve"> PAGEREF _Toc485914439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"_Toc485914440" </w:instrText>
      </w:r>
      <w:r>
        <w:fldChar w:fldCharType="separate"/>
      </w:r>
      <w:r>
        <w:rPr>
          <w:rStyle w:val="16"/>
          <w:rFonts w:hint="eastAsia"/>
        </w:rPr>
        <w:t>（三）采矿及其他独立建设用地</w:t>
      </w:r>
      <w:r>
        <w:tab/>
      </w:r>
      <w:r>
        <w:fldChar w:fldCharType="begin"/>
      </w:r>
      <w:r>
        <w:instrText xml:space="preserve"> PAGEREF _Toc485914440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"_Toc485914441" </w:instrText>
      </w:r>
      <w:r>
        <w:fldChar w:fldCharType="separate"/>
      </w:r>
      <w:r>
        <w:rPr>
          <w:rStyle w:val="16"/>
          <w:rFonts w:hint="eastAsia"/>
        </w:rPr>
        <w:t>（五）其他建设用地</w:t>
      </w:r>
      <w:r>
        <w:tab/>
      </w:r>
      <w:r>
        <w:fldChar w:fldCharType="begin"/>
      </w:r>
      <w:r>
        <w:instrText xml:space="preserve"> PAGEREF _Toc485914441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"_Toc485914442"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六、土地利用分区调整情况</w:t>
      </w:r>
      <w:r>
        <w:tab/>
      </w:r>
      <w:r>
        <w:fldChar w:fldCharType="begin"/>
      </w:r>
      <w:r>
        <w:instrText xml:space="preserve"> PAGEREF _Toc485914442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"_Toc485914443" </w:instrText>
      </w:r>
      <w:r>
        <w:fldChar w:fldCharType="separate"/>
      </w:r>
      <w:r>
        <w:rPr>
          <w:rStyle w:val="16"/>
          <w:rFonts w:hint="eastAsia"/>
        </w:rPr>
        <w:t>（一）土地用途分区修改</w:t>
      </w:r>
      <w:r>
        <w:tab/>
      </w:r>
      <w:r>
        <w:fldChar w:fldCharType="begin"/>
      </w:r>
      <w:r>
        <w:instrText xml:space="preserve"> PAGEREF _Toc485914443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"_Toc485914444" </w:instrText>
      </w:r>
      <w:r>
        <w:fldChar w:fldCharType="separate"/>
      </w:r>
      <w:r>
        <w:rPr>
          <w:rStyle w:val="16"/>
          <w:rFonts w:hint="eastAsia"/>
        </w:rPr>
        <w:t>（二）建设用地管制分区修改</w:t>
      </w:r>
      <w:r>
        <w:tab/>
      </w:r>
      <w:r>
        <w:fldChar w:fldCharType="begin"/>
      </w:r>
      <w:r>
        <w:instrText xml:space="preserve"> PAGEREF _Toc485914444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"_Toc485914445"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附表</w:t>
      </w:r>
      <w:r>
        <w:tab/>
      </w:r>
      <w:r>
        <w:fldChar w:fldCharType="begin"/>
      </w:r>
      <w:r>
        <w:instrText xml:space="preserve"> PAGEREF _Toc485914445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"_Toc485914446"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1  </w:t>
      </w:r>
      <w:r>
        <w:rPr>
          <w:rStyle w:val="16"/>
          <w:rFonts w:hint="eastAsia"/>
        </w:rPr>
        <w:t>泗汾镇土地利用现状表（</w:t>
      </w:r>
      <w:r>
        <w:rPr>
          <w:rStyle w:val="16"/>
        </w:rPr>
        <w:t>2014</w:t>
      </w:r>
      <w:r>
        <w:rPr>
          <w:rStyle w:val="16"/>
          <w:rFonts w:hint="eastAsia"/>
        </w:rPr>
        <w:t>年）</w:t>
      </w:r>
      <w:r>
        <w:tab/>
      </w:r>
      <w:r>
        <w:fldChar w:fldCharType="begin"/>
      </w:r>
      <w:r>
        <w:instrText xml:space="preserve"> PAGEREF _Toc485914446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"_Toc485914447"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2  </w:t>
      </w:r>
      <w:r>
        <w:rPr>
          <w:rStyle w:val="16"/>
          <w:rFonts w:hint="eastAsia"/>
        </w:rPr>
        <w:t>泗汾镇土地利用规划目标调整表</w:t>
      </w:r>
      <w:r>
        <w:tab/>
      </w:r>
      <w:r>
        <w:fldChar w:fldCharType="begin"/>
      </w:r>
      <w:r>
        <w:instrText xml:space="preserve"> PAGEREF _Toc485914447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"_Toc485914448"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3  </w:t>
      </w:r>
      <w:r>
        <w:rPr>
          <w:rStyle w:val="16"/>
          <w:rFonts w:hint="eastAsia"/>
        </w:rPr>
        <w:t>泗汾镇落实上一级土地利用规划指标情况表</w:t>
      </w:r>
      <w:r>
        <w:tab/>
      </w:r>
      <w:r>
        <w:fldChar w:fldCharType="begin"/>
      </w:r>
      <w:r>
        <w:instrText xml:space="preserve"> PAGEREF _Toc485914448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"_Toc485914449"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4  </w:t>
      </w:r>
      <w:r>
        <w:rPr>
          <w:rStyle w:val="16"/>
          <w:rFonts w:hint="eastAsia"/>
        </w:rPr>
        <w:t>泗汾镇土地利用结构调整表</w:t>
      </w:r>
      <w:r>
        <w:tab/>
      </w:r>
      <w:r>
        <w:fldChar w:fldCharType="begin"/>
      </w:r>
      <w:r>
        <w:instrText xml:space="preserve"> PAGEREF _Toc485914449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"_Toc485914450"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5 </w:t>
      </w:r>
      <w:r>
        <w:rPr>
          <w:rStyle w:val="16"/>
          <w:rFonts w:hint="eastAsia"/>
        </w:rPr>
        <w:t>泗汾镇耕地保有量和基本农田保护面积分解表</w:t>
      </w:r>
      <w:r>
        <w:tab/>
      </w:r>
      <w:r>
        <w:fldChar w:fldCharType="begin"/>
      </w:r>
      <w:r>
        <w:instrText xml:space="preserve"> PAGEREF _Toc485914450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"_Toc485914451"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6  </w:t>
      </w:r>
      <w:r>
        <w:rPr>
          <w:rStyle w:val="16"/>
          <w:rFonts w:hint="eastAsia"/>
        </w:rPr>
        <w:t>调入区域规划调整前后对比表</w:t>
      </w:r>
      <w:r>
        <w:tab/>
      </w:r>
      <w:r>
        <w:fldChar w:fldCharType="begin"/>
      </w:r>
      <w:r>
        <w:instrText xml:space="preserve"> PAGEREF _Toc485914451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"_Toc485914452"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7  </w:t>
      </w:r>
      <w:r>
        <w:rPr>
          <w:rStyle w:val="16"/>
          <w:rFonts w:hint="eastAsia"/>
        </w:rPr>
        <w:t>调出区域规划调整前后对比表</w:t>
      </w:r>
      <w:r>
        <w:tab/>
      </w:r>
      <w:r>
        <w:fldChar w:fldCharType="begin"/>
      </w:r>
      <w:r>
        <w:instrText xml:space="preserve"> PAGEREF _Toc485914452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"_Toc485914453"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8  </w:t>
      </w:r>
      <w:r>
        <w:rPr>
          <w:rStyle w:val="16"/>
          <w:rFonts w:hint="eastAsia"/>
        </w:rPr>
        <w:t>泗汾镇土地用途分区修改情况表</w:t>
      </w:r>
      <w:r>
        <w:tab/>
      </w:r>
      <w:r>
        <w:fldChar w:fldCharType="begin"/>
      </w:r>
      <w:r>
        <w:instrText xml:space="preserve"> PAGEREF _Toc485914453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"_Toc485914454"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9  </w:t>
      </w:r>
      <w:r>
        <w:rPr>
          <w:rStyle w:val="16"/>
          <w:rFonts w:hint="eastAsia"/>
        </w:rPr>
        <w:t>泗汾镇建设用地空间管制分区修改情况表</w:t>
      </w:r>
      <w:r>
        <w:tab/>
      </w:r>
      <w:r>
        <w:fldChar w:fldCharType="begin"/>
      </w:r>
      <w:r>
        <w:instrText xml:space="preserve"> PAGEREF _Toc485914454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"_Toc485914455"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10  </w:t>
      </w:r>
      <w:r>
        <w:rPr>
          <w:rStyle w:val="16"/>
          <w:rFonts w:hint="eastAsia"/>
        </w:rPr>
        <w:t>泗汾镇土地用途分区面积统计表</w:t>
      </w:r>
      <w:r>
        <w:tab/>
      </w:r>
      <w:r>
        <w:fldChar w:fldCharType="begin"/>
      </w:r>
      <w:r>
        <w:instrText xml:space="preserve"> PAGEREF _Toc485914455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"_Toc485914456"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11  </w:t>
      </w:r>
      <w:r>
        <w:rPr>
          <w:rStyle w:val="16"/>
          <w:rFonts w:hint="eastAsia"/>
        </w:rPr>
        <w:t>泗汾镇</w:t>
      </w:r>
      <w:r>
        <w:rPr>
          <w:rStyle w:val="16"/>
        </w:rPr>
        <w:t>2016-2020</w:t>
      </w:r>
      <w:r>
        <w:rPr>
          <w:rStyle w:val="16"/>
          <w:rFonts w:hint="eastAsia"/>
        </w:rPr>
        <w:t>年重点建设用地项目规划表</w:t>
      </w:r>
      <w:r>
        <w:tab/>
      </w:r>
      <w:r>
        <w:fldChar w:fldCharType="begin"/>
      </w:r>
      <w:r>
        <w:instrText xml:space="preserve"> PAGEREF _Toc485914456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"_Toc485914457"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12  </w:t>
      </w:r>
      <w:r>
        <w:rPr>
          <w:rStyle w:val="16"/>
          <w:rFonts w:hint="eastAsia"/>
        </w:rPr>
        <w:t>泗汾镇</w:t>
      </w:r>
      <w:r>
        <w:rPr>
          <w:rStyle w:val="16"/>
        </w:rPr>
        <w:t>2006-2020</w:t>
      </w:r>
      <w:r>
        <w:rPr>
          <w:rStyle w:val="16"/>
          <w:rFonts w:hint="eastAsia"/>
        </w:rPr>
        <w:t>年地类结构平衡表</w:t>
      </w:r>
      <w:r>
        <w:tab/>
      </w:r>
      <w:r>
        <w:fldChar w:fldCharType="begin"/>
      </w:r>
      <w:r>
        <w:instrText xml:space="preserve"> PAGEREF _Toc485914457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widowControl/>
        <w:spacing w:line="360" w:lineRule="auto"/>
        <w:ind w:firstLine="42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fldChar w:fldCharType="end"/>
      </w:r>
    </w:p>
    <w:p>
      <w:pPr>
        <w:widowControl/>
        <w:spacing w:beforeLines="50" w:afterLines="50"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4" w:type="default"/>
          <w:pgSz w:w="23814" w:h="16839" w:orient="landscape"/>
          <w:pgMar w:top="1800" w:right="1440" w:bottom="1800" w:left="1440" w:header="851" w:footer="992" w:gutter="0"/>
          <w:pgNumType w:fmt="lowerRoman" w:start="1"/>
          <w:cols w:space="425" w:num="2"/>
          <w:docGrid w:type="lines" w:linePitch="312" w:charSpace="0"/>
        </w:sectPr>
      </w:pPr>
      <w:bookmarkStart w:id="64" w:name="_GoBack"/>
      <w:bookmarkEnd w:id="64"/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Toc469235313"/>
      <w:bookmarkStart w:id="4" w:name="_Toc485914426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</w:p>
    <w:p>
      <w:pPr>
        <w:spacing w:line="360" w:lineRule="auto"/>
        <w:jc w:val="left"/>
        <w:outlineLvl w:val="1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bookmarkStart w:id="5" w:name="_Toc485914427"/>
      <w:r>
        <w:rPr>
          <w:rFonts w:hint="eastAsia" w:ascii="Times New Roman" w:hAnsi="Times New Roman" w:eastAsia="黑体" w:cs="Times New Roman"/>
          <w:sz w:val="30"/>
          <w:szCs w:val="30"/>
        </w:rPr>
        <w:t>（一）</w:t>
      </w:r>
      <w:r>
        <w:rPr>
          <w:rFonts w:ascii="Times New Roman" w:hAnsi="Times New Roman" w:eastAsia="黑体" w:cs="Times New Roman"/>
          <w:sz w:val="30"/>
          <w:szCs w:val="30"/>
        </w:rPr>
        <w:t>行政区划调整</w:t>
      </w:r>
      <w:bookmarkEnd w:id="5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〕8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号）：泗汾镇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行政区域不作调整，全镇下辖2个居委会、12个行政村、1个原种场，全镇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总人口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万人，镇人民政府驻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长口坡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。</w:t>
      </w:r>
    </w:p>
    <w:p>
      <w:pPr>
        <w:tabs>
          <w:tab w:val="left" w:pos="3355"/>
        </w:tabs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" w:name="_Toc485914428"/>
      <w:r>
        <w:rPr>
          <w:rFonts w:hint="eastAsia" w:ascii="Times New Roman" w:hAnsi="Times New Roman" w:eastAsia="黑体" w:cs="Times New Roman"/>
          <w:sz w:val="30"/>
          <w:szCs w:val="30"/>
        </w:rPr>
        <w:t>（二）</w:t>
      </w:r>
      <w:r>
        <w:rPr>
          <w:rFonts w:ascii="Times New Roman" w:hAnsi="Times New Roman" w:eastAsia="黑体" w:cs="Times New Roman"/>
          <w:sz w:val="30"/>
          <w:szCs w:val="30"/>
        </w:rPr>
        <w:t>地理区位</w:t>
      </w:r>
      <w:bookmarkEnd w:id="6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泗汾镇位于醴陵市南部，距醴陵市区15公里，东接沈潭镇，南邻船湾镇，西与嘉树镇、明月镇毗邻，北与孙家湾镇接壤。泗汾镇区位优势明显，水陆交通十分便利，铁水自东南向西北流经境内7个村，醴茶铁路、岳汝高速、国道106线贯穿南北，省道335线纵横东西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7" w:name="_Toc485914429"/>
      <w:r>
        <w:rPr>
          <w:rFonts w:hint="eastAsia" w:ascii="Times New Roman" w:hAnsi="Times New Roman" w:eastAsia="黑体" w:cs="Times New Roman"/>
          <w:sz w:val="30"/>
          <w:szCs w:val="30"/>
        </w:rPr>
        <w:t>（三）</w:t>
      </w:r>
      <w:r>
        <w:rPr>
          <w:rFonts w:ascii="Times New Roman" w:hAnsi="Times New Roman" w:eastAsia="黑体" w:cs="Times New Roman"/>
          <w:sz w:val="30"/>
          <w:szCs w:val="30"/>
        </w:rPr>
        <w:t>经济发展</w:t>
      </w:r>
      <w:bookmarkEnd w:id="7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泗汾镇作为醴陵南部政治、经济、文化中心，在醴陵经济发展占有重要地位。泗汾镇自古以来是醴陵农业大镇，“十二五”期间，泗汾镇被设为株洲市生态农业试点镇，生态农业发展迅速，逐步形成一条具有自身特色的农业生态化道路，主要农产品有泗汾优质稻、生猪及相关产品等。泗汾镇也是醴陵工业强镇，近年来，镇政府着力推进新型工业化、产业现代化，工业蓬勃发展，现已形成以陶瓷、烟花、酒业、机械加工制造为主体的工业格局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8" w:name="_Toc477766073"/>
      <w:bookmarkStart w:id="9" w:name="_Toc485914430"/>
      <w:r>
        <w:rPr>
          <w:rFonts w:hint="eastAsia" w:ascii="Times New Roman" w:hAnsi="Times New Roman" w:eastAsia="黑体" w:cs="Times New Roman"/>
          <w:sz w:val="30"/>
          <w:szCs w:val="30"/>
        </w:rPr>
        <w:t>（四）</w:t>
      </w:r>
      <w:r>
        <w:rPr>
          <w:rFonts w:ascii="Times New Roman" w:hAnsi="Times New Roman" w:eastAsia="黑体" w:cs="Times New Roman"/>
          <w:sz w:val="30"/>
          <w:szCs w:val="30"/>
        </w:rPr>
        <w:t>土地利用现状</w:t>
      </w:r>
      <w:bookmarkEnd w:id="8"/>
      <w:bookmarkEnd w:id="9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2014年，泗汾镇土地总面积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7057.49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结构表!R10C6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5531.63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结构表!R10C7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78.38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结构表!R18C6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1187.07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结构表!R18C7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16.82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结构表!R21C6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338.79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结构表!R21C7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4.80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0" w:name="_Toc485914431"/>
      <w:bookmarkStart w:id="11" w:name="_Toc469235316"/>
      <w:bookmarkStart w:id="12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0"/>
      <w:bookmarkEnd w:id="11"/>
      <w:bookmarkEnd w:id="12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规划范围为泗汾镇区域内的所有土地，土地总面积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7057.49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3" w:name="_Toc469235317"/>
      <w:bookmarkStart w:id="14" w:name="_Toc485914432"/>
      <w:bookmarkStart w:id="15" w:name="_Toc233731124"/>
      <w:bookmarkStart w:id="16" w:name="_Toc233731296"/>
      <w:bookmarkStart w:id="17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13"/>
      <w:bookmarkEnd w:id="14"/>
    </w:p>
    <w:bookmarkEnd w:id="15"/>
    <w:bookmarkEnd w:id="16"/>
    <w:bookmarkEnd w:id="17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2875.00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2560.00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106.69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1199.48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991.36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383.43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273.56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249.08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D:\\醴陵调整完善\\表格(净2013)\\乡镇表格\\16泗纷镇\\乡镇规划附表.xlsx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79.36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8" w:name="_Toc469235327"/>
      <w:bookmarkStart w:id="19" w:name="_Toc485914433"/>
      <w:bookmarkStart w:id="20" w:name="_Toc469235320"/>
      <w:bookmarkStart w:id="21" w:name="_Toc145225166"/>
      <w:bookmarkStart w:id="22" w:name="_Toc204342104"/>
      <w:bookmarkStart w:id="23" w:name="_Toc229458166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</w:t>
      </w:r>
      <w:bookmarkEnd w:id="18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19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4" w:name="_Toc485914434"/>
      <w:r>
        <w:rPr>
          <w:rFonts w:ascii="Times New Roman" w:hAnsi="Times New Roman" w:eastAsia="黑体" w:cs="Times New Roman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sz w:val="30"/>
          <w:szCs w:val="30"/>
        </w:rPr>
        <w:t>一</w:t>
      </w:r>
      <w:r>
        <w:rPr>
          <w:rFonts w:ascii="Times New Roman" w:hAnsi="Times New Roman" w:eastAsia="黑体" w:cs="Times New Roman"/>
          <w:sz w:val="30"/>
          <w:szCs w:val="30"/>
        </w:rPr>
        <w:t>）</w:t>
      </w:r>
      <w:r>
        <w:rPr>
          <w:rFonts w:hint="eastAsia" w:ascii="Times New Roman" w:hAnsi="Times New Roman" w:eastAsia="黑体" w:cs="Times New Roman"/>
          <w:sz w:val="30"/>
          <w:szCs w:val="30"/>
        </w:rPr>
        <w:t>调出情况</w:t>
      </w:r>
      <w:bookmarkEnd w:id="24"/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耕基!R12C7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13.36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公顷，全部为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质量较差的</w:t>
      </w:r>
      <w:r>
        <w:rPr>
          <w:rFonts w:ascii="Times New Roman" w:hAnsi="Times New Roman" w:eastAsia="仿宋_GB2312" w:cs="Times New Roman"/>
          <w:sz w:val="28"/>
          <w:szCs w:val="28"/>
        </w:rPr>
        <w:t>基本农田，调出规模为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耕基!R12C6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13.36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公顷，全镇各村均有涉及。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5" w:name="_Toc485914435"/>
      <w:r>
        <w:rPr>
          <w:rFonts w:ascii="Times New Roman" w:hAnsi="Times New Roman" w:eastAsia="黑体" w:cs="Times New Roman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sz w:val="30"/>
          <w:szCs w:val="30"/>
        </w:rPr>
        <w:t>二</w:t>
      </w:r>
      <w:r>
        <w:rPr>
          <w:rFonts w:ascii="Times New Roman" w:hAnsi="Times New Roman" w:eastAsia="黑体" w:cs="Times New Roman"/>
          <w:sz w:val="30"/>
          <w:szCs w:val="30"/>
        </w:rPr>
        <w:t>）</w:t>
      </w:r>
      <w:r>
        <w:rPr>
          <w:rFonts w:hint="eastAsia" w:ascii="Times New Roman" w:hAnsi="Times New Roman" w:eastAsia="黑体" w:cs="Times New Roman"/>
          <w:sz w:val="30"/>
          <w:szCs w:val="30"/>
        </w:rPr>
        <w:t>补划情况</w:t>
      </w:r>
      <w:bookmarkEnd w:id="25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耕基!R12C4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100.76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公顷，全部为优质耕地补划调入，补划规模为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耕基!R12C3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100.76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公顷，主要分布在林田居委会、陈家垅村、双塘村。</w:t>
      </w:r>
    </w:p>
    <w:p>
      <w:pPr>
        <w:tabs>
          <w:tab w:val="left" w:pos="17065"/>
        </w:tabs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划定后，泗汾镇永久基本农田面积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耕基!R12C9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2560.66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公顷（较规划修改前增加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耕基!R12C8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87.40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公顷），落实了基本农田保护任务，全镇各村均有布局。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1  </w:t>
      </w:r>
      <w:r>
        <w:rPr>
          <w:rFonts w:ascii="Times New Roman" w:hAnsi="Times New Roman" w:eastAsia="黑体" w:cs="Times New Roman"/>
          <w:sz w:val="24"/>
          <w:szCs w:val="24"/>
        </w:rPr>
        <w:t>泗汾镇基本农田布局调整情况表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38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90"/>
        <w:gridCol w:w="1290"/>
        <w:gridCol w:w="1502"/>
        <w:gridCol w:w="1652"/>
        <w:gridCol w:w="1358"/>
        <w:gridCol w:w="157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②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4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质量较差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2473.26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100.76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100.76 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13.36 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13.36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87.40 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2560.66 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6" w:name="_Toc485914436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五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、建设用地规模与布局调整</w:t>
      </w:r>
      <w:bookmarkEnd w:id="20"/>
      <w:bookmarkEnd w:id="26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7" w:name="_Toc485914437"/>
      <w:bookmarkStart w:id="28" w:name="_Toc469235321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27"/>
      <w:bookmarkEnd w:id="28"/>
    </w:p>
    <w:p>
      <w:pPr>
        <w:spacing w:line="360" w:lineRule="auto"/>
        <w:ind w:firstLine="560" w:firstLineChars="200"/>
        <w:jc w:val="left"/>
        <w:outlineLvl w:val="1"/>
        <w:rPr>
          <w:rFonts w:ascii="Times New Roman" w:hAnsi="Times New Roman" w:eastAsia="仿宋_GB2312" w:cs="Times New Roman"/>
          <w:sz w:val="28"/>
          <w:szCs w:val="28"/>
        </w:rPr>
      </w:pPr>
      <w:bookmarkStart w:id="29" w:name="_Toc485914438"/>
      <w:r>
        <w:rPr>
          <w:rFonts w:hint="eastAsia" w:ascii="Times New Roman" w:hAnsi="Times New Roman" w:eastAsia="仿宋_GB2312" w:cs="Times New Roman"/>
          <w:sz w:val="28"/>
          <w:szCs w:val="28"/>
        </w:rPr>
        <w:t>规划修改未涉及城镇用地的调整，保持266.16公顷不变。</w:t>
      </w:r>
      <w:bookmarkEnd w:id="29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0" w:name="_Toc485914439"/>
      <w:bookmarkStart w:id="31" w:name="_Toc469235322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30"/>
      <w:bookmarkEnd w:id="31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规划修改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未涉及农村居民点</w:t>
      </w:r>
      <w:r>
        <w:rPr>
          <w:rFonts w:ascii="Times New Roman" w:hAnsi="Times New Roman" w:eastAsia="仿宋_GB2312" w:cs="Times New Roman"/>
          <w:sz w:val="28"/>
          <w:szCs w:val="24"/>
        </w:rPr>
        <w:t>用地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的调整，保持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农!R5C11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609.24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不变。</w:t>
      </w:r>
    </w:p>
    <w:p>
      <w:pPr>
        <w:spacing w:beforeLines="50" w:line="360" w:lineRule="auto"/>
        <w:jc w:val="left"/>
        <w:outlineLvl w:val="1"/>
        <w:rPr>
          <w:rFonts w:ascii="Times New Roman" w:hAnsi="Times New Roman" w:eastAsia="仿宋_GB2312" w:cs="Times New Roman"/>
          <w:sz w:val="28"/>
          <w:szCs w:val="28"/>
        </w:rPr>
      </w:pPr>
      <w:bookmarkStart w:id="32" w:name="_Toc485914440"/>
      <w:bookmarkStart w:id="33" w:name="_Toc469235323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32"/>
      <w:bookmarkEnd w:id="33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：规划修改共增加采矿及其他独立建设用地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采独!R5C2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4.93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公顷，用于泗汾镇集体企业建设。</w:t>
      </w:r>
    </w:p>
    <w:p>
      <w:pPr>
        <w:ind w:firstLine="551" w:firstLineChars="196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：规划修改共减少采矿及其他独立建设用地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采独!R5C9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2.23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公顷，主要用于土地复垦工作。</w:t>
      </w:r>
    </w:p>
    <w:p>
      <w:pPr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规划修改后，采矿及其他独立建设用地共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采独!R5C11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115.96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公顷，较修改前增加了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采独!R5C10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2.70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公顷。</w:t>
      </w:r>
    </w:p>
    <w:p>
      <w:pPr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2  </w:t>
      </w:r>
      <w:r>
        <w:rPr>
          <w:rFonts w:ascii="Times New Roman" w:hAnsi="Times New Roman" w:eastAsia="黑体" w:cs="Times New Roman"/>
          <w:sz w:val="24"/>
          <w:szCs w:val="24"/>
        </w:rPr>
        <w:t>泗汾镇</w:t>
      </w:r>
      <w:r>
        <w:rPr>
          <w:rFonts w:hint="eastAsia" w:ascii="Times New Roman" w:hAnsi="Times New Roman" w:eastAsia="黑体" w:cs="Times New Roman"/>
          <w:sz w:val="24"/>
          <w:szCs w:val="24"/>
        </w:rPr>
        <w:t>采矿及其他独立建设用地</w:t>
      </w:r>
      <w:r>
        <w:rPr>
          <w:rFonts w:ascii="Times New Roman" w:hAnsi="Times New Roman" w:eastAsia="黑体" w:cs="Times New Roman"/>
          <w:sz w:val="24"/>
          <w:szCs w:val="24"/>
        </w:rPr>
        <w:t>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928"/>
        <w:gridCol w:w="994"/>
        <w:gridCol w:w="2835"/>
        <w:gridCol w:w="1040"/>
        <w:gridCol w:w="1448"/>
        <w:gridCol w:w="14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（修改前）</w:t>
            </w:r>
          </w:p>
        </w:tc>
        <w:tc>
          <w:tcPr>
            <w:tcW w:w="192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增加①</w:t>
            </w:r>
          </w:p>
        </w:tc>
        <w:tc>
          <w:tcPr>
            <w:tcW w:w="387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减少②</w:t>
            </w:r>
          </w:p>
        </w:tc>
        <w:tc>
          <w:tcPr>
            <w:tcW w:w="144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446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447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调入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土地复垦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农村居民点整理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44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113.26 </w:t>
            </w:r>
          </w:p>
        </w:tc>
        <w:tc>
          <w:tcPr>
            <w:tcW w:w="92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4.93 </w:t>
            </w:r>
          </w:p>
        </w:tc>
        <w:tc>
          <w:tcPr>
            <w:tcW w:w="9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4.93 </w:t>
            </w:r>
          </w:p>
        </w:tc>
        <w:tc>
          <w:tcPr>
            <w:tcW w:w="283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2.23 </w:t>
            </w:r>
          </w:p>
        </w:tc>
        <w:tc>
          <w:tcPr>
            <w:tcW w:w="10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2.23 </w:t>
            </w:r>
          </w:p>
        </w:tc>
        <w:tc>
          <w:tcPr>
            <w:tcW w:w="14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2.70 </w:t>
            </w:r>
          </w:p>
        </w:tc>
        <w:tc>
          <w:tcPr>
            <w:tcW w:w="144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115.96 </w:t>
            </w:r>
          </w:p>
        </w:tc>
      </w:tr>
    </w:tbl>
    <w:p>
      <w:pPr>
        <w:ind w:firstLine="411" w:firstLineChars="196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  <w:bookmarkStart w:id="34" w:name="_Toc469235324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34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规划修改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未涉及交通水利</w:t>
      </w:r>
      <w:r>
        <w:rPr>
          <w:rFonts w:ascii="Times New Roman" w:hAnsi="Times New Roman" w:eastAsia="仿宋_GB2312" w:cs="Times New Roman"/>
          <w:sz w:val="28"/>
          <w:szCs w:val="24"/>
        </w:rPr>
        <w:t>用地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的调整，保持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交!R5C11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155.56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不变。</w:t>
      </w:r>
    </w:p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5" w:name="_Toc469235325"/>
      <w:bookmarkStart w:id="36" w:name="_Toc485914441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35"/>
      <w:bookmarkEnd w:id="36"/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规划修改未涉及</w:t>
      </w:r>
      <w:r>
        <w:rPr>
          <w:rFonts w:ascii="Times New Roman" w:hAnsi="Times New Roman" w:eastAsia="仿宋_GB2312" w:cs="Times New Roman"/>
          <w:sz w:val="28"/>
          <w:szCs w:val="24"/>
        </w:rPr>
        <w:t>其他建设用地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的调整，保持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其!R5C11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52.56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4"/>
        </w:rPr>
        <w:t>公顷不变。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7" w:name="_Toc469235329"/>
      <w:bookmarkStart w:id="38" w:name="_Toc485914442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六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</w:t>
      </w:r>
      <w:bookmarkEnd w:id="37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3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9" w:name="_Toc485914443"/>
      <w:bookmarkStart w:id="40" w:name="_Toc469235330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39"/>
      <w:bookmarkEnd w:id="40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修改后，将泗汾镇土地划分为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六</w:t>
      </w:r>
      <w:r>
        <w:rPr>
          <w:rFonts w:ascii="Times New Roman" w:hAnsi="Times New Roman" w:eastAsia="仿宋_GB2312" w:cs="Times New Roman"/>
          <w:sz w:val="28"/>
          <w:szCs w:val="28"/>
        </w:rPr>
        <w:t>个用途区，包括：基本农田保护区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用途区!R3C3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2803.31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公顷、一般农地区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479.64</w:t>
      </w:r>
      <w:r>
        <w:rPr>
          <w:rFonts w:ascii="Times New Roman" w:hAnsi="Times New Roman" w:eastAsia="仿宋_GB2312" w:cs="Times New Roman"/>
          <w:sz w:val="28"/>
          <w:szCs w:val="28"/>
        </w:rPr>
        <w:t>公顷、城镇建设用地区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用途区!R5C3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276.64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公顷、村镇建设用地区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用途区!R6C3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630.26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公顷、独立工矿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用地</w:t>
      </w:r>
      <w:r>
        <w:rPr>
          <w:rFonts w:ascii="Times New Roman" w:hAnsi="Times New Roman" w:eastAsia="仿宋_GB2312" w:cs="Times New Roman"/>
          <w:sz w:val="28"/>
          <w:szCs w:val="28"/>
        </w:rPr>
        <w:t>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用途区!R7C3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114.44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公顷和林业用地区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用途区!R10C3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1792.18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bookmarkEnd w:id="21"/>
    <w:bookmarkEnd w:id="22"/>
    <w:bookmarkEnd w:id="23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1" w:name="_Toc485914444"/>
      <w:bookmarkStart w:id="42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41"/>
      <w:bookmarkEnd w:id="42"/>
    </w:p>
    <w:p>
      <w:pPr>
        <w:widowControl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  <w:sectPr>
          <w:pgSz w:w="23814" w:h="16839" w:orient="landscape"/>
          <w:pgMar w:top="1418" w:right="1418" w:bottom="1701" w:left="1418" w:header="851" w:footer="992" w:gutter="0"/>
          <w:pgNumType w:start="1"/>
          <w:cols w:space="1134" w:num="2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8"/>
          <w:szCs w:val="28"/>
        </w:rPr>
        <w:t>为加强对城乡建设用地的空间管制，本次规划修改，根据土地管理需要，因地制宜地将规划范围内的土地划分为三个区，分别为允许建设区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管制区!R3C3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991.36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公顷、有条件建设区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管制区!R4C3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12.50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公顷和限制建设区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管制区!R5C3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6053.63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公顷。其中：允许建设区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较修改前增加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管制区!R3C4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2.70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</w:t>
      </w:r>
      <w:r>
        <w:rPr>
          <w:rFonts w:ascii="Times New Roman" w:hAnsi="Times New Roman" w:eastAsia="仿宋_GB2312" w:cs="Times New Roman"/>
          <w:sz w:val="28"/>
          <w:szCs w:val="28"/>
        </w:rPr>
        <w:t>有条件建设区较修改前减少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管制区!R4C4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4.26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，限</w:t>
      </w:r>
      <w:r>
        <w:rPr>
          <w:rFonts w:ascii="Times New Roman" w:hAnsi="Times New Roman" w:eastAsia="仿宋_GB2312" w:cs="Times New Roman"/>
          <w:sz w:val="28"/>
          <w:szCs w:val="28"/>
        </w:rPr>
        <w:t>制建设区较修改前增加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D:\\醴陵调整完善\\表格(净2013)\\乡镇表格\\16泗纷镇\\乡镇规划附表.xlsx 管制区!R5C4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1.56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  <w:r>
        <w:rPr>
          <w:rFonts w:ascii="Times New Roman" w:hAnsi="Times New Roman" w:eastAsia="仿宋_GB2312" w:cs="Times New Roman"/>
          <w:sz w:val="28"/>
          <w:szCs w:val="28"/>
        </w:rPr>
        <w:br w:type="page"/>
      </w: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43" w:name="_Toc485914445"/>
      <w:bookmarkStart w:id="44" w:name="_Toc469235332"/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43"/>
      <w:bookmarkEnd w:id="44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5" w:name="_Toc485914446"/>
      <w:r>
        <w:rPr>
          <w:rFonts w:hint="eastAsia" w:ascii="Times New Roman" w:hAnsi="Times New Roman" w:eastAsia="黑体" w:cs="Times New Roman"/>
          <w:sz w:val="24"/>
          <w:szCs w:val="24"/>
        </w:rPr>
        <w:t>附表1  泗汾镇土地利用现状表（2014年）</w:t>
      </w:r>
      <w:bookmarkEnd w:id="45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单位：公顷、%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499"/>
        <w:gridCol w:w="2599"/>
        <w:gridCol w:w="2444"/>
        <w:gridCol w:w="213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42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地类</w:t>
            </w: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4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面积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土地总面积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7057.49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2868.32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40.64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29.09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1862.55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26.39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771.67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10.93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5531.63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78.38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城乡建设用地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129.83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768.13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10.88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21.27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919.23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13.02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213.02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54.82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1187.07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16.82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219.92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118.87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338.79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4.80</w:t>
            </w:r>
          </w:p>
        </w:tc>
      </w:tr>
    </w:tbl>
    <w:p>
      <w:pPr>
        <w:jc w:val="center"/>
        <w:outlineLvl w:val="1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br w:type="column"/>
      </w:r>
    </w:p>
    <w:p>
      <w:pPr>
        <w:jc w:val="center"/>
        <w:outlineLvl w:val="1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6" w:name="_Toc485914447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2  </w:t>
      </w:r>
      <w:r>
        <w:rPr>
          <w:rFonts w:ascii="Times New Roman" w:hAnsi="Times New Roman" w:eastAsia="黑体" w:cs="Times New Roman"/>
          <w:sz w:val="24"/>
          <w:szCs w:val="24"/>
        </w:rPr>
        <w:t>泗汾镇</w:t>
      </w:r>
      <w:r>
        <w:rPr>
          <w:rFonts w:hint="eastAsia" w:ascii="Times New Roman" w:hAnsi="Times New Roman" w:eastAsia="黑体" w:cs="Times New Roman"/>
          <w:sz w:val="24"/>
          <w:szCs w:val="24"/>
        </w:rPr>
        <w:t>土地利用规划目标调整表</w:t>
      </w:r>
      <w:bookmarkEnd w:id="46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946"/>
        <w:gridCol w:w="1926"/>
        <w:gridCol w:w="2052"/>
        <w:gridCol w:w="1404"/>
        <w:gridCol w:w="1350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59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①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②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①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2855.00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2875.00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20.00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2425.00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2560.00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135.00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1196.78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1199.48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2.70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988.66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991.36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2.70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379.42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383.43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268.63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273.56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4.93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244.15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249.08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4.93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76.17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79.36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3.19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106.53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106.69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7" w:name="_Toc485914448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3  </w:t>
      </w:r>
      <w:r>
        <w:rPr>
          <w:rFonts w:ascii="Times New Roman" w:hAnsi="Times New Roman" w:eastAsia="黑体" w:cs="Times New Roman"/>
          <w:sz w:val="24"/>
          <w:szCs w:val="24"/>
        </w:rPr>
        <w:t>泗汾镇</w:t>
      </w:r>
      <w:r>
        <w:rPr>
          <w:rFonts w:hint="eastAsia" w:ascii="Times New Roman" w:hAnsi="Times New Roman" w:eastAsia="黑体" w:cs="Times New Roman"/>
          <w:sz w:val="24"/>
          <w:szCs w:val="24"/>
        </w:rPr>
        <w:t>落实上一级土地利用规划指标情况表</w:t>
      </w:r>
      <w:bookmarkEnd w:id="47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946"/>
        <w:gridCol w:w="2418"/>
        <w:gridCol w:w="1788"/>
        <w:gridCol w:w="1133"/>
        <w:gridCol w:w="13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359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241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年目标①</w:t>
            </w:r>
          </w:p>
        </w:tc>
        <w:tc>
          <w:tcPr>
            <w:tcW w:w="178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年落实数②</w:t>
            </w:r>
          </w:p>
        </w:tc>
        <w:tc>
          <w:tcPr>
            <w:tcW w:w="113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①</w:t>
            </w:r>
          </w:p>
        </w:tc>
        <w:tc>
          <w:tcPr>
            <w:tcW w:w="1394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2875.00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2876.08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1.08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2560.00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2560.66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1199.48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1199.48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991.36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991.36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44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241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383.43</w:t>
            </w:r>
          </w:p>
        </w:tc>
        <w:tc>
          <w:tcPr>
            <w:tcW w:w="178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382.12</w:t>
            </w:r>
          </w:p>
        </w:tc>
        <w:tc>
          <w:tcPr>
            <w:tcW w:w="11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-1.31</w:t>
            </w:r>
          </w:p>
        </w:tc>
        <w:tc>
          <w:tcPr>
            <w:tcW w:w="139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type w:val="continuous"/>
          <w:pgSz w:w="23814" w:h="16839" w:orient="landscape"/>
          <w:pgMar w:top="1440" w:right="1440" w:bottom="1701" w:left="1440" w:header="851" w:footer="992" w:gutter="0"/>
          <w:cols w:space="720" w:num="2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  <w:bookmarkStart w:id="48" w:name="_Toc469235333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9" w:name="_Toc485914449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4  </w:t>
      </w:r>
      <w:r>
        <w:rPr>
          <w:rFonts w:ascii="Times New Roman" w:hAnsi="Times New Roman" w:eastAsia="黑体" w:cs="Times New Roman"/>
          <w:sz w:val="24"/>
          <w:szCs w:val="24"/>
        </w:rPr>
        <w:t>泗汾镇土地利用结构调整表</w:t>
      </w:r>
      <w:bookmarkEnd w:id="49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46"/>
        <w:gridCol w:w="2961"/>
        <w:gridCol w:w="1692"/>
        <w:gridCol w:w="1481"/>
        <w:gridCol w:w="1497"/>
        <w:gridCol w:w="1675"/>
        <w:gridCol w:w="1692"/>
        <w:gridCol w:w="1908"/>
        <w:gridCol w:w="1899"/>
        <w:gridCol w:w="1908"/>
        <w:gridCol w:w="25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13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地类</w:t>
            </w:r>
          </w:p>
        </w:tc>
        <w:tc>
          <w:tcPr>
            <w:tcW w:w="317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2005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1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60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年）</w:t>
            </w:r>
          </w:p>
        </w:tc>
        <w:tc>
          <w:tcPr>
            <w:tcW w:w="380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258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-2014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13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面积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比重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面积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比重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258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土地总面积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7057.49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7057.49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7057.49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7057.49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2848.75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40.36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2868.32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40.64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2879.11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40.80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2876.08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40.75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30.42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29.09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0.41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120.09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112.60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1.60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1901.49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26.94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1862.55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26.39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1769.12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25.07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1764.97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25.01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-97.58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768.02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10.88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771.67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10.93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775.05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10.98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787.02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11.15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5548.68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78.62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5531.63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78.38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5543.37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78.55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5540.67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78.51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城乡建设用地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120.07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129.83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266.16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3.77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266.16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3.77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752.63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10.66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768.13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10.88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609.24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8.63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609.24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8.63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-158.89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21.27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21.27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21.27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19.04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0.27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91.99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96.92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1.37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小计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893.97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12.67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919.23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13.02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988.66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14.01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991.36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14.05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205.82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2.92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213.02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155.56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155.56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2.20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-57.46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54.82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0.78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54.82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52.56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0.74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52.56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0.74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1154.61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16.36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1187.07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16.82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1196.78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16.96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1199.48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220.01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219.92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220.01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3.12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220.01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3.12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134.19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118.87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97.33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1.38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97.33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1.38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-21.54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69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354.20</w:t>
            </w:r>
          </w:p>
        </w:tc>
        <w:tc>
          <w:tcPr>
            <w:tcW w:w="148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5.02</w:t>
            </w:r>
          </w:p>
        </w:tc>
        <w:tc>
          <w:tcPr>
            <w:tcW w:w="149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338.79</w:t>
            </w:r>
          </w:p>
        </w:tc>
        <w:tc>
          <w:tcPr>
            <w:tcW w:w="16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4.80</w:t>
            </w:r>
          </w:p>
        </w:tc>
        <w:tc>
          <w:tcPr>
            <w:tcW w:w="169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317.34</w:t>
            </w:r>
          </w:p>
        </w:tc>
        <w:tc>
          <w:tcPr>
            <w:tcW w:w="190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4.50</w:t>
            </w:r>
          </w:p>
        </w:tc>
        <w:tc>
          <w:tcPr>
            <w:tcW w:w="189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317.34</w:t>
            </w:r>
          </w:p>
        </w:tc>
        <w:tc>
          <w:tcPr>
            <w:tcW w:w="190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258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-21.45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0" w:name="_Toc485914450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5  </w:t>
      </w:r>
      <w:r>
        <w:rPr>
          <w:rFonts w:ascii="Times New Roman" w:hAnsi="Times New Roman" w:eastAsia="黑体" w:cs="Times New Roman"/>
          <w:sz w:val="24"/>
          <w:szCs w:val="24"/>
        </w:rPr>
        <w:t>泗汾镇</w:t>
      </w:r>
      <w:r>
        <w:rPr>
          <w:rFonts w:hint="eastAsia" w:ascii="Times New Roman" w:hAnsi="Times New Roman" w:eastAsia="黑体" w:cs="Times New Roman"/>
          <w:sz w:val="24"/>
          <w:szCs w:val="24"/>
        </w:rPr>
        <w:t>耕地保有量和基本农田保护面积分解表</w:t>
      </w:r>
      <w:bookmarkEnd w:id="50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3"/>
        <w:gridCol w:w="7277"/>
        <w:gridCol w:w="4760"/>
        <w:gridCol w:w="5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7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7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76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规划2020年耕地保有量</w:t>
            </w:r>
          </w:p>
        </w:tc>
        <w:tc>
          <w:tcPr>
            <w:tcW w:w="5440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规划期间基本农田保护面积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茶埠塘村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316.16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281.15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陈家垅村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291.35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272.21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符田村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204.47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183.44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荷家垅村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255.27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231.83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枧上村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173.51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148.39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经塘村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209.12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188.53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林田居委会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102.48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94.45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茂田村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158.07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147.06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石虎村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250.38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211.01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石湾村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294.25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257.08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双塘村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207.55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184.56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泗汾村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188.18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151.73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原种场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73.97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67.34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湛田村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151.32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141.89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2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泗汾镇</w:t>
            </w:r>
          </w:p>
        </w:tc>
        <w:tc>
          <w:tcPr>
            <w:tcW w:w="476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B8CCE4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2876.08</w:t>
            </w:r>
          </w:p>
        </w:tc>
        <w:tc>
          <w:tcPr>
            <w:tcW w:w="544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B8CCE4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2560.66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type w:val="continuous"/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</w:p>
    <w:bookmarkEnd w:id="48"/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1" w:name="_Toc485914451"/>
      <w:bookmarkStart w:id="52" w:name="_Toc469235336"/>
      <w:bookmarkStart w:id="53" w:name="_Toc469235338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6  </w:t>
      </w:r>
      <w:r>
        <w:rPr>
          <w:rFonts w:ascii="Times New Roman" w:hAnsi="Times New Roman" w:eastAsia="黑体" w:cs="Times New Roman"/>
          <w:sz w:val="24"/>
          <w:szCs w:val="24"/>
        </w:rPr>
        <w:t>调入区域规划调整前后对比表</w:t>
      </w:r>
      <w:bookmarkEnd w:id="51"/>
      <w:bookmarkEnd w:id="52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7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29"/>
        <w:gridCol w:w="1438"/>
        <w:gridCol w:w="1874"/>
        <w:gridCol w:w="1430"/>
        <w:gridCol w:w="1643"/>
        <w:gridCol w:w="2280"/>
        <w:gridCol w:w="1648"/>
        <w:gridCol w:w="1430"/>
        <w:gridCol w:w="1125"/>
        <w:gridCol w:w="1329"/>
        <w:gridCol w:w="1234"/>
        <w:gridCol w:w="39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837" w:type="dxa"/>
            <w:gridSpan w:val="1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395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城镇用地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395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3.19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0.93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0.57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0.24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4.93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其他建设用地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3.19 </w:t>
            </w:r>
          </w:p>
        </w:tc>
        <w:tc>
          <w:tcPr>
            <w:tcW w:w="12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0.93 </w:t>
            </w:r>
          </w:p>
        </w:tc>
        <w:tc>
          <w:tcPr>
            <w:tcW w:w="143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0.57 </w:t>
            </w:r>
          </w:p>
        </w:tc>
        <w:tc>
          <w:tcPr>
            <w:tcW w:w="18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0.24 </w:t>
            </w:r>
          </w:p>
        </w:tc>
        <w:tc>
          <w:tcPr>
            <w:tcW w:w="143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8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4.93 </w:t>
            </w:r>
          </w:p>
        </w:tc>
        <w:tc>
          <w:tcPr>
            <w:tcW w:w="395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4" w:name="_Toc469235337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5" w:name="_Toc485914452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7  </w:t>
      </w:r>
      <w:r>
        <w:rPr>
          <w:rFonts w:ascii="Times New Roman" w:hAnsi="Times New Roman" w:eastAsia="黑体" w:cs="Times New Roman"/>
          <w:sz w:val="24"/>
          <w:szCs w:val="24"/>
        </w:rPr>
        <w:t>调出区域规划调整前后对比表</w:t>
      </w:r>
      <w:bookmarkEnd w:id="54"/>
      <w:bookmarkEnd w:id="55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1047"/>
        <w:gridCol w:w="1051"/>
        <w:gridCol w:w="1047"/>
        <w:gridCol w:w="1266"/>
        <w:gridCol w:w="1257"/>
        <w:gridCol w:w="1678"/>
        <w:gridCol w:w="2313"/>
        <w:gridCol w:w="1472"/>
        <w:gridCol w:w="1682"/>
        <w:gridCol w:w="1257"/>
        <w:gridCol w:w="1262"/>
        <w:gridCol w:w="2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17512" w:type="dxa"/>
            <w:gridSpan w:val="12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林地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城镇用地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2.23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2.23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2.23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2.23 </w:t>
            </w:r>
          </w:p>
        </w:tc>
        <w:tc>
          <w:tcPr>
            <w:tcW w:w="10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2.23 </w:t>
            </w:r>
          </w:p>
        </w:tc>
        <w:tc>
          <w:tcPr>
            <w:tcW w:w="218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2.23 </w:t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 w:orient="landscape"/>
          <w:pgMar w:top="1701" w:right="1134" w:bottom="1701" w:left="1440" w:header="851" w:footer="992" w:gutter="0"/>
          <w:cols w:space="720" w:num="1"/>
          <w:docGrid w:type="line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6" w:name="_Toc485914453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8  </w:t>
      </w:r>
      <w:r>
        <w:rPr>
          <w:rFonts w:ascii="Times New Roman" w:hAnsi="Times New Roman" w:eastAsia="黑体" w:cs="Times New Roman"/>
          <w:sz w:val="24"/>
          <w:szCs w:val="24"/>
        </w:rPr>
        <w:t>泗汾镇</w:t>
      </w:r>
      <w:bookmarkEnd w:id="53"/>
      <w:r>
        <w:rPr>
          <w:rFonts w:hint="eastAsia" w:ascii="Times New Roman" w:hAnsi="Times New Roman" w:eastAsia="黑体" w:cs="Times New Roman"/>
          <w:sz w:val="24"/>
          <w:szCs w:val="24"/>
        </w:rPr>
        <w:t>土地用途分区修改情况表</w:t>
      </w:r>
      <w:bookmarkEnd w:id="56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5"/>
        <w:gridCol w:w="5516"/>
        <w:gridCol w:w="5431"/>
        <w:gridCol w:w="44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用途分区类型</w:t>
            </w:r>
          </w:p>
        </w:tc>
        <w:tc>
          <w:tcPr>
            <w:tcW w:w="551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（修改前）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543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（修改后）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445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基本农田保护区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2715.90 </w:t>
            </w:r>
          </w:p>
        </w:tc>
        <w:tc>
          <w:tcPr>
            <w:tcW w:w="5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2803.31 </w:t>
            </w:r>
          </w:p>
        </w:tc>
        <w:tc>
          <w:tcPr>
            <w:tcW w:w="44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87.40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一般农地区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475.16 </w:t>
            </w:r>
          </w:p>
        </w:tc>
        <w:tc>
          <w:tcPr>
            <w:tcW w:w="5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479.64 </w:t>
            </w:r>
          </w:p>
        </w:tc>
        <w:tc>
          <w:tcPr>
            <w:tcW w:w="44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4.48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城镇建设用地区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276.64 </w:t>
            </w:r>
          </w:p>
        </w:tc>
        <w:tc>
          <w:tcPr>
            <w:tcW w:w="5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276.64 </w:t>
            </w:r>
          </w:p>
        </w:tc>
        <w:tc>
          <w:tcPr>
            <w:tcW w:w="44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村镇建设用地区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630.26 </w:t>
            </w:r>
          </w:p>
        </w:tc>
        <w:tc>
          <w:tcPr>
            <w:tcW w:w="5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630.26 </w:t>
            </w:r>
          </w:p>
        </w:tc>
        <w:tc>
          <w:tcPr>
            <w:tcW w:w="44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独立工矿用地区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111.74 </w:t>
            </w:r>
          </w:p>
        </w:tc>
        <w:tc>
          <w:tcPr>
            <w:tcW w:w="5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114.44 </w:t>
            </w:r>
          </w:p>
        </w:tc>
        <w:tc>
          <w:tcPr>
            <w:tcW w:w="44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风景旅游用地区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52.56 </w:t>
            </w:r>
          </w:p>
        </w:tc>
        <w:tc>
          <w:tcPr>
            <w:tcW w:w="5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44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-52.56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林业用地区</w:t>
            </w:r>
          </w:p>
        </w:tc>
        <w:tc>
          <w:tcPr>
            <w:tcW w:w="551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1796.33 </w:t>
            </w:r>
          </w:p>
        </w:tc>
        <w:tc>
          <w:tcPr>
            <w:tcW w:w="543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1792.18 </w:t>
            </w:r>
          </w:p>
        </w:tc>
        <w:tc>
          <w:tcPr>
            <w:tcW w:w="445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-4.15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7" w:name="_Toc485914454"/>
      <w:bookmarkStart w:id="58" w:name="_Toc469235339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9  </w:t>
      </w:r>
      <w:r>
        <w:rPr>
          <w:rFonts w:ascii="Times New Roman" w:hAnsi="Times New Roman" w:eastAsia="黑体" w:cs="Times New Roman"/>
          <w:sz w:val="24"/>
          <w:szCs w:val="24"/>
        </w:rPr>
        <w:t>泗汾镇建设用地空间管制分区修改情况表</w:t>
      </w:r>
      <w:bookmarkEnd w:id="57"/>
      <w:bookmarkEnd w:id="5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5529"/>
        <w:gridCol w:w="5389"/>
        <w:gridCol w:w="445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988.66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991.36 </w:t>
            </w:r>
          </w:p>
        </w:tc>
        <w:tc>
          <w:tcPr>
            <w:tcW w:w="44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2.70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有条件建设区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16.76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12.50 </w:t>
            </w:r>
          </w:p>
        </w:tc>
        <w:tc>
          <w:tcPr>
            <w:tcW w:w="44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-4.26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6052.07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6053.63 </w:t>
            </w:r>
          </w:p>
        </w:tc>
        <w:tc>
          <w:tcPr>
            <w:tcW w:w="44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7057.49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7057.49 </w:t>
            </w:r>
          </w:p>
        </w:tc>
        <w:tc>
          <w:tcPr>
            <w:tcW w:w="44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bookmarkStart w:id="59" w:name="_Toc469235340"/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0" w:name="_Toc485914455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10  </w:t>
      </w:r>
      <w:r>
        <w:rPr>
          <w:rFonts w:ascii="Times New Roman" w:hAnsi="Times New Roman" w:eastAsia="黑体" w:cs="Times New Roman"/>
          <w:sz w:val="24"/>
          <w:szCs w:val="24"/>
        </w:rPr>
        <w:t>泗汾镇</w:t>
      </w:r>
      <w:r>
        <w:rPr>
          <w:rFonts w:hint="eastAsia" w:ascii="Times New Roman" w:hAnsi="Times New Roman" w:eastAsia="黑体" w:cs="Times New Roman"/>
          <w:sz w:val="24"/>
          <w:szCs w:val="24"/>
        </w:rPr>
        <w:t>土地用途分区面积统计表</w:t>
      </w:r>
      <w:bookmarkEnd w:id="60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3294"/>
        <w:gridCol w:w="2551"/>
        <w:gridCol w:w="2551"/>
        <w:gridCol w:w="2551"/>
        <w:gridCol w:w="2551"/>
        <w:gridCol w:w="2551"/>
        <w:gridCol w:w="2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9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55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255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255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255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255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独立工矿用地区</w:t>
            </w:r>
          </w:p>
        </w:tc>
        <w:tc>
          <w:tcPr>
            <w:tcW w:w="2551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林业用地区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茶埠塘村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304.54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58.97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7.18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94.93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18.48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386.57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车站居委会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36.94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1.62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陈家垅村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293.44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24.78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128.33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53.85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12.25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68.09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符田村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203.09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47.92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0.45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60.85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4.14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303.13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荷家垅村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253.36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33.54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40.13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枧上村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158.68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30.27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1.61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37.10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30.60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106.02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经塘村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203.00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31.10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0.32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51.46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2.69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130.37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林田居委会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102.06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9.92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63.79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2.76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0.32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茂田村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158.99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17.02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40.66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16.35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90.28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石虎村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246.17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70.84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40.35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2.07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120.77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石湾村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276.15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53.24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0.16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69.85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2.63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181.23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双塘村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218.34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37.40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32.21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47.34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5.61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193.51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泗汾村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161.24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42.10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4.83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20.69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5.46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44.21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原种场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71.87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8.46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0.34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10.04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2.47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10.72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湛田村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152.37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14.08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0.49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60.24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11.70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127.50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2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泗汾镇</w:t>
            </w:r>
          </w:p>
        </w:tc>
        <w:tc>
          <w:tcPr>
            <w:tcW w:w="25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2803.31 </w:t>
            </w:r>
          </w:p>
        </w:tc>
        <w:tc>
          <w:tcPr>
            <w:tcW w:w="25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479.64 </w:t>
            </w:r>
          </w:p>
        </w:tc>
        <w:tc>
          <w:tcPr>
            <w:tcW w:w="25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276.64 </w:t>
            </w:r>
          </w:p>
        </w:tc>
        <w:tc>
          <w:tcPr>
            <w:tcW w:w="25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630.26 </w:t>
            </w:r>
          </w:p>
        </w:tc>
        <w:tc>
          <w:tcPr>
            <w:tcW w:w="25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114.44 </w:t>
            </w:r>
          </w:p>
        </w:tc>
        <w:tc>
          <w:tcPr>
            <w:tcW w:w="2551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1792.18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1" w:name="_Toc485914456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11  </w:t>
      </w:r>
      <w:r>
        <w:rPr>
          <w:rFonts w:ascii="Times New Roman" w:hAnsi="Times New Roman" w:eastAsia="黑体" w:cs="Times New Roman"/>
          <w:sz w:val="24"/>
          <w:szCs w:val="24"/>
        </w:rPr>
        <w:t>泗汾镇2016-2020年重点建设用地项目规划表</w:t>
      </w:r>
      <w:bookmarkEnd w:id="59"/>
      <w:bookmarkEnd w:id="61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11256"/>
        <w:gridCol w:w="3325"/>
        <w:gridCol w:w="3938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G106醴陵城区绕城公路（王仙-龙源冲）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早禾塘-韶山公路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渌水航道建设工程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渌江大西滩至渌口段航道疏浚工程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泗汾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通用</w:t>
            </w:r>
            <w:r>
              <w:rPr>
                <w:rFonts w:ascii="Times New Roman" w:hAnsi="Times New Roman" w:eastAsia="仿宋_GB2312" w:cs="Times New Roman"/>
                <w:szCs w:val="21"/>
              </w:rPr>
              <w:t>机场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招呼站建设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二、农村公路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危桥改造项目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生命防护工程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大中修项目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三、水利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渌江及支流治理工程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中小河流治理工程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</w:rPr>
              <w:t>四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</w:rPr>
              <w:t>环保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泗汾镇污水处理厂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泗汾镇垃圾中转站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</w:rPr>
              <w:t>六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</w:rPr>
              <w:t>民生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精准扶贫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易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地搬迁安置项目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农村饮水安全及水源工程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泗汾镇村级活动中心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全镇各村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养老服务配套工程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</w:rPr>
              <w:t>七、其他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中储粮仓储基地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扩建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泗汾村金湖湾建设工程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岳汝高速公路服务站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病死畜禽无害化处理工程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1125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泗汾教育实践基地</w:t>
            </w:r>
          </w:p>
        </w:tc>
        <w:tc>
          <w:tcPr>
            <w:tcW w:w="33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9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 w:orient="landscape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2" w:name="_Toc485914457"/>
      <w:bookmarkStart w:id="63" w:name="_Toc469235341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12  </w:t>
      </w:r>
      <w:r>
        <w:rPr>
          <w:rFonts w:ascii="Times New Roman" w:hAnsi="Times New Roman" w:eastAsia="黑体" w:cs="Times New Roman"/>
          <w:sz w:val="24"/>
          <w:szCs w:val="24"/>
        </w:rPr>
        <w:t>泗汾镇2006-2020年地类结构平衡表</w:t>
      </w:r>
      <w:bookmarkEnd w:id="62"/>
      <w:bookmarkEnd w:id="63"/>
    </w:p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18"/>
        <w:tblW w:w="21456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581"/>
        <w:gridCol w:w="1045"/>
        <w:gridCol w:w="1045"/>
        <w:gridCol w:w="976"/>
        <w:gridCol w:w="976"/>
        <w:gridCol w:w="1045"/>
        <w:gridCol w:w="976"/>
        <w:gridCol w:w="794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779"/>
        <w:gridCol w:w="976"/>
        <w:gridCol w:w="976"/>
        <w:gridCol w:w="1042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104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规划基期现状面积</w:t>
            </w:r>
          </w:p>
        </w:tc>
        <w:tc>
          <w:tcPr>
            <w:tcW w:w="15375" w:type="dxa"/>
            <w:gridSpan w:val="16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规划期间调整至其他地类</w:t>
            </w:r>
          </w:p>
        </w:tc>
        <w:tc>
          <w:tcPr>
            <w:tcW w:w="976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期间减少</w:t>
            </w:r>
          </w:p>
        </w:tc>
        <w:tc>
          <w:tcPr>
            <w:tcW w:w="976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净增减</w:t>
            </w:r>
          </w:p>
        </w:tc>
        <w:tc>
          <w:tcPr>
            <w:tcW w:w="104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6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6832" w:type="dxa"/>
            <w:gridSpan w:val="7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2731" w:type="dxa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土地总面积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7057.49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5540.67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2876.08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112.60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1764.97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787.02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1199.48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266.16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609.24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19.04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96.92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155.56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52.56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317.34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220.01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97.33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7057.49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5548.68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32.30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32.30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249.08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116.19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39.77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78.45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14.67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249.08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-8.01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5540.67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2848.75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79.36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36.71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27.64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9.90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5.11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79.36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27.33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2876.08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30.42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6.56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6.56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4.72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2.51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2.13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11.28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82.18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112.60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1901.49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15.05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15.05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130.28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58.11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6.82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58.19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7.16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145.33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-136.52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1764.97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768.02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10.69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10.69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34.72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18.86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5.31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8.23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2.32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45.41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19.00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787.02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1154.61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228.69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70.82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93.46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64.41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25.46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24.59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228.69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44.87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1199.48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120.07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146.09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266.16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752.63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161.19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67.73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93.46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23.30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22.43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184.49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-143.39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609.24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21.27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2.23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2.23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2.23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-2.23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19.04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96.92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96.92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205.82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65.17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64.41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65.17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-50.26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155.56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54.82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2.26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-2.26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52.56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354.20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12.38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3.57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8.81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24.48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5.31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1.33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17.84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36.86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-36.86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317.34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220.01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220.01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134.19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12.38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3.57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8.81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24.48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5.31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1.33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17.84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36.86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-36.86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97.33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期间增加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241.07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106.69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93.46</w:t>
            </w:r>
          </w:p>
        </w:tc>
        <w:tc>
          <w:tcPr>
            <w:tcW w:w="10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8.81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64.41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273.56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146.09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41.10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96.92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14.91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</w:tbl>
    <w:p>
      <w:pPr>
        <w:spacing w:beforeLines="50" w:afterLines="50" w:line="20" w:lineRule="exact"/>
        <w:jc w:val="left"/>
        <w:outlineLvl w:val="0"/>
      </w:pPr>
      <w:r>
        <w:rPr>
          <w:rFonts w:hint="eastAsia"/>
        </w:rPr>
        <w:tab/>
      </w:r>
    </w:p>
    <w:sectPr>
      <w:pgSz w:w="23814" w:h="16839" w:orient="landscape"/>
      <w:pgMar w:top="1701" w:right="1134" w:bottom="1701" w:left="1440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41366"/>
      <w:docPartObj>
        <w:docPartGallery w:val="AutoText"/>
      </w:docPartObj>
    </w:sdtPr>
    <w:sdtContent>
      <w:p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13844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2191"/>
    <w:rsid w:val="00003638"/>
    <w:rsid w:val="00013026"/>
    <w:rsid w:val="000139AE"/>
    <w:rsid w:val="00020732"/>
    <w:rsid w:val="00036040"/>
    <w:rsid w:val="00044D4C"/>
    <w:rsid w:val="00047A70"/>
    <w:rsid w:val="00053B5C"/>
    <w:rsid w:val="00066EED"/>
    <w:rsid w:val="0007133B"/>
    <w:rsid w:val="00071406"/>
    <w:rsid w:val="000B2CCD"/>
    <w:rsid w:val="000B3B61"/>
    <w:rsid w:val="000B66F3"/>
    <w:rsid w:val="000B76BE"/>
    <w:rsid w:val="000C0BE5"/>
    <w:rsid w:val="000C5938"/>
    <w:rsid w:val="000D4193"/>
    <w:rsid w:val="000D6083"/>
    <w:rsid w:val="000E778D"/>
    <w:rsid w:val="000F3A70"/>
    <w:rsid w:val="000F438B"/>
    <w:rsid w:val="0011211A"/>
    <w:rsid w:val="00113197"/>
    <w:rsid w:val="00124ED1"/>
    <w:rsid w:val="0012571D"/>
    <w:rsid w:val="00132395"/>
    <w:rsid w:val="00133713"/>
    <w:rsid w:val="00157382"/>
    <w:rsid w:val="00176BDC"/>
    <w:rsid w:val="00177762"/>
    <w:rsid w:val="00190F0F"/>
    <w:rsid w:val="001A66FB"/>
    <w:rsid w:val="001B360B"/>
    <w:rsid w:val="001D20A2"/>
    <w:rsid w:val="001D63B7"/>
    <w:rsid w:val="001E0D7B"/>
    <w:rsid w:val="001E7A0A"/>
    <w:rsid w:val="002061F6"/>
    <w:rsid w:val="00215CEA"/>
    <w:rsid w:val="00226878"/>
    <w:rsid w:val="002272BF"/>
    <w:rsid w:val="00255856"/>
    <w:rsid w:val="00261BDF"/>
    <w:rsid w:val="0026320F"/>
    <w:rsid w:val="00263DF3"/>
    <w:rsid w:val="00287FD4"/>
    <w:rsid w:val="002A4ABF"/>
    <w:rsid w:val="002B10D1"/>
    <w:rsid w:val="002B37B1"/>
    <w:rsid w:val="002D55EB"/>
    <w:rsid w:val="002E23C8"/>
    <w:rsid w:val="002E7D06"/>
    <w:rsid w:val="002F616A"/>
    <w:rsid w:val="002F7792"/>
    <w:rsid w:val="00306B13"/>
    <w:rsid w:val="00307A6E"/>
    <w:rsid w:val="00315299"/>
    <w:rsid w:val="003174C2"/>
    <w:rsid w:val="00323075"/>
    <w:rsid w:val="00323445"/>
    <w:rsid w:val="003254C2"/>
    <w:rsid w:val="00327F44"/>
    <w:rsid w:val="003572D3"/>
    <w:rsid w:val="0036133B"/>
    <w:rsid w:val="00373A80"/>
    <w:rsid w:val="0037575D"/>
    <w:rsid w:val="0037765A"/>
    <w:rsid w:val="00393F67"/>
    <w:rsid w:val="003952A7"/>
    <w:rsid w:val="00403C54"/>
    <w:rsid w:val="00410886"/>
    <w:rsid w:val="00413139"/>
    <w:rsid w:val="00414AB2"/>
    <w:rsid w:val="00415F86"/>
    <w:rsid w:val="0042009D"/>
    <w:rsid w:val="0042182E"/>
    <w:rsid w:val="004301EE"/>
    <w:rsid w:val="0045000D"/>
    <w:rsid w:val="00457D26"/>
    <w:rsid w:val="00462C13"/>
    <w:rsid w:val="00473E10"/>
    <w:rsid w:val="00485F74"/>
    <w:rsid w:val="004904DD"/>
    <w:rsid w:val="004A1696"/>
    <w:rsid w:val="004A47F6"/>
    <w:rsid w:val="004B6AC6"/>
    <w:rsid w:val="004B7B9A"/>
    <w:rsid w:val="004C092B"/>
    <w:rsid w:val="004F3310"/>
    <w:rsid w:val="00502A4F"/>
    <w:rsid w:val="00530243"/>
    <w:rsid w:val="00533601"/>
    <w:rsid w:val="0053662A"/>
    <w:rsid w:val="0054766D"/>
    <w:rsid w:val="00554197"/>
    <w:rsid w:val="00570DDE"/>
    <w:rsid w:val="0059434D"/>
    <w:rsid w:val="005B0C5C"/>
    <w:rsid w:val="005C723F"/>
    <w:rsid w:val="005D0B8A"/>
    <w:rsid w:val="005E0424"/>
    <w:rsid w:val="005E33E0"/>
    <w:rsid w:val="005E4B03"/>
    <w:rsid w:val="006231F5"/>
    <w:rsid w:val="00627537"/>
    <w:rsid w:val="00640E0D"/>
    <w:rsid w:val="00654294"/>
    <w:rsid w:val="00667C5D"/>
    <w:rsid w:val="006804E7"/>
    <w:rsid w:val="00695D0E"/>
    <w:rsid w:val="00697D30"/>
    <w:rsid w:val="006A102E"/>
    <w:rsid w:val="006A5E82"/>
    <w:rsid w:val="006A648B"/>
    <w:rsid w:val="006B6CD1"/>
    <w:rsid w:val="006E1F9E"/>
    <w:rsid w:val="006E6303"/>
    <w:rsid w:val="006E7807"/>
    <w:rsid w:val="006F3998"/>
    <w:rsid w:val="007048C6"/>
    <w:rsid w:val="00711027"/>
    <w:rsid w:val="00715387"/>
    <w:rsid w:val="00726D4F"/>
    <w:rsid w:val="007435FC"/>
    <w:rsid w:val="0075201D"/>
    <w:rsid w:val="00780E84"/>
    <w:rsid w:val="00785902"/>
    <w:rsid w:val="007952E2"/>
    <w:rsid w:val="007968C1"/>
    <w:rsid w:val="007B1076"/>
    <w:rsid w:val="008127A7"/>
    <w:rsid w:val="008223EC"/>
    <w:rsid w:val="00826B51"/>
    <w:rsid w:val="00835493"/>
    <w:rsid w:val="0085048E"/>
    <w:rsid w:val="00850984"/>
    <w:rsid w:val="008520FD"/>
    <w:rsid w:val="00865D22"/>
    <w:rsid w:val="00884372"/>
    <w:rsid w:val="00890CB1"/>
    <w:rsid w:val="00896D8C"/>
    <w:rsid w:val="008B52AD"/>
    <w:rsid w:val="008C1099"/>
    <w:rsid w:val="008C1BC9"/>
    <w:rsid w:val="008C5C79"/>
    <w:rsid w:val="00933E53"/>
    <w:rsid w:val="0093500E"/>
    <w:rsid w:val="00956565"/>
    <w:rsid w:val="0096363A"/>
    <w:rsid w:val="00970BDD"/>
    <w:rsid w:val="00997259"/>
    <w:rsid w:val="009B6B1A"/>
    <w:rsid w:val="009C0AB9"/>
    <w:rsid w:val="009C39EE"/>
    <w:rsid w:val="009C7C0E"/>
    <w:rsid w:val="009F1057"/>
    <w:rsid w:val="00A0127D"/>
    <w:rsid w:val="00A0545C"/>
    <w:rsid w:val="00A154F8"/>
    <w:rsid w:val="00A32A74"/>
    <w:rsid w:val="00A46CED"/>
    <w:rsid w:val="00A57B22"/>
    <w:rsid w:val="00A7599D"/>
    <w:rsid w:val="00A77BE4"/>
    <w:rsid w:val="00A86AA5"/>
    <w:rsid w:val="00A95272"/>
    <w:rsid w:val="00AB4459"/>
    <w:rsid w:val="00AC5B95"/>
    <w:rsid w:val="00AE46A7"/>
    <w:rsid w:val="00AF2CDB"/>
    <w:rsid w:val="00B03AD0"/>
    <w:rsid w:val="00B43BC9"/>
    <w:rsid w:val="00B47197"/>
    <w:rsid w:val="00B475FC"/>
    <w:rsid w:val="00B607D7"/>
    <w:rsid w:val="00B72120"/>
    <w:rsid w:val="00B831E9"/>
    <w:rsid w:val="00B90D9F"/>
    <w:rsid w:val="00BA438C"/>
    <w:rsid w:val="00BB289C"/>
    <w:rsid w:val="00BB77FA"/>
    <w:rsid w:val="00BC19FD"/>
    <w:rsid w:val="00BC385C"/>
    <w:rsid w:val="00BC3A96"/>
    <w:rsid w:val="00BD6E96"/>
    <w:rsid w:val="00BF1706"/>
    <w:rsid w:val="00C11C26"/>
    <w:rsid w:val="00C16C46"/>
    <w:rsid w:val="00C21169"/>
    <w:rsid w:val="00C21827"/>
    <w:rsid w:val="00C30F70"/>
    <w:rsid w:val="00C33B57"/>
    <w:rsid w:val="00C35020"/>
    <w:rsid w:val="00C360DA"/>
    <w:rsid w:val="00C448EC"/>
    <w:rsid w:val="00C4579D"/>
    <w:rsid w:val="00C47893"/>
    <w:rsid w:val="00C534A9"/>
    <w:rsid w:val="00C63C8E"/>
    <w:rsid w:val="00C64E78"/>
    <w:rsid w:val="00C73E83"/>
    <w:rsid w:val="00C7492D"/>
    <w:rsid w:val="00C7685A"/>
    <w:rsid w:val="00C906CC"/>
    <w:rsid w:val="00C944A5"/>
    <w:rsid w:val="00C95C98"/>
    <w:rsid w:val="00CA0A06"/>
    <w:rsid w:val="00CA44E7"/>
    <w:rsid w:val="00CA53A0"/>
    <w:rsid w:val="00CB4F37"/>
    <w:rsid w:val="00CC0586"/>
    <w:rsid w:val="00CC2DB8"/>
    <w:rsid w:val="00CC6005"/>
    <w:rsid w:val="00CE0462"/>
    <w:rsid w:val="00CF7FE6"/>
    <w:rsid w:val="00D02703"/>
    <w:rsid w:val="00D03BB9"/>
    <w:rsid w:val="00D04505"/>
    <w:rsid w:val="00D06D1E"/>
    <w:rsid w:val="00D12925"/>
    <w:rsid w:val="00D13B2E"/>
    <w:rsid w:val="00D14A33"/>
    <w:rsid w:val="00D4157F"/>
    <w:rsid w:val="00D41C80"/>
    <w:rsid w:val="00D42E55"/>
    <w:rsid w:val="00D51D64"/>
    <w:rsid w:val="00D53ABA"/>
    <w:rsid w:val="00D65C02"/>
    <w:rsid w:val="00D953BC"/>
    <w:rsid w:val="00DA34BB"/>
    <w:rsid w:val="00DA3E57"/>
    <w:rsid w:val="00DB11F9"/>
    <w:rsid w:val="00DC6285"/>
    <w:rsid w:val="00DD389D"/>
    <w:rsid w:val="00DF046A"/>
    <w:rsid w:val="00DF7D81"/>
    <w:rsid w:val="00E018BE"/>
    <w:rsid w:val="00E14CBD"/>
    <w:rsid w:val="00E43978"/>
    <w:rsid w:val="00E464D0"/>
    <w:rsid w:val="00E5350B"/>
    <w:rsid w:val="00E60AB5"/>
    <w:rsid w:val="00E951A9"/>
    <w:rsid w:val="00EB1C3D"/>
    <w:rsid w:val="00EC72BD"/>
    <w:rsid w:val="00EC7344"/>
    <w:rsid w:val="00EE4B2C"/>
    <w:rsid w:val="00F01393"/>
    <w:rsid w:val="00F03390"/>
    <w:rsid w:val="00F30653"/>
    <w:rsid w:val="00F36BAA"/>
    <w:rsid w:val="00F41CCC"/>
    <w:rsid w:val="00F45EEA"/>
    <w:rsid w:val="00F573EC"/>
    <w:rsid w:val="00F6409D"/>
    <w:rsid w:val="00F713C5"/>
    <w:rsid w:val="00F725DC"/>
    <w:rsid w:val="00F75BB7"/>
    <w:rsid w:val="00F9031E"/>
    <w:rsid w:val="00F91CE1"/>
    <w:rsid w:val="00F968D7"/>
    <w:rsid w:val="00FC29C9"/>
    <w:rsid w:val="00FD0224"/>
    <w:rsid w:val="00FF2015"/>
    <w:rsid w:val="2F042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79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1">
    <w:name w:val="footnote text"/>
    <w:basedOn w:val="1"/>
    <w:link w:val="62"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2">
    <w:name w:val="toc 2"/>
    <w:basedOn w:val="1"/>
    <w:next w:val="1"/>
    <w:link w:val="63"/>
    <w:unhideWhenUsed/>
    <w:uiPriority w:val="39"/>
    <w:pPr>
      <w:spacing w:line="360" w:lineRule="auto"/>
      <w:ind w:left="200" w:leftChars="200"/>
      <w:jc w:val="left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7">
    <w:name w:val="footnote reference"/>
    <w:basedOn w:val="13"/>
    <w:uiPriority w:val="0"/>
    <w:rPr>
      <w:vertAlign w:val="superscript"/>
    </w:rPr>
  </w:style>
  <w:style w:type="table" w:styleId="19">
    <w:name w:val="Table Grid"/>
    <w:basedOn w:val="1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3"/>
    <w:link w:val="9"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uiPriority w:val="99"/>
    <w:rPr>
      <w:sz w:val="18"/>
      <w:szCs w:val="18"/>
    </w:rPr>
  </w:style>
  <w:style w:type="character" w:customStyle="1" w:styleId="22">
    <w:name w:val="文档结构图 Char"/>
    <w:basedOn w:val="13"/>
    <w:link w:val="6"/>
    <w:uiPriority w:val="0"/>
    <w:rPr>
      <w:rFonts w:ascii="宋体" w:eastAsia="宋体"/>
      <w:sz w:val="18"/>
      <w:szCs w:val="18"/>
    </w:rPr>
  </w:style>
  <w:style w:type="character" w:customStyle="1" w:styleId="23">
    <w:name w:val="标题 3 Char"/>
    <w:basedOn w:val="13"/>
    <w:link w:val="4"/>
    <w:uiPriority w:val="0"/>
    <w:rPr>
      <w:b/>
      <w:bCs/>
      <w:sz w:val="32"/>
      <w:szCs w:val="32"/>
    </w:rPr>
  </w:style>
  <w:style w:type="character" w:customStyle="1" w:styleId="24">
    <w:name w:val="标题 1 Char"/>
    <w:basedOn w:val="13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4 Char"/>
    <w:basedOn w:val="13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7">
    <w:name w:val="标题 2 Char1"/>
    <w:link w:val="3"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28">
    <w:name w:val="Char Char Char Char"/>
    <w:basedOn w:val="6"/>
    <w:uiPriority w:val="0"/>
  </w:style>
  <w:style w:type="character" w:customStyle="1" w:styleId="29">
    <w:name w:val="文档结构图 Char1"/>
    <w:basedOn w:val="13"/>
    <w:semiHidden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0">
    <w:name w:val="正文专用"/>
    <w:basedOn w:val="1"/>
    <w:qFormat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1">
    <w:name w:val="纯文本 Char"/>
    <w:basedOn w:val="13"/>
    <w:link w:val="32"/>
    <w:uiPriority w:val="0"/>
    <w:rPr>
      <w:rFonts w:ascii="宋体" w:hAnsi="Courier New"/>
      <w:lang w:val="en-US" w:eastAsia="zh-CN"/>
    </w:rPr>
  </w:style>
  <w:style w:type="paragraph" w:customStyle="1" w:styleId="32">
    <w:name w:val="纯文本1"/>
    <w:basedOn w:val="1"/>
    <w:link w:val="31"/>
    <w:uiPriority w:val="0"/>
    <w:rPr>
      <w:rFonts w:ascii="宋体" w:hAnsi="Courier New"/>
    </w:rPr>
  </w:style>
  <w:style w:type="character" w:customStyle="1" w:styleId="33">
    <w:name w:val="txt1"/>
    <w:uiPriority w:val="0"/>
    <w:rPr>
      <w:color w:val="000000"/>
      <w:sz w:val="22"/>
      <w:szCs w:val="22"/>
    </w:rPr>
  </w:style>
  <w:style w:type="character" w:customStyle="1" w:styleId="34">
    <w:name w:val="正文文本缩进 Char"/>
    <w:basedOn w:val="13"/>
    <w:link w:val="35"/>
    <w:qFormat/>
    <w:uiPriority w:val="0"/>
    <w:rPr>
      <w:rFonts w:eastAsia="仿宋"/>
      <w:sz w:val="28"/>
      <w:szCs w:val="24"/>
    </w:rPr>
  </w:style>
  <w:style w:type="paragraph" w:customStyle="1" w:styleId="35">
    <w:name w:val="正文文本缩进1"/>
    <w:basedOn w:val="1"/>
    <w:link w:val="34"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6">
    <w:name w:val="正文文本缩进 3 Char"/>
    <w:basedOn w:val="13"/>
    <w:link w:val="37"/>
    <w:uiPriority w:val="0"/>
    <w:rPr>
      <w:rFonts w:eastAsia="仿宋"/>
      <w:color w:val="000000"/>
      <w:sz w:val="24"/>
      <w:szCs w:val="24"/>
    </w:rPr>
  </w:style>
  <w:style w:type="paragraph" w:customStyle="1" w:styleId="37">
    <w:name w:val="正文文本缩进 31"/>
    <w:basedOn w:val="1"/>
    <w:link w:val="36"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38">
    <w:name w:val="普通文字 Char Char Char Char Char Char Char Char"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highlight1"/>
    <w:uiPriority w:val="0"/>
    <w:rPr>
      <w:sz w:val="21"/>
      <w:szCs w:val="21"/>
    </w:rPr>
  </w:style>
  <w:style w:type="character" w:customStyle="1" w:styleId="40">
    <w:name w:val="正文文本缩进 2 Char"/>
    <w:basedOn w:val="13"/>
    <w:link w:val="41"/>
    <w:uiPriority w:val="0"/>
    <w:rPr>
      <w:rFonts w:eastAsia="仿宋"/>
      <w:sz w:val="28"/>
      <w:szCs w:val="24"/>
    </w:rPr>
  </w:style>
  <w:style w:type="paragraph" w:customStyle="1" w:styleId="41">
    <w:name w:val="正文文本缩进 21"/>
    <w:basedOn w:val="1"/>
    <w:link w:val="40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2">
    <w:name w:val="正文文本 Char"/>
    <w:basedOn w:val="13"/>
    <w:link w:val="43"/>
    <w:uiPriority w:val="0"/>
    <w:rPr>
      <w:rFonts w:eastAsia="仿宋"/>
      <w:sz w:val="28"/>
      <w:szCs w:val="24"/>
    </w:rPr>
  </w:style>
  <w:style w:type="paragraph" w:customStyle="1" w:styleId="43">
    <w:name w:val="正文文本1"/>
    <w:basedOn w:val="1"/>
    <w:link w:val="42"/>
    <w:uiPriority w:val="0"/>
    <w:pPr>
      <w:spacing w:after="120"/>
    </w:pPr>
    <w:rPr>
      <w:rFonts w:eastAsia="仿宋"/>
      <w:sz w:val="28"/>
      <w:szCs w:val="24"/>
    </w:rPr>
  </w:style>
  <w:style w:type="character" w:customStyle="1" w:styleId="44">
    <w:name w:val="f14b1"/>
    <w:uiPriority w:val="0"/>
    <w:rPr>
      <w:b/>
      <w:bCs/>
      <w:sz w:val="21"/>
      <w:szCs w:val="21"/>
    </w:rPr>
  </w:style>
  <w:style w:type="character" w:customStyle="1" w:styleId="45">
    <w:name w:val="日期 Char"/>
    <w:basedOn w:val="13"/>
    <w:link w:val="46"/>
    <w:uiPriority w:val="0"/>
    <w:rPr>
      <w:rFonts w:eastAsia="仿宋"/>
      <w:sz w:val="28"/>
    </w:rPr>
  </w:style>
  <w:style w:type="paragraph" w:customStyle="1" w:styleId="46">
    <w:name w:val="日期1"/>
    <w:basedOn w:val="1"/>
    <w:next w:val="1"/>
    <w:link w:val="45"/>
    <w:uiPriority w:val="0"/>
    <w:rPr>
      <w:rFonts w:eastAsia="仿宋"/>
      <w:sz w:val="28"/>
    </w:rPr>
  </w:style>
  <w:style w:type="character" w:customStyle="1" w:styleId="47">
    <w:name w:val="批注框文本 Char"/>
    <w:basedOn w:val="13"/>
    <w:link w:val="48"/>
    <w:uiPriority w:val="0"/>
    <w:rPr>
      <w:rFonts w:eastAsia="仿宋"/>
      <w:sz w:val="18"/>
      <w:szCs w:val="18"/>
    </w:rPr>
  </w:style>
  <w:style w:type="paragraph" w:customStyle="1" w:styleId="48">
    <w:name w:val="批注框文本1"/>
    <w:basedOn w:val="1"/>
    <w:link w:val="47"/>
    <w:uiPriority w:val="0"/>
    <w:rPr>
      <w:rFonts w:eastAsia="仿宋"/>
      <w:sz w:val="18"/>
      <w:szCs w:val="18"/>
    </w:rPr>
  </w:style>
  <w:style w:type="character" w:customStyle="1" w:styleId="49">
    <w:name w:val="biaoti1"/>
    <w:uiPriority w:val="0"/>
    <w:rPr>
      <w:b/>
      <w:bCs/>
      <w:sz w:val="49"/>
      <w:szCs w:val="49"/>
    </w:rPr>
  </w:style>
  <w:style w:type="character" w:customStyle="1" w:styleId="50">
    <w:name w:val="批注引用1"/>
    <w:uiPriority w:val="0"/>
    <w:rPr>
      <w:sz w:val="21"/>
      <w:szCs w:val="21"/>
    </w:rPr>
  </w:style>
  <w:style w:type="character" w:customStyle="1" w:styleId="51">
    <w:name w:val="批注文字 Char"/>
    <w:basedOn w:val="13"/>
    <w:link w:val="52"/>
    <w:uiPriority w:val="0"/>
    <w:rPr>
      <w:rFonts w:eastAsia="仿宋"/>
      <w:sz w:val="28"/>
      <w:szCs w:val="24"/>
    </w:rPr>
  </w:style>
  <w:style w:type="paragraph" w:customStyle="1" w:styleId="52">
    <w:name w:val="批注文字1"/>
    <w:basedOn w:val="1"/>
    <w:link w:val="51"/>
    <w:uiPriority w:val="0"/>
    <w:pPr>
      <w:jc w:val="left"/>
    </w:pPr>
    <w:rPr>
      <w:rFonts w:eastAsia="仿宋"/>
      <w:sz w:val="28"/>
      <w:szCs w:val="24"/>
    </w:rPr>
  </w:style>
  <w:style w:type="character" w:customStyle="1" w:styleId="53">
    <w:name w:val="已访问的超链接1"/>
    <w:uiPriority w:val="0"/>
    <w:rPr>
      <w:color w:val="800080"/>
      <w:u w:val="single"/>
    </w:rPr>
  </w:style>
  <w:style w:type="character" w:customStyle="1" w:styleId="54">
    <w:name w:val="脚注文本 Char"/>
    <w:basedOn w:val="13"/>
    <w:link w:val="55"/>
    <w:qFormat/>
    <w:uiPriority w:val="0"/>
    <w:rPr>
      <w:rFonts w:eastAsia="仿宋"/>
      <w:sz w:val="18"/>
      <w:szCs w:val="18"/>
    </w:rPr>
  </w:style>
  <w:style w:type="paragraph" w:customStyle="1" w:styleId="55">
    <w:name w:val="脚注文本1"/>
    <w:basedOn w:val="1"/>
    <w:link w:val="54"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6">
    <w:name w:val="脚注引用1"/>
    <w:uiPriority w:val="0"/>
    <w:rPr>
      <w:vertAlign w:val="superscript"/>
    </w:rPr>
  </w:style>
  <w:style w:type="character" w:customStyle="1" w:styleId="57">
    <w:name w:val="批注主题 Char"/>
    <w:basedOn w:val="51"/>
    <w:link w:val="58"/>
    <w:qFormat/>
    <w:uiPriority w:val="0"/>
    <w:rPr>
      <w:rFonts w:eastAsia="仿宋"/>
      <w:b/>
      <w:bCs/>
      <w:sz w:val="28"/>
      <w:szCs w:val="24"/>
    </w:rPr>
  </w:style>
  <w:style w:type="paragraph" w:customStyle="1" w:styleId="58">
    <w:name w:val="批注主题1"/>
    <w:basedOn w:val="52"/>
    <w:next w:val="52"/>
    <w:link w:val="57"/>
    <w:uiPriority w:val="0"/>
    <w:rPr>
      <w:b/>
      <w:bCs/>
    </w:rPr>
  </w:style>
  <w:style w:type="paragraph" w:customStyle="1" w:styleId="59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0">
    <w:name w:val="段 Char"/>
    <w:link w:val="61"/>
    <w:uiPriority w:val="0"/>
    <w:rPr>
      <w:rFonts w:ascii="宋体"/>
    </w:rPr>
  </w:style>
  <w:style w:type="paragraph" w:customStyle="1" w:styleId="61">
    <w:name w:val="段"/>
    <w:link w:val="60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2">
    <w:name w:val="脚注文本 Char1"/>
    <w:basedOn w:val="13"/>
    <w:link w:val="11"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3">
    <w:name w:val="目录 2 Char"/>
    <w:basedOn w:val="13"/>
    <w:link w:val="12"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4">
    <w:name w:val="Char Char Char Char1"/>
    <w:basedOn w:val="6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5">
    <w:name w:val="纯文本2"/>
    <w:basedOn w:val="1"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6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7">
    <w:name w:val="正文文本缩进 32"/>
    <w:basedOn w:val="1"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68">
    <w:name w:val="正文文本缩进 22"/>
    <w:basedOn w:val="1"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9">
    <w:name w:val="正文文本2"/>
    <w:basedOn w:val="1"/>
    <w:qFormat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日期2"/>
    <w:basedOn w:val="1"/>
    <w:next w:val="1"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1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2">
    <w:name w:val="批注引用2"/>
    <w:uiPriority w:val="0"/>
    <w:rPr>
      <w:sz w:val="21"/>
      <w:szCs w:val="21"/>
    </w:rPr>
  </w:style>
  <w:style w:type="paragraph" w:customStyle="1" w:styleId="73">
    <w:name w:val="批注文字2"/>
    <w:basedOn w:val="1"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4">
    <w:name w:val="已访问的超链接2"/>
    <w:uiPriority w:val="0"/>
    <w:rPr>
      <w:color w:val="800080"/>
      <w:u w:val="single"/>
    </w:rPr>
  </w:style>
  <w:style w:type="paragraph" w:customStyle="1" w:styleId="75">
    <w:name w:val="脚注文本2"/>
    <w:basedOn w:val="1"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6">
    <w:name w:val="脚注引用2"/>
    <w:uiPriority w:val="0"/>
    <w:rPr>
      <w:vertAlign w:val="superscript"/>
    </w:rPr>
  </w:style>
  <w:style w:type="paragraph" w:customStyle="1" w:styleId="77">
    <w:name w:val="批注主题2"/>
    <w:basedOn w:val="73"/>
    <w:next w:val="73"/>
    <w:uiPriority w:val="0"/>
    <w:rPr>
      <w:b/>
      <w:bCs/>
    </w:rPr>
  </w:style>
  <w:style w:type="paragraph" w:customStyle="1" w:styleId="78">
    <w:name w:val="文档结构图2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79">
    <w:name w:val="批注框文本 Char1"/>
    <w:basedOn w:val="13"/>
    <w:link w:val="7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CF846B-7FF0-43CF-AC34-8918C6E0EF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2547</Words>
  <Characters>14522</Characters>
  <Lines>121</Lines>
  <Paragraphs>34</Paragraphs>
  <TotalTime>905</TotalTime>
  <ScaleCrop>false</ScaleCrop>
  <LinksUpToDate>false</LinksUpToDate>
  <CharactersWithSpaces>17035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2017-06-22T09:37:00Z</cp:lastPrinted>
  <dcterms:modified xsi:type="dcterms:W3CDTF">2018-06-27T08:45:10Z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