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100"/>
        <w:jc w:val="center"/>
        <w:rPr>
          <w:rFonts w:ascii="Times New Roman" w:hAnsi="Times New Roman" w:eastAsia="黑体" w:cs="Times New Roman"/>
          <w:b/>
          <w:sz w:val="30"/>
          <w:szCs w:val="30"/>
        </w:rPr>
      </w:pPr>
      <w:bookmarkStart w:id="0" w:name="_Toc469236685"/>
      <w:bookmarkStart w:id="1" w:name="_Toc468872185"/>
      <w:bookmarkStart w:id="2" w:name="_Toc469067200"/>
    </w:p>
    <w:p>
      <w:pPr>
        <w:spacing w:beforeLines="100" w:afterLines="100"/>
        <w:jc w:val="center"/>
        <w:rPr>
          <w:rFonts w:ascii="Times New Roman" w:hAnsi="Times New Roman" w:eastAsia="黑体" w:cs="Times New Roman"/>
          <w:b/>
          <w:sz w:val="84"/>
          <w:szCs w:val="84"/>
        </w:rPr>
      </w:pPr>
      <w:r>
        <w:rPr>
          <w:rFonts w:ascii="Times New Roman" w:eastAsia="黑体" w:cs="Times New Roman"/>
          <w:b/>
          <w:sz w:val="84"/>
          <w:szCs w:val="84"/>
        </w:rPr>
        <w:t>浦口镇土地利用总体规划（</w:t>
      </w:r>
      <w:r>
        <w:rPr>
          <w:rFonts w:ascii="Times New Roman" w:hAnsi="Times New Roman" w:eastAsia="黑体" w:cs="Times New Roman"/>
          <w:b/>
          <w:sz w:val="84"/>
          <w:szCs w:val="84"/>
        </w:rPr>
        <w:t>20</w:t>
      </w:r>
      <w:r>
        <w:rPr>
          <w:rFonts w:hint="eastAsia" w:ascii="Times New Roman" w:hAnsi="Times New Roman" w:eastAsia="黑体" w:cs="Times New Roman"/>
          <w:b/>
          <w:sz w:val="84"/>
          <w:szCs w:val="84"/>
        </w:rPr>
        <w:t>06</w:t>
      </w:r>
      <w:r>
        <w:rPr>
          <w:rFonts w:ascii="Times New Roman" w:hAnsi="Times New Roman" w:eastAsia="黑体" w:cs="Times New Roman"/>
          <w:b/>
          <w:sz w:val="84"/>
          <w:szCs w:val="84"/>
        </w:rPr>
        <w:t>-2020</w:t>
      </w:r>
      <w:r>
        <w:rPr>
          <w:rFonts w:ascii="Times New Roman" w:eastAsia="黑体" w:cs="Times New Roman"/>
          <w:b/>
          <w:sz w:val="84"/>
          <w:szCs w:val="84"/>
        </w:rPr>
        <w:t>年）</w:t>
      </w:r>
    </w:p>
    <w:p>
      <w:pPr>
        <w:spacing w:beforeLines="100" w:afterLines="100"/>
        <w:jc w:val="center"/>
        <w:rPr>
          <w:rFonts w:ascii="Times New Roman" w:hAnsi="Times New Roman" w:eastAsia="黑体" w:cs="Times New Roman"/>
          <w:b/>
          <w:sz w:val="84"/>
          <w:szCs w:val="84"/>
        </w:rPr>
      </w:pPr>
      <w:r>
        <w:rPr>
          <w:rFonts w:ascii="Times New Roman" w:hAnsi="Times New Roman" w:eastAsia="黑体" w:cs="Times New Roman"/>
          <w:b/>
          <w:sz w:val="84"/>
          <w:szCs w:val="84"/>
        </w:rPr>
        <w:t>2016</w:t>
      </w:r>
      <w:r>
        <w:rPr>
          <w:rFonts w:ascii="Times New Roman" w:eastAsia="黑体" w:cs="Times New Roman"/>
          <w:b/>
          <w:sz w:val="84"/>
          <w:szCs w:val="84"/>
        </w:rPr>
        <w:t>年调整完善方案</w:t>
      </w:r>
    </w:p>
    <w:p>
      <w:pPr>
        <w:spacing w:beforeLines="100" w:afterLines="100"/>
        <w:jc w:val="center"/>
        <w:rPr>
          <w:rFonts w:ascii="Times New Roman" w:hAnsi="Times New Roman" w:cs="Times New Roman"/>
          <w:szCs w:val="28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jc w:val="center"/>
        <w:rPr>
          <w:rFonts w:ascii="Times New Roman" w:hAnsi="Times New Roman" w:eastAsia="黑体" w:cs="Times New Roman"/>
          <w:b/>
          <w:sz w:val="30"/>
          <w:szCs w:val="30"/>
        </w:rPr>
      </w:pPr>
    </w:p>
    <w:p>
      <w:pPr>
        <w:spacing w:line="360" w:lineRule="auto"/>
        <w:jc w:val="center"/>
        <w:rPr>
          <w:rFonts w:ascii="Times New Roman" w:hAnsi="Times New Roman" w:eastAsia="黑体" w:cs="Times New Roman"/>
          <w:spacing w:val="87"/>
          <w:kern w:val="0"/>
          <w:sz w:val="48"/>
          <w:szCs w:val="44"/>
        </w:rPr>
      </w:pPr>
      <w:r>
        <w:rPr>
          <w:rFonts w:ascii="Times New Roman" w:eastAsia="黑体" w:cs="Times New Roman"/>
          <w:spacing w:val="87"/>
          <w:kern w:val="0"/>
          <w:sz w:val="48"/>
          <w:szCs w:val="44"/>
          <w:fitText w:val="4402" w:id="0"/>
        </w:rPr>
        <w:t>浦口镇人民政</w:t>
      </w:r>
      <w:r>
        <w:rPr>
          <w:rFonts w:ascii="Times New Roman" w:eastAsia="黑体" w:cs="Times New Roman"/>
          <w:spacing w:val="-1"/>
          <w:kern w:val="0"/>
          <w:sz w:val="48"/>
          <w:szCs w:val="44"/>
          <w:fitText w:val="4402" w:id="0"/>
        </w:rPr>
        <w:t>府</w:t>
      </w:r>
    </w:p>
    <w:p>
      <w:pPr>
        <w:spacing w:line="360" w:lineRule="auto"/>
        <w:jc w:val="center"/>
        <w:rPr>
          <w:rFonts w:ascii="Times New Roman" w:hAnsi="Times New Roman" w:eastAsia="黑体" w:cs="Times New Roman"/>
          <w:b/>
          <w:sz w:val="30"/>
          <w:szCs w:val="30"/>
        </w:rPr>
        <w:sectPr>
          <w:headerReference r:id="rId3" w:type="default"/>
          <w:headerReference r:id="rId4" w:type="even"/>
          <w:pgSz w:w="23814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eastAsia="黑体" w:cs="Times New Roman"/>
          <w:spacing w:val="87"/>
          <w:kern w:val="0"/>
          <w:sz w:val="48"/>
          <w:szCs w:val="44"/>
          <w:fitText w:val="4402" w:id="1"/>
        </w:rPr>
        <w:t>二〇一七年</w:t>
      </w:r>
      <w:r>
        <w:rPr>
          <w:rFonts w:hint="eastAsia" w:ascii="Times New Roman" w:eastAsia="黑体" w:cs="Times New Roman"/>
          <w:spacing w:val="87"/>
          <w:kern w:val="0"/>
          <w:sz w:val="48"/>
          <w:szCs w:val="44"/>
          <w:fitText w:val="4402" w:id="1"/>
        </w:rPr>
        <w:t>四</w:t>
      </w:r>
      <w:r>
        <w:rPr>
          <w:rFonts w:ascii="Times New Roman" w:eastAsia="黑体" w:cs="Times New Roman"/>
          <w:spacing w:val="-1"/>
          <w:kern w:val="0"/>
          <w:sz w:val="48"/>
          <w:szCs w:val="44"/>
          <w:fitText w:val="4402" w:id="1"/>
        </w:rPr>
        <w:t>月</w:t>
      </w:r>
    </w:p>
    <w:p>
      <w:pPr>
        <w:spacing w:line="360" w:lineRule="auto"/>
        <w:jc w:val="center"/>
        <w:rPr>
          <w:rFonts w:ascii="Times New Roman" w:hAnsi="Times New Roman" w:eastAsia="黑体" w:cs="Times New Roman"/>
          <w:b/>
          <w:sz w:val="30"/>
          <w:szCs w:val="30"/>
        </w:rPr>
      </w:pPr>
      <w:r>
        <w:rPr>
          <w:rFonts w:ascii="Times New Roman" w:hAnsi="Times New Roman" w:eastAsia="黑体" w:cs="Times New Roman"/>
          <w:b/>
          <w:sz w:val="30"/>
          <w:szCs w:val="30"/>
        </w:rPr>
        <w:t>目录</w:t>
      </w:r>
    </w:p>
    <w:p>
      <w:pPr>
        <w:pStyle w:val="12"/>
        <w:tabs>
          <w:tab w:val="right" w:leader="dot" w:pos="9966"/>
        </w:tabs>
        <w:rPr>
          <w:rFonts w:asciiTheme="minorHAnsi" w:hAnsiTheme="minorHAnsi" w:eastAsiaTheme="minorEastAsia"/>
          <w:sz w:val="21"/>
        </w:rPr>
      </w:pPr>
      <w:r>
        <w:rPr>
          <w:rFonts w:cs="Times New Roman"/>
          <w:kern w:val="0"/>
          <w:sz w:val="32"/>
          <w:szCs w:val="32"/>
        </w:rPr>
        <w:fldChar w:fldCharType="begin"/>
      </w:r>
      <w:r>
        <w:rPr>
          <w:rFonts w:cs="Times New Roman"/>
          <w:kern w:val="0"/>
          <w:sz w:val="32"/>
          <w:szCs w:val="32"/>
        </w:rPr>
        <w:instrText xml:space="preserve"> TOC \o "1-2" \h \z \u </w:instrText>
      </w:r>
      <w:r>
        <w:rPr>
          <w:rFonts w:cs="Times New Roman"/>
          <w:kern w:val="0"/>
          <w:sz w:val="32"/>
          <w:szCs w:val="32"/>
        </w:rPr>
        <w:fldChar w:fldCharType="separate"/>
      </w:r>
      <w:r>
        <w:fldChar w:fldCharType="begin"/>
      </w:r>
      <w:r>
        <w:instrText xml:space="preserve"> HYPERLINK \l "_Toc485889443" </w:instrText>
      </w:r>
      <w:r>
        <w:fldChar w:fldCharType="separate"/>
      </w:r>
      <w:r>
        <w:rPr>
          <w:rStyle w:val="18"/>
          <w:rFonts w:hint="eastAsia" w:cs="Times New Roman"/>
          <w:color w:val="auto"/>
          <w:kern w:val="0"/>
        </w:rPr>
        <w:t>一、基本情况</w:t>
      </w:r>
      <w:r>
        <w:tab/>
      </w:r>
      <w:r>
        <w:fldChar w:fldCharType="begin"/>
      </w:r>
      <w:r>
        <w:instrText xml:space="preserve"> PAGEREF _Toc485889443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"_Toc485889444" </w:instrText>
      </w:r>
      <w:r>
        <w:fldChar w:fldCharType="separate"/>
      </w:r>
      <w:r>
        <w:rPr>
          <w:rStyle w:val="18"/>
          <w:rFonts w:hint="eastAsia"/>
          <w:color w:val="auto"/>
        </w:rPr>
        <w:t>（一）行政区划调整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_Toc485889444 \h </w:instrText>
      </w:r>
      <w:r>
        <w:rPr>
          <w:color w:val="auto"/>
        </w:rPr>
        <w:fldChar w:fldCharType="separate"/>
      </w:r>
      <w:r>
        <w:rPr>
          <w:color w:val="auto"/>
        </w:rPr>
        <w:t>1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"_Toc485889445" </w:instrText>
      </w:r>
      <w:r>
        <w:fldChar w:fldCharType="separate"/>
      </w:r>
      <w:r>
        <w:rPr>
          <w:rStyle w:val="18"/>
          <w:rFonts w:hint="eastAsia"/>
          <w:color w:val="auto"/>
        </w:rPr>
        <w:t>（二）地理区位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_Toc485889445 \h </w:instrText>
      </w:r>
      <w:r>
        <w:rPr>
          <w:color w:val="auto"/>
        </w:rPr>
        <w:fldChar w:fldCharType="separate"/>
      </w:r>
      <w:r>
        <w:rPr>
          <w:color w:val="auto"/>
        </w:rPr>
        <w:t>1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"_Toc485889446" </w:instrText>
      </w:r>
      <w:r>
        <w:fldChar w:fldCharType="separate"/>
      </w:r>
      <w:r>
        <w:rPr>
          <w:rStyle w:val="18"/>
          <w:rFonts w:hint="eastAsia"/>
          <w:color w:val="auto"/>
        </w:rPr>
        <w:t>（四）土地利用现状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_Toc485889446 \h </w:instrText>
      </w:r>
      <w:r>
        <w:rPr>
          <w:color w:val="auto"/>
        </w:rPr>
        <w:fldChar w:fldCharType="separate"/>
      </w:r>
      <w:r>
        <w:rPr>
          <w:color w:val="auto"/>
        </w:rPr>
        <w:t>1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2"/>
        <w:tabs>
          <w:tab w:val="right" w:leader="dot" w:pos="9966"/>
        </w:tabs>
        <w:rPr>
          <w:rFonts w:asciiTheme="minorHAnsi" w:hAnsiTheme="minorHAnsi" w:eastAsiaTheme="minorEastAsia"/>
          <w:sz w:val="21"/>
        </w:rPr>
      </w:pPr>
      <w:r>
        <w:fldChar w:fldCharType="begin"/>
      </w:r>
      <w:r>
        <w:instrText xml:space="preserve"> HYPERLINK \l "_Toc485889447" </w:instrText>
      </w:r>
      <w:r>
        <w:fldChar w:fldCharType="separate"/>
      </w:r>
      <w:r>
        <w:rPr>
          <w:rStyle w:val="18"/>
          <w:rFonts w:hint="eastAsia" w:cs="Times New Roman"/>
          <w:color w:val="auto"/>
          <w:kern w:val="0"/>
        </w:rPr>
        <w:t>二、规划修改期限与范围</w:t>
      </w:r>
      <w:r>
        <w:tab/>
      </w:r>
      <w:r>
        <w:fldChar w:fldCharType="begin"/>
      </w:r>
      <w:r>
        <w:instrText xml:space="preserve"> PAGEREF _Toc485889447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966"/>
        </w:tabs>
        <w:rPr>
          <w:rFonts w:asciiTheme="minorHAnsi" w:hAnsiTheme="minorHAnsi" w:eastAsiaTheme="minorEastAsia"/>
          <w:sz w:val="21"/>
        </w:rPr>
      </w:pPr>
      <w:r>
        <w:fldChar w:fldCharType="begin"/>
      </w:r>
      <w:r>
        <w:instrText xml:space="preserve"> HYPERLINK \l "_Toc485889448" </w:instrText>
      </w:r>
      <w:r>
        <w:fldChar w:fldCharType="separate"/>
      </w:r>
      <w:r>
        <w:rPr>
          <w:rStyle w:val="18"/>
          <w:rFonts w:hint="eastAsia" w:cs="Times New Roman"/>
          <w:color w:val="auto"/>
          <w:kern w:val="0"/>
        </w:rPr>
        <w:t>三、土地利用规划目标</w:t>
      </w:r>
      <w:r>
        <w:tab/>
      </w:r>
      <w:r>
        <w:fldChar w:fldCharType="begin"/>
      </w:r>
      <w:r>
        <w:instrText xml:space="preserve"> PAGEREF _Toc485889448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2"/>
        <w:tabs>
          <w:tab w:val="right" w:leader="dot" w:pos="9966"/>
        </w:tabs>
        <w:rPr>
          <w:rFonts w:asciiTheme="minorHAnsi" w:hAnsiTheme="minorHAnsi" w:eastAsiaTheme="minorEastAsia"/>
          <w:sz w:val="21"/>
        </w:rPr>
      </w:pPr>
      <w:r>
        <w:fldChar w:fldCharType="begin"/>
      </w:r>
      <w:r>
        <w:instrText xml:space="preserve"> HYPERLINK \l "_Toc485889449" </w:instrText>
      </w:r>
      <w:r>
        <w:fldChar w:fldCharType="separate"/>
      </w:r>
      <w:r>
        <w:rPr>
          <w:rStyle w:val="18"/>
          <w:rFonts w:hint="eastAsia" w:cs="Times New Roman"/>
          <w:color w:val="auto"/>
          <w:kern w:val="0"/>
        </w:rPr>
        <w:t>四、永久基本农田划定情况</w:t>
      </w:r>
      <w:r>
        <w:tab/>
      </w:r>
      <w:r>
        <w:fldChar w:fldCharType="begin"/>
      </w:r>
      <w:r>
        <w:instrText xml:space="preserve"> PAGEREF _Toc485889449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"_Toc485889450" </w:instrText>
      </w:r>
      <w:r>
        <w:fldChar w:fldCharType="separate"/>
      </w:r>
      <w:r>
        <w:rPr>
          <w:rStyle w:val="18"/>
          <w:rFonts w:hint="eastAsia"/>
          <w:color w:val="auto"/>
        </w:rPr>
        <w:t>（一）调出情况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_Toc485889450 \h </w:instrText>
      </w:r>
      <w:r>
        <w:rPr>
          <w:color w:val="auto"/>
        </w:rPr>
        <w:fldChar w:fldCharType="separate"/>
      </w:r>
      <w:r>
        <w:rPr>
          <w:color w:val="auto"/>
        </w:rPr>
        <w:t>1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"_Toc485889451" </w:instrText>
      </w:r>
      <w:r>
        <w:fldChar w:fldCharType="separate"/>
      </w:r>
      <w:r>
        <w:rPr>
          <w:rStyle w:val="18"/>
          <w:rFonts w:hint="eastAsia"/>
          <w:color w:val="auto"/>
        </w:rPr>
        <w:t>（二）补划情况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_Toc485889451 \h </w:instrText>
      </w:r>
      <w:r>
        <w:rPr>
          <w:color w:val="auto"/>
        </w:rPr>
        <w:fldChar w:fldCharType="separate"/>
      </w:r>
      <w:r>
        <w:rPr>
          <w:color w:val="auto"/>
        </w:rPr>
        <w:t>1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2"/>
        <w:tabs>
          <w:tab w:val="right" w:leader="dot" w:pos="9966"/>
        </w:tabs>
        <w:rPr>
          <w:rFonts w:asciiTheme="minorHAnsi" w:hAnsiTheme="minorHAnsi" w:eastAsiaTheme="minorEastAsia"/>
          <w:sz w:val="21"/>
        </w:rPr>
      </w:pPr>
      <w:r>
        <w:fldChar w:fldCharType="begin"/>
      </w:r>
      <w:r>
        <w:instrText xml:space="preserve"> HYPERLINK \l "_Toc485889452" </w:instrText>
      </w:r>
      <w:r>
        <w:fldChar w:fldCharType="separate"/>
      </w:r>
      <w:r>
        <w:rPr>
          <w:rStyle w:val="18"/>
          <w:rFonts w:hint="eastAsia" w:cs="Times New Roman"/>
          <w:color w:val="auto"/>
          <w:kern w:val="0"/>
        </w:rPr>
        <w:t>五、建设用地规模与布局调整</w:t>
      </w:r>
      <w:r>
        <w:tab/>
      </w:r>
      <w:r>
        <w:fldChar w:fldCharType="begin"/>
      </w:r>
      <w:r>
        <w:instrText xml:space="preserve"> PAGEREF _Toc485889452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"_Toc485889453" </w:instrText>
      </w:r>
      <w:r>
        <w:fldChar w:fldCharType="separate"/>
      </w:r>
      <w:r>
        <w:rPr>
          <w:rStyle w:val="18"/>
          <w:rFonts w:hint="eastAsia"/>
          <w:color w:val="auto"/>
        </w:rPr>
        <w:t>（一）城镇用地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_Toc485889453 \h </w:instrText>
      </w:r>
      <w:r>
        <w:rPr>
          <w:color w:val="auto"/>
        </w:rPr>
        <w:fldChar w:fldCharType="separate"/>
      </w:r>
      <w:r>
        <w:rPr>
          <w:color w:val="auto"/>
        </w:rPr>
        <w:t>2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"_Toc485889454" </w:instrText>
      </w:r>
      <w:r>
        <w:fldChar w:fldCharType="separate"/>
      </w:r>
      <w:r>
        <w:rPr>
          <w:rStyle w:val="18"/>
          <w:rFonts w:hint="eastAsia"/>
          <w:color w:val="auto"/>
        </w:rPr>
        <w:t>（二）农村居民点用地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_Toc485889454 \h </w:instrText>
      </w:r>
      <w:r>
        <w:rPr>
          <w:color w:val="auto"/>
        </w:rPr>
        <w:fldChar w:fldCharType="separate"/>
      </w:r>
      <w:r>
        <w:rPr>
          <w:color w:val="auto"/>
        </w:rPr>
        <w:t>2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"_Toc485889455" </w:instrText>
      </w:r>
      <w:r>
        <w:fldChar w:fldCharType="separate"/>
      </w:r>
      <w:r>
        <w:rPr>
          <w:rStyle w:val="18"/>
          <w:rFonts w:hint="eastAsia"/>
          <w:color w:val="auto"/>
        </w:rPr>
        <w:t>（三）采矿及其他独立建设用地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_Toc485889455 \h </w:instrText>
      </w:r>
      <w:r>
        <w:rPr>
          <w:color w:val="auto"/>
        </w:rPr>
        <w:fldChar w:fldCharType="separate"/>
      </w:r>
      <w:r>
        <w:rPr>
          <w:color w:val="auto"/>
        </w:rPr>
        <w:t>2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"_Toc485889456" </w:instrText>
      </w:r>
      <w:r>
        <w:fldChar w:fldCharType="separate"/>
      </w:r>
      <w:r>
        <w:rPr>
          <w:rStyle w:val="18"/>
          <w:rFonts w:hint="eastAsia"/>
          <w:color w:val="auto"/>
        </w:rPr>
        <w:t>（四）交通水利用地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_Toc485889456 \h </w:instrText>
      </w:r>
      <w:r>
        <w:rPr>
          <w:color w:val="auto"/>
        </w:rPr>
        <w:fldChar w:fldCharType="separate"/>
      </w:r>
      <w:r>
        <w:rPr>
          <w:color w:val="auto"/>
        </w:rPr>
        <w:t>2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"_Toc485889457" </w:instrText>
      </w:r>
      <w:r>
        <w:fldChar w:fldCharType="separate"/>
      </w:r>
      <w:r>
        <w:rPr>
          <w:rStyle w:val="18"/>
          <w:rFonts w:hint="eastAsia"/>
          <w:color w:val="auto"/>
        </w:rPr>
        <w:t>（五）其他建设用地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_Toc485889457 \h </w:instrText>
      </w:r>
      <w:r>
        <w:rPr>
          <w:color w:val="auto"/>
        </w:rPr>
        <w:fldChar w:fldCharType="separate"/>
      </w:r>
      <w:r>
        <w:rPr>
          <w:color w:val="auto"/>
        </w:rPr>
        <w:t>3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2"/>
        <w:tabs>
          <w:tab w:val="right" w:leader="dot" w:pos="9966"/>
        </w:tabs>
        <w:rPr>
          <w:rFonts w:asciiTheme="minorHAnsi" w:hAnsiTheme="minorHAnsi" w:eastAsiaTheme="minorEastAsia"/>
          <w:sz w:val="21"/>
        </w:rPr>
      </w:pPr>
      <w:r>
        <w:fldChar w:fldCharType="begin"/>
      </w:r>
      <w:r>
        <w:instrText xml:space="preserve"> HYPERLINK \l "_Toc485889458" </w:instrText>
      </w:r>
      <w:r>
        <w:fldChar w:fldCharType="separate"/>
      </w:r>
      <w:r>
        <w:rPr>
          <w:rStyle w:val="18"/>
          <w:rFonts w:hint="eastAsia" w:cs="Times New Roman"/>
          <w:color w:val="auto"/>
          <w:kern w:val="0"/>
        </w:rPr>
        <w:t>六、土地利用分区调整情况</w:t>
      </w:r>
      <w:r>
        <w:tab/>
      </w:r>
      <w:r>
        <w:fldChar w:fldCharType="begin"/>
      </w:r>
      <w:r>
        <w:instrText xml:space="preserve"> PAGEREF _Toc485889458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"_Toc485889459" </w:instrText>
      </w:r>
      <w:r>
        <w:fldChar w:fldCharType="separate"/>
      </w:r>
      <w:r>
        <w:rPr>
          <w:rStyle w:val="18"/>
          <w:rFonts w:hint="eastAsia"/>
          <w:color w:val="auto"/>
        </w:rPr>
        <w:t>（一）土地用途分区修改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_Toc485889459 \h </w:instrText>
      </w:r>
      <w:r>
        <w:rPr>
          <w:color w:val="auto"/>
        </w:rPr>
        <w:fldChar w:fldCharType="separate"/>
      </w:r>
      <w:r>
        <w:rPr>
          <w:color w:val="auto"/>
        </w:rPr>
        <w:t>3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"_Toc485889460" </w:instrText>
      </w:r>
      <w:r>
        <w:fldChar w:fldCharType="separate"/>
      </w:r>
      <w:r>
        <w:rPr>
          <w:rStyle w:val="18"/>
          <w:rFonts w:hint="eastAsia"/>
          <w:color w:val="auto"/>
        </w:rPr>
        <w:t>（二）建设用地管制分区修改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_Toc485889460 \h </w:instrText>
      </w:r>
      <w:r>
        <w:rPr>
          <w:color w:val="auto"/>
        </w:rPr>
        <w:fldChar w:fldCharType="separate"/>
      </w:r>
      <w:r>
        <w:rPr>
          <w:color w:val="auto"/>
        </w:rPr>
        <w:t>3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2"/>
        <w:tabs>
          <w:tab w:val="right" w:leader="dot" w:pos="9966"/>
        </w:tabs>
        <w:rPr>
          <w:rFonts w:asciiTheme="minorHAnsi" w:hAnsiTheme="minorHAnsi" w:eastAsiaTheme="minorEastAsia"/>
          <w:sz w:val="21"/>
        </w:rPr>
      </w:pPr>
      <w:r>
        <w:fldChar w:fldCharType="begin"/>
      </w:r>
      <w:r>
        <w:instrText xml:space="preserve"> HYPERLINK \l "_Toc485889461" </w:instrText>
      </w:r>
      <w:r>
        <w:fldChar w:fldCharType="separate"/>
      </w:r>
      <w:r>
        <w:rPr>
          <w:rStyle w:val="18"/>
          <w:rFonts w:hint="eastAsia" w:cs="Times New Roman"/>
          <w:color w:val="auto"/>
          <w:kern w:val="0"/>
        </w:rPr>
        <w:t>附表</w:t>
      </w:r>
      <w:r>
        <w:tab/>
      </w:r>
      <w:r>
        <w:fldChar w:fldCharType="begin"/>
      </w:r>
      <w:r>
        <w:instrText xml:space="preserve"> PAGEREF _Toc485889461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"_Toc485889462" </w:instrText>
      </w:r>
      <w:r>
        <w:fldChar w:fldCharType="separate"/>
      </w:r>
      <w:r>
        <w:rPr>
          <w:rStyle w:val="18"/>
          <w:rFonts w:hint="eastAsia"/>
          <w:color w:val="auto"/>
        </w:rPr>
        <w:t>附表</w:t>
      </w:r>
      <w:r>
        <w:rPr>
          <w:rStyle w:val="18"/>
          <w:color w:val="auto"/>
        </w:rPr>
        <w:t xml:space="preserve">1  </w:t>
      </w:r>
      <w:r>
        <w:rPr>
          <w:rStyle w:val="18"/>
          <w:rFonts w:hint="eastAsia"/>
          <w:color w:val="auto"/>
        </w:rPr>
        <w:t>浦口镇土地利用现状表（</w:t>
      </w:r>
      <w:r>
        <w:rPr>
          <w:rStyle w:val="18"/>
          <w:color w:val="auto"/>
        </w:rPr>
        <w:t>2014</w:t>
      </w:r>
      <w:r>
        <w:rPr>
          <w:rStyle w:val="18"/>
          <w:rFonts w:hint="eastAsia"/>
          <w:color w:val="auto"/>
        </w:rPr>
        <w:t>年）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_Toc485889462 \h </w:instrText>
      </w:r>
      <w:r>
        <w:rPr>
          <w:color w:val="auto"/>
        </w:rPr>
        <w:fldChar w:fldCharType="separate"/>
      </w:r>
      <w:r>
        <w:rPr>
          <w:color w:val="auto"/>
        </w:rPr>
        <w:t>4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"_Toc485889463" </w:instrText>
      </w:r>
      <w:r>
        <w:fldChar w:fldCharType="separate"/>
      </w:r>
      <w:r>
        <w:rPr>
          <w:rStyle w:val="18"/>
          <w:rFonts w:hint="eastAsia"/>
          <w:color w:val="auto"/>
        </w:rPr>
        <w:t>附表</w:t>
      </w:r>
      <w:r>
        <w:rPr>
          <w:rStyle w:val="18"/>
          <w:color w:val="auto"/>
        </w:rPr>
        <w:t xml:space="preserve">2  </w:t>
      </w:r>
      <w:r>
        <w:rPr>
          <w:rStyle w:val="18"/>
          <w:rFonts w:hint="eastAsia"/>
          <w:color w:val="auto"/>
        </w:rPr>
        <w:t>浦口镇土地利用结构调整表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_Toc485889463 \h </w:instrText>
      </w:r>
      <w:r>
        <w:rPr>
          <w:color w:val="auto"/>
        </w:rPr>
        <w:fldChar w:fldCharType="separate"/>
      </w:r>
      <w:r>
        <w:rPr>
          <w:color w:val="auto"/>
        </w:rPr>
        <w:t>5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"_Toc485889464" </w:instrText>
      </w:r>
      <w:r>
        <w:fldChar w:fldCharType="separate"/>
      </w:r>
      <w:r>
        <w:rPr>
          <w:rStyle w:val="18"/>
          <w:rFonts w:hint="eastAsia"/>
          <w:color w:val="auto"/>
        </w:rPr>
        <w:t>附表</w:t>
      </w:r>
      <w:r>
        <w:rPr>
          <w:rStyle w:val="18"/>
          <w:color w:val="auto"/>
        </w:rPr>
        <w:t xml:space="preserve">3  </w:t>
      </w:r>
      <w:r>
        <w:rPr>
          <w:rStyle w:val="18"/>
          <w:rFonts w:hint="eastAsia"/>
          <w:color w:val="auto"/>
        </w:rPr>
        <w:t>浦口镇土地利用规划目标调整表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_Toc485889464 \h </w:instrText>
      </w:r>
      <w:r>
        <w:rPr>
          <w:color w:val="auto"/>
        </w:rPr>
        <w:fldChar w:fldCharType="separate"/>
      </w:r>
      <w:r>
        <w:rPr>
          <w:color w:val="auto"/>
        </w:rPr>
        <w:t>6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"_Toc485889465" </w:instrText>
      </w:r>
      <w:r>
        <w:fldChar w:fldCharType="separate"/>
      </w:r>
      <w:r>
        <w:rPr>
          <w:rStyle w:val="18"/>
          <w:rFonts w:hint="eastAsia"/>
          <w:color w:val="auto"/>
        </w:rPr>
        <w:t>附表</w:t>
      </w:r>
      <w:r>
        <w:rPr>
          <w:rStyle w:val="18"/>
          <w:color w:val="auto"/>
        </w:rPr>
        <w:t xml:space="preserve">4  </w:t>
      </w:r>
      <w:r>
        <w:rPr>
          <w:rStyle w:val="18"/>
          <w:rFonts w:hint="eastAsia"/>
          <w:color w:val="auto"/>
        </w:rPr>
        <w:t>浦口镇落实上一级土地利用规划指标情况表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_Toc485889465 \h </w:instrText>
      </w:r>
      <w:r>
        <w:rPr>
          <w:color w:val="auto"/>
        </w:rPr>
        <w:fldChar w:fldCharType="separate"/>
      </w:r>
      <w:r>
        <w:rPr>
          <w:color w:val="auto"/>
        </w:rPr>
        <w:t>6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"_Toc485889466" </w:instrText>
      </w:r>
      <w:r>
        <w:fldChar w:fldCharType="separate"/>
      </w:r>
      <w:r>
        <w:rPr>
          <w:rStyle w:val="18"/>
          <w:rFonts w:hint="eastAsia"/>
          <w:color w:val="auto"/>
        </w:rPr>
        <w:t>附表</w:t>
      </w:r>
      <w:r>
        <w:rPr>
          <w:rStyle w:val="18"/>
          <w:color w:val="auto"/>
        </w:rPr>
        <w:t xml:space="preserve">5  </w:t>
      </w:r>
      <w:r>
        <w:rPr>
          <w:rStyle w:val="18"/>
          <w:rFonts w:hint="eastAsia"/>
          <w:color w:val="auto"/>
        </w:rPr>
        <w:t>调入区域规划调整前后对比表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_Toc485889466 \h </w:instrText>
      </w:r>
      <w:r>
        <w:rPr>
          <w:color w:val="auto"/>
        </w:rPr>
        <w:fldChar w:fldCharType="separate"/>
      </w:r>
      <w:r>
        <w:rPr>
          <w:color w:val="auto"/>
        </w:rPr>
        <w:t>7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"_Toc485889467" </w:instrText>
      </w:r>
      <w:r>
        <w:fldChar w:fldCharType="separate"/>
      </w:r>
      <w:r>
        <w:rPr>
          <w:rStyle w:val="18"/>
          <w:rFonts w:hint="eastAsia"/>
          <w:color w:val="auto"/>
        </w:rPr>
        <w:t>附表</w:t>
      </w:r>
      <w:r>
        <w:rPr>
          <w:rStyle w:val="18"/>
          <w:color w:val="auto"/>
        </w:rPr>
        <w:t xml:space="preserve">6  </w:t>
      </w:r>
      <w:r>
        <w:rPr>
          <w:rStyle w:val="18"/>
          <w:rFonts w:hint="eastAsia"/>
          <w:color w:val="auto"/>
        </w:rPr>
        <w:t>调出区域规划调整前后对比表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_Toc485889467 \h </w:instrText>
      </w:r>
      <w:r>
        <w:rPr>
          <w:color w:val="auto"/>
        </w:rPr>
        <w:fldChar w:fldCharType="separate"/>
      </w:r>
      <w:r>
        <w:rPr>
          <w:color w:val="auto"/>
        </w:rPr>
        <w:t>7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"_Toc485889468" </w:instrText>
      </w:r>
      <w:r>
        <w:fldChar w:fldCharType="separate"/>
      </w:r>
      <w:r>
        <w:rPr>
          <w:rStyle w:val="18"/>
          <w:rFonts w:hint="eastAsia"/>
          <w:color w:val="auto"/>
        </w:rPr>
        <w:t>附表</w:t>
      </w:r>
      <w:r>
        <w:rPr>
          <w:rStyle w:val="18"/>
          <w:color w:val="auto"/>
        </w:rPr>
        <w:t xml:space="preserve">7  </w:t>
      </w:r>
      <w:r>
        <w:rPr>
          <w:rStyle w:val="18"/>
          <w:rFonts w:hint="eastAsia"/>
          <w:color w:val="auto"/>
        </w:rPr>
        <w:t>浦口镇耕地保有量和基本农田保护面积分解表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_Toc485889468 \h </w:instrText>
      </w:r>
      <w:r>
        <w:rPr>
          <w:color w:val="auto"/>
        </w:rPr>
        <w:fldChar w:fldCharType="separate"/>
      </w:r>
      <w:r>
        <w:rPr>
          <w:color w:val="auto"/>
        </w:rPr>
        <w:t>8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"_Toc485889469" </w:instrText>
      </w:r>
      <w:r>
        <w:fldChar w:fldCharType="separate"/>
      </w:r>
      <w:r>
        <w:rPr>
          <w:rStyle w:val="18"/>
          <w:rFonts w:hint="eastAsia"/>
          <w:color w:val="auto"/>
        </w:rPr>
        <w:t>附表</w:t>
      </w:r>
      <w:r>
        <w:rPr>
          <w:rStyle w:val="18"/>
          <w:color w:val="auto"/>
        </w:rPr>
        <w:t xml:space="preserve">8  </w:t>
      </w:r>
      <w:r>
        <w:rPr>
          <w:rStyle w:val="18"/>
          <w:rFonts w:hint="eastAsia"/>
          <w:color w:val="auto"/>
        </w:rPr>
        <w:t>浦口镇土地用途分区修改情况表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_Toc485889469 \h </w:instrText>
      </w:r>
      <w:r>
        <w:rPr>
          <w:color w:val="auto"/>
        </w:rPr>
        <w:fldChar w:fldCharType="separate"/>
      </w:r>
      <w:r>
        <w:rPr>
          <w:color w:val="auto"/>
        </w:rPr>
        <w:t>9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"_Toc485889470" </w:instrText>
      </w:r>
      <w:r>
        <w:fldChar w:fldCharType="separate"/>
      </w:r>
      <w:r>
        <w:rPr>
          <w:rStyle w:val="18"/>
          <w:rFonts w:hint="eastAsia"/>
          <w:color w:val="auto"/>
        </w:rPr>
        <w:t>附表</w:t>
      </w:r>
      <w:r>
        <w:rPr>
          <w:rStyle w:val="18"/>
          <w:color w:val="auto"/>
        </w:rPr>
        <w:t xml:space="preserve">9  </w:t>
      </w:r>
      <w:r>
        <w:rPr>
          <w:rStyle w:val="18"/>
          <w:rFonts w:hint="eastAsia"/>
          <w:color w:val="auto"/>
        </w:rPr>
        <w:t>浦口镇建设用地空间管制分区修改情况表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_Toc485889470 \h </w:instrText>
      </w:r>
      <w:r>
        <w:rPr>
          <w:color w:val="auto"/>
        </w:rPr>
        <w:fldChar w:fldCharType="separate"/>
      </w:r>
      <w:r>
        <w:rPr>
          <w:color w:val="auto"/>
        </w:rPr>
        <w:t>9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"_Toc485889471" </w:instrText>
      </w:r>
      <w:r>
        <w:fldChar w:fldCharType="separate"/>
      </w:r>
      <w:r>
        <w:rPr>
          <w:rStyle w:val="18"/>
          <w:rFonts w:hint="eastAsia"/>
          <w:color w:val="auto"/>
        </w:rPr>
        <w:t>附表</w:t>
      </w:r>
      <w:r>
        <w:rPr>
          <w:rStyle w:val="18"/>
          <w:color w:val="auto"/>
        </w:rPr>
        <w:t xml:space="preserve">10  </w:t>
      </w:r>
      <w:r>
        <w:rPr>
          <w:rStyle w:val="18"/>
          <w:rFonts w:hint="eastAsia"/>
          <w:color w:val="auto"/>
        </w:rPr>
        <w:t>浦口镇</w:t>
      </w:r>
      <w:r>
        <w:rPr>
          <w:rStyle w:val="18"/>
          <w:color w:val="auto"/>
        </w:rPr>
        <w:t>2016-2020</w:t>
      </w:r>
      <w:r>
        <w:rPr>
          <w:rStyle w:val="18"/>
          <w:rFonts w:hint="eastAsia"/>
          <w:color w:val="auto"/>
        </w:rPr>
        <w:t>年重点建设用地项目规划表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_Toc485889471 \h </w:instrText>
      </w:r>
      <w:r>
        <w:rPr>
          <w:color w:val="auto"/>
        </w:rPr>
        <w:fldChar w:fldCharType="separate"/>
      </w:r>
      <w:r>
        <w:rPr>
          <w:color w:val="auto"/>
        </w:rPr>
        <w:t>10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"_Toc485889472" </w:instrText>
      </w:r>
      <w:r>
        <w:fldChar w:fldCharType="separate"/>
      </w:r>
      <w:r>
        <w:rPr>
          <w:rStyle w:val="18"/>
          <w:rFonts w:hint="eastAsia"/>
          <w:color w:val="auto"/>
        </w:rPr>
        <w:t>附表</w:t>
      </w:r>
      <w:r>
        <w:rPr>
          <w:rStyle w:val="18"/>
          <w:color w:val="auto"/>
        </w:rPr>
        <w:t xml:space="preserve">11  </w:t>
      </w:r>
      <w:r>
        <w:rPr>
          <w:rStyle w:val="18"/>
          <w:rFonts w:hint="eastAsia"/>
          <w:color w:val="auto"/>
        </w:rPr>
        <w:t>浦口镇土地用途分区面积统计表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_Toc485889472 \h </w:instrText>
      </w:r>
      <w:r>
        <w:rPr>
          <w:color w:val="auto"/>
        </w:rPr>
        <w:fldChar w:fldCharType="separate"/>
      </w:r>
      <w:r>
        <w:rPr>
          <w:color w:val="auto"/>
        </w:rPr>
        <w:t>11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pStyle w:val="14"/>
        <w:rPr>
          <w:rFonts w:asciiTheme="minorHAnsi" w:hAnsiTheme="minorHAnsi" w:eastAsiaTheme="minorEastAsia" w:cstheme="minorBidi"/>
          <w:color w:val="auto"/>
          <w:kern w:val="2"/>
          <w:sz w:val="21"/>
          <w:szCs w:val="22"/>
        </w:rPr>
      </w:pPr>
      <w:r>
        <w:fldChar w:fldCharType="begin"/>
      </w:r>
      <w:r>
        <w:instrText xml:space="preserve"> HYPERLINK \l "_Toc485889473" </w:instrText>
      </w:r>
      <w:r>
        <w:fldChar w:fldCharType="separate"/>
      </w:r>
      <w:r>
        <w:rPr>
          <w:rStyle w:val="18"/>
          <w:rFonts w:hint="eastAsia"/>
          <w:color w:val="auto"/>
        </w:rPr>
        <w:t>附表</w:t>
      </w:r>
      <w:r>
        <w:rPr>
          <w:rStyle w:val="18"/>
          <w:color w:val="auto"/>
        </w:rPr>
        <w:t xml:space="preserve">12  </w:t>
      </w:r>
      <w:r>
        <w:rPr>
          <w:rStyle w:val="18"/>
          <w:rFonts w:hint="eastAsia"/>
          <w:color w:val="auto"/>
        </w:rPr>
        <w:t>浦口镇</w:t>
      </w:r>
      <w:r>
        <w:rPr>
          <w:rStyle w:val="18"/>
          <w:color w:val="auto"/>
        </w:rPr>
        <w:t>2006-2020</w:t>
      </w:r>
      <w:r>
        <w:rPr>
          <w:rStyle w:val="18"/>
          <w:rFonts w:hint="eastAsia"/>
          <w:color w:val="auto"/>
        </w:rPr>
        <w:t>年地类结构平衡表</w:t>
      </w:r>
      <w:r>
        <w:rPr>
          <w:color w:val="auto"/>
        </w:rPr>
        <w:tab/>
      </w:r>
      <w:r>
        <w:rPr>
          <w:color w:val="auto"/>
        </w:rPr>
        <w:fldChar w:fldCharType="begin"/>
      </w:r>
      <w:r>
        <w:rPr>
          <w:color w:val="auto"/>
        </w:rPr>
        <w:instrText xml:space="preserve"> PAGEREF _Toc485889473 \h </w:instrText>
      </w:r>
      <w:r>
        <w:rPr>
          <w:color w:val="auto"/>
        </w:rPr>
        <w:fldChar w:fldCharType="separate"/>
      </w:r>
      <w:r>
        <w:rPr>
          <w:color w:val="auto"/>
        </w:rPr>
        <w:t>12</w:t>
      </w:r>
      <w:r>
        <w:rPr>
          <w:color w:val="auto"/>
        </w:rPr>
        <w:fldChar w:fldCharType="end"/>
      </w:r>
      <w:r>
        <w:rPr>
          <w:color w:val="auto"/>
        </w:rPr>
        <w:fldChar w:fldCharType="end"/>
      </w:r>
    </w:p>
    <w:p>
      <w:pPr>
        <w:widowControl/>
        <w:spacing w:line="360" w:lineRule="auto"/>
        <w:jc w:val="left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fldChar w:fldCharType="end"/>
      </w:r>
    </w:p>
    <w:bookmarkEnd w:id="0"/>
    <w:bookmarkEnd w:id="1"/>
    <w:bookmarkEnd w:id="2"/>
    <w:p>
      <w:pPr>
        <w:spacing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  <w:sectPr>
          <w:footerReference r:id="rId5" w:type="default"/>
          <w:pgSz w:w="23814" w:h="16839"/>
          <w:pgMar w:top="1440" w:right="1440" w:bottom="1440" w:left="1701" w:header="851" w:footer="992" w:gutter="0"/>
          <w:pgNumType w:fmt="upperRoman" w:start="1"/>
          <w:cols w:space="720" w:num="2"/>
          <w:docGrid w:type="lines" w:linePitch="312" w:charSpace="0"/>
        </w:sectPr>
      </w:pPr>
      <w:bookmarkStart w:id="63" w:name="_GoBack"/>
      <w:bookmarkEnd w:id="63"/>
      <w:bookmarkStart w:id="3" w:name="_Toc469235313"/>
    </w:p>
    <w:p>
      <w:pPr>
        <w:spacing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4" w:name="_Toc485889443"/>
      <w:r>
        <w:rPr>
          <w:rFonts w:ascii="Times New Roman" w:hAnsi="Times New Roman" w:eastAsia="黑体" w:cs="Times New Roman"/>
          <w:kern w:val="0"/>
          <w:sz w:val="32"/>
          <w:szCs w:val="32"/>
        </w:rPr>
        <w:t>一、基本情况</w:t>
      </w:r>
      <w:bookmarkEnd w:id="3"/>
      <w:bookmarkEnd w:id="4"/>
    </w:p>
    <w:p>
      <w:pPr>
        <w:spacing w:line="360" w:lineRule="auto"/>
        <w:jc w:val="left"/>
        <w:outlineLvl w:val="1"/>
        <w:rPr>
          <w:rFonts w:ascii="Times New Roman" w:hAnsi="Times New Roman" w:eastAsia="仿宋_GB2312" w:cs="Times New Roman"/>
          <w:b/>
          <w:kern w:val="0"/>
          <w:sz w:val="28"/>
          <w:szCs w:val="28"/>
        </w:rPr>
      </w:pPr>
      <w:bookmarkStart w:id="5" w:name="_Toc485889444"/>
      <w:r>
        <w:rPr>
          <w:rFonts w:ascii="Times New Roman" w:hAnsi="Times New Roman" w:eastAsia="黑体" w:cs="Times New Roman"/>
          <w:sz w:val="30"/>
          <w:szCs w:val="30"/>
        </w:rPr>
        <w:t>（一）行政区划调整</w:t>
      </w:r>
      <w:bookmarkEnd w:id="5"/>
    </w:p>
    <w:p>
      <w:pPr>
        <w:widowControl/>
        <w:spacing w:line="360" w:lineRule="auto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根据湖南省民政厅《关于同意醴陵市乡镇区划调整方案的批复》（湘民行发〔2015〕85号）以及醴陵市人民政府《关于同意浦口镇建制村合并调整的批复》（醴政函〔2016〕52号）,浦口镇行政区域做出如下调整：将原王坊镇的石山村、泮川村、联盟村、王坊村、荷花垅村5个村和王坊居委会、联盟居委会2个社区居委会并入浦口镇，并将浦口镇的行政区域合并调整为12个村、4个居委会，镇人民政府驻天符。</w:t>
      </w: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6" w:name="_Toc485889445"/>
      <w:r>
        <w:rPr>
          <w:rFonts w:ascii="Times New Roman" w:hAnsi="Times New Roman" w:eastAsia="黑体" w:cs="Times New Roman"/>
          <w:sz w:val="30"/>
          <w:szCs w:val="30"/>
        </w:rPr>
        <w:t>（二）地理区位</w:t>
      </w:r>
      <w:bookmarkEnd w:id="6"/>
    </w:p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浦口镇位于醴陵市东北部，原有小溪于此地汇入澄潭江，故称浦口。距市区23公里，106国道、冷金公路纵横穿越其中。</w:t>
      </w:r>
    </w:p>
    <w:p>
      <w:pPr>
        <w:widowControl/>
        <w:spacing w:line="360" w:lineRule="auto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sz w:val="30"/>
          <w:szCs w:val="30"/>
        </w:rPr>
        <w:t>（三）经济发展</w:t>
      </w:r>
    </w:p>
    <w:p>
      <w:pPr>
        <w:widowControl/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浦口镇是醴陵工业重镇，1990年、1995年两次获中国乡镇之星殊荣。该镇工业结构合理、门类齐全，形成了“电瓷电器、烟花鞭炮、建筑建材、日用炻瓷、彩印包装、机械制造”六大支柱产业，现有企业201家，其中规模以上26家，产值过亿元的2家。农业基础好，形成了早熟黄瓜、优质水稻、蔬菜育苗、葡萄等四大种植基地和生猪养殖基地。</w:t>
      </w: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7" w:name="_Toc485889446"/>
      <w:bookmarkStart w:id="8" w:name="_Toc469235315"/>
      <w:r>
        <w:rPr>
          <w:rFonts w:ascii="Times New Roman" w:hAnsi="Times New Roman" w:eastAsia="黑体" w:cs="Times New Roman"/>
          <w:sz w:val="30"/>
          <w:szCs w:val="30"/>
        </w:rPr>
        <w:t>（四）土地利用现状</w:t>
      </w:r>
      <w:bookmarkEnd w:id="7"/>
      <w:bookmarkEnd w:id="8"/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2014年，浦口镇土地总面积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D:\\醴陵调整完善\\表格(净2013)\\乡镇表格\\13浦口镇\\乡镇规划附表.xlsx 结构表!R4C6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7846.25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公顷，其中农用地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D:\\醴陵调整完善\\表格(净2013)\\乡镇表格\\13浦口镇\\乡镇规划附表.xlsx 结构表!R10C6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6263.72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公顷，占土地总面积的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D:\\醴陵调整完善\\表格(净2013)\\乡镇表格\\13浦口镇\\乡镇规划附表.xlsx 结构表!R10C7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79.83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%；建设用地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D:\\醴陵调整完善\\表格(净2013)\\乡镇表格\\13浦口镇\\乡镇规划附表.xlsx 结构表!R18C6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1428.17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公顷，占土地总面积的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D:\\醴陵调整完善\\表格(净2013)\\乡镇表格\\13浦口镇\\乡镇规划附表.xlsx 结构表!R18C7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18.20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%；其他土地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D:\\醴陵调整完善\\表格(净2013)\\乡镇表格\\13浦口镇\\乡镇规划附表.xlsx 结构表!R21C6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154.36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公顷，占土地总面积的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D:\\醴陵调整完善\\表格(净2013)\\乡镇表格\\13浦口镇\\乡镇规划附表.xlsx 结构表!R21C7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1.97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%。（详见附表1）</w:t>
      </w:r>
    </w:p>
    <w:p>
      <w:pPr>
        <w:spacing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9" w:name="_Toc485889447"/>
      <w:bookmarkStart w:id="10" w:name="_Toc469235316"/>
      <w:bookmarkStart w:id="11" w:name="_Toc468872186"/>
      <w:r>
        <w:rPr>
          <w:rFonts w:ascii="Times New Roman" w:hAnsi="Times New Roman" w:eastAsia="黑体" w:cs="Times New Roman"/>
          <w:kern w:val="0"/>
          <w:sz w:val="32"/>
          <w:szCs w:val="32"/>
        </w:rPr>
        <w:t>二、规划修改期限与范围</w:t>
      </w:r>
      <w:bookmarkEnd w:id="9"/>
      <w:bookmarkEnd w:id="10"/>
      <w:bookmarkEnd w:id="11"/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本次规划修改以2005年为基期年，2014年为规划修改年，2020年为目标年。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规划范围为浦口镇区域内的所有土地，土地总面积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D:\\醴陵调整完善\\表格(净2013)\\乡镇表格\\13浦口镇\\乡镇规划附表.xlsx 结构表!R4C8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7846.25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公顷。</w:t>
      </w:r>
    </w:p>
    <w:p>
      <w:pPr>
        <w:spacing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12" w:name="_Toc469235317"/>
      <w:bookmarkStart w:id="13" w:name="_Toc485889448"/>
      <w:bookmarkStart w:id="14" w:name="_Toc233731124"/>
      <w:bookmarkStart w:id="15" w:name="_Toc233731296"/>
      <w:bookmarkStart w:id="16" w:name="_Toc233771272"/>
      <w:r>
        <w:rPr>
          <w:rFonts w:ascii="Times New Roman" w:hAnsi="Times New Roman" w:eastAsia="黑体" w:cs="Times New Roman"/>
          <w:kern w:val="0"/>
          <w:sz w:val="32"/>
          <w:szCs w:val="32"/>
        </w:rPr>
        <w:t>三、土地利用规划目标</w:t>
      </w:r>
      <w:bookmarkEnd w:id="12"/>
      <w:bookmarkEnd w:id="13"/>
    </w:p>
    <w:bookmarkEnd w:id="14"/>
    <w:bookmarkEnd w:id="15"/>
    <w:bookmarkEnd w:id="16"/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规划修改后，到2020年，全镇耕地保有量不低于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D:\\醴陵调整完善\\表格(净2013)\\乡镇表格\\13浦口镇\\乡镇规划附表.xlsx 目标!R4C4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1970.00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公顷；基本农田保护面积不低于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D:\\醴陵调整完善\\表格(净2013)\\乡镇表格\\13浦口镇\\乡镇规划附表.xlsx 目标!R5C4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1690.72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公顷；全镇通过土地开发整理复垦补充耕地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D:\\醴陵调整完善\\表格(净2013)\\乡镇表格\\13浦口镇\\乡镇规划附表.xlsx 目标!R12C4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66.50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公顷。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规划修改后，到2020年，全镇建设用地总规模控制在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D:\\醴陵调整完善\\表格(净2013)\\乡镇表格\\13浦口镇\\乡镇规划附表.xlsx 目标!R6C4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1342.55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公顷以内，城乡建设用地规模控制在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D:\\醴陵调整完善\\表格(净2013)\\乡镇表格\\13浦口镇\\乡镇规划附表.xlsx 目标!R7C4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1268.41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公顷以内；城镇工矿用地规模控制在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D:\\醴陵调整完善\\表格(净2013)\\乡镇表格\\13浦口镇\\乡镇规划附表.xlsx 目标!R8C4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433.55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公顷以内；2006-2020年，新增建设用地规模控制在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D:\\醴陵调整完善\\表格(净2013)\\乡镇表格\\13浦口镇\\乡镇规划附表.xlsx 目标!R9C4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178.24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公顷以内，新增建设占用农用地规模控制在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D:\\醴陵调整完善\\表格(净2013)\\乡镇表格\\13浦口镇\\乡镇规划附表.xlsx 目标!R10C4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165.75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公顷以内，新增建设占用耕地规模控制在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D:\\醴陵调整完善\\表格(净2013)\\乡镇表格\\13浦口镇\\乡镇规划附表.xlsx 目标!R11C4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74.30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公顷以内。修改前后各项规划目标及变化情况见附表3。</w:t>
      </w:r>
    </w:p>
    <w:p>
      <w:pPr>
        <w:spacing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17" w:name="_Toc469235327"/>
      <w:bookmarkStart w:id="18" w:name="_Toc485889449"/>
      <w:bookmarkStart w:id="19" w:name="_Toc469235320"/>
      <w:bookmarkStart w:id="20" w:name="_Toc229458166"/>
      <w:bookmarkStart w:id="21" w:name="_Toc204342104"/>
      <w:bookmarkStart w:id="22" w:name="_Toc145225166"/>
      <w:r>
        <w:rPr>
          <w:rFonts w:ascii="Times New Roman" w:hAnsi="Times New Roman" w:eastAsia="黑体" w:cs="Times New Roman"/>
          <w:kern w:val="0"/>
          <w:sz w:val="32"/>
          <w:szCs w:val="32"/>
        </w:rPr>
        <w:t>四、</w:t>
      </w:r>
      <w:bookmarkEnd w:id="17"/>
      <w:r>
        <w:rPr>
          <w:rFonts w:ascii="Times New Roman" w:hAnsi="Times New Roman" w:eastAsia="黑体" w:cs="Times New Roman"/>
          <w:kern w:val="0"/>
          <w:sz w:val="32"/>
          <w:szCs w:val="32"/>
        </w:rPr>
        <w:t>永久基本农田划定情况</w:t>
      </w:r>
      <w:bookmarkEnd w:id="18"/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23" w:name="_Toc485889450"/>
      <w:r>
        <w:rPr>
          <w:rFonts w:ascii="Times New Roman" w:hAnsi="Times New Roman" w:eastAsia="黑体" w:cs="Times New Roman"/>
          <w:sz w:val="30"/>
          <w:szCs w:val="30"/>
        </w:rPr>
        <w:t>（一）调出情况</w:t>
      </w:r>
      <w:bookmarkEnd w:id="23"/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本次规划修改共计减少基本农田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D:\\醴陵调整完善\\表格(净2013)\\乡镇表格\\13浦口镇\\乡镇规划附表.xlsx 耕基!R12C7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113.38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公顷，其中因建设占用调出基本农田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D:\\醴陵调整完善\\表格(净2013)\\乡镇表格\\13浦口镇\\乡镇规划附表.xlsx 耕基!R12C5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8.94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公顷，位于李洲村、浦口村；同时调出质量较差基本农田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D:\\醴陵调整完善\\表格(净2013)\\乡镇表格\\13浦口镇\\乡镇规划附表.xlsx 耕基!R12C6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104.44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公顷，全镇各村均有涉及。</w:t>
      </w: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24" w:name="_Toc485889451"/>
      <w:r>
        <w:rPr>
          <w:rFonts w:ascii="Times New Roman" w:hAnsi="Times New Roman" w:eastAsia="黑体" w:cs="Times New Roman"/>
          <w:sz w:val="30"/>
          <w:szCs w:val="30"/>
        </w:rPr>
        <w:t>（二）补划情况</w:t>
      </w:r>
      <w:bookmarkEnd w:id="24"/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本次规划修改共计补划基本农田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D:\\醴陵调整完善\\表格(净2013)\\乡镇表格\\13浦口镇\\乡镇规划附表.xlsx 耕基!R12C4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32.07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公顷，其中因规划新增建设用地调出补划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D:\\醴陵调整完善\\表格(净2013)\\乡镇表格\\13浦口镇\\乡镇规划附表.xlsx 耕基!R12C2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20.36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公顷，调入优质耕地增加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D:\\醴陵调整完善\\表格(净2013)\\乡镇表格\\13浦口镇\\乡镇规划附表.xlsx 耕基!R12C3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11.71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公顷，主要分布在花椒村、荷花垅村等。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kern w:val="0"/>
          <w:sz w:val="28"/>
          <w:szCs w:val="28"/>
        </w:rPr>
      </w:pPr>
      <w:r>
        <w:rPr>
          <w:rFonts w:ascii="Times New Roman" w:hAnsi="Times New Roman" w:eastAsia="仿宋_GB2312" w:cs="Times New Roman"/>
          <w:kern w:val="0"/>
          <w:sz w:val="28"/>
          <w:szCs w:val="28"/>
        </w:rPr>
        <w:t>划定后，浦口镇永久基本农田面积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D:\\醴陵调整完善\\表格(净2013)\\乡镇表格\\13浦口镇\\乡镇规划附表.xlsx 耕基!R12C9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 xml:space="preserve">1690.73 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公顷（较规划修改前减少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instrText xml:space="preserve"> D:\\醴陵调整完善\\表格(净2013)\\乡镇表格\\13浦口镇\\乡镇规划附表.xlsx 耕基!R12C8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</w:rPr>
        <w:t>81.23</w:t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28"/>
          <w:szCs w:val="28"/>
        </w:rPr>
        <w:t>公顷），落实了基本农田保护任务，全镇各村均有布局。</w:t>
      </w:r>
    </w:p>
    <w:p>
      <w:pPr>
        <w:widowControl/>
        <w:jc w:val="left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br w:type="page"/>
      </w:r>
    </w:p>
    <w:p>
      <w:pPr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表1 浦口镇基本农田布局调整情况表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21"/>
        <w:tblW w:w="10192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2"/>
        <w:gridCol w:w="1356"/>
        <w:gridCol w:w="1017"/>
        <w:gridCol w:w="1017"/>
        <w:gridCol w:w="848"/>
        <w:gridCol w:w="1537"/>
        <w:gridCol w:w="950"/>
        <w:gridCol w:w="1070"/>
        <w:gridCol w:w="1245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2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修改前</w:t>
            </w:r>
          </w:p>
        </w:tc>
        <w:tc>
          <w:tcPr>
            <w:tcW w:w="3390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增加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3335" w:type="dxa"/>
            <w:gridSpan w:val="3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减少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07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①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245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修改后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3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建设用地调出补划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优质耕地调入</w:t>
            </w:r>
          </w:p>
        </w:tc>
        <w:tc>
          <w:tcPr>
            <w:tcW w:w="10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848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建设占用</w:t>
            </w:r>
          </w:p>
        </w:tc>
        <w:tc>
          <w:tcPr>
            <w:tcW w:w="153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不合格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基本农田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调出</w:t>
            </w:r>
          </w:p>
        </w:tc>
        <w:tc>
          <w:tcPr>
            <w:tcW w:w="95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07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24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5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1772.04 </w:t>
            </w:r>
          </w:p>
        </w:tc>
        <w:tc>
          <w:tcPr>
            <w:tcW w:w="1356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20.</w:t>
            </w:r>
            <w:r>
              <w:rPr>
                <w:rFonts w:hint="eastAsia" w:ascii="Times New Roman" w:hAnsi="Times New Roman" w:cs="Times New Roman"/>
                <w:szCs w:val="21"/>
              </w:rPr>
              <w:t>36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11.71 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32.07</w:t>
            </w:r>
          </w:p>
        </w:tc>
        <w:tc>
          <w:tcPr>
            <w:tcW w:w="84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8.94 </w:t>
            </w:r>
          </w:p>
        </w:tc>
        <w:tc>
          <w:tcPr>
            <w:tcW w:w="1537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104.44</w:t>
            </w: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113.38</w:t>
            </w:r>
          </w:p>
        </w:tc>
        <w:tc>
          <w:tcPr>
            <w:tcW w:w="1070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81.23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1690.73</w:t>
            </w:r>
          </w:p>
        </w:tc>
      </w:tr>
    </w:tbl>
    <w:p>
      <w:pPr>
        <w:spacing w:before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25" w:name="_Toc485889452"/>
      <w:r>
        <w:rPr>
          <w:rFonts w:ascii="Times New Roman" w:hAnsi="Times New Roman" w:eastAsia="黑体" w:cs="Times New Roman"/>
          <w:kern w:val="0"/>
          <w:sz w:val="32"/>
          <w:szCs w:val="32"/>
        </w:rPr>
        <w:t>五、建设用地规模与布局调整</w:t>
      </w:r>
      <w:bookmarkEnd w:id="19"/>
      <w:bookmarkEnd w:id="25"/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26" w:name="_Toc485889453"/>
      <w:bookmarkStart w:id="27" w:name="_Toc469235321"/>
      <w:r>
        <w:rPr>
          <w:rFonts w:ascii="Times New Roman" w:hAnsi="Times New Roman" w:eastAsia="黑体" w:cs="Times New Roman"/>
          <w:sz w:val="30"/>
          <w:szCs w:val="30"/>
        </w:rPr>
        <w:t>（一）城镇用地</w:t>
      </w:r>
      <w:bookmarkEnd w:id="26"/>
      <w:bookmarkEnd w:id="27"/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b/>
          <w:sz w:val="28"/>
          <w:szCs w:val="24"/>
        </w:rPr>
      </w:pPr>
      <w:r>
        <w:rPr>
          <w:rFonts w:ascii="Times New Roman" w:hAnsi="Times New Roman" w:eastAsia="仿宋_GB2312" w:cs="Times New Roman"/>
          <w:b/>
          <w:sz w:val="28"/>
          <w:szCs w:val="24"/>
        </w:rPr>
        <w:t>增加：</w:t>
      </w:r>
      <w:r>
        <w:rPr>
          <w:rFonts w:ascii="Times New Roman" w:hAnsi="Times New Roman" w:eastAsia="仿宋_GB2312" w:cs="Times New Roman"/>
          <w:sz w:val="28"/>
          <w:szCs w:val="24"/>
        </w:rPr>
        <w:t>本次规划修改共增加城镇用地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D:\\醴陵调整完善\\表格(净2013)\\乡镇表格\\13浦口镇\\乡镇规划附表.xlsx 城!R5C4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1.22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公顷，用于浦口镇集体企业建设，主要分布在贯古居委会，天符居委会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4"/>
        </w:rPr>
        <w:t>减少：</w:t>
      </w:r>
      <w:r>
        <w:rPr>
          <w:rFonts w:ascii="Times New Roman" w:hAnsi="Times New Roman" w:eastAsia="仿宋_GB2312" w:cs="Times New Roman"/>
          <w:sz w:val="28"/>
          <w:szCs w:val="28"/>
        </w:rPr>
        <w:t>因切块调出减少城镇用地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D:\\醴陵调整完善\\表格(净2013)\\乡镇表格\\13浦口镇\\乡镇规划附表.xlsx 城!R5C9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7.44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公顷，分布于浦口村，现状大部分为优质耕地。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修改后，城镇用地规模由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D:\\醴陵调整完善\\表格(净2013)\\乡镇表格\\13浦口镇\\乡镇规划附表.xlsx 城!R5C1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311.90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公顷调整为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D:\\醴陵调整完善\\表格(净2013)\\乡镇表格\\13浦口镇\\乡镇规划附表.xlsx 城!R5C11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305.68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公顷，净减少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D:\\醴陵调整完善\\表格(净2013)\\乡镇表格\\13浦口镇\\乡镇规划附表.xlsx 城!R5C10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6.22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公顷。</w:t>
      </w:r>
    </w:p>
    <w:p>
      <w:pPr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表2浦口镇城镇用地布局调整情况表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21"/>
        <w:tblW w:w="10192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shd w:val="clear" w:color="000000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7"/>
        <w:gridCol w:w="1981"/>
        <w:gridCol w:w="1912"/>
        <w:gridCol w:w="1912"/>
        <w:gridCol w:w="1910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shd w:val="clear" w:color="000000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477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2020年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（修改前）</w:t>
            </w:r>
          </w:p>
        </w:tc>
        <w:tc>
          <w:tcPr>
            <w:tcW w:w="1981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调入增加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1912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调出减少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912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①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</w:t>
            </w:r>
            <w:r>
              <w:rPr>
                <w:rFonts w:ascii="Times New Roman" w:hAnsi="宋体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910" w:type="dxa"/>
            <w:shd w:val="clear" w:color="000000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2020年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（修改后）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77" w:type="dxa"/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311.90 </w:t>
            </w:r>
          </w:p>
        </w:tc>
        <w:tc>
          <w:tcPr>
            <w:tcW w:w="1981" w:type="dxa"/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1.22 </w:t>
            </w:r>
          </w:p>
        </w:tc>
        <w:tc>
          <w:tcPr>
            <w:tcW w:w="1912" w:type="dxa"/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7.44 </w:t>
            </w:r>
          </w:p>
        </w:tc>
        <w:tc>
          <w:tcPr>
            <w:tcW w:w="1912" w:type="dxa"/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-6.22 </w:t>
            </w:r>
          </w:p>
        </w:tc>
        <w:tc>
          <w:tcPr>
            <w:tcW w:w="1910" w:type="dxa"/>
            <w:shd w:val="clear" w:color="000000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305.68 </w:t>
            </w:r>
          </w:p>
        </w:tc>
      </w:tr>
    </w:tbl>
    <w:p>
      <w:pPr>
        <w:spacing w:beforeLines="50"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28" w:name="_Toc485889454"/>
      <w:bookmarkStart w:id="29" w:name="_Toc469235322"/>
      <w:r>
        <w:rPr>
          <w:rFonts w:ascii="Times New Roman" w:hAnsi="Times New Roman" w:eastAsia="黑体" w:cs="Times New Roman"/>
          <w:sz w:val="30"/>
          <w:szCs w:val="30"/>
        </w:rPr>
        <w:t>（二）农村居民点用地</w:t>
      </w:r>
      <w:bookmarkEnd w:id="28"/>
      <w:bookmarkEnd w:id="29"/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4"/>
        </w:rPr>
        <w:t>本次规划修改，按照</w:t>
      </w:r>
      <w:r>
        <w:rPr>
          <w:rFonts w:ascii="Times New Roman" w:hAnsi="Times New Roman" w:eastAsia="仿宋_GB2312" w:cs="Times New Roman"/>
          <w:sz w:val="28"/>
          <w:szCs w:val="28"/>
        </w:rPr>
        <w:t>“农民集中居住、农业集中经营、农田集中耕作”的理念，结合易地扶贫搬迁安置工程及新农村建设，对浦口镇农村居民点用地布局进行调整。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增加</w:t>
      </w:r>
      <w:r>
        <w:rPr>
          <w:rFonts w:ascii="Times New Roman" w:hAnsi="Times New Roman" w:eastAsia="仿宋_GB2312" w:cs="Times New Roman"/>
          <w:sz w:val="28"/>
          <w:szCs w:val="28"/>
        </w:rPr>
        <w:t>：规划修改共增加农村居民点用地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D:\\醴陵调整完善\\表格(净2013)\\乡镇表格\\13浦口镇\\乡镇规划附表.xlsx 农!R5C4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27.00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公顷，全部为调入增加，主要分布在花椒村、浦口村等。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减少</w:t>
      </w:r>
      <w:r>
        <w:rPr>
          <w:rFonts w:ascii="Times New Roman" w:hAnsi="Times New Roman" w:eastAsia="仿宋_GB2312" w:cs="Times New Roman"/>
          <w:sz w:val="28"/>
          <w:szCs w:val="28"/>
        </w:rPr>
        <w:t>：规划修改因共减少农村居民点用地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D:\\醴陵调整完善\\表格(净2013)\\乡镇表格\\13浦口镇\\乡镇规划附表.xlsx 农!R5C9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34.27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公顷，其中调出减少22.44公顷，主要分布在花椒村、荷花垅村等；因建设用地内部转换减少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D:\\醴陵调整完善\\表格(净2013)\\乡镇表格\\13浦口镇\\乡镇规划附表.xlsx 农!R5C6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10.28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因土地复垦/农村居民点整理减少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LINK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D:\\醴陵调整完善\\表格(净2013)\\乡镇表格\\13浦口镇\\乡镇规划附表.xlsx 农!R5C8 \a \t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1.54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hint="eastAsia" w:ascii="Times New Roman" w:hAnsi="Times New Roman" w:eastAsia="仿宋_GB2312" w:cs="Times New Roman"/>
          <w:sz w:val="28"/>
          <w:szCs w:val="28"/>
        </w:rPr>
        <w:t>公顷，</w:t>
      </w:r>
      <w:r>
        <w:rPr>
          <w:rFonts w:ascii="Times New Roman" w:hAnsi="Times New Roman" w:eastAsia="仿宋_GB2312" w:cs="Times New Roman"/>
          <w:sz w:val="28"/>
          <w:szCs w:val="28"/>
        </w:rPr>
        <w:t>主要用于企业建设，主要分布在荷花垅村。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4"/>
        </w:rPr>
      </w:pPr>
      <w:r>
        <w:rPr>
          <w:rFonts w:ascii="Times New Roman" w:hAnsi="Times New Roman" w:eastAsia="仿宋_GB2312" w:cs="Times New Roman"/>
          <w:sz w:val="28"/>
          <w:szCs w:val="24"/>
        </w:rPr>
        <w:t>修改后，农村居民点用地规模由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D:\\醴陵调整完善\\表格(净2013)\\乡镇表格\\13浦口镇\\乡镇规划附表.xlsx 农!R5C1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842.12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公顷调整为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D:\\醴陵调整完善\\表格(净2013)\\乡镇表格\\13浦口镇\\乡镇规划附表.xlsx 农!R5C11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834.85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公顷，净减少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4"/>
        </w:rPr>
        <w:instrText xml:space="preserve"> D:\\醴陵调整完善\\表格(净2013)\\乡镇表格\\13浦口镇\\乡镇规划附表.xlsx 农!R5C10 </w:instrText>
      </w:r>
      <w:r>
        <w:rPr>
          <w:rFonts w:ascii="Times New Roman" w:hAnsi="Times New Roman" w:eastAsia="仿宋_GB2312" w:cs="Times New Roman"/>
          <w:sz w:val="28"/>
          <w:szCs w:val="24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4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4"/>
        </w:rPr>
        <w:t xml:space="preserve">7.27 </w:t>
      </w:r>
      <w:r>
        <w:rPr>
          <w:rFonts w:ascii="Times New Roman" w:hAnsi="Times New Roman" w:eastAsia="仿宋_GB2312" w:cs="Times New Roman"/>
          <w:sz w:val="28"/>
          <w:szCs w:val="24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4"/>
        </w:rPr>
        <w:t>公顷。</w:t>
      </w: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表3浦口镇农村居民点用地布局调整情况表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21"/>
        <w:tblW w:w="101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722"/>
        <w:gridCol w:w="720"/>
        <w:gridCol w:w="720"/>
        <w:gridCol w:w="1064"/>
        <w:gridCol w:w="1551"/>
        <w:gridCol w:w="1017"/>
        <w:gridCol w:w="1015"/>
        <w:gridCol w:w="125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25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年（修改前）</w:t>
            </w:r>
          </w:p>
        </w:tc>
        <w:tc>
          <w:tcPr>
            <w:tcW w:w="1442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增加①</w:t>
            </w:r>
          </w:p>
        </w:tc>
        <w:tc>
          <w:tcPr>
            <w:tcW w:w="4352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减少②</w:t>
            </w:r>
          </w:p>
        </w:tc>
        <w:tc>
          <w:tcPr>
            <w:tcW w:w="1015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净变化①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②</w:t>
            </w:r>
          </w:p>
        </w:tc>
        <w:tc>
          <w:tcPr>
            <w:tcW w:w="1258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25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调入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调出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占用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土地复垦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/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农村居民点整理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小计</w:t>
            </w:r>
          </w:p>
        </w:tc>
        <w:tc>
          <w:tcPr>
            <w:tcW w:w="1015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58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2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842.12 </w:t>
            </w:r>
          </w:p>
        </w:tc>
        <w:tc>
          <w:tcPr>
            <w:tcW w:w="72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27.00 </w:t>
            </w:r>
          </w:p>
        </w:tc>
        <w:tc>
          <w:tcPr>
            <w:tcW w:w="72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27.00 </w:t>
            </w:r>
          </w:p>
        </w:tc>
        <w:tc>
          <w:tcPr>
            <w:tcW w:w="72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22.44 </w:t>
            </w:r>
          </w:p>
        </w:tc>
        <w:tc>
          <w:tcPr>
            <w:tcW w:w="106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10.28 </w:t>
            </w:r>
          </w:p>
        </w:tc>
        <w:tc>
          <w:tcPr>
            <w:tcW w:w="155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1.54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34.27 </w:t>
            </w:r>
          </w:p>
        </w:tc>
        <w:tc>
          <w:tcPr>
            <w:tcW w:w="1015" w:type="dxa"/>
            <w:tcBorders>
              <w:top w:val="nil"/>
              <w:left w:val="single" w:color="auto" w:sz="4" w:space="0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-7.27</w:t>
            </w:r>
          </w:p>
        </w:tc>
        <w:tc>
          <w:tcPr>
            <w:tcW w:w="1258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834.85 </w:t>
            </w:r>
          </w:p>
        </w:tc>
      </w:tr>
    </w:tbl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spacing w:beforeLines="50"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30" w:name="_Toc485889455"/>
      <w:bookmarkStart w:id="31" w:name="_Toc469235323"/>
      <w:r>
        <w:rPr>
          <w:rFonts w:ascii="Times New Roman" w:hAnsi="Times New Roman" w:eastAsia="黑体" w:cs="Times New Roman"/>
          <w:sz w:val="30"/>
          <w:szCs w:val="30"/>
        </w:rPr>
        <w:t>（三）采矿及其他独立建设用地</w:t>
      </w:r>
      <w:bookmarkEnd w:id="30"/>
      <w:bookmarkEnd w:id="31"/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增加</w:t>
      </w:r>
      <w:r>
        <w:rPr>
          <w:rFonts w:ascii="Times New Roman" w:hAnsi="Times New Roman" w:eastAsia="仿宋_GB2312" w:cs="Times New Roman"/>
          <w:sz w:val="28"/>
          <w:szCs w:val="28"/>
        </w:rPr>
        <w:t>：规划修改因调入增加采矿及其他独立建设用地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D:\\醴陵调整完善\\表格(净2013)\\乡镇表格\\13浦口镇\\乡镇规划附表.xlsx 采独!R5C2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28.75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公顷，用于乡镇集体企业建设，主要分布在三铺村、花椒村。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减少</w:t>
      </w:r>
      <w:r>
        <w:rPr>
          <w:rFonts w:ascii="Times New Roman" w:hAnsi="Times New Roman" w:eastAsia="仿宋_GB2312" w:cs="Times New Roman"/>
          <w:sz w:val="28"/>
          <w:szCs w:val="28"/>
        </w:rPr>
        <w:t>：规划修改因共减少采矿及其他独立建设用地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D:\\醴陵调整完善\\表格(净2013)\\乡镇表格\\13浦口镇\\乡镇规划附表.xlsx 采独!R5C9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36.05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公顷，其中因调出减少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D:\\醴陵调整完善\\表格(净2013)\\乡镇表格\\13浦口镇\\乡镇规划附表.xlsx 采独!R5C5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20.66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公顷，建设用地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占用</w:t>
      </w:r>
      <w:r>
        <w:rPr>
          <w:rFonts w:ascii="Times New Roman" w:hAnsi="Times New Roman" w:eastAsia="仿宋_GB2312" w:cs="Times New Roman"/>
          <w:sz w:val="28"/>
          <w:szCs w:val="28"/>
        </w:rPr>
        <w:t>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D:\\醴陵调整完善\\表格(净2013)\\乡镇表格\\13浦口镇\\乡镇规划附表.xlsx 采独!R5C6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1.06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土地复垦/农村居民点整理减少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LINK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D:\\醴陵调整完善\\表格(净2013)\\乡镇表格\\13浦口镇\\乡镇规划附表.xlsx 采独!R5C8 \a \t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14.34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hint="eastAsia" w:ascii="Times New Roman" w:hAnsi="Times New Roman" w:eastAsia="仿宋_GB2312" w:cs="Times New Roman"/>
          <w:sz w:val="28"/>
          <w:szCs w:val="28"/>
        </w:rPr>
        <w:t>公顷，</w:t>
      </w:r>
      <w:r>
        <w:rPr>
          <w:rFonts w:ascii="Times New Roman" w:hAnsi="Times New Roman" w:eastAsia="仿宋_GB2312" w:cs="Times New Roman"/>
          <w:sz w:val="28"/>
          <w:szCs w:val="28"/>
        </w:rPr>
        <w:t>主要位于荷花垅村、泮川村。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修改后，采矿及其他独立建设用地规模由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D:\\醴陵调整完善\\表格(净2013)\\乡镇表格\\13浦口镇\\乡镇规划附表.xlsx 采独!R5C1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135.17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公顷调整为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D:\\醴陵调整完善\\表格(净2013)\\乡镇表格\\13浦口镇\\乡镇规划附表.xlsx 采独!R5C11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127.87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公顷，净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D:\\醴陵调整完善\\表格(净2013)\\乡镇表格\\13浦口镇\\乡镇规划附表.xlsx 采独!R5C10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7.30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公顷。</w:t>
      </w: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表4浦口镇采矿及其他独立建设用地布局调整情况表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21"/>
        <w:tblW w:w="101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722"/>
        <w:gridCol w:w="720"/>
        <w:gridCol w:w="720"/>
        <w:gridCol w:w="1064"/>
        <w:gridCol w:w="1551"/>
        <w:gridCol w:w="1017"/>
        <w:gridCol w:w="1015"/>
        <w:gridCol w:w="125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25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年（修改前）</w:t>
            </w:r>
          </w:p>
        </w:tc>
        <w:tc>
          <w:tcPr>
            <w:tcW w:w="1442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增加①</w:t>
            </w:r>
          </w:p>
        </w:tc>
        <w:tc>
          <w:tcPr>
            <w:tcW w:w="4352" w:type="dxa"/>
            <w:gridSpan w:val="4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减少②</w:t>
            </w:r>
          </w:p>
        </w:tc>
        <w:tc>
          <w:tcPr>
            <w:tcW w:w="1015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净变化①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②</w:t>
            </w:r>
          </w:p>
        </w:tc>
        <w:tc>
          <w:tcPr>
            <w:tcW w:w="1258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25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调入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调出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占用</w:t>
            </w:r>
          </w:p>
        </w:tc>
        <w:tc>
          <w:tcPr>
            <w:tcW w:w="1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土地复垦</w:t>
            </w:r>
            <w:r>
              <w:rPr>
                <w:rFonts w:ascii="Times New Roman" w:hAnsi="Times New Roman" w:cs="Times New Roman"/>
                <w:color w:val="000000"/>
                <w:szCs w:val="21"/>
              </w:rPr>
              <w:t>/</w:t>
            </w:r>
            <w:r>
              <w:rPr>
                <w:rFonts w:hint="eastAsia" w:ascii="仿宋_GB2312" w:hAnsi="Times New Roman" w:eastAsia="仿宋_GB2312" w:cs="Times New Roman"/>
                <w:color w:val="000000"/>
                <w:szCs w:val="21"/>
              </w:rPr>
              <w:t>农村居民点整理</w:t>
            </w:r>
          </w:p>
        </w:tc>
        <w:tc>
          <w:tcPr>
            <w:tcW w:w="10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小计</w:t>
            </w:r>
          </w:p>
        </w:tc>
        <w:tc>
          <w:tcPr>
            <w:tcW w:w="1015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1258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12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135.17 </w:t>
            </w:r>
          </w:p>
        </w:tc>
        <w:tc>
          <w:tcPr>
            <w:tcW w:w="72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28.75 </w:t>
            </w:r>
          </w:p>
        </w:tc>
        <w:tc>
          <w:tcPr>
            <w:tcW w:w="72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28.75 </w:t>
            </w:r>
          </w:p>
        </w:tc>
        <w:tc>
          <w:tcPr>
            <w:tcW w:w="72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20.66 </w:t>
            </w:r>
          </w:p>
        </w:tc>
        <w:tc>
          <w:tcPr>
            <w:tcW w:w="106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1.06 </w:t>
            </w:r>
          </w:p>
        </w:tc>
        <w:tc>
          <w:tcPr>
            <w:tcW w:w="155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14.34 </w:t>
            </w:r>
          </w:p>
        </w:tc>
        <w:tc>
          <w:tcPr>
            <w:tcW w:w="1017" w:type="dxa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36.05 </w:t>
            </w:r>
          </w:p>
        </w:tc>
        <w:tc>
          <w:tcPr>
            <w:tcW w:w="1015" w:type="dxa"/>
            <w:tcBorders>
              <w:top w:val="nil"/>
              <w:left w:val="single" w:color="auto" w:sz="4" w:space="0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-7.30 </w:t>
            </w:r>
          </w:p>
        </w:tc>
        <w:tc>
          <w:tcPr>
            <w:tcW w:w="1258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127.87 </w:t>
            </w:r>
          </w:p>
        </w:tc>
      </w:tr>
    </w:tbl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32" w:name="_Toc469235324"/>
      <w:bookmarkStart w:id="33" w:name="_Toc485889456"/>
      <w:r>
        <w:rPr>
          <w:rFonts w:ascii="Times New Roman" w:hAnsi="Times New Roman" w:eastAsia="黑体" w:cs="Times New Roman"/>
          <w:sz w:val="30"/>
          <w:szCs w:val="30"/>
        </w:rPr>
        <w:t>（四）交通水利用</w:t>
      </w:r>
      <w:bookmarkEnd w:id="32"/>
      <w:r>
        <w:rPr>
          <w:rFonts w:ascii="Times New Roman" w:hAnsi="Times New Roman" w:eastAsia="黑体" w:cs="Times New Roman"/>
          <w:sz w:val="30"/>
          <w:szCs w:val="30"/>
        </w:rPr>
        <w:t>地</w:t>
      </w:r>
      <w:bookmarkEnd w:id="33"/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bookmarkStart w:id="34" w:name="_Toc469235325"/>
      <w:r>
        <w:rPr>
          <w:rFonts w:ascii="Times New Roman" w:hAnsi="Times New Roman" w:eastAsia="仿宋_GB2312" w:cs="Times New Roman"/>
          <w:b/>
          <w:sz w:val="28"/>
          <w:szCs w:val="28"/>
        </w:rPr>
        <w:t>增加</w:t>
      </w:r>
      <w:r>
        <w:rPr>
          <w:rFonts w:ascii="Times New Roman" w:hAnsi="Times New Roman" w:eastAsia="仿宋_GB2312" w:cs="Times New Roman"/>
          <w:sz w:val="28"/>
          <w:szCs w:val="28"/>
        </w:rPr>
        <w:t>：规划修改因调入增加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交通</w:t>
      </w:r>
      <w:r>
        <w:rPr>
          <w:rFonts w:ascii="Times New Roman" w:hAnsi="Times New Roman" w:eastAsia="仿宋_GB2312" w:cs="Times New Roman"/>
          <w:sz w:val="28"/>
          <w:szCs w:val="28"/>
        </w:rPr>
        <w:t>用地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D:\\醴陵调整完善\\表格(净2013)\\乡镇表格\\13浦口镇\\乡镇规划附表.xlsx 交!R5C4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3.29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公顷，用于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清水江至茶陵公路浦口段</w:t>
      </w:r>
      <w:r>
        <w:rPr>
          <w:rFonts w:ascii="Times New Roman" w:hAnsi="Times New Roman" w:eastAsia="仿宋_GB2312" w:cs="Times New Roman"/>
          <w:sz w:val="28"/>
          <w:szCs w:val="28"/>
        </w:rPr>
        <w:t>建设。</w:t>
      </w:r>
    </w:p>
    <w:p>
      <w:pPr>
        <w:spacing w:line="360" w:lineRule="auto"/>
        <w:ind w:firstLine="562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减少</w:t>
      </w:r>
      <w:r>
        <w:rPr>
          <w:rFonts w:ascii="Times New Roman" w:hAnsi="Times New Roman" w:eastAsia="仿宋_GB2312" w:cs="Times New Roman"/>
          <w:sz w:val="28"/>
          <w:szCs w:val="28"/>
        </w:rPr>
        <w:t>：规划修改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无交通水利用地调出</w:t>
      </w:r>
      <w:r>
        <w:rPr>
          <w:rFonts w:ascii="Times New Roman" w:hAnsi="Times New Roman" w:eastAsia="仿宋_GB2312" w:cs="Times New Roman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修改后，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交通水利</w:t>
      </w:r>
      <w:r>
        <w:rPr>
          <w:rFonts w:ascii="Times New Roman" w:hAnsi="Times New Roman" w:eastAsia="仿宋_GB2312" w:cs="Times New Roman"/>
          <w:sz w:val="28"/>
          <w:szCs w:val="28"/>
        </w:rPr>
        <w:t>用地规模由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D:\\醴陵调整完善\\表格(净2013)\\乡镇表格\\13浦口镇\\乡镇规划附表.xlsx 交!R5C1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34.14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公顷调整为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D:\\醴陵调整完善\\表格(净2013)\\乡镇表格\\13浦口镇\\乡镇规划附表.xlsx 交!R5C11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37.43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公顷，净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增加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D:\\醴陵调整完善\\表格(净2013)\\乡镇表格\\13浦口镇\\乡镇规划附表.xlsx 交!R5C10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3.29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公顷。</w:t>
      </w: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</w:t>
      </w:r>
      <w:r>
        <w:rPr>
          <w:rFonts w:hint="eastAsia" w:ascii="Times New Roman" w:hAnsi="Times New Roman" w:eastAsia="黑体" w:cs="Times New Roman"/>
          <w:sz w:val="24"/>
          <w:szCs w:val="24"/>
        </w:rPr>
        <w:t>5</w:t>
      </w:r>
      <w:r>
        <w:rPr>
          <w:rFonts w:ascii="Times New Roman" w:hAnsi="Times New Roman" w:eastAsia="黑体" w:cs="Times New Roman"/>
          <w:sz w:val="24"/>
          <w:szCs w:val="24"/>
        </w:rPr>
        <w:t>浦口镇</w:t>
      </w:r>
      <w:r>
        <w:rPr>
          <w:rFonts w:hint="eastAsia" w:ascii="Times New Roman" w:hAnsi="Times New Roman" w:eastAsia="黑体" w:cs="Times New Roman"/>
          <w:sz w:val="24"/>
          <w:szCs w:val="24"/>
        </w:rPr>
        <w:t>交通水利</w:t>
      </w:r>
      <w:r>
        <w:rPr>
          <w:rFonts w:ascii="Times New Roman" w:hAnsi="Times New Roman" w:eastAsia="黑体" w:cs="Times New Roman"/>
          <w:sz w:val="24"/>
          <w:szCs w:val="24"/>
        </w:rPr>
        <w:t>用地布局调整情况表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21"/>
        <w:tblW w:w="101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850"/>
        <w:gridCol w:w="852"/>
        <w:gridCol w:w="850"/>
        <w:gridCol w:w="1276"/>
        <w:gridCol w:w="850"/>
        <w:gridCol w:w="1845"/>
        <w:gridCol w:w="18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8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年（修改前）</w:t>
            </w:r>
          </w:p>
        </w:tc>
        <w:tc>
          <w:tcPr>
            <w:tcW w:w="1702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增加①</w:t>
            </w:r>
          </w:p>
        </w:tc>
        <w:tc>
          <w:tcPr>
            <w:tcW w:w="2976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减少②</w:t>
            </w:r>
          </w:p>
        </w:tc>
        <w:tc>
          <w:tcPr>
            <w:tcW w:w="1845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净变化①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-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②</w:t>
            </w:r>
          </w:p>
        </w:tc>
        <w:tc>
          <w:tcPr>
            <w:tcW w:w="1861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2020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年（修改后）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</w:trPr>
        <w:tc>
          <w:tcPr>
            <w:tcW w:w="1808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调入</w:t>
            </w:r>
          </w:p>
        </w:tc>
        <w:tc>
          <w:tcPr>
            <w:tcW w:w="8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调出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建设占用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845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  <w:tc>
          <w:tcPr>
            <w:tcW w:w="1861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80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34.14 </w:t>
            </w:r>
          </w:p>
        </w:tc>
        <w:tc>
          <w:tcPr>
            <w:tcW w:w="85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3.29 </w:t>
            </w:r>
          </w:p>
        </w:tc>
        <w:tc>
          <w:tcPr>
            <w:tcW w:w="85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3.29 </w:t>
            </w:r>
          </w:p>
        </w:tc>
        <w:tc>
          <w:tcPr>
            <w:tcW w:w="85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27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 xml:space="preserve">0.00 </w:t>
            </w:r>
          </w:p>
        </w:tc>
        <w:tc>
          <w:tcPr>
            <w:tcW w:w="184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3.29 </w:t>
            </w:r>
          </w:p>
        </w:tc>
        <w:tc>
          <w:tcPr>
            <w:tcW w:w="1861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37.43 </w:t>
            </w:r>
          </w:p>
        </w:tc>
      </w:tr>
    </w:tbl>
    <w:p>
      <w:pPr>
        <w:spacing w:beforeLines="50"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35" w:name="_Toc485889457"/>
      <w:r>
        <w:rPr>
          <w:rFonts w:ascii="Times New Roman" w:hAnsi="Times New Roman" w:eastAsia="黑体" w:cs="Times New Roman"/>
          <w:sz w:val="30"/>
          <w:szCs w:val="30"/>
        </w:rPr>
        <w:t>（五）其他建设用地</w:t>
      </w:r>
      <w:bookmarkEnd w:id="34"/>
      <w:bookmarkEnd w:id="35"/>
    </w:p>
    <w:p>
      <w:pPr>
        <w:spacing w:line="600" w:lineRule="exact"/>
        <w:ind w:firstLine="562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增加：</w:t>
      </w:r>
      <w:r>
        <w:rPr>
          <w:rFonts w:ascii="Times New Roman" w:hAnsi="Times New Roman" w:eastAsia="仿宋_GB2312" w:cs="Times New Roman"/>
          <w:sz w:val="28"/>
          <w:szCs w:val="32"/>
        </w:rPr>
        <w:t>本次规划修改其他建设用地无调入增加。</w:t>
      </w:r>
    </w:p>
    <w:p>
      <w:pPr>
        <w:spacing w:line="600" w:lineRule="exact"/>
        <w:ind w:firstLine="562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减少：</w:t>
      </w:r>
      <w:r>
        <w:rPr>
          <w:rFonts w:ascii="Times New Roman" w:hAnsi="Times New Roman" w:eastAsia="仿宋_GB2312" w:cs="Times New Roman"/>
          <w:sz w:val="28"/>
          <w:szCs w:val="32"/>
        </w:rPr>
        <w:t>规划修改因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建设占用</w:t>
      </w:r>
      <w:r>
        <w:rPr>
          <w:rFonts w:ascii="Times New Roman" w:hAnsi="Times New Roman" w:eastAsia="仿宋_GB2312" w:cs="Times New Roman"/>
          <w:sz w:val="28"/>
          <w:szCs w:val="32"/>
        </w:rPr>
        <w:t>调出减少其他建设用地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D:\\醴陵调整完善\\表格(净2013)\\乡镇表格\\13浦口镇\\乡镇规划附表.xlsx 其!R5C6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1.26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公顷，用于浦口镇城镇建设。</w:t>
      </w:r>
    </w:p>
    <w:p>
      <w:pPr>
        <w:spacing w:line="360" w:lineRule="auto"/>
        <w:ind w:firstLine="560" w:firstLineChars="200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修改后，其他建设用地规模由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D:\\醴陵调整完善\\表格(净2013)\\乡镇表格\\13浦口镇\\乡镇规划附表.xlsx 其!R5C1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37.98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公顷调整为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D:\\醴陵调整完善\\表格(净2013)\\乡镇表格\\13浦口镇\\乡镇规划附表.xlsx 其!R5C11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36.72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公顷，净减少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28"/>
        </w:rPr>
        <w:instrText xml:space="preserve"> D:\\醴陵调整完善\\表格(净2013)\\乡镇表格\\13浦口镇\\乡镇规划附表.xlsx 其!R5C10 </w:instrText>
      </w:r>
      <w:r>
        <w:rPr>
          <w:rFonts w:ascii="Times New Roman" w:hAnsi="Times New Roman" w:eastAsia="仿宋_GB2312" w:cs="Times New Roman"/>
          <w:sz w:val="28"/>
          <w:szCs w:val="28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28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1.26 </w:t>
      </w:r>
      <w:r>
        <w:rPr>
          <w:rFonts w:ascii="Times New Roman" w:hAnsi="Times New Roman" w:eastAsia="仿宋_GB2312" w:cs="Times New Roman"/>
          <w:sz w:val="28"/>
          <w:szCs w:val="28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28"/>
        </w:rPr>
        <w:t>公顷。</w:t>
      </w:r>
    </w:p>
    <w:p>
      <w:pPr>
        <w:spacing w:line="360" w:lineRule="auto"/>
        <w:ind w:firstLine="480" w:firstLineChars="200"/>
        <w:jc w:val="center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表</w:t>
      </w:r>
      <w:r>
        <w:rPr>
          <w:rFonts w:hint="eastAsia" w:ascii="Times New Roman" w:hAnsi="Times New Roman" w:eastAsia="黑体" w:cs="Times New Roman"/>
          <w:sz w:val="24"/>
          <w:szCs w:val="24"/>
        </w:rPr>
        <w:t>6</w:t>
      </w:r>
      <w:r>
        <w:rPr>
          <w:rFonts w:ascii="Times New Roman" w:hAnsi="Times New Roman" w:eastAsia="黑体" w:cs="Times New Roman"/>
          <w:sz w:val="24"/>
          <w:szCs w:val="24"/>
        </w:rPr>
        <w:t>浦口镇其他建设用地布局调整情况表</w:t>
      </w:r>
    </w:p>
    <w:p>
      <w:pPr>
        <w:snapToGrid w:val="0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</w:t>
      </w:r>
    </w:p>
    <w:tbl>
      <w:tblPr>
        <w:tblStyle w:val="21"/>
        <w:tblW w:w="1019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962"/>
        <w:gridCol w:w="1123"/>
        <w:gridCol w:w="962"/>
        <w:gridCol w:w="803"/>
        <w:gridCol w:w="1284"/>
        <w:gridCol w:w="964"/>
        <w:gridCol w:w="1123"/>
        <w:gridCol w:w="140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569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（修改前）</w:t>
            </w:r>
          </w:p>
        </w:tc>
        <w:tc>
          <w:tcPr>
            <w:tcW w:w="3047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增加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3051" w:type="dxa"/>
            <w:gridSpan w:val="3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减少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123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净变化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-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1402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（修改后）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69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调入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调出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还原</w:t>
            </w:r>
          </w:p>
        </w:tc>
        <w:tc>
          <w:tcPr>
            <w:tcW w:w="9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调出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建设用地内部转换</w:t>
            </w:r>
          </w:p>
        </w:tc>
        <w:tc>
          <w:tcPr>
            <w:tcW w:w="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123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02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56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37.98 </w:t>
            </w:r>
          </w:p>
        </w:tc>
        <w:tc>
          <w:tcPr>
            <w:tcW w:w="96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12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96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80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28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1.26</w:t>
            </w:r>
          </w:p>
        </w:tc>
        <w:tc>
          <w:tcPr>
            <w:tcW w:w="96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1.26</w:t>
            </w:r>
          </w:p>
        </w:tc>
        <w:tc>
          <w:tcPr>
            <w:tcW w:w="112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-1.26 </w:t>
            </w:r>
          </w:p>
        </w:tc>
        <w:tc>
          <w:tcPr>
            <w:tcW w:w="1402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36.72</w:t>
            </w:r>
          </w:p>
        </w:tc>
      </w:tr>
    </w:tbl>
    <w:p>
      <w:pPr>
        <w:spacing w:before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bookmarkStart w:id="36" w:name="_Toc469235329"/>
      <w:bookmarkStart w:id="37" w:name="_Toc485889458"/>
      <w:r>
        <w:rPr>
          <w:rFonts w:ascii="Times New Roman" w:hAnsi="Times New Roman" w:eastAsia="黑体" w:cs="Times New Roman"/>
          <w:kern w:val="0"/>
          <w:sz w:val="32"/>
          <w:szCs w:val="32"/>
        </w:rPr>
        <w:t>六、</w:t>
      </w:r>
      <w:bookmarkEnd w:id="36"/>
      <w:r>
        <w:rPr>
          <w:rFonts w:ascii="Times New Roman" w:hAnsi="Times New Roman" w:eastAsia="黑体" w:cs="Times New Roman"/>
          <w:kern w:val="0"/>
          <w:sz w:val="32"/>
          <w:szCs w:val="32"/>
        </w:rPr>
        <w:t>土地利用分区调整情况</w:t>
      </w:r>
      <w:bookmarkEnd w:id="37"/>
      <w:bookmarkStart w:id="38" w:name="_Toc469235330"/>
    </w:p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39" w:name="_Toc485889459"/>
      <w:r>
        <w:rPr>
          <w:rFonts w:ascii="Times New Roman" w:hAnsi="Times New Roman" w:eastAsia="黑体" w:cs="Times New Roman"/>
          <w:sz w:val="30"/>
          <w:szCs w:val="30"/>
        </w:rPr>
        <w:t>（一）土地用途分区修改</w:t>
      </w:r>
      <w:bookmarkEnd w:id="38"/>
      <w:bookmarkEnd w:id="39"/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修改后，将浦口镇土地划分为七个用途区，包括：基本农田保护区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D:\\醴陵调整完善\\表格(净2013)\\乡镇表格\\13浦口镇\\乡镇规划附表.xlsx 用途区!R3C3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1858.24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公顷、一般农地区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460.00</w:t>
      </w:r>
      <w:r>
        <w:rPr>
          <w:rFonts w:ascii="Times New Roman" w:hAnsi="Times New Roman" w:eastAsia="仿宋_GB2312" w:cs="Times New Roman"/>
          <w:sz w:val="28"/>
          <w:szCs w:val="32"/>
        </w:rPr>
        <w:t>公顷、城镇建设用地区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D:\\醴陵调整完善\\表格(净2013)\\乡镇表格\\13浦口镇\\乡镇规划附表.xlsx 用途区!R5C3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337.57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公顷、村镇建设用地区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D:\\醴陵调整完善\\表格(净2013)\\乡镇表格\\13浦口镇\\乡镇规划附表.xlsx 用途区!R6C3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851.02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公顷、独立工矿区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D:\\醴陵调整完善\\表格(净2013)\\乡镇表格\\13浦口镇\\乡镇规划附表.xlsx 用途区!R7C3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109.33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公顷、风景旅游用地区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D:\\醴陵调整完善\\表格(净2013)\\乡镇表格\\13浦口镇\\乡镇规划附表.xlsx 用途区!R8C3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2.65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公顷和林业用地区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D:\\醴陵调整完善\\表格(净2013)\\乡镇表格\\13浦口镇\\乡镇规划附表.xlsx 用途区!R10C3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3833.44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公顷。</w:t>
      </w:r>
    </w:p>
    <w:bookmarkEnd w:id="20"/>
    <w:bookmarkEnd w:id="21"/>
    <w:bookmarkEnd w:id="22"/>
    <w:p>
      <w:pPr>
        <w:spacing w:line="360" w:lineRule="auto"/>
        <w:jc w:val="left"/>
        <w:outlineLvl w:val="1"/>
        <w:rPr>
          <w:rFonts w:ascii="Times New Roman" w:hAnsi="Times New Roman" w:eastAsia="黑体" w:cs="Times New Roman"/>
          <w:sz w:val="30"/>
          <w:szCs w:val="30"/>
        </w:rPr>
      </w:pPr>
      <w:bookmarkStart w:id="40" w:name="_Toc485889460"/>
      <w:bookmarkStart w:id="41" w:name="_Toc469235331"/>
      <w:r>
        <w:rPr>
          <w:rFonts w:ascii="Times New Roman" w:hAnsi="Times New Roman" w:eastAsia="黑体" w:cs="Times New Roman"/>
          <w:sz w:val="30"/>
          <w:szCs w:val="30"/>
        </w:rPr>
        <w:t>（二）建设用地管制分区修改</w:t>
      </w:r>
      <w:bookmarkEnd w:id="40"/>
      <w:bookmarkEnd w:id="41"/>
    </w:p>
    <w:p>
      <w:pPr>
        <w:ind w:firstLine="560" w:firstLineChars="200"/>
        <w:rPr>
          <w:rFonts w:ascii="Times New Roman" w:hAnsi="Times New Roman" w:eastAsia="仿宋_GB2312" w:cs="Times New Roman"/>
          <w:sz w:val="28"/>
          <w:szCs w:val="32"/>
        </w:rPr>
      </w:pPr>
      <w:r>
        <w:rPr>
          <w:rFonts w:ascii="Times New Roman" w:hAnsi="Times New Roman" w:eastAsia="仿宋_GB2312" w:cs="Times New Roman"/>
          <w:sz w:val="28"/>
          <w:szCs w:val="32"/>
        </w:rPr>
        <w:t>为加强对城乡建设用地的空间管制，本次规划修改，根据土地管理需要，因地制宜地将规划范围内的土地划分为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三</w:t>
      </w:r>
      <w:r>
        <w:rPr>
          <w:rFonts w:ascii="Times New Roman" w:hAnsi="Times New Roman" w:eastAsia="仿宋_GB2312" w:cs="Times New Roman"/>
          <w:sz w:val="28"/>
          <w:szCs w:val="32"/>
        </w:rPr>
        <w:t>两个区，分别为允许建设区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D:\\醴陵调整完善\\表格(净2013)\\乡镇表格\\13浦口镇\\乡镇规划附表.xlsx 管制区!R3C3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1268.41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、有条件建设区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LINK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D:\\醴陵调整完善\\表格(净2013)\\乡镇表格\\13浦口镇\\乡镇规划附表.xlsx 管制区!R4C3 \a \t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7.23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hint="eastAsia" w:ascii="Times New Roman" w:hAnsi="Times New Roman" w:eastAsia="仿宋_GB2312" w:cs="Times New Roman"/>
          <w:sz w:val="28"/>
          <w:szCs w:val="32"/>
        </w:rPr>
        <w:t>公顷</w:t>
      </w:r>
      <w:r>
        <w:rPr>
          <w:rFonts w:ascii="Times New Roman" w:hAnsi="Times New Roman" w:eastAsia="仿宋_GB2312" w:cs="Times New Roman"/>
          <w:sz w:val="28"/>
          <w:szCs w:val="32"/>
        </w:rPr>
        <w:t>和限制建设区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D:\\醴陵调整完善\\表格(净2013)\\乡镇表格\\13浦口镇\\乡镇规划附表.xlsx 管制区!R5C3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6570.61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公顷。其中：允许建设区较修改前减少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D:\\醴陵调整完善\\表格(净2013)\\乡镇表格\\13浦口镇\\乡镇规划附表.xlsx 管制区!R3C4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20.78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公顷，</w:t>
      </w:r>
      <w:r>
        <w:rPr>
          <w:rFonts w:hint="eastAsia" w:ascii="Times New Roman" w:hAnsi="Times New Roman" w:eastAsia="仿宋_GB2312" w:cs="Times New Roman"/>
          <w:sz w:val="28"/>
          <w:szCs w:val="32"/>
        </w:rPr>
        <w:t>有条件建设区较修改前增加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LINK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D:\\醴陵调整完善\\表格(净2013)\\乡镇表格\\13浦口镇\\乡镇规划附表.xlsx 管制区!R4C3 \a \t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7.23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hint="eastAsia" w:ascii="Times New Roman" w:hAnsi="Times New Roman" w:eastAsia="仿宋_GB2312" w:cs="Times New Roman"/>
          <w:sz w:val="28"/>
          <w:szCs w:val="32"/>
        </w:rPr>
        <w:t>公顷，</w:t>
      </w:r>
      <w:r>
        <w:rPr>
          <w:rFonts w:ascii="Times New Roman" w:hAnsi="Times New Roman" w:eastAsia="仿宋_GB2312" w:cs="Times New Roman"/>
          <w:sz w:val="28"/>
          <w:szCs w:val="32"/>
        </w:rPr>
        <w:t>限制建设区较修改前增加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begin"/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 LINK Excel.Sheet.8</w:instrText>
      </w:r>
      <w:r>
        <w:rPr>
          <w:rFonts w:hint="eastAsia" w:ascii="Times New Roman" w:hAnsi="Times New Roman" w:eastAsia="仿宋_GB2312" w:cs="Times New Roman"/>
          <w:sz w:val="28"/>
          <w:szCs w:val="32"/>
        </w:rPr>
        <w:instrText xml:space="preserve"> D:\\醴陵调整完善\\表格(净2013)\\乡镇表格\\13浦口镇\\乡镇规划附表.xlsx 管制区!R5C4 </w:instrText>
      </w:r>
      <w:r>
        <w:rPr>
          <w:rFonts w:ascii="Times New Roman" w:hAnsi="Times New Roman" w:eastAsia="仿宋_GB2312" w:cs="Times New Roman"/>
          <w:sz w:val="28"/>
          <w:szCs w:val="32"/>
        </w:rPr>
        <w:instrText xml:space="preserve">\a \t  \* MERGEFORMAT </w:instrText>
      </w:r>
      <w:r>
        <w:rPr>
          <w:rFonts w:ascii="Times New Roman" w:hAnsi="Times New Roman" w:eastAsia="仿宋_GB2312" w:cs="Times New Roman"/>
          <w:sz w:val="28"/>
          <w:szCs w:val="32"/>
        </w:rPr>
        <w:fldChar w:fldCharType="separate"/>
      </w:r>
      <w:r>
        <w:rPr>
          <w:rFonts w:hint="eastAsia" w:ascii="Times New Roman" w:hAnsi="Times New Roman" w:eastAsia="仿宋_GB2312" w:cs="Times New Roman"/>
          <w:sz w:val="28"/>
          <w:szCs w:val="32"/>
        </w:rPr>
        <w:t xml:space="preserve">13.55 </w:t>
      </w:r>
      <w:r>
        <w:rPr>
          <w:rFonts w:ascii="Times New Roman" w:hAnsi="Times New Roman" w:eastAsia="仿宋_GB2312" w:cs="Times New Roman"/>
          <w:sz w:val="28"/>
          <w:szCs w:val="32"/>
        </w:rPr>
        <w:fldChar w:fldCharType="end"/>
      </w:r>
      <w:r>
        <w:rPr>
          <w:rFonts w:ascii="Times New Roman" w:hAnsi="Times New Roman" w:eastAsia="仿宋_GB2312" w:cs="Times New Roman"/>
          <w:sz w:val="28"/>
          <w:szCs w:val="32"/>
        </w:rPr>
        <w:t>公顷。</w:t>
      </w:r>
    </w:p>
    <w:p>
      <w:pPr>
        <w:spacing w:beforeLines="50" w:after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  <w:sectPr>
          <w:footerReference r:id="rId6" w:type="default"/>
          <w:pgSz w:w="23814" w:h="16839"/>
          <w:pgMar w:top="1440" w:right="1440" w:bottom="1440" w:left="1701" w:header="851" w:footer="992" w:gutter="0"/>
          <w:pgNumType w:start="1"/>
          <w:cols w:space="720" w:num="2"/>
          <w:docGrid w:type="lines" w:linePitch="312" w:charSpace="0"/>
        </w:sectPr>
      </w:pPr>
      <w:bookmarkStart w:id="42" w:name="_Toc485889461"/>
      <w:bookmarkStart w:id="43" w:name="_Toc469235332"/>
    </w:p>
    <w:p>
      <w:pPr>
        <w:spacing w:beforeLines="50" w:afterLines="50" w:line="360" w:lineRule="auto"/>
        <w:jc w:val="left"/>
        <w:outlineLvl w:val="0"/>
        <w:rPr>
          <w:rFonts w:ascii="Times New Roman" w:hAnsi="Times New Roman" w:eastAsia="黑体" w:cs="Times New Roman"/>
          <w:kern w:val="0"/>
          <w:sz w:val="32"/>
          <w:szCs w:val="32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附表</w:t>
      </w:r>
      <w:bookmarkEnd w:id="42"/>
      <w:bookmarkEnd w:id="43"/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44" w:name="_Toc485889462"/>
      <w:r>
        <w:rPr>
          <w:rFonts w:ascii="Times New Roman" w:hAnsi="Times New Roman" w:eastAsia="黑体" w:cs="Times New Roman"/>
          <w:sz w:val="24"/>
          <w:szCs w:val="24"/>
        </w:rPr>
        <w:t>附表1  浦口镇土地利用现状表（2014年）</w:t>
      </w:r>
      <w:bookmarkEnd w:id="44"/>
    </w:p>
    <w:p>
      <w:pPr>
        <w:widowControl/>
        <w:spacing w:line="240" w:lineRule="exact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单位：公顷、%</w:t>
      </w:r>
    </w:p>
    <w:tbl>
      <w:tblPr>
        <w:tblStyle w:val="21"/>
        <w:tblW w:w="20889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25"/>
        <w:gridCol w:w="3033"/>
        <w:gridCol w:w="5260"/>
        <w:gridCol w:w="4947"/>
        <w:gridCol w:w="4324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8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地类</w:t>
            </w:r>
          </w:p>
        </w:tc>
        <w:tc>
          <w:tcPr>
            <w:tcW w:w="9271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2014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8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面积</w:t>
            </w:r>
          </w:p>
        </w:tc>
        <w:tc>
          <w:tcPr>
            <w:tcW w:w="432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比重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618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土地总面积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7846.25</w:t>
            </w:r>
          </w:p>
        </w:tc>
        <w:tc>
          <w:tcPr>
            <w:tcW w:w="432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100.00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2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农用地</w:t>
            </w:r>
          </w:p>
        </w:tc>
        <w:tc>
          <w:tcPr>
            <w:tcW w:w="829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耕地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1966.76</w:t>
            </w:r>
          </w:p>
        </w:tc>
        <w:tc>
          <w:tcPr>
            <w:tcW w:w="432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25.07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2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29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园地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25.60</w:t>
            </w:r>
          </w:p>
        </w:tc>
        <w:tc>
          <w:tcPr>
            <w:tcW w:w="432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0.33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2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29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林地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3848.89</w:t>
            </w:r>
          </w:p>
        </w:tc>
        <w:tc>
          <w:tcPr>
            <w:tcW w:w="432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49.05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2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29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牧草地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</w:t>
            </w:r>
          </w:p>
        </w:tc>
        <w:tc>
          <w:tcPr>
            <w:tcW w:w="432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2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29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其他农用地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422.47</w:t>
            </w:r>
          </w:p>
        </w:tc>
        <w:tc>
          <w:tcPr>
            <w:tcW w:w="432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5.38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2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29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6263.72</w:t>
            </w:r>
          </w:p>
        </w:tc>
        <w:tc>
          <w:tcPr>
            <w:tcW w:w="432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79.83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2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</w:t>
            </w:r>
          </w:p>
        </w:tc>
        <w:tc>
          <w:tcPr>
            <w:tcW w:w="303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城乡建设用地</w:t>
            </w:r>
          </w:p>
        </w:tc>
        <w:tc>
          <w:tcPr>
            <w:tcW w:w="5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城镇用地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251.85</w:t>
            </w:r>
          </w:p>
        </w:tc>
        <w:tc>
          <w:tcPr>
            <w:tcW w:w="432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3.21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2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03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农村居民点用地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967.80</w:t>
            </w:r>
          </w:p>
        </w:tc>
        <w:tc>
          <w:tcPr>
            <w:tcW w:w="432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12.33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2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03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采矿用地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67.78</w:t>
            </w:r>
          </w:p>
        </w:tc>
        <w:tc>
          <w:tcPr>
            <w:tcW w:w="432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0.86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2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03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其他独立建设用地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</w:t>
            </w:r>
          </w:p>
        </w:tc>
        <w:tc>
          <w:tcPr>
            <w:tcW w:w="432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0.00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2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03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2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1287.43</w:t>
            </w:r>
          </w:p>
        </w:tc>
        <w:tc>
          <w:tcPr>
            <w:tcW w:w="432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16.41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2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29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交通水利用地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102.76</w:t>
            </w:r>
          </w:p>
        </w:tc>
        <w:tc>
          <w:tcPr>
            <w:tcW w:w="432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1.31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2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29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其他建设用地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37.98</w:t>
            </w:r>
          </w:p>
        </w:tc>
        <w:tc>
          <w:tcPr>
            <w:tcW w:w="432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0.48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2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29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1428.17</w:t>
            </w:r>
          </w:p>
        </w:tc>
        <w:tc>
          <w:tcPr>
            <w:tcW w:w="432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18.20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25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其他土地</w:t>
            </w:r>
          </w:p>
        </w:tc>
        <w:tc>
          <w:tcPr>
            <w:tcW w:w="829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水域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93.86</w:t>
            </w:r>
          </w:p>
        </w:tc>
        <w:tc>
          <w:tcPr>
            <w:tcW w:w="432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1.20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2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29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自然保留地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60.50</w:t>
            </w:r>
          </w:p>
        </w:tc>
        <w:tc>
          <w:tcPr>
            <w:tcW w:w="432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0.77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325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293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494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154.36</w:t>
            </w:r>
          </w:p>
        </w:tc>
        <w:tc>
          <w:tcPr>
            <w:tcW w:w="4324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1.97</w:t>
            </w:r>
          </w:p>
        </w:tc>
      </w:tr>
    </w:tbl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  <w:sectPr>
          <w:pgSz w:w="23814" w:h="16839"/>
          <w:pgMar w:top="1440" w:right="1440" w:bottom="1440" w:left="1701" w:header="851" w:footer="992" w:gutter="0"/>
          <w:cols w:space="720" w:num="1"/>
          <w:docGrid w:type="lines" w:linePitch="312" w:charSpace="0"/>
        </w:sectPr>
      </w:pPr>
      <w:bookmarkStart w:id="45" w:name="_Toc485889463"/>
      <w:bookmarkStart w:id="46" w:name="_Toc469235333"/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r>
        <w:rPr>
          <w:rFonts w:ascii="Times New Roman" w:hAnsi="Times New Roman" w:eastAsia="黑体" w:cs="Times New Roman"/>
          <w:sz w:val="24"/>
          <w:szCs w:val="24"/>
        </w:rPr>
        <w:t>附表2浦口镇土地利用结构调整表</w:t>
      </w:r>
      <w:bookmarkEnd w:id="45"/>
    </w:p>
    <w:p>
      <w:pPr>
        <w:widowControl/>
        <w:spacing w:line="240" w:lineRule="exact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单位:公顷、%</w:t>
      </w:r>
    </w:p>
    <w:tbl>
      <w:tblPr>
        <w:tblStyle w:val="21"/>
        <w:tblW w:w="208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837"/>
        <w:gridCol w:w="2704"/>
        <w:gridCol w:w="1700"/>
        <w:gridCol w:w="1416"/>
        <w:gridCol w:w="1558"/>
        <w:gridCol w:w="1700"/>
        <w:gridCol w:w="1700"/>
        <w:gridCol w:w="1842"/>
        <w:gridCol w:w="1700"/>
        <w:gridCol w:w="1980"/>
        <w:gridCol w:w="275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36" w:type="dxa"/>
            <w:gridSpan w:val="3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地类</w:t>
            </w:r>
          </w:p>
        </w:tc>
        <w:tc>
          <w:tcPr>
            <w:tcW w:w="3116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2005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</w:tc>
        <w:tc>
          <w:tcPr>
            <w:tcW w:w="3258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2014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</w:tc>
        <w:tc>
          <w:tcPr>
            <w:tcW w:w="3542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规划修改前（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年）</w:t>
            </w:r>
          </w:p>
        </w:tc>
        <w:tc>
          <w:tcPr>
            <w:tcW w:w="3680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规划修改后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(2020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)</w:t>
            </w:r>
          </w:p>
        </w:tc>
        <w:tc>
          <w:tcPr>
            <w:tcW w:w="2757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年（修改后）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-2014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36" w:type="dxa"/>
            <w:gridSpan w:val="3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面积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比重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面积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比重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面积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比重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面积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比重</w:t>
            </w:r>
          </w:p>
        </w:tc>
        <w:tc>
          <w:tcPr>
            <w:tcW w:w="2757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5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土地总面积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7846.25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7846.25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7846.25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7846.25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100.00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农用地</w:t>
            </w:r>
          </w:p>
        </w:tc>
        <w:tc>
          <w:tcPr>
            <w:tcW w:w="3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耕地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1982.46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25.27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1966.76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25.07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1982.55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25.27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1974.48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25.16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7.72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园地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25.90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0.33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25.60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129.47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1.65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127.56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1.63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101.96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林地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3874.39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49.38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3848.89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49.05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3806.95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48.52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3807.73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48.53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-41.16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牧草地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其他农用地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422.98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5.39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422.47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5.38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444.91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5.67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464.75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5.92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42.28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6305.73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80.37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6263.72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79.83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6363.88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81.11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6374.52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81.24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110.80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</w:t>
            </w:r>
          </w:p>
        </w:tc>
        <w:tc>
          <w:tcPr>
            <w:tcW w:w="837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城乡建设用地</w:t>
            </w:r>
          </w:p>
        </w:tc>
        <w:tc>
          <w:tcPr>
            <w:tcW w:w="2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城镇用地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251.32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3.20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251.85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3.21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311.90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3.98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305.68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3.90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53.83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农村居民点用地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933.89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11.90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967.80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12.33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842.12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10.73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834.85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10.64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-132.95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采矿用地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58.19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0.74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67.78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0.86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60.87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45.47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0.58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-22.31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其他独立建设用地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74.30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0.95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82.40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1.05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82.40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837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1243.40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15.85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1287.43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16.41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1289.19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16.43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1268.41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16.17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-19.02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交通水利用地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102.80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1.31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102.76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1.31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34.14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0.44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37.43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0.48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-65.33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其他建设用地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37.98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0.48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37.98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37.98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0.48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36.72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0.47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-1.26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1384.18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17.64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1428.17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18.20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1361.31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17.35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1342.55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17.11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-85.62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5" w:type="dxa"/>
            <w:vMerge w:val="restart"/>
            <w:tcBorders>
              <w:top w:val="nil"/>
              <w:left w:val="nil"/>
              <w:bottom w:val="doub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其他土地</w:t>
            </w:r>
          </w:p>
        </w:tc>
        <w:tc>
          <w:tcPr>
            <w:tcW w:w="3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水域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93.66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1.19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93.86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1.20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93.66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1.19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93.66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1.19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-0.20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5" w:type="dxa"/>
            <w:vMerge w:val="continue"/>
            <w:tcBorders>
              <w:top w:val="nil"/>
              <w:left w:val="nil"/>
              <w:bottom w:val="doub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5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自然保留地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62.68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0.80</w:t>
            </w:r>
          </w:p>
        </w:tc>
        <w:tc>
          <w:tcPr>
            <w:tcW w:w="15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60.50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0.77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27.40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0.35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35.52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0.45</w:t>
            </w:r>
          </w:p>
        </w:tc>
        <w:tc>
          <w:tcPr>
            <w:tcW w:w="2757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-24.98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95" w:type="dxa"/>
            <w:vMerge w:val="continue"/>
            <w:tcBorders>
              <w:top w:val="nil"/>
              <w:left w:val="nil"/>
              <w:bottom w:val="double" w:color="000000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541" w:type="dxa"/>
            <w:gridSpan w:val="2"/>
            <w:tcBorders>
              <w:top w:val="single" w:color="auto" w:sz="4" w:space="0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17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156.34</w:t>
            </w:r>
          </w:p>
        </w:tc>
        <w:tc>
          <w:tcPr>
            <w:tcW w:w="141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1.99</w:t>
            </w:r>
          </w:p>
        </w:tc>
        <w:tc>
          <w:tcPr>
            <w:tcW w:w="155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154.36</w:t>
            </w:r>
          </w:p>
        </w:tc>
        <w:tc>
          <w:tcPr>
            <w:tcW w:w="17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1.97</w:t>
            </w:r>
          </w:p>
        </w:tc>
        <w:tc>
          <w:tcPr>
            <w:tcW w:w="17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121.06</w:t>
            </w:r>
          </w:p>
        </w:tc>
        <w:tc>
          <w:tcPr>
            <w:tcW w:w="184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1.54</w:t>
            </w:r>
          </w:p>
        </w:tc>
        <w:tc>
          <w:tcPr>
            <w:tcW w:w="17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129.18</w:t>
            </w:r>
          </w:p>
        </w:tc>
        <w:tc>
          <w:tcPr>
            <w:tcW w:w="198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1.65</w:t>
            </w:r>
          </w:p>
        </w:tc>
        <w:tc>
          <w:tcPr>
            <w:tcW w:w="2757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-25.18</w:t>
            </w:r>
          </w:p>
        </w:tc>
      </w:tr>
    </w:tbl>
    <w:p>
      <w:pPr>
        <w:widowControl/>
        <w:spacing w:line="240" w:lineRule="exact"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jc w:val="center"/>
        <w:rPr>
          <w:rFonts w:ascii="Times New Roman" w:hAnsi="Times New Roman" w:eastAsia="黑体" w:cs="Times New Roman"/>
          <w:sz w:val="24"/>
          <w:szCs w:val="24"/>
        </w:rPr>
      </w:pPr>
    </w:p>
    <w:p>
      <w:pPr>
        <w:widowControl/>
        <w:jc w:val="left"/>
        <w:rPr>
          <w:rFonts w:ascii="Times New Roman" w:hAnsi="Times New Roman" w:eastAsia="黑体" w:cs="Times New Roman"/>
          <w:sz w:val="24"/>
          <w:szCs w:val="24"/>
        </w:rPr>
        <w:sectPr>
          <w:pgSz w:w="23814" w:h="16839"/>
          <w:pgMar w:top="1440" w:right="1440" w:bottom="1440" w:left="1701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47" w:name="_Toc485889464"/>
      <w:r>
        <w:rPr>
          <w:rFonts w:ascii="Times New Roman" w:hAnsi="Times New Roman" w:eastAsia="黑体" w:cs="Times New Roman"/>
          <w:sz w:val="24"/>
          <w:szCs w:val="24"/>
        </w:rPr>
        <w:t>附表3浦口镇</w:t>
      </w:r>
      <w:bookmarkEnd w:id="46"/>
      <w:r>
        <w:rPr>
          <w:rFonts w:ascii="Times New Roman" w:hAnsi="Times New Roman" w:eastAsia="黑体" w:cs="Times New Roman"/>
          <w:sz w:val="24"/>
          <w:szCs w:val="24"/>
        </w:rPr>
        <w:t>土地利用规划目标调整表</w:t>
      </w:r>
      <w:bookmarkEnd w:id="47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21"/>
        <w:tblW w:w="20889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6910"/>
        <w:gridCol w:w="3940"/>
        <w:gridCol w:w="3200"/>
        <w:gridCol w:w="2853"/>
        <w:gridCol w:w="2745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8151" w:type="dxa"/>
            <w:gridSpan w:val="2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指标名称</w:t>
            </w:r>
          </w:p>
        </w:tc>
        <w:tc>
          <w:tcPr>
            <w:tcW w:w="394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规划修改前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①</w:t>
            </w:r>
          </w:p>
        </w:tc>
        <w:tc>
          <w:tcPr>
            <w:tcW w:w="320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规划修改后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</w:t>
            </w:r>
          </w:p>
        </w:tc>
        <w:tc>
          <w:tcPr>
            <w:tcW w:w="285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差值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②-①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指标属性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1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总量目标</w:t>
            </w:r>
          </w:p>
        </w:tc>
        <w:tc>
          <w:tcPr>
            <w:tcW w:w="69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耕地保有量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1982.55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1970.00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-12.55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基本农田保护面积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1772.04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1690.72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-81.32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建设用地总规模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1361.31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1342.55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-18.76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城乡建设用地规模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1289.19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1268.41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-20.78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城镇工矿用地规模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447.07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433.55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-13.52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1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增量目标</w:t>
            </w:r>
          </w:p>
        </w:tc>
        <w:tc>
          <w:tcPr>
            <w:tcW w:w="69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新增建设用地规模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181.12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178.24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-2.88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新增建设占用农用地规模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176.86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165.75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-11.11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新增建设占用耕地规模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88.14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74.30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-13.84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41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6910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补充耕地任务量</w:t>
            </w:r>
          </w:p>
        </w:tc>
        <w:tc>
          <w:tcPr>
            <w:tcW w:w="394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88.41</w:t>
            </w:r>
          </w:p>
        </w:tc>
        <w:tc>
          <w:tcPr>
            <w:tcW w:w="320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66.50</w:t>
            </w:r>
          </w:p>
        </w:tc>
        <w:tc>
          <w:tcPr>
            <w:tcW w:w="28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-21.91</w:t>
            </w:r>
          </w:p>
        </w:tc>
        <w:tc>
          <w:tcPr>
            <w:tcW w:w="2745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</w:tbl>
    <w:p>
      <w:pPr>
        <w:rPr>
          <w:rFonts w:ascii="Times New Roman" w:hAnsi="Times New Roman" w:cs="Times New Roman"/>
          <w:sz w:val="28"/>
          <w:szCs w:val="24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48" w:name="_Toc485889465"/>
      <w:r>
        <w:rPr>
          <w:rFonts w:ascii="Times New Roman" w:hAnsi="Times New Roman" w:eastAsia="黑体" w:cs="Times New Roman"/>
          <w:sz w:val="24"/>
          <w:szCs w:val="24"/>
        </w:rPr>
        <w:t>附表4浦口镇落实上一级土地利用规划指标情况表</w:t>
      </w:r>
      <w:bookmarkEnd w:id="48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21"/>
        <w:tblW w:w="208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0"/>
        <w:gridCol w:w="6923"/>
        <w:gridCol w:w="3956"/>
        <w:gridCol w:w="3631"/>
        <w:gridCol w:w="2306"/>
        <w:gridCol w:w="283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3" w:type="dxa"/>
            <w:gridSpan w:val="2"/>
            <w:tcBorders>
              <w:top w:val="double" w:color="auto" w:sz="6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指标名称</w:t>
            </w:r>
          </w:p>
        </w:tc>
        <w:tc>
          <w:tcPr>
            <w:tcW w:w="395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上级规划下达</w:t>
            </w:r>
          </w:p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年目标①</w:t>
            </w:r>
          </w:p>
        </w:tc>
        <w:tc>
          <w:tcPr>
            <w:tcW w:w="3631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本镇规划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年落实数②</w:t>
            </w:r>
          </w:p>
        </w:tc>
        <w:tc>
          <w:tcPr>
            <w:tcW w:w="2306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差值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②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①</w:t>
            </w:r>
          </w:p>
        </w:tc>
        <w:tc>
          <w:tcPr>
            <w:tcW w:w="2833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指标属性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总量目标</w:t>
            </w:r>
          </w:p>
        </w:tc>
        <w:tc>
          <w:tcPr>
            <w:tcW w:w="6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耕地保有量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1970.00</w:t>
            </w:r>
          </w:p>
        </w:tc>
        <w:tc>
          <w:tcPr>
            <w:tcW w:w="3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1974.48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4.48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基本农田保护面积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1690.72</w:t>
            </w:r>
          </w:p>
        </w:tc>
        <w:tc>
          <w:tcPr>
            <w:tcW w:w="3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1690.7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</w:t>
            </w:r>
            <w:r>
              <w:rPr>
                <w:rFonts w:hint="eastAsia" w:ascii="Times New Roman" w:hAnsi="Times New Roman" w:cs="Times New Roman"/>
                <w:color w:val="000000"/>
                <w:szCs w:val="21"/>
              </w:rPr>
              <w:t>01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建设用地总规模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1342.55</w:t>
            </w:r>
          </w:p>
        </w:tc>
        <w:tc>
          <w:tcPr>
            <w:tcW w:w="3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1342.55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9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城乡建设用地规模</w:t>
            </w:r>
          </w:p>
        </w:tc>
        <w:tc>
          <w:tcPr>
            <w:tcW w:w="3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1268.41</w:t>
            </w:r>
          </w:p>
        </w:tc>
        <w:tc>
          <w:tcPr>
            <w:tcW w:w="3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1268.41</w:t>
            </w:r>
          </w:p>
        </w:tc>
        <w:tc>
          <w:tcPr>
            <w:tcW w:w="23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283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约束性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40" w:type="dxa"/>
            <w:vMerge w:val="continue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692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城镇工矿用地规模</w:t>
            </w:r>
          </w:p>
        </w:tc>
        <w:tc>
          <w:tcPr>
            <w:tcW w:w="395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433.55</w:t>
            </w:r>
          </w:p>
        </w:tc>
        <w:tc>
          <w:tcPr>
            <w:tcW w:w="363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433.55</w:t>
            </w:r>
          </w:p>
        </w:tc>
        <w:tc>
          <w:tcPr>
            <w:tcW w:w="230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>0.00</w:t>
            </w:r>
          </w:p>
        </w:tc>
        <w:tc>
          <w:tcPr>
            <w:tcW w:w="2833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预期性</w:t>
            </w:r>
          </w:p>
        </w:tc>
      </w:tr>
    </w:tbl>
    <w:p>
      <w:pPr>
        <w:rPr>
          <w:rFonts w:ascii="Times New Roman" w:hAnsi="Times New Roman" w:cs="Times New Roman"/>
          <w:sz w:val="28"/>
          <w:szCs w:val="24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  <w:sectPr>
          <w:pgSz w:w="23814" w:h="16839"/>
          <w:pgMar w:top="1440" w:right="1440" w:bottom="1440" w:left="1701" w:header="851" w:footer="992" w:gutter="0"/>
          <w:cols w:space="720" w:num="1"/>
          <w:docGrid w:type="lines" w:linePitch="312" w:charSpace="0"/>
        </w:sectPr>
      </w:pPr>
      <w:bookmarkStart w:id="49" w:name="_Toc469235338"/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0" w:name="_Toc469235336"/>
      <w:bookmarkStart w:id="51" w:name="_Toc485889466"/>
      <w:r>
        <w:rPr>
          <w:rFonts w:ascii="Times New Roman" w:hAnsi="Times New Roman" w:eastAsia="黑体" w:cs="Times New Roman"/>
          <w:sz w:val="24"/>
          <w:szCs w:val="24"/>
        </w:rPr>
        <w:t>附表5调入区域规划调整前后对比表</w:t>
      </w:r>
      <w:bookmarkEnd w:id="50"/>
      <w:bookmarkEnd w:id="51"/>
    </w:p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21"/>
        <w:tblW w:w="2095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182"/>
        <w:gridCol w:w="1383"/>
        <w:gridCol w:w="1802"/>
        <w:gridCol w:w="1375"/>
        <w:gridCol w:w="1580"/>
        <w:gridCol w:w="2192"/>
        <w:gridCol w:w="1584"/>
        <w:gridCol w:w="1375"/>
        <w:gridCol w:w="1081"/>
        <w:gridCol w:w="1278"/>
        <w:gridCol w:w="1186"/>
        <w:gridCol w:w="380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149" w:type="dxa"/>
            <w:gridSpan w:val="12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调整前</w:t>
            </w:r>
          </w:p>
        </w:tc>
        <w:tc>
          <w:tcPr>
            <w:tcW w:w="3805" w:type="dxa"/>
            <w:vMerge w:val="restart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调整后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耕地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园地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林地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其他农用地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城镇用地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农村居民点用地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采矿及其他独立建设用地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交通水利用地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其他建设用地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水域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自然保留地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小计</w:t>
            </w:r>
          </w:p>
        </w:tc>
        <w:tc>
          <w:tcPr>
            <w:tcW w:w="3805" w:type="dxa"/>
            <w:vMerge w:val="continue"/>
            <w:tcBorders>
              <w:top w:val="double" w:color="auto" w:sz="6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0.42 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0.06 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0.32 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0.42 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1.22 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2.03 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1.40 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14.30 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0.47 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0.06 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0.43 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8.31 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27.00 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农村居民点用地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6.27 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0.45 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8.93 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1.31 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10.28 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1.00 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0.41 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0.11 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28.75 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采矿及其他独立建设用地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0.29 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3.29 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交通水利用地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1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3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0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3805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其他建设用地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13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8.72 </w:t>
            </w:r>
          </w:p>
        </w:tc>
        <w:tc>
          <w:tcPr>
            <w:tcW w:w="118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1.91 </w:t>
            </w:r>
          </w:p>
        </w:tc>
        <w:tc>
          <w:tcPr>
            <w:tcW w:w="138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26.54 </w:t>
            </w:r>
          </w:p>
        </w:tc>
        <w:tc>
          <w:tcPr>
            <w:tcW w:w="180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1.78 </w:t>
            </w:r>
          </w:p>
        </w:tc>
        <w:tc>
          <w:tcPr>
            <w:tcW w:w="137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58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10.28 </w:t>
            </w:r>
          </w:p>
        </w:tc>
        <w:tc>
          <w:tcPr>
            <w:tcW w:w="219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1.06 </w:t>
            </w:r>
          </w:p>
        </w:tc>
        <w:tc>
          <w:tcPr>
            <w:tcW w:w="158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375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1.26 </w:t>
            </w:r>
          </w:p>
        </w:tc>
        <w:tc>
          <w:tcPr>
            <w:tcW w:w="1081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27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8.71 </w:t>
            </w:r>
          </w:p>
        </w:tc>
        <w:tc>
          <w:tcPr>
            <w:tcW w:w="118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60.26 </w:t>
            </w:r>
          </w:p>
        </w:tc>
        <w:tc>
          <w:tcPr>
            <w:tcW w:w="3805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</w:tr>
    </w:tbl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2" w:name="_Toc485889467"/>
      <w:bookmarkStart w:id="53" w:name="_Toc469235337"/>
      <w:r>
        <w:rPr>
          <w:rFonts w:ascii="Times New Roman" w:hAnsi="Times New Roman" w:eastAsia="黑体" w:cs="Times New Roman"/>
          <w:sz w:val="24"/>
          <w:szCs w:val="24"/>
        </w:rPr>
        <w:t>附表6调出区域规划调整前后对比表</w:t>
      </w:r>
      <w:bookmarkEnd w:id="52"/>
      <w:bookmarkEnd w:id="53"/>
    </w:p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21"/>
        <w:tblW w:w="2062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6"/>
        <w:gridCol w:w="994"/>
        <w:gridCol w:w="850"/>
        <w:gridCol w:w="990"/>
        <w:gridCol w:w="1419"/>
        <w:gridCol w:w="1419"/>
        <w:gridCol w:w="1956"/>
        <w:gridCol w:w="2579"/>
        <w:gridCol w:w="1700"/>
        <w:gridCol w:w="1704"/>
        <w:gridCol w:w="990"/>
        <w:gridCol w:w="1419"/>
        <w:gridCol w:w="138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226" w:type="dxa"/>
            <w:vMerge w:val="restart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调整前</w:t>
            </w:r>
          </w:p>
        </w:tc>
        <w:tc>
          <w:tcPr>
            <w:tcW w:w="17402" w:type="dxa"/>
            <w:gridSpan w:val="12"/>
            <w:tcBorders>
              <w:top w:val="double" w:color="auto" w:sz="6" w:space="0"/>
              <w:left w:val="nil"/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调整后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226" w:type="dxa"/>
            <w:vMerge w:val="continue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宋体" w:cs="Times New Roman"/>
                <w:kern w:val="0"/>
                <w:szCs w:val="21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耕地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园地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林地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其他农用地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城镇用地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农村居民点用地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采矿及其他独立建设用地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交通水利用地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其他建设用地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水域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自然保留地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小计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城镇用地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7.44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7.44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农村居民点用地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14.64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9.09 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10.28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0.26 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34.27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采矿及其他独立建设用地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16.36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18.25 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0.16 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0.06 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0.22 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36.05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交通水利用地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2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其他建设用地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0.42 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0.43 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0.41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1.26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22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小计</w:t>
            </w:r>
          </w:p>
        </w:tc>
        <w:tc>
          <w:tcPr>
            <w:tcW w:w="99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38.44 </w:t>
            </w:r>
          </w:p>
        </w:tc>
        <w:tc>
          <w:tcPr>
            <w:tcW w:w="85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9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27.34 </w:t>
            </w:r>
          </w:p>
        </w:tc>
        <w:tc>
          <w:tcPr>
            <w:tcW w:w="141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0.16 </w:t>
            </w:r>
          </w:p>
        </w:tc>
        <w:tc>
          <w:tcPr>
            <w:tcW w:w="141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0.42 </w:t>
            </w:r>
          </w:p>
        </w:tc>
        <w:tc>
          <w:tcPr>
            <w:tcW w:w="1956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0.49 </w:t>
            </w:r>
          </w:p>
        </w:tc>
        <w:tc>
          <w:tcPr>
            <w:tcW w:w="257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11.69 </w:t>
            </w:r>
          </w:p>
        </w:tc>
        <w:tc>
          <w:tcPr>
            <w:tcW w:w="170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70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99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0.00 </w:t>
            </w:r>
          </w:p>
        </w:tc>
        <w:tc>
          <w:tcPr>
            <w:tcW w:w="141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0.48 </w:t>
            </w:r>
          </w:p>
        </w:tc>
        <w:tc>
          <w:tcPr>
            <w:tcW w:w="1382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79.02 </w:t>
            </w:r>
          </w:p>
        </w:tc>
      </w:tr>
    </w:tbl>
    <w:p>
      <w:pPr>
        <w:widowControl/>
        <w:ind w:firstLine="420" w:firstLineChars="20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rPr>
          <w:rFonts w:ascii="Times New Roman" w:hAnsi="Times New Roman" w:eastAsia="Times New Roman" w:cs="Times New Roman"/>
          <w:sz w:val="28"/>
          <w:szCs w:val="24"/>
        </w:rPr>
        <w:sectPr>
          <w:pgSz w:w="23814" w:h="16839"/>
          <w:pgMar w:top="1134" w:right="1701" w:bottom="1440" w:left="1701" w:header="851" w:footer="992" w:gutter="0"/>
          <w:cols w:space="720" w:num="1"/>
          <w:docGrid w:type="lines" w:linePitch="381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4" w:name="_Toc485889468"/>
      <w:r>
        <w:rPr>
          <w:rFonts w:ascii="Times New Roman" w:hAnsi="Times New Roman" w:eastAsia="黑体" w:cs="Times New Roman"/>
          <w:sz w:val="24"/>
          <w:szCs w:val="24"/>
        </w:rPr>
        <w:t>附表7  浦口镇耕地保有量和基本农田保护面积分解表</w:t>
      </w:r>
      <w:bookmarkEnd w:id="54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21"/>
        <w:tblW w:w="2088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3"/>
        <w:gridCol w:w="5222"/>
        <w:gridCol w:w="5222"/>
        <w:gridCol w:w="522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23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222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单位</w:t>
            </w:r>
          </w:p>
        </w:tc>
        <w:tc>
          <w:tcPr>
            <w:tcW w:w="5222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规划年2020耕地保有量</w:t>
            </w:r>
          </w:p>
        </w:tc>
        <w:tc>
          <w:tcPr>
            <w:tcW w:w="5222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规划期间基本农田保护面积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保丰村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123.54 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117.90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贯古居委会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29.10 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26.66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合水村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126.88 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119.92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河泉村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100.58 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93.73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荷花垅村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122.41 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53.36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花椒村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152.10 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137.14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李洲村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115.96 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109.51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联盟居委会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111.41 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96.52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茅坪村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99.44 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89.34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泮川村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206.64 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125.4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浦口村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158.95 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146.70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荣坪村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119.48 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112.68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三铺村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118.36 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114.31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天符居委会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104.28 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96.43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15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王坊居委会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109.17 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102.59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16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仙石村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176.16 </w:t>
            </w:r>
          </w:p>
        </w:tc>
        <w:tc>
          <w:tcPr>
            <w:tcW w:w="52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 xml:space="preserve">148.53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522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合计</w:t>
            </w:r>
          </w:p>
        </w:tc>
        <w:tc>
          <w:tcPr>
            <w:tcW w:w="522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浦口镇</w:t>
            </w:r>
          </w:p>
        </w:tc>
        <w:tc>
          <w:tcPr>
            <w:tcW w:w="5222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1974.4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8</w:t>
            </w:r>
          </w:p>
        </w:tc>
        <w:tc>
          <w:tcPr>
            <w:tcW w:w="5222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1690.7</w:t>
            </w:r>
            <w:r>
              <w:rPr>
                <w:rFonts w:hint="eastAsia" w:ascii="Times New Roman" w:hAnsi="Times New Roman" w:cs="Times New Roman"/>
                <w:color w:val="000000"/>
                <w:sz w:val="22"/>
              </w:rPr>
              <w:t>3</w:t>
            </w:r>
          </w:p>
        </w:tc>
      </w:tr>
    </w:tbl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  <w:sectPr>
          <w:pgSz w:w="23814" w:h="16839"/>
          <w:pgMar w:top="1440" w:right="1440" w:bottom="1440" w:left="1701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5" w:name="_Toc485889469"/>
      <w:r>
        <w:rPr>
          <w:rFonts w:ascii="Times New Roman" w:hAnsi="Times New Roman" w:eastAsia="黑体" w:cs="Times New Roman"/>
          <w:sz w:val="24"/>
          <w:szCs w:val="24"/>
        </w:rPr>
        <w:t>附表8浦口镇</w:t>
      </w:r>
      <w:bookmarkEnd w:id="49"/>
      <w:r>
        <w:rPr>
          <w:rFonts w:ascii="Times New Roman" w:hAnsi="Times New Roman" w:eastAsia="黑体" w:cs="Times New Roman"/>
          <w:sz w:val="24"/>
          <w:szCs w:val="24"/>
        </w:rPr>
        <w:t>土地用途分区修改情况表</w:t>
      </w:r>
      <w:bookmarkEnd w:id="55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21"/>
        <w:tblW w:w="2088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3"/>
        <w:gridCol w:w="5448"/>
        <w:gridCol w:w="5448"/>
        <w:gridCol w:w="43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3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用途分区类型</w:t>
            </w:r>
          </w:p>
        </w:tc>
        <w:tc>
          <w:tcPr>
            <w:tcW w:w="5448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2020年（修改前）</w:t>
            </w:r>
          </w:p>
        </w:tc>
        <w:tc>
          <w:tcPr>
            <w:tcW w:w="5448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2020年（修改后）</w:t>
            </w:r>
          </w:p>
        </w:tc>
        <w:tc>
          <w:tcPr>
            <w:tcW w:w="4320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修改后-修改前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基本农田保护区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1939.50 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1858.24 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-81.26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一般农地区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442.07 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460.00 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17.93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城镇建设用地区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343.79 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337.57 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-6.22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村镇建设用地区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858.29 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851.02 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-7.27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独立工矿用地区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116.63 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109.33 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-7.30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风景旅游用地区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37.98 </w:t>
            </w:r>
          </w:p>
        </w:tc>
        <w:tc>
          <w:tcPr>
            <w:tcW w:w="54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2.65 </w:t>
            </w:r>
          </w:p>
        </w:tc>
        <w:tc>
          <w:tcPr>
            <w:tcW w:w="43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-35.33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73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color w:val="000000"/>
                <w:szCs w:val="21"/>
              </w:rPr>
            </w:pPr>
            <w:r>
              <w:rPr>
                <w:rFonts w:ascii="Times New Roman" w:hAnsi="Times New Roman" w:eastAsia="仿宋_GB2312" w:cs="Times New Roman"/>
                <w:color w:val="000000"/>
                <w:szCs w:val="21"/>
              </w:rPr>
              <w:t>林业用地区</w:t>
            </w:r>
          </w:p>
        </w:tc>
        <w:tc>
          <w:tcPr>
            <w:tcW w:w="544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3832.65 </w:t>
            </w:r>
          </w:p>
        </w:tc>
        <w:tc>
          <w:tcPr>
            <w:tcW w:w="5448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3833.44 </w:t>
            </w:r>
          </w:p>
        </w:tc>
        <w:tc>
          <w:tcPr>
            <w:tcW w:w="4320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Cs w:val="21"/>
              </w:rPr>
              <w:t xml:space="preserve">0.78 </w:t>
            </w:r>
          </w:p>
        </w:tc>
      </w:tr>
    </w:tbl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jc w:val="center"/>
        <w:rPr>
          <w:rFonts w:ascii="Times New Roman" w:hAnsi="Times New Roman" w:eastAsia="宋体" w:cs="Times New Roman"/>
          <w:szCs w:val="21"/>
        </w:rPr>
      </w:pPr>
    </w:p>
    <w:p>
      <w:pPr>
        <w:jc w:val="center"/>
        <w:rPr>
          <w:rFonts w:ascii="Times New Roman" w:hAnsi="Times New Roman" w:eastAsia="宋体" w:cs="Times New Roman"/>
          <w:szCs w:val="21"/>
        </w:rPr>
      </w:pPr>
    </w:p>
    <w:p>
      <w:pPr>
        <w:jc w:val="center"/>
        <w:rPr>
          <w:rFonts w:ascii="Times New Roman" w:hAnsi="Times New Roman" w:eastAsia="宋体" w:cs="Times New Roman"/>
          <w:szCs w:val="21"/>
        </w:rPr>
      </w:pPr>
    </w:p>
    <w:p>
      <w:pPr>
        <w:jc w:val="center"/>
        <w:rPr>
          <w:rFonts w:ascii="Times New Roman" w:hAnsi="Times New Roman" w:eastAsia="宋体" w:cs="Times New Roman"/>
          <w:szCs w:val="21"/>
        </w:r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6" w:name="_Toc469235339"/>
      <w:bookmarkStart w:id="57" w:name="_Toc485889470"/>
      <w:r>
        <w:rPr>
          <w:rFonts w:ascii="Times New Roman" w:hAnsi="Times New Roman" w:eastAsia="黑体" w:cs="Times New Roman"/>
          <w:sz w:val="24"/>
          <w:szCs w:val="24"/>
        </w:rPr>
        <w:t>附表9浦口镇建设用地空间管制分区修改情况表</w:t>
      </w:r>
      <w:bookmarkEnd w:id="56"/>
      <w:bookmarkEnd w:id="57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21"/>
        <w:tblW w:w="20889" w:type="dxa"/>
        <w:tblInd w:w="0" w:type="dxa"/>
        <w:tblBorders>
          <w:top w:val="double" w:color="auto" w:sz="6" w:space="0"/>
          <w:left w:val="none" w:color="auto" w:sz="0" w:space="0"/>
          <w:bottom w:val="doub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6"/>
        <w:gridCol w:w="5527"/>
        <w:gridCol w:w="5389"/>
        <w:gridCol w:w="4337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管制分区类型</w:t>
            </w:r>
          </w:p>
        </w:tc>
        <w:tc>
          <w:tcPr>
            <w:tcW w:w="552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年（修改前）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2020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年（修改后）</w:t>
            </w:r>
          </w:p>
        </w:tc>
        <w:tc>
          <w:tcPr>
            <w:tcW w:w="43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修改后</w:t>
            </w: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-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修改前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允许建设区</w:t>
            </w:r>
          </w:p>
        </w:tc>
        <w:tc>
          <w:tcPr>
            <w:tcW w:w="552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1289.19 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1268.41 </w:t>
            </w:r>
          </w:p>
        </w:tc>
        <w:tc>
          <w:tcPr>
            <w:tcW w:w="43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-20.78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有条件建设区</w:t>
            </w:r>
          </w:p>
        </w:tc>
        <w:tc>
          <w:tcPr>
            <w:tcW w:w="552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7.23 </w:t>
            </w:r>
          </w:p>
        </w:tc>
        <w:tc>
          <w:tcPr>
            <w:tcW w:w="43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7.23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限制建设区</w:t>
            </w:r>
          </w:p>
        </w:tc>
        <w:tc>
          <w:tcPr>
            <w:tcW w:w="552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6557.06 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6570.61 </w:t>
            </w:r>
          </w:p>
        </w:tc>
        <w:tc>
          <w:tcPr>
            <w:tcW w:w="43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13.55 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63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合计</w:t>
            </w:r>
          </w:p>
        </w:tc>
        <w:tc>
          <w:tcPr>
            <w:tcW w:w="552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7846.25</w:t>
            </w:r>
          </w:p>
        </w:tc>
        <w:tc>
          <w:tcPr>
            <w:tcW w:w="5389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7846.25</w:t>
            </w:r>
          </w:p>
        </w:tc>
        <w:tc>
          <w:tcPr>
            <w:tcW w:w="4337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</w:tr>
    </w:tbl>
    <w:p>
      <w:pPr>
        <w:rPr>
          <w:rFonts w:ascii="Times New Roman" w:hAnsi="Times New Roman" w:cs="Times New Roman"/>
          <w:sz w:val="28"/>
          <w:szCs w:val="24"/>
        </w:rPr>
      </w:pPr>
    </w:p>
    <w:p>
      <w:pPr>
        <w:rPr>
          <w:rFonts w:ascii="Times New Roman" w:hAnsi="Times New Roman" w:cs="Times New Roman"/>
          <w:sz w:val="28"/>
          <w:szCs w:val="24"/>
        </w:rPr>
        <w:sectPr>
          <w:pgSz w:w="23814" w:h="16839"/>
          <w:pgMar w:top="1440" w:right="1440" w:bottom="1440" w:left="1701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58" w:name="_Toc485889471"/>
      <w:bookmarkStart w:id="59" w:name="_Toc469235340"/>
      <w:r>
        <w:rPr>
          <w:rFonts w:ascii="Times New Roman" w:hAnsi="Times New Roman" w:eastAsia="黑体" w:cs="Times New Roman"/>
          <w:sz w:val="24"/>
          <w:szCs w:val="24"/>
        </w:rPr>
        <w:t>附表10浦口镇2016-2020年重点建设用地项目规划表</w:t>
      </w:r>
      <w:bookmarkEnd w:id="58"/>
      <w:bookmarkEnd w:id="59"/>
    </w:p>
    <w:p>
      <w:pPr>
        <w:widowControl/>
        <w:jc w:val="center"/>
        <w:rPr>
          <w:rFonts w:ascii="Times New Roman" w:hAnsi="Times New Roman" w:eastAsia="黑体" w:cs="Times New Roman"/>
          <w:sz w:val="24"/>
          <w:szCs w:val="24"/>
        </w:rPr>
      </w:pPr>
    </w:p>
    <w:tbl>
      <w:tblPr>
        <w:tblStyle w:val="21"/>
        <w:tblW w:w="20430" w:type="dxa"/>
        <w:tblInd w:w="0" w:type="dxa"/>
        <w:tblBorders>
          <w:top w:val="double" w:color="auto" w:sz="6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11245"/>
        <w:gridCol w:w="3583"/>
        <w:gridCol w:w="3616"/>
      </w:tblGrid>
      <w:tr>
        <w:tblPrEx>
          <w:tblBorders>
            <w:top w:val="double" w:color="auto" w:sz="6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35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建设性质</w:t>
            </w:r>
          </w:p>
        </w:tc>
        <w:tc>
          <w:tcPr>
            <w:tcW w:w="3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430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一、交通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</w:t>
            </w:r>
          </w:p>
        </w:tc>
        <w:tc>
          <w:tcPr>
            <w:tcW w:w="1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清水江至茶陵公路</w:t>
            </w:r>
          </w:p>
        </w:tc>
        <w:tc>
          <w:tcPr>
            <w:tcW w:w="35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改扩建</w:t>
            </w:r>
          </w:p>
        </w:tc>
        <w:tc>
          <w:tcPr>
            <w:tcW w:w="3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</w:t>
            </w:r>
          </w:p>
        </w:tc>
        <w:tc>
          <w:tcPr>
            <w:tcW w:w="1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枫树桥至王仙段公路</w:t>
            </w:r>
          </w:p>
        </w:tc>
        <w:tc>
          <w:tcPr>
            <w:tcW w:w="35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改扩建</w:t>
            </w:r>
          </w:p>
        </w:tc>
        <w:tc>
          <w:tcPr>
            <w:tcW w:w="3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原S330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3</w:t>
            </w:r>
          </w:p>
        </w:tc>
        <w:tc>
          <w:tcPr>
            <w:tcW w:w="1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G106提质升级</w:t>
            </w:r>
          </w:p>
        </w:tc>
        <w:tc>
          <w:tcPr>
            <w:tcW w:w="35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改扩建</w:t>
            </w:r>
          </w:p>
        </w:tc>
        <w:tc>
          <w:tcPr>
            <w:tcW w:w="3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4</w:t>
            </w:r>
          </w:p>
        </w:tc>
        <w:tc>
          <w:tcPr>
            <w:tcW w:w="1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渌江大西滩至渌口段航道疏浚工程</w:t>
            </w:r>
          </w:p>
        </w:tc>
        <w:tc>
          <w:tcPr>
            <w:tcW w:w="35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改扩建</w:t>
            </w:r>
          </w:p>
        </w:tc>
        <w:tc>
          <w:tcPr>
            <w:tcW w:w="3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5</w:t>
            </w:r>
          </w:p>
        </w:tc>
        <w:tc>
          <w:tcPr>
            <w:tcW w:w="1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渌水航道建设工程</w:t>
            </w:r>
          </w:p>
        </w:tc>
        <w:tc>
          <w:tcPr>
            <w:tcW w:w="35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改扩建</w:t>
            </w:r>
          </w:p>
        </w:tc>
        <w:tc>
          <w:tcPr>
            <w:tcW w:w="3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6</w:t>
            </w:r>
          </w:p>
        </w:tc>
        <w:tc>
          <w:tcPr>
            <w:tcW w:w="1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危桥改造项目</w:t>
            </w:r>
          </w:p>
        </w:tc>
        <w:tc>
          <w:tcPr>
            <w:tcW w:w="35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3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7</w:t>
            </w:r>
          </w:p>
        </w:tc>
        <w:tc>
          <w:tcPr>
            <w:tcW w:w="1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生命防护工程</w:t>
            </w:r>
          </w:p>
        </w:tc>
        <w:tc>
          <w:tcPr>
            <w:tcW w:w="35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3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8</w:t>
            </w:r>
          </w:p>
        </w:tc>
        <w:tc>
          <w:tcPr>
            <w:tcW w:w="1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大中修项目（以省计划下达数为准）</w:t>
            </w:r>
          </w:p>
        </w:tc>
        <w:tc>
          <w:tcPr>
            <w:tcW w:w="35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3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9</w:t>
            </w:r>
          </w:p>
        </w:tc>
        <w:tc>
          <w:tcPr>
            <w:tcW w:w="1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20个贫困村道路硬化项目</w:t>
            </w:r>
          </w:p>
        </w:tc>
        <w:tc>
          <w:tcPr>
            <w:tcW w:w="35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3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10</w:t>
            </w:r>
          </w:p>
        </w:tc>
        <w:tc>
          <w:tcPr>
            <w:tcW w:w="1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招呼站建设</w:t>
            </w:r>
          </w:p>
        </w:tc>
        <w:tc>
          <w:tcPr>
            <w:tcW w:w="35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11</w:t>
            </w:r>
          </w:p>
        </w:tc>
        <w:tc>
          <w:tcPr>
            <w:tcW w:w="1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应急抢险（水毁抢险、路桥养护、行道树、砍伐更新、警示标志）</w:t>
            </w:r>
          </w:p>
        </w:tc>
        <w:tc>
          <w:tcPr>
            <w:tcW w:w="35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3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430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二、水利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12</w:t>
            </w:r>
          </w:p>
        </w:tc>
        <w:tc>
          <w:tcPr>
            <w:tcW w:w="1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渌江及支流治理工程</w:t>
            </w:r>
          </w:p>
        </w:tc>
        <w:tc>
          <w:tcPr>
            <w:tcW w:w="35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13</w:t>
            </w:r>
          </w:p>
        </w:tc>
        <w:tc>
          <w:tcPr>
            <w:tcW w:w="1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中小河流治理工程</w:t>
            </w:r>
          </w:p>
        </w:tc>
        <w:tc>
          <w:tcPr>
            <w:tcW w:w="35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14</w:t>
            </w:r>
          </w:p>
        </w:tc>
        <w:tc>
          <w:tcPr>
            <w:tcW w:w="1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农村饮水安全及水源工程</w:t>
            </w:r>
          </w:p>
        </w:tc>
        <w:tc>
          <w:tcPr>
            <w:tcW w:w="35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15</w:t>
            </w:r>
          </w:p>
        </w:tc>
        <w:tc>
          <w:tcPr>
            <w:tcW w:w="1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王坊鲤鱼冲小Ⅰ型水库</w:t>
            </w:r>
          </w:p>
        </w:tc>
        <w:tc>
          <w:tcPr>
            <w:tcW w:w="35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430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三、旅游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16</w:t>
            </w:r>
          </w:p>
        </w:tc>
        <w:tc>
          <w:tcPr>
            <w:tcW w:w="1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龙之泉休闲度假区</w:t>
            </w:r>
          </w:p>
        </w:tc>
        <w:tc>
          <w:tcPr>
            <w:tcW w:w="35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430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四、民生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17</w:t>
            </w:r>
          </w:p>
        </w:tc>
        <w:tc>
          <w:tcPr>
            <w:tcW w:w="1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浦口镇污水处理厂</w:t>
            </w:r>
          </w:p>
        </w:tc>
        <w:tc>
          <w:tcPr>
            <w:tcW w:w="35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18</w:t>
            </w:r>
          </w:p>
        </w:tc>
        <w:tc>
          <w:tcPr>
            <w:tcW w:w="1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浦口镇垃圾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中转站</w:t>
            </w:r>
          </w:p>
        </w:tc>
        <w:tc>
          <w:tcPr>
            <w:tcW w:w="35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19</w:t>
            </w:r>
          </w:p>
        </w:tc>
        <w:tc>
          <w:tcPr>
            <w:tcW w:w="1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浦口镇村级活动中心</w:t>
            </w:r>
          </w:p>
        </w:tc>
        <w:tc>
          <w:tcPr>
            <w:tcW w:w="35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全镇各村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20</w:t>
            </w:r>
          </w:p>
        </w:tc>
        <w:tc>
          <w:tcPr>
            <w:tcW w:w="1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养老服务配套工程</w:t>
            </w:r>
          </w:p>
        </w:tc>
        <w:tc>
          <w:tcPr>
            <w:tcW w:w="35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430" w:type="dxa"/>
            <w:gridSpan w:val="4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五、其他</w:t>
            </w: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21</w:t>
            </w:r>
          </w:p>
        </w:tc>
        <w:tc>
          <w:tcPr>
            <w:tcW w:w="1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醴陵市第四轮安全巡查烟花鞭炮企业</w:t>
            </w:r>
          </w:p>
        </w:tc>
        <w:tc>
          <w:tcPr>
            <w:tcW w:w="35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改建</w:t>
            </w:r>
          </w:p>
        </w:tc>
        <w:tc>
          <w:tcPr>
            <w:tcW w:w="3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22</w:t>
            </w:r>
          </w:p>
        </w:tc>
        <w:tc>
          <w:tcPr>
            <w:tcW w:w="1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陶瓷产业和先进陶瓷技术创新战略联盟工程</w:t>
            </w:r>
          </w:p>
        </w:tc>
        <w:tc>
          <w:tcPr>
            <w:tcW w:w="358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新建</w:t>
            </w:r>
          </w:p>
        </w:tc>
        <w:tc>
          <w:tcPr>
            <w:tcW w:w="3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6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98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  <w:t>23</w:t>
            </w:r>
          </w:p>
        </w:tc>
        <w:tc>
          <w:tcPr>
            <w:tcW w:w="11245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华鑫电瓷科技产业园</w:t>
            </w:r>
          </w:p>
        </w:tc>
        <w:tc>
          <w:tcPr>
            <w:tcW w:w="358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新建</w:t>
            </w:r>
          </w:p>
        </w:tc>
        <w:tc>
          <w:tcPr>
            <w:tcW w:w="361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  <w:sz w:val="28"/>
          <w:szCs w:val="24"/>
        </w:rPr>
        <w:sectPr>
          <w:pgSz w:w="23814" w:h="16839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60" w:name="_Toc485889472"/>
      <w:r>
        <w:rPr>
          <w:rFonts w:ascii="Times New Roman" w:hAnsi="Times New Roman" w:eastAsia="黑体" w:cs="Times New Roman"/>
          <w:sz w:val="24"/>
          <w:szCs w:val="24"/>
        </w:rPr>
        <w:t>附表11  浦口镇土地用途分区面积统计表</w:t>
      </w:r>
      <w:bookmarkEnd w:id="60"/>
    </w:p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  <w:r>
        <w:rPr>
          <w:rFonts w:ascii="Times New Roman" w:hAnsi="Times New Roman" w:eastAsia="仿宋_GB2312" w:cs="Times New Roman"/>
          <w:szCs w:val="21"/>
        </w:rPr>
        <w:t>单位:公顷</w:t>
      </w:r>
    </w:p>
    <w:tbl>
      <w:tblPr>
        <w:tblStyle w:val="21"/>
        <w:tblW w:w="204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0"/>
        <w:gridCol w:w="2894"/>
        <w:gridCol w:w="2240"/>
        <w:gridCol w:w="2240"/>
        <w:gridCol w:w="2240"/>
        <w:gridCol w:w="2239"/>
        <w:gridCol w:w="2239"/>
        <w:gridCol w:w="2239"/>
        <w:gridCol w:w="185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40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894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240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基本农田保护区</w:t>
            </w:r>
          </w:p>
        </w:tc>
        <w:tc>
          <w:tcPr>
            <w:tcW w:w="2240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一般农地区</w:t>
            </w:r>
          </w:p>
        </w:tc>
        <w:tc>
          <w:tcPr>
            <w:tcW w:w="2240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城镇建设用地区</w:t>
            </w:r>
          </w:p>
        </w:tc>
        <w:tc>
          <w:tcPr>
            <w:tcW w:w="2239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村镇建设用地区</w:t>
            </w:r>
          </w:p>
        </w:tc>
        <w:tc>
          <w:tcPr>
            <w:tcW w:w="2239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独立工矿区</w:t>
            </w:r>
          </w:p>
        </w:tc>
        <w:tc>
          <w:tcPr>
            <w:tcW w:w="2239" w:type="dxa"/>
            <w:tcBorders>
              <w:top w:val="double" w:color="auto" w:sz="6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风景旅游用地区</w:t>
            </w:r>
          </w:p>
        </w:tc>
        <w:tc>
          <w:tcPr>
            <w:tcW w:w="1859" w:type="dxa"/>
            <w:tcBorders>
              <w:top w:val="doub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林业用地区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保丰村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122.84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13.90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68.54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3.95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25.65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贯古居委会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27.88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3.76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72.31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5.02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0.09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8.53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河泉村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65.82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101.07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26.52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12.08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1354.55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合水村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100.42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13.41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52.94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1.21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18.44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花椒村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127.00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8.84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58.80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2.09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20.54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荷花垅村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157.28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27.62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8.21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134.88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21.53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1.59 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461.65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李洲村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113.56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11.10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5.96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56.51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12.94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1.42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联盟居委会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103.83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21.54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36.75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15.15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5.49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0.73 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79.07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茅坪村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94.95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15.81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50.55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31.78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3.22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41.41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泮川村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154.67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124.32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54.02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6.91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900.85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浦口村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170.50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25.87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52.40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99.56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8.34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506.45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荣坪村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118.45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12.14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1.38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46.62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5.85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5.41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三铺村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120.42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9.25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9.50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49.55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0.48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5.44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天符居委会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101.84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19.61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42.43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39.28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2.92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3.69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王坊居委会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110.92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10.50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31.69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34.11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8.92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0.32 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73.52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89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仙石村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167.85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41.26 </w:t>
            </w:r>
          </w:p>
        </w:tc>
        <w:tc>
          <w:tcPr>
            <w:tcW w:w="2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26.39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77.76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13.29 </w:t>
            </w:r>
          </w:p>
        </w:tc>
        <w:tc>
          <w:tcPr>
            <w:tcW w:w="2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0.00 </w:t>
            </w:r>
          </w:p>
        </w:tc>
        <w:tc>
          <w:tcPr>
            <w:tcW w:w="1859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326.81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4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2894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浦口镇</w:t>
            </w:r>
          </w:p>
        </w:tc>
        <w:tc>
          <w:tcPr>
            <w:tcW w:w="224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1858.24 </w:t>
            </w:r>
          </w:p>
        </w:tc>
        <w:tc>
          <w:tcPr>
            <w:tcW w:w="224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460.00 </w:t>
            </w:r>
          </w:p>
        </w:tc>
        <w:tc>
          <w:tcPr>
            <w:tcW w:w="2240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337.57 </w:t>
            </w:r>
          </w:p>
        </w:tc>
        <w:tc>
          <w:tcPr>
            <w:tcW w:w="223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851.02 </w:t>
            </w:r>
          </w:p>
        </w:tc>
        <w:tc>
          <w:tcPr>
            <w:tcW w:w="223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109.33 </w:t>
            </w:r>
          </w:p>
        </w:tc>
        <w:tc>
          <w:tcPr>
            <w:tcW w:w="2239" w:type="dxa"/>
            <w:tcBorders>
              <w:top w:val="nil"/>
              <w:left w:val="nil"/>
              <w:bottom w:val="double" w:color="auto" w:sz="6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2.65 </w:t>
            </w:r>
          </w:p>
        </w:tc>
        <w:tc>
          <w:tcPr>
            <w:tcW w:w="1859" w:type="dxa"/>
            <w:tcBorders>
              <w:top w:val="nil"/>
              <w:left w:val="nil"/>
              <w:bottom w:val="double" w:color="auto" w:sz="6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3833.44 </w:t>
            </w:r>
          </w:p>
        </w:tc>
      </w:tr>
    </w:tbl>
    <w:p>
      <w:pPr>
        <w:snapToGrid w:val="0"/>
        <w:jc w:val="right"/>
        <w:rPr>
          <w:rFonts w:ascii="Times New Roman" w:hAnsi="Times New Roman" w:eastAsia="仿宋_GB2312" w:cs="Times New Roman"/>
          <w:szCs w:val="21"/>
        </w:rPr>
      </w:pPr>
    </w:p>
    <w:p>
      <w:pPr>
        <w:rPr>
          <w:rFonts w:ascii="Times New Roman" w:hAnsi="Times New Roman" w:eastAsia="Times New Roman" w:cs="Times New Roman"/>
          <w:sz w:val="28"/>
          <w:szCs w:val="24"/>
        </w:rPr>
        <w:sectPr>
          <w:pgSz w:w="23814" w:h="16839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center"/>
        <w:outlineLvl w:val="1"/>
        <w:rPr>
          <w:rFonts w:ascii="Times New Roman" w:hAnsi="Times New Roman" w:eastAsia="黑体" w:cs="Times New Roman"/>
          <w:sz w:val="24"/>
          <w:szCs w:val="24"/>
        </w:rPr>
      </w:pPr>
      <w:bookmarkStart w:id="61" w:name="_Toc485889473"/>
      <w:bookmarkStart w:id="62" w:name="_Toc469235341"/>
      <w:r>
        <w:rPr>
          <w:rFonts w:ascii="Times New Roman" w:hAnsi="Times New Roman" w:eastAsia="黑体" w:cs="Times New Roman"/>
          <w:sz w:val="24"/>
          <w:szCs w:val="24"/>
        </w:rPr>
        <w:t>附表12浦口镇2006-2020年地类结构平衡表</w:t>
      </w:r>
      <w:bookmarkEnd w:id="61"/>
      <w:bookmarkEnd w:id="62"/>
    </w:p>
    <w:p>
      <w:pPr>
        <w:widowControl/>
        <w:ind w:firstLine="360" w:firstLineChars="200"/>
        <w:jc w:val="right"/>
        <w:rPr>
          <w:rFonts w:ascii="Times New Roman" w:hAnsi="Times New Roman" w:eastAsia="仿宋_GB2312" w:cs="Times New Roman"/>
          <w:sz w:val="18"/>
          <w:szCs w:val="21"/>
        </w:rPr>
      </w:pPr>
      <w:r>
        <w:rPr>
          <w:rFonts w:ascii="Times New Roman" w:hAnsi="Times New Roman" w:eastAsia="仿宋_GB2312" w:cs="Times New Roman"/>
          <w:sz w:val="18"/>
          <w:szCs w:val="21"/>
        </w:rPr>
        <w:t>单位:公顷</w:t>
      </w:r>
    </w:p>
    <w:tbl>
      <w:tblPr>
        <w:tblStyle w:val="21"/>
        <w:tblW w:w="20628" w:type="dxa"/>
        <w:tblInd w:w="0" w:type="dxa"/>
        <w:tblBorders>
          <w:top w:val="double" w:color="auto" w:sz="4" w:space="0"/>
          <w:left w:val="none" w:color="auto" w:sz="0" w:space="0"/>
          <w:bottom w:val="doub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2"/>
        <w:gridCol w:w="1518"/>
        <w:gridCol w:w="1003"/>
        <w:gridCol w:w="1003"/>
        <w:gridCol w:w="937"/>
        <w:gridCol w:w="937"/>
        <w:gridCol w:w="1003"/>
        <w:gridCol w:w="937"/>
        <w:gridCol w:w="794"/>
        <w:gridCol w:w="937"/>
        <w:gridCol w:w="937"/>
        <w:gridCol w:w="937"/>
        <w:gridCol w:w="937"/>
        <w:gridCol w:w="937"/>
        <w:gridCol w:w="937"/>
        <w:gridCol w:w="937"/>
        <w:gridCol w:w="937"/>
        <w:gridCol w:w="937"/>
        <w:gridCol w:w="747"/>
        <w:gridCol w:w="937"/>
        <w:gridCol w:w="937"/>
        <w:gridCol w:w="1000"/>
      </w:tblGrid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60" w:type="dxa"/>
            <w:gridSpan w:val="2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地类</w:t>
            </w:r>
          </w:p>
        </w:tc>
        <w:tc>
          <w:tcPr>
            <w:tcW w:w="1003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规划基期现状面积</w:t>
            </w:r>
          </w:p>
        </w:tc>
        <w:tc>
          <w:tcPr>
            <w:tcW w:w="14791" w:type="dxa"/>
            <w:gridSpan w:val="1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规划期间调整至其他地类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期间减少</w:t>
            </w:r>
          </w:p>
        </w:tc>
        <w:tc>
          <w:tcPr>
            <w:tcW w:w="937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净增减</w:t>
            </w:r>
          </w:p>
        </w:tc>
        <w:tc>
          <w:tcPr>
            <w:tcW w:w="1000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规划目标年面积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6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0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5611" w:type="dxa"/>
            <w:gridSpan w:val="6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农用地</w:t>
            </w:r>
          </w:p>
        </w:tc>
        <w:tc>
          <w:tcPr>
            <w:tcW w:w="6559" w:type="dxa"/>
            <w:gridSpan w:val="7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建设用地</w:t>
            </w:r>
          </w:p>
        </w:tc>
        <w:tc>
          <w:tcPr>
            <w:tcW w:w="2621" w:type="dxa"/>
            <w:gridSpan w:val="3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其他土地</w:t>
            </w:r>
          </w:p>
        </w:tc>
        <w:tc>
          <w:tcPr>
            <w:tcW w:w="93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3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0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60" w:type="dxa"/>
            <w:gridSpan w:val="2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03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耕地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园地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林地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牧草地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其他农用地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城镇用地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农村居民点用地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采矿用地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其他独立建设用地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交通水利用地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其他建设用地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水域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自然保留地</w:t>
            </w:r>
          </w:p>
        </w:tc>
        <w:tc>
          <w:tcPr>
            <w:tcW w:w="93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937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00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土地总面积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7846.25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6374.52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1974.48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127.56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3807.73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464.75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1342.55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305.68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834.85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45.47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82.40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37.43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36.72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129.18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93.66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35.52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7846.25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农用地</w:t>
            </w: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6305.73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8.27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8.05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0.22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165.75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47.74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45.80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2.75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66.47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165.75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68.79 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6374.52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耕地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1982.46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0.18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0.18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74.30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26.56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20.38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0.22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27.14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74.48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-7.98 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1974.48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园地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25.90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0.16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0.16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2.06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0.21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1.40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0.45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2.22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101.66 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127.56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林地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3874.39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71.35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14.94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18.06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2.41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32.93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71.35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-66.66 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3807.73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牧草地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其他农用地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422.98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7.93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7.89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0.04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18.04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6.03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5.95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0.12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5.94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25.97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41.77 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464.75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建设用地</w:t>
            </w: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1384.18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219.87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47.61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103.88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0.64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67.74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19.12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5.85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0.49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12.78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219.87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-41.63 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1342.55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城镇用地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251.32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54.36 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305.68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农村居民点用地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933.89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137.13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32.61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103.88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0.64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16.47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5.17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11.30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153.60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-99.04 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834.85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采矿用地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58.19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14.34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14.34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1.13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0.06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1.07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15.47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-12.72 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45.47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其他独立建设用地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82.40 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82.40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交通水利用地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102.80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68.40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0.66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67.74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0.26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0.26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68.66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-65.37 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37.43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其他建设用地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37.98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1.26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0.42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0.43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0.41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1.26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-1.26 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36.72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其他土地</w:t>
            </w: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合计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156.34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14.67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10.84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3.83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12.49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0.77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8.28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3.15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0.29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27.16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-27.16 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129.18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水域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93.66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93.66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42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Cs w:val="21"/>
              </w:rPr>
            </w:pPr>
          </w:p>
        </w:tc>
        <w:tc>
          <w:tcPr>
            <w:tcW w:w="1518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自然保留地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62.68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14.67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10.84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3.83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12.49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0.77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8.28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3.15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0.29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>　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27.16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-27.16 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35.52 </w:t>
            </w:r>
          </w:p>
        </w:tc>
      </w:tr>
      <w:tr>
        <w:tblPrEx>
          <w:tblBorders>
            <w:top w:val="double" w:color="auto" w:sz="4" w:space="0"/>
            <w:left w:val="none" w:color="auto" w:sz="0" w:space="0"/>
            <w:bottom w:val="doub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60" w:type="dxa"/>
            <w:gridSpan w:val="2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kern w:val="0"/>
                <w:szCs w:val="21"/>
              </w:rPr>
              <w:t>期间增加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234.54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66.50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103.88 </w:t>
            </w:r>
          </w:p>
        </w:tc>
        <w:tc>
          <w:tcPr>
            <w:tcW w:w="100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4.69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94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67.74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178.24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54.36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54.56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2.75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82.40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3.29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74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93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  <w:tc>
          <w:tcPr>
            <w:tcW w:w="100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ascii="Times New Roman" w:hAnsi="Times New Roman" w:eastAsia="宋体" w:cs="Times New Roman"/>
                <w:kern w:val="0"/>
                <w:szCs w:val="21"/>
              </w:rPr>
              <w:t xml:space="preserve">0.00 </w:t>
            </w:r>
          </w:p>
        </w:tc>
      </w:tr>
    </w:tbl>
    <w:p>
      <w:pPr>
        <w:widowControl/>
        <w:spacing w:line="240" w:lineRule="exact"/>
        <w:jc w:val="center"/>
        <w:rPr>
          <w:rFonts w:ascii="Times New Roman" w:hAnsi="Times New Roman" w:eastAsia="宋体" w:cs="Times New Roman"/>
          <w:kern w:val="0"/>
          <w:sz w:val="15"/>
          <w:szCs w:val="15"/>
        </w:rPr>
      </w:pPr>
    </w:p>
    <w:sectPr>
      <w:pgSz w:w="23814" w:h="16839"/>
      <w:pgMar w:top="1134" w:right="1701" w:bottom="1440" w:left="1701" w:header="851" w:footer="992" w:gutter="0"/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107659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I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10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107658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1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8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>
    <w:pPr>
      <w:pStyle w:val="10"/>
      <w:rPr>
        <w:rFonts w:ascii="Times New Roman" w:hAnsi="Times New Roman"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1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1CCC"/>
    <w:rsid w:val="00002191"/>
    <w:rsid w:val="000139AE"/>
    <w:rsid w:val="0002597C"/>
    <w:rsid w:val="00044D4C"/>
    <w:rsid w:val="00047A70"/>
    <w:rsid w:val="0005631B"/>
    <w:rsid w:val="00065084"/>
    <w:rsid w:val="0007133B"/>
    <w:rsid w:val="00096705"/>
    <w:rsid w:val="000A4C33"/>
    <w:rsid w:val="000B2CCD"/>
    <w:rsid w:val="000B5D2E"/>
    <w:rsid w:val="000B66F3"/>
    <w:rsid w:val="000C0BE5"/>
    <w:rsid w:val="000D2A7F"/>
    <w:rsid w:val="000D4193"/>
    <w:rsid w:val="000E778D"/>
    <w:rsid w:val="000F3A70"/>
    <w:rsid w:val="00113197"/>
    <w:rsid w:val="00116B06"/>
    <w:rsid w:val="00123E2E"/>
    <w:rsid w:val="00176BDC"/>
    <w:rsid w:val="00177762"/>
    <w:rsid w:val="00190F0F"/>
    <w:rsid w:val="0019609D"/>
    <w:rsid w:val="00197416"/>
    <w:rsid w:val="00197CE2"/>
    <w:rsid w:val="001A16B1"/>
    <w:rsid w:val="001A7317"/>
    <w:rsid w:val="001A7F50"/>
    <w:rsid w:val="001B360B"/>
    <w:rsid w:val="001C4C39"/>
    <w:rsid w:val="001D221C"/>
    <w:rsid w:val="001D2C41"/>
    <w:rsid w:val="001D3DEF"/>
    <w:rsid w:val="001E0D7B"/>
    <w:rsid w:val="00210EEE"/>
    <w:rsid w:val="00212831"/>
    <w:rsid w:val="00226878"/>
    <w:rsid w:val="00244FCF"/>
    <w:rsid w:val="00247FC3"/>
    <w:rsid w:val="002528CA"/>
    <w:rsid w:val="00261BDF"/>
    <w:rsid w:val="00265AEB"/>
    <w:rsid w:val="002761D3"/>
    <w:rsid w:val="002A4E11"/>
    <w:rsid w:val="002D21D5"/>
    <w:rsid w:val="002D55EB"/>
    <w:rsid w:val="002E1602"/>
    <w:rsid w:val="002E23C8"/>
    <w:rsid w:val="002E5A27"/>
    <w:rsid w:val="002E6823"/>
    <w:rsid w:val="002F616A"/>
    <w:rsid w:val="00306B13"/>
    <w:rsid w:val="00307A6E"/>
    <w:rsid w:val="00307A88"/>
    <w:rsid w:val="0031190C"/>
    <w:rsid w:val="00323445"/>
    <w:rsid w:val="00330D2A"/>
    <w:rsid w:val="00332A25"/>
    <w:rsid w:val="00355373"/>
    <w:rsid w:val="00397A1C"/>
    <w:rsid w:val="003B3FAB"/>
    <w:rsid w:val="003C400F"/>
    <w:rsid w:val="003E0D97"/>
    <w:rsid w:val="004052D6"/>
    <w:rsid w:val="00405CF0"/>
    <w:rsid w:val="00407FD8"/>
    <w:rsid w:val="00411812"/>
    <w:rsid w:val="00413139"/>
    <w:rsid w:val="00413E2B"/>
    <w:rsid w:val="00414AB2"/>
    <w:rsid w:val="0042092F"/>
    <w:rsid w:val="0042182E"/>
    <w:rsid w:val="004301EE"/>
    <w:rsid w:val="00455601"/>
    <w:rsid w:val="0045594C"/>
    <w:rsid w:val="00460252"/>
    <w:rsid w:val="004674B7"/>
    <w:rsid w:val="00485F74"/>
    <w:rsid w:val="004B5E06"/>
    <w:rsid w:val="004C5B08"/>
    <w:rsid w:val="004C6467"/>
    <w:rsid w:val="004C68A2"/>
    <w:rsid w:val="004D5D91"/>
    <w:rsid w:val="004E7C7D"/>
    <w:rsid w:val="004F2B8D"/>
    <w:rsid w:val="00500873"/>
    <w:rsid w:val="00502A4F"/>
    <w:rsid w:val="00503DD0"/>
    <w:rsid w:val="0050480A"/>
    <w:rsid w:val="00506796"/>
    <w:rsid w:val="00527ADA"/>
    <w:rsid w:val="00530243"/>
    <w:rsid w:val="00533601"/>
    <w:rsid w:val="00542D43"/>
    <w:rsid w:val="005873CA"/>
    <w:rsid w:val="00595A6E"/>
    <w:rsid w:val="005B1F06"/>
    <w:rsid w:val="005B2D5F"/>
    <w:rsid w:val="005B59EB"/>
    <w:rsid w:val="005D09A1"/>
    <w:rsid w:val="005E0424"/>
    <w:rsid w:val="005E33E0"/>
    <w:rsid w:val="005E3A2F"/>
    <w:rsid w:val="005F0BF9"/>
    <w:rsid w:val="00612BCE"/>
    <w:rsid w:val="00615181"/>
    <w:rsid w:val="006163CC"/>
    <w:rsid w:val="00627537"/>
    <w:rsid w:val="00642303"/>
    <w:rsid w:val="00660EBD"/>
    <w:rsid w:val="00665202"/>
    <w:rsid w:val="00675EE3"/>
    <w:rsid w:val="0068726D"/>
    <w:rsid w:val="00691E89"/>
    <w:rsid w:val="00695D0E"/>
    <w:rsid w:val="0069704A"/>
    <w:rsid w:val="006A5847"/>
    <w:rsid w:val="006A648B"/>
    <w:rsid w:val="006B1F4E"/>
    <w:rsid w:val="006B5B7A"/>
    <w:rsid w:val="006B6CD1"/>
    <w:rsid w:val="006E4616"/>
    <w:rsid w:val="006E7807"/>
    <w:rsid w:val="006F1884"/>
    <w:rsid w:val="00711027"/>
    <w:rsid w:val="00711519"/>
    <w:rsid w:val="00776CB6"/>
    <w:rsid w:val="007952E2"/>
    <w:rsid w:val="007B1076"/>
    <w:rsid w:val="007C1AF6"/>
    <w:rsid w:val="007D6EC1"/>
    <w:rsid w:val="007E25C4"/>
    <w:rsid w:val="007E5A19"/>
    <w:rsid w:val="007E5D49"/>
    <w:rsid w:val="007F3DBC"/>
    <w:rsid w:val="00817EA4"/>
    <w:rsid w:val="008213D6"/>
    <w:rsid w:val="008223EC"/>
    <w:rsid w:val="00841A31"/>
    <w:rsid w:val="00850984"/>
    <w:rsid w:val="0086255B"/>
    <w:rsid w:val="00865D22"/>
    <w:rsid w:val="008700C3"/>
    <w:rsid w:val="008767DB"/>
    <w:rsid w:val="00884793"/>
    <w:rsid w:val="00890CB1"/>
    <w:rsid w:val="00894868"/>
    <w:rsid w:val="008A6807"/>
    <w:rsid w:val="008C1099"/>
    <w:rsid w:val="008C5C79"/>
    <w:rsid w:val="008E1B3C"/>
    <w:rsid w:val="008E357D"/>
    <w:rsid w:val="00902DC5"/>
    <w:rsid w:val="00922A87"/>
    <w:rsid w:val="009230A7"/>
    <w:rsid w:val="009272A5"/>
    <w:rsid w:val="0093500E"/>
    <w:rsid w:val="009357DF"/>
    <w:rsid w:val="00952008"/>
    <w:rsid w:val="00956CAA"/>
    <w:rsid w:val="009672FA"/>
    <w:rsid w:val="009722E4"/>
    <w:rsid w:val="00983D79"/>
    <w:rsid w:val="00992F7D"/>
    <w:rsid w:val="009B4096"/>
    <w:rsid w:val="009B6B1A"/>
    <w:rsid w:val="009C0AB9"/>
    <w:rsid w:val="009C2169"/>
    <w:rsid w:val="009C7C0E"/>
    <w:rsid w:val="009F1057"/>
    <w:rsid w:val="009F5160"/>
    <w:rsid w:val="00A125E4"/>
    <w:rsid w:val="00A13612"/>
    <w:rsid w:val="00A147EE"/>
    <w:rsid w:val="00A154F8"/>
    <w:rsid w:val="00A32E24"/>
    <w:rsid w:val="00A348C7"/>
    <w:rsid w:val="00A36557"/>
    <w:rsid w:val="00A4599F"/>
    <w:rsid w:val="00A46CED"/>
    <w:rsid w:val="00A5247F"/>
    <w:rsid w:val="00A5312F"/>
    <w:rsid w:val="00A7599D"/>
    <w:rsid w:val="00A84EA5"/>
    <w:rsid w:val="00AA7770"/>
    <w:rsid w:val="00AB4459"/>
    <w:rsid w:val="00AB581B"/>
    <w:rsid w:val="00AC5148"/>
    <w:rsid w:val="00AC6CBC"/>
    <w:rsid w:val="00AD6460"/>
    <w:rsid w:val="00AD654D"/>
    <w:rsid w:val="00AE46A7"/>
    <w:rsid w:val="00AF2CDB"/>
    <w:rsid w:val="00B06217"/>
    <w:rsid w:val="00B118A1"/>
    <w:rsid w:val="00B23B75"/>
    <w:rsid w:val="00B27419"/>
    <w:rsid w:val="00B322E9"/>
    <w:rsid w:val="00B475FC"/>
    <w:rsid w:val="00B65401"/>
    <w:rsid w:val="00B70738"/>
    <w:rsid w:val="00B720A0"/>
    <w:rsid w:val="00B72120"/>
    <w:rsid w:val="00B90961"/>
    <w:rsid w:val="00BB77FA"/>
    <w:rsid w:val="00BC3A96"/>
    <w:rsid w:val="00BD683E"/>
    <w:rsid w:val="00BE3500"/>
    <w:rsid w:val="00BE7272"/>
    <w:rsid w:val="00BF672B"/>
    <w:rsid w:val="00C035BE"/>
    <w:rsid w:val="00C11A65"/>
    <w:rsid w:val="00C11C26"/>
    <w:rsid w:val="00C16556"/>
    <w:rsid w:val="00C2322D"/>
    <w:rsid w:val="00C31371"/>
    <w:rsid w:val="00C32A3D"/>
    <w:rsid w:val="00C33B57"/>
    <w:rsid w:val="00C360DA"/>
    <w:rsid w:val="00C47893"/>
    <w:rsid w:val="00C534A9"/>
    <w:rsid w:val="00C63C8E"/>
    <w:rsid w:val="00C67BA9"/>
    <w:rsid w:val="00C7492D"/>
    <w:rsid w:val="00C7638D"/>
    <w:rsid w:val="00C93252"/>
    <w:rsid w:val="00C944A5"/>
    <w:rsid w:val="00CA2832"/>
    <w:rsid w:val="00CC0586"/>
    <w:rsid w:val="00CE0462"/>
    <w:rsid w:val="00CF02D1"/>
    <w:rsid w:val="00CF7FE6"/>
    <w:rsid w:val="00D00478"/>
    <w:rsid w:val="00D02703"/>
    <w:rsid w:val="00D04505"/>
    <w:rsid w:val="00D12925"/>
    <w:rsid w:val="00D4157F"/>
    <w:rsid w:val="00D41C80"/>
    <w:rsid w:val="00D46B30"/>
    <w:rsid w:val="00D50878"/>
    <w:rsid w:val="00D569A9"/>
    <w:rsid w:val="00D64832"/>
    <w:rsid w:val="00D65C02"/>
    <w:rsid w:val="00D80DCA"/>
    <w:rsid w:val="00D8312E"/>
    <w:rsid w:val="00D841DE"/>
    <w:rsid w:val="00DA336C"/>
    <w:rsid w:val="00DA34BB"/>
    <w:rsid w:val="00DB4D99"/>
    <w:rsid w:val="00DC7474"/>
    <w:rsid w:val="00DE04F7"/>
    <w:rsid w:val="00DF084B"/>
    <w:rsid w:val="00DF58F7"/>
    <w:rsid w:val="00DF7D81"/>
    <w:rsid w:val="00E01CCD"/>
    <w:rsid w:val="00E069C3"/>
    <w:rsid w:val="00E100CD"/>
    <w:rsid w:val="00E106A5"/>
    <w:rsid w:val="00E11ABA"/>
    <w:rsid w:val="00E412DD"/>
    <w:rsid w:val="00E464D0"/>
    <w:rsid w:val="00E55AC3"/>
    <w:rsid w:val="00E60AB5"/>
    <w:rsid w:val="00E64BC0"/>
    <w:rsid w:val="00E7102B"/>
    <w:rsid w:val="00E71DDF"/>
    <w:rsid w:val="00E80FBB"/>
    <w:rsid w:val="00E94924"/>
    <w:rsid w:val="00E951A9"/>
    <w:rsid w:val="00EA46CD"/>
    <w:rsid w:val="00EB12C1"/>
    <w:rsid w:val="00EC0B3F"/>
    <w:rsid w:val="00EC7344"/>
    <w:rsid w:val="00EE4B2C"/>
    <w:rsid w:val="00F16709"/>
    <w:rsid w:val="00F17CFF"/>
    <w:rsid w:val="00F3487F"/>
    <w:rsid w:val="00F36BAA"/>
    <w:rsid w:val="00F41CCC"/>
    <w:rsid w:val="00F4632C"/>
    <w:rsid w:val="00F60AAA"/>
    <w:rsid w:val="00F65549"/>
    <w:rsid w:val="00F713C5"/>
    <w:rsid w:val="00F725DC"/>
    <w:rsid w:val="00F75BB7"/>
    <w:rsid w:val="00F80C75"/>
    <w:rsid w:val="00FC1C55"/>
    <w:rsid w:val="00FC29C9"/>
    <w:rsid w:val="00FD3B73"/>
    <w:rsid w:val="608403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30"/>
    <w:qFormat/>
    <w:uiPriority w:val="0"/>
    <w:pPr>
      <w:keepNext/>
      <w:keepLines/>
      <w:widowControl/>
      <w:spacing w:before="260" w:after="260" w:line="416" w:lineRule="auto"/>
      <w:jc w:val="left"/>
      <w:outlineLvl w:val="1"/>
    </w:pPr>
    <w:rPr>
      <w:rFonts w:ascii="Cambria" w:hAnsi="Cambria" w:eastAsia="Times New Roman" w:cs="Times New Roman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9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subject"/>
    <w:basedOn w:val="7"/>
    <w:next w:val="7"/>
    <w:link w:val="83"/>
    <w:semiHidden/>
    <w:unhideWhenUsed/>
    <w:uiPriority w:val="99"/>
    <w:rPr>
      <w:b/>
      <w:bCs/>
    </w:rPr>
  </w:style>
  <w:style w:type="paragraph" w:styleId="7">
    <w:name w:val="annotation text"/>
    <w:basedOn w:val="1"/>
    <w:link w:val="82"/>
    <w:semiHidden/>
    <w:unhideWhenUsed/>
    <w:uiPriority w:val="99"/>
    <w:pPr>
      <w:jc w:val="left"/>
    </w:pPr>
  </w:style>
  <w:style w:type="paragraph" w:styleId="8">
    <w:name w:val="Document Map"/>
    <w:basedOn w:val="1"/>
    <w:link w:val="25"/>
    <w:semiHidden/>
    <w:unhideWhenUsed/>
    <w:qFormat/>
    <w:uiPriority w:val="99"/>
    <w:rPr>
      <w:rFonts w:ascii="宋体" w:eastAsia="宋体"/>
      <w:sz w:val="18"/>
      <w:szCs w:val="18"/>
    </w:rPr>
  </w:style>
  <w:style w:type="paragraph" w:styleId="9">
    <w:name w:val="Balloon Text"/>
    <w:basedOn w:val="1"/>
    <w:link w:val="84"/>
    <w:semiHidden/>
    <w:unhideWhenUsed/>
    <w:uiPriority w:val="99"/>
    <w:rPr>
      <w:sz w:val="18"/>
      <w:szCs w:val="18"/>
    </w:rPr>
  </w:style>
  <w:style w:type="paragraph" w:styleId="10">
    <w:name w:val="footer"/>
    <w:basedOn w:val="1"/>
    <w:link w:val="2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toc 1"/>
    <w:basedOn w:val="1"/>
    <w:next w:val="1"/>
    <w:unhideWhenUsed/>
    <w:qFormat/>
    <w:uiPriority w:val="39"/>
    <w:pPr>
      <w:spacing w:line="360" w:lineRule="auto"/>
      <w:outlineLvl w:val="0"/>
    </w:pPr>
    <w:rPr>
      <w:rFonts w:ascii="Times New Roman" w:hAnsi="Times New Roman" w:eastAsia="黑体"/>
      <w:sz w:val="28"/>
    </w:rPr>
  </w:style>
  <w:style w:type="paragraph" w:styleId="13">
    <w:name w:val="footnote text"/>
    <w:basedOn w:val="1"/>
    <w:link w:val="65"/>
    <w:qFormat/>
    <w:uiPriority w:val="0"/>
    <w:pPr>
      <w:snapToGrid w:val="0"/>
      <w:jc w:val="left"/>
    </w:pPr>
    <w:rPr>
      <w:rFonts w:ascii="Times New Roman" w:hAnsi="Times New Roman" w:eastAsia="Times New Roman" w:cs="Times New Roman"/>
      <w:sz w:val="18"/>
      <w:szCs w:val="18"/>
    </w:rPr>
  </w:style>
  <w:style w:type="paragraph" w:styleId="14">
    <w:name w:val="toc 2"/>
    <w:basedOn w:val="1"/>
    <w:next w:val="1"/>
    <w:link w:val="66"/>
    <w:unhideWhenUsed/>
    <w:qFormat/>
    <w:uiPriority w:val="39"/>
    <w:pPr>
      <w:tabs>
        <w:tab w:val="right" w:leader="dot" w:pos="9923"/>
      </w:tabs>
      <w:spacing w:line="360" w:lineRule="auto"/>
      <w:ind w:left="420" w:leftChars="200"/>
      <w:jc w:val="left"/>
      <w:outlineLvl w:val="1"/>
    </w:pPr>
    <w:rPr>
      <w:rFonts w:ascii="Times New Roman" w:hAnsi="Times New Roman" w:eastAsia="黑体" w:cs="Times New Roman"/>
      <w:color w:val="0070C0"/>
      <w:kern w:val="0"/>
      <w:sz w:val="24"/>
      <w:szCs w:val="32"/>
    </w:rPr>
  </w:style>
  <w:style w:type="character" w:styleId="16">
    <w:name w:val="Strong"/>
    <w:qFormat/>
    <w:uiPriority w:val="0"/>
    <w:rPr>
      <w:b/>
      <w:bCs/>
    </w:rPr>
  </w:style>
  <w:style w:type="character" w:styleId="17">
    <w:name w:val="page number"/>
    <w:basedOn w:val="15"/>
    <w:uiPriority w:val="0"/>
  </w:style>
  <w:style w:type="character" w:styleId="18">
    <w:name w:val="Hyperlink"/>
    <w:basedOn w:val="15"/>
    <w:unhideWhenUsed/>
    <w:uiPriority w:val="99"/>
    <w:rPr>
      <w:color w:val="0000FF" w:themeColor="hyperlink"/>
      <w:u w:val="single"/>
    </w:rPr>
  </w:style>
  <w:style w:type="character" w:styleId="19">
    <w:name w:val="annotation reference"/>
    <w:basedOn w:val="15"/>
    <w:semiHidden/>
    <w:unhideWhenUsed/>
    <w:uiPriority w:val="99"/>
    <w:rPr>
      <w:sz w:val="21"/>
      <w:szCs w:val="21"/>
    </w:rPr>
  </w:style>
  <w:style w:type="character" w:styleId="20">
    <w:name w:val="footnote reference"/>
    <w:basedOn w:val="15"/>
    <w:uiPriority w:val="0"/>
    <w:rPr>
      <w:vertAlign w:val="superscript"/>
    </w:rPr>
  </w:style>
  <w:style w:type="table" w:styleId="22">
    <w:name w:val="Table Grid"/>
    <w:basedOn w:val="21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页眉 Char"/>
    <w:basedOn w:val="15"/>
    <w:link w:val="11"/>
    <w:qFormat/>
    <w:uiPriority w:val="99"/>
    <w:rPr>
      <w:sz w:val="18"/>
      <w:szCs w:val="18"/>
    </w:rPr>
  </w:style>
  <w:style w:type="character" w:customStyle="1" w:styleId="24">
    <w:name w:val="页脚 Char"/>
    <w:basedOn w:val="15"/>
    <w:link w:val="10"/>
    <w:qFormat/>
    <w:uiPriority w:val="99"/>
    <w:rPr>
      <w:sz w:val="18"/>
      <w:szCs w:val="18"/>
    </w:rPr>
  </w:style>
  <w:style w:type="character" w:customStyle="1" w:styleId="25">
    <w:name w:val="文档结构图 Char"/>
    <w:basedOn w:val="15"/>
    <w:link w:val="8"/>
    <w:uiPriority w:val="0"/>
    <w:rPr>
      <w:rFonts w:ascii="宋体" w:eastAsia="宋体"/>
      <w:sz w:val="18"/>
      <w:szCs w:val="18"/>
    </w:rPr>
  </w:style>
  <w:style w:type="character" w:customStyle="1" w:styleId="26">
    <w:name w:val="标题 3 Char"/>
    <w:basedOn w:val="15"/>
    <w:link w:val="4"/>
    <w:uiPriority w:val="0"/>
    <w:rPr>
      <w:b/>
      <w:bCs/>
      <w:sz w:val="32"/>
      <w:szCs w:val="32"/>
    </w:rPr>
  </w:style>
  <w:style w:type="character" w:customStyle="1" w:styleId="27">
    <w:name w:val="标题 1 Char"/>
    <w:basedOn w:val="15"/>
    <w:link w:val="2"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8">
    <w:name w:val="标题 2 Char"/>
    <w:basedOn w:val="15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9">
    <w:name w:val="标题 4 Char"/>
    <w:basedOn w:val="15"/>
    <w:link w:val="5"/>
    <w:qFormat/>
    <w:uiPriority w:val="0"/>
    <w:rPr>
      <w:rFonts w:ascii="Arial" w:hAnsi="Arial" w:eastAsia="黑体" w:cs="Times New Roman"/>
      <w:b/>
      <w:bCs/>
      <w:sz w:val="28"/>
      <w:szCs w:val="28"/>
    </w:rPr>
  </w:style>
  <w:style w:type="character" w:customStyle="1" w:styleId="30">
    <w:name w:val="标题 2 Char1"/>
    <w:link w:val="3"/>
    <w:qFormat/>
    <w:uiPriority w:val="0"/>
    <w:rPr>
      <w:rFonts w:ascii="Cambria" w:hAnsi="Cambria" w:eastAsia="Times New Roman" w:cs="Times New Roman"/>
      <w:b/>
      <w:bCs/>
      <w:kern w:val="0"/>
      <w:sz w:val="32"/>
      <w:szCs w:val="32"/>
    </w:rPr>
  </w:style>
  <w:style w:type="paragraph" w:customStyle="1" w:styleId="31">
    <w:name w:val="Char Char Char Char"/>
    <w:basedOn w:val="8"/>
    <w:qFormat/>
    <w:uiPriority w:val="0"/>
  </w:style>
  <w:style w:type="character" w:customStyle="1" w:styleId="32">
    <w:name w:val="文档结构图 Char1"/>
    <w:basedOn w:val="15"/>
    <w:semiHidden/>
    <w:qFormat/>
    <w:uiPriority w:val="99"/>
    <w:rPr>
      <w:rFonts w:eastAsia="Times New Roman"/>
      <w:kern w:val="2"/>
      <w:sz w:val="28"/>
      <w:szCs w:val="24"/>
      <w:shd w:val="clear" w:color="auto" w:fill="000080"/>
    </w:rPr>
  </w:style>
  <w:style w:type="paragraph" w:customStyle="1" w:styleId="33">
    <w:name w:val="正文专用"/>
    <w:basedOn w:val="1"/>
    <w:qFormat/>
    <w:uiPriority w:val="0"/>
    <w:pPr>
      <w:snapToGrid w:val="0"/>
      <w:spacing w:line="360" w:lineRule="auto"/>
      <w:ind w:firstLine="560" w:firstLineChars="200"/>
      <w:jc w:val="left"/>
    </w:pPr>
    <w:rPr>
      <w:rFonts w:ascii="Times New Roman" w:hAnsi="Times New Roman" w:eastAsia="仿宋_GB2312" w:cs="Times New Roman"/>
      <w:sz w:val="28"/>
      <w:szCs w:val="21"/>
    </w:rPr>
  </w:style>
  <w:style w:type="character" w:customStyle="1" w:styleId="34">
    <w:name w:val="纯文本 Char"/>
    <w:basedOn w:val="15"/>
    <w:link w:val="35"/>
    <w:uiPriority w:val="0"/>
    <w:rPr>
      <w:rFonts w:ascii="宋体" w:hAnsi="Courier New"/>
      <w:lang w:val="en-US" w:eastAsia="zh-CN"/>
    </w:rPr>
  </w:style>
  <w:style w:type="paragraph" w:customStyle="1" w:styleId="35">
    <w:name w:val="纯文本1"/>
    <w:basedOn w:val="1"/>
    <w:link w:val="34"/>
    <w:qFormat/>
    <w:uiPriority w:val="0"/>
    <w:rPr>
      <w:rFonts w:ascii="宋体" w:hAnsi="Courier New"/>
    </w:rPr>
  </w:style>
  <w:style w:type="character" w:customStyle="1" w:styleId="36">
    <w:name w:val="txt1"/>
    <w:qFormat/>
    <w:uiPriority w:val="0"/>
    <w:rPr>
      <w:color w:val="000000"/>
      <w:sz w:val="22"/>
      <w:szCs w:val="22"/>
    </w:rPr>
  </w:style>
  <w:style w:type="character" w:customStyle="1" w:styleId="37">
    <w:name w:val="正文文本缩进 Char"/>
    <w:basedOn w:val="15"/>
    <w:link w:val="38"/>
    <w:uiPriority w:val="0"/>
    <w:rPr>
      <w:rFonts w:eastAsia="仿宋"/>
      <w:sz w:val="28"/>
      <w:szCs w:val="24"/>
    </w:rPr>
  </w:style>
  <w:style w:type="paragraph" w:customStyle="1" w:styleId="38">
    <w:name w:val="正文文本缩进1"/>
    <w:basedOn w:val="1"/>
    <w:link w:val="37"/>
    <w:qFormat/>
    <w:uiPriority w:val="0"/>
    <w:pPr>
      <w:ind w:firstLine="540" w:firstLineChars="257"/>
    </w:pPr>
    <w:rPr>
      <w:rFonts w:eastAsia="仿宋"/>
      <w:sz w:val="28"/>
      <w:szCs w:val="24"/>
    </w:rPr>
  </w:style>
  <w:style w:type="character" w:customStyle="1" w:styleId="39">
    <w:name w:val="正文文本缩进 3 Char"/>
    <w:basedOn w:val="15"/>
    <w:link w:val="40"/>
    <w:uiPriority w:val="0"/>
    <w:rPr>
      <w:rFonts w:eastAsia="仿宋"/>
      <w:color w:val="000000"/>
      <w:sz w:val="24"/>
      <w:szCs w:val="24"/>
    </w:rPr>
  </w:style>
  <w:style w:type="paragraph" w:customStyle="1" w:styleId="40">
    <w:name w:val="正文文本缩进 31"/>
    <w:basedOn w:val="1"/>
    <w:link w:val="39"/>
    <w:qFormat/>
    <w:uiPriority w:val="0"/>
    <w:pPr>
      <w:spacing w:beforeLines="50" w:afterLines="50" w:line="400" w:lineRule="exact"/>
      <w:ind w:firstLine="480" w:firstLineChars="200"/>
    </w:pPr>
    <w:rPr>
      <w:rFonts w:eastAsia="仿宋"/>
      <w:color w:val="000000"/>
      <w:sz w:val="24"/>
      <w:szCs w:val="24"/>
    </w:rPr>
  </w:style>
  <w:style w:type="character" w:customStyle="1" w:styleId="41">
    <w:name w:val="普通文字 Char Char Char Char Char Char Char Char"/>
    <w:qFormat/>
    <w:uiPriority w:val="0"/>
    <w:rPr>
      <w:rFonts w:ascii="宋体" w:hAnsi="Courier New" w:eastAsia="宋体"/>
      <w:kern w:val="2"/>
      <w:sz w:val="21"/>
      <w:lang w:val="en-US" w:eastAsia="zh-CN"/>
    </w:rPr>
  </w:style>
  <w:style w:type="character" w:customStyle="1" w:styleId="42">
    <w:name w:val="highlight1"/>
    <w:qFormat/>
    <w:uiPriority w:val="0"/>
    <w:rPr>
      <w:sz w:val="21"/>
      <w:szCs w:val="21"/>
    </w:rPr>
  </w:style>
  <w:style w:type="character" w:customStyle="1" w:styleId="43">
    <w:name w:val="正文文本缩进 2 Char"/>
    <w:basedOn w:val="15"/>
    <w:link w:val="44"/>
    <w:qFormat/>
    <w:uiPriority w:val="0"/>
    <w:rPr>
      <w:rFonts w:eastAsia="仿宋"/>
      <w:sz w:val="28"/>
      <w:szCs w:val="24"/>
    </w:rPr>
  </w:style>
  <w:style w:type="paragraph" w:customStyle="1" w:styleId="44">
    <w:name w:val="正文文本缩进 21"/>
    <w:basedOn w:val="1"/>
    <w:link w:val="43"/>
    <w:uiPriority w:val="0"/>
    <w:pPr>
      <w:spacing w:after="120" w:line="480" w:lineRule="auto"/>
      <w:ind w:left="420"/>
    </w:pPr>
    <w:rPr>
      <w:rFonts w:eastAsia="仿宋"/>
      <w:sz w:val="28"/>
      <w:szCs w:val="24"/>
    </w:rPr>
  </w:style>
  <w:style w:type="character" w:customStyle="1" w:styleId="45">
    <w:name w:val="正文文本 Char"/>
    <w:basedOn w:val="15"/>
    <w:link w:val="46"/>
    <w:uiPriority w:val="0"/>
    <w:rPr>
      <w:rFonts w:eastAsia="仿宋"/>
      <w:sz w:val="28"/>
      <w:szCs w:val="24"/>
    </w:rPr>
  </w:style>
  <w:style w:type="paragraph" w:customStyle="1" w:styleId="46">
    <w:name w:val="正文文本1"/>
    <w:basedOn w:val="1"/>
    <w:link w:val="45"/>
    <w:qFormat/>
    <w:uiPriority w:val="0"/>
    <w:pPr>
      <w:spacing w:after="120"/>
    </w:pPr>
    <w:rPr>
      <w:rFonts w:eastAsia="仿宋"/>
      <w:sz w:val="28"/>
      <w:szCs w:val="24"/>
    </w:rPr>
  </w:style>
  <w:style w:type="character" w:customStyle="1" w:styleId="47">
    <w:name w:val="f14b1"/>
    <w:uiPriority w:val="0"/>
    <w:rPr>
      <w:b/>
      <w:bCs/>
      <w:sz w:val="21"/>
      <w:szCs w:val="21"/>
    </w:rPr>
  </w:style>
  <w:style w:type="character" w:customStyle="1" w:styleId="48">
    <w:name w:val="日期 Char"/>
    <w:basedOn w:val="15"/>
    <w:link w:val="49"/>
    <w:qFormat/>
    <w:uiPriority w:val="0"/>
    <w:rPr>
      <w:rFonts w:eastAsia="仿宋"/>
      <w:sz w:val="28"/>
    </w:rPr>
  </w:style>
  <w:style w:type="paragraph" w:customStyle="1" w:styleId="49">
    <w:name w:val="日期1"/>
    <w:basedOn w:val="1"/>
    <w:next w:val="1"/>
    <w:link w:val="48"/>
    <w:qFormat/>
    <w:uiPriority w:val="0"/>
    <w:rPr>
      <w:rFonts w:eastAsia="仿宋"/>
      <w:sz w:val="28"/>
    </w:rPr>
  </w:style>
  <w:style w:type="character" w:customStyle="1" w:styleId="50">
    <w:name w:val="批注框文本 Char"/>
    <w:basedOn w:val="15"/>
    <w:link w:val="51"/>
    <w:uiPriority w:val="0"/>
    <w:rPr>
      <w:rFonts w:eastAsia="仿宋"/>
      <w:sz w:val="18"/>
      <w:szCs w:val="18"/>
    </w:rPr>
  </w:style>
  <w:style w:type="paragraph" w:customStyle="1" w:styleId="51">
    <w:name w:val="批注框文本1"/>
    <w:basedOn w:val="1"/>
    <w:link w:val="50"/>
    <w:qFormat/>
    <w:uiPriority w:val="0"/>
    <w:rPr>
      <w:rFonts w:eastAsia="仿宋"/>
      <w:sz w:val="18"/>
      <w:szCs w:val="18"/>
    </w:rPr>
  </w:style>
  <w:style w:type="character" w:customStyle="1" w:styleId="52">
    <w:name w:val="biaoti1"/>
    <w:uiPriority w:val="0"/>
    <w:rPr>
      <w:b/>
      <w:bCs/>
      <w:sz w:val="49"/>
      <w:szCs w:val="49"/>
    </w:rPr>
  </w:style>
  <w:style w:type="character" w:customStyle="1" w:styleId="53">
    <w:name w:val="批注引用1"/>
    <w:qFormat/>
    <w:uiPriority w:val="0"/>
    <w:rPr>
      <w:sz w:val="21"/>
      <w:szCs w:val="21"/>
    </w:rPr>
  </w:style>
  <w:style w:type="character" w:customStyle="1" w:styleId="54">
    <w:name w:val="批注文字 Char"/>
    <w:basedOn w:val="15"/>
    <w:link w:val="55"/>
    <w:qFormat/>
    <w:uiPriority w:val="0"/>
    <w:rPr>
      <w:rFonts w:eastAsia="仿宋"/>
      <w:sz w:val="28"/>
      <w:szCs w:val="24"/>
    </w:rPr>
  </w:style>
  <w:style w:type="paragraph" w:customStyle="1" w:styleId="55">
    <w:name w:val="批注文字1"/>
    <w:basedOn w:val="1"/>
    <w:link w:val="54"/>
    <w:qFormat/>
    <w:uiPriority w:val="0"/>
    <w:pPr>
      <w:jc w:val="left"/>
    </w:pPr>
    <w:rPr>
      <w:rFonts w:eastAsia="仿宋"/>
      <w:sz w:val="28"/>
      <w:szCs w:val="24"/>
    </w:rPr>
  </w:style>
  <w:style w:type="character" w:customStyle="1" w:styleId="56">
    <w:name w:val="已访问的超链接1"/>
    <w:uiPriority w:val="0"/>
    <w:rPr>
      <w:color w:val="800080"/>
      <w:u w:val="single"/>
    </w:rPr>
  </w:style>
  <w:style w:type="character" w:customStyle="1" w:styleId="57">
    <w:name w:val="脚注文本 Char"/>
    <w:basedOn w:val="15"/>
    <w:link w:val="58"/>
    <w:uiPriority w:val="0"/>
    <w:rPr>
      <w:rFonts w:eastAsia="仿宋"/>
      <w:sz w:val="18"/>
      <w:szCs w:val="18"/>
    </w:rPr>
  </w:style>
  <w:style w:type="paragraph" w:customStyle="1" w:styleId="58">
    <w:name w:val="脚注文本1"/>
    <w:basedOn w:val="1"/>
    <w:link w:val="57"/>
    <w:uiPriority w:val="0"/>
    <w:pPr>
      <w:snapToGrid w:val="0"/>
      <w:jc w:val="left"/>
    </w:pPr>
    <w:rPr>
      <w:rFonts w:eastAsia="仿宋"/>
      <w:sz w:val="18"/>
      <w:szCs w:val="18"/>
    </w:rPr>
  </w:style>
  <w:style w:type="character" w:customStyle="1" w:styleId="59">
    <w:name w:val="脚注引用1"/>
    <w:uiPriority w:val="0"/>
    <w:rPr>
      <w:vertAlign w:val="superscript"/>
    </w:rPr>
  </w:style>
  <w:style w:type="character" w:customStyle="1" w:styleId="60">
    <w:name w:val="批注主题 Char"/>
    <w:basedOn w:val="54"/>
    <w:link w:val="61"/>
    <w:uiPriority w:val="0"/>
    <w:rPr>
      <w:rFonts w:eastAsia="仿宋"/>
      <w:b/>
      <w:bCs/>
      <w:sz w:val="28"/>
      <w:szCs w:val="24"/>
    </w:rPr>
  </w:style>
  <w:style w:type="paragraph" w:customStyle="1" w:styleId="61">
    <w:name w:val="批注主题1"/>
    <w:basedOn w:val="55"/>
    <w:next w:val="55"/>
    <w:link w:val="60"/>
    <w:uiPriority w:val="0"/>
    <w:rPr>
      <w:b/>
      <w:bCs/>
    </w:rPr>
  </w:style>
  <w:style w:type="paragraph" w:customStyle="1" w:styleId="62">
    <w:name w:val="文档结构图1"/>
    <w:basedOn w:val="1"/>
    <w:uiPriority w:val="0"/>
    <w:pPr>
      <w:shd w:val="clear" w:color="auto" w:fill="000080"/>
    </w:pPr>
    <w:rPr>
      <w:rFonts w:ascii="Times New Roman" w:hAnsi="Times New Roman" w:eastAsia="仿宋" w:cs="Times New Roman"/>
      <w:kern w:val="0"/>
      <w:sz w:val="28"/>
      <w:szCs w:val="24"/>
      <w:shd w:val="clear" w:color="auto" w:fill="000080"/>
    </w:rPr>
  </w:style>
  <w:style w:type="character" w:customStyle="1" w:styleId="63">
    <w:name w:val="段 Char"/>
    <w:link w:val="64"/>
    <w:uiPriority w:val="0"/>
    <w:rPr>
      <w:rFonts w:ascii="宋体"/>
    </w:rPr>
  </w:style>
  <w:style w:type="paragraph" w:customStyle="1" w:styleId="64">
    <w:name w:val="段"/>
    <w:link w:val="63"/>
    <w:uiPriority w:val="0"/>
    <w:pPr>
      <w:autoSpaceDE w:val="0"/>
      <w:autoSpaceDN w:val="0"/>
      <w:ind w:firstLine="200" w:firstLineChars="200"/>
      <w:jc w:val="both"/>
    </w:pPr>
    <w:rPr>
      <w:rFonts w:ascii="宋体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65">
    <w:name w:val="脚注文本 Char1"/>
    <w:basedOn w:val="15"/>
    <w:link w:val="13"/>
    <w:uiPriority w:val="0"/>
    <w:rPr>
      <w:rFonts w:ascii="Times New Roman" w:hAnsi="Times New Roman" w:eastAsia="Times New Roman" w:cs="Times New Roman"/>
      <w:sz w:val="18"/>
      <w:szCs w:val="18"/>
    </w:rPr>
  </w:style>
  <w:style w:type="character" w:customStyle="1" w:styleId="66">
    <w:name w:val="目录 2 Char"/>
    <w:basedOn w:val="15"/>
    <w:link w:val="14"/>
    <w:uiPriority w:val="39"/>
    <w:rPr>
      <w:rFonts w:ascii="Times New Roman" w:hAnsi="Times New Roman" w:eastAsia="黑体" w:cs="Times New Roman"/>
      <w:color w:val="0070C0"/>
      <w:kern w:val="0"/>
      <w:sz w:val="24"/>
      <w:szCs w:val="32"/>
    </w:rPr>
  </w:style>
  <w:style w:type="paragraph" w:customStyle="1" w:styleId="67">
    <w:name w:val="Char Char Char Char1"/>
    <w:basedOn w:val="8"/>
    <w:uiPriority w:val="0"/>
    <w:pPr>
      <w:widowControl/>
      <w:shd w:val="clear" w:color="auto" w:fill="000080"/>
      <w:jc w:val="left"/>
    </w:pPr>
    <w:rPr>
      <w:rFonts w:ascii="Times New Roman" w:hAnsi="Times New Roman" w:eastAsia="Times New Roman" w:cs="宋体"/>
      <w:kern w:val="0"/>
      <w:sz w:val="24"/>
      <w:szCs w:val="20"/>
    </w:rPr>
  </w:style>
  <w:style w:type="paragraph" w:customStyle="1" w:styleId="68">
    <w:name w:val="纯文本2"/>
    <w:basedOn w:val="1"/>
    <w:uiPriority w:val="0"/>
    <w:rPr>
      <w:rFonts w:ascii="宋体" w:hAnsi="Courier New" w:eastAsia="宋体" w:cs="Times New Roman"/>
      <w:kern w:val="0"/>
      <w:sz w:val="20"/>
      <w:szCs w:val="20"/>
    </w:rPr>
  </w:style>
  <w:style w:type="paragraph" w:customStyle="1" w:styleId="69">
    <w:name w:val="正文文本缩进2"/>
    <w:basedOn w:val="1"/>
    <w:uiPriority w:val="0"/>
    <w:pPr>
      <w:ind w:firstLine="540" w:firstLineChars="257"/>
    </w:pPr>
    <w:rPr>
      <w:rFonts w:ascii="Times New Roman" w:hAnsi="Times New Roman" w:eastAsia="仿宋" w:cs="Times New Roman"/>
      <w:kern w:val="0"/>
      <w:sz w:val="28"/>
      <w:szCs w:val="24"/>
    </w:rPr>
  </w:style>
  <w:style w:type="paragraph" w:customStyle="1" w:styleId="70">
    <w:name w:val="正文文本缩进 32"/>
    <w:basedOn w:val="1"/>
    <w:uiPriority w:val="0"/>
    <w:pPr>
      <w:spacing w:beforeLines="50" w:afterLines="50" w:line="400" w:lineRule="exact"/>
      <w:ind w:firstLine="480" w:firstLineChars="200"/>
    </w:pPr>
    <w:rPr>
      <w:rFonts w:ascii="Times New Roman" w:hAnsi="Times New Roman" w:eastAsia="仿宋" w:cs="Times New Roman"/>
      <w:color w:val="000000"/>
      <w:kern w:val="0"/>
      <w:sz w:val="24"/>
      <w:szCs w:val="24"/>
    </w:rPr>
  </w:style>
  <w:style w:type="paragraph" w:customStyle="1" w:styleId="71">
    <w:name w:val="正文文本缩进 22"/>
    <w:basedOn w:val="1"/>
    <w:uiPriority w:val="0"/>
    <w:pPr>
      <w:spacing w:after="120" w:line="480" w:lineRule="auto"/>
      <w:ind w:left="420"/>
    </w:pPr>
    <w:rPr>
      <w:rFonts w:ascii="Times New Roman" w:hAnsi="Times New Roman" w:eastAsia="仿宋" w:cs="Times New Roman"/>
      <w:kern w:val="0"/>
      <w:sz w:val="28"/>
      <w:szCs w:val="24"/>
    </w:rPr>
  </w:style>
  <w:style w:type="paragraph" w:customStyle="1" w:styleId="72">
    <w:name w:val="正文文本2"/>
    <w:basedOn w:val="1"/>
    <w:uiPriority w:val="0"/>
    <w:pPr>
      <w:spacing w:after="120"/>
    </w:pPr>
    <w:rPr>
      <w:rFonts w:ascii="Times New Roman" w:hAnsi="Times New Roman" w:eastAsia="仿宋" w:cs="Times New Roman"/>
      <w:kern w:val="0"/>
      <w:sz w:val="28"/>
      <w:szCs w:val="24"/>
    </w:rPr>
  </w:style>
  <w:style w:type="paragraph" w:customStyle="1" w:styleId="73">
    <w:name w:val="日期2"/>
    <w:basedOn w:val="1"/>
    <w:next w:val="1"/>
    <w:uiPriority w:val="0"/>
    <w:rPr>
      <w:rFonts w:ascii="Times New Roman" w:hAnsi="Times New Roman" w:eastAsia="仿宋" w:cs="Times New Roman"/>
      <w:kern w:val="0"/>
      <w:sz w:val="28"/>
      <w:szCs w:val="20"/>
    </w:rPr>
  </w:style>
  <w:style w:type="paragraph" w:customStyle="1" w:styleId="74">
    <w:name w:val="批注框文本2"/>
    <w:basedOn w:val="1"/>
    <w:uiPriority w:val="0"/>
    <w:rPr>
      <w:rFonts w:ascii="Times New Roman" w:hAnsi="Times New Roman" w:eastAsia="仿宋" w:cs="Times New Roman"/>
      <w:kern w:val="0"/>
      <w:sz w:val="18"/>
      <w:szCs w:val="18"/>
    </w:rPr>
  </w:style>
  <w:style w:type="character" w:customStyle="1" w:styleId="75">
    <w:name w:val="批注引用2"/>
    <w:qFormat/>
    <w:uiPriority w:val="0"/>
    <w:rPr>
      <w:sz w:val="21"/>
      <w:szCs w:val="21"/>
    </w:rPr>
  </w:style>
  <w:style w:type="paragraph" w:customStyle="1" w:styleId="76">
    <w:name w:val="批注文字2"/>
    <w:basedOn w:val="1"/>
    <w:uiPriority w:val="0"/>
    <w:pPr>
      <w:jc w:val="left"/>
    </w:pPr>
    <w:rPr>
      <w:rFonts w:ascii="Times New Roman" w:hAnsi="Times New Roman" w:eastAsia="仿宋" w:cs="Times New Roman"/>
      <w:kern w:val="0"/>
      <w:sz w:val="28"/>
      <w:szCs w:val="24"/>
    </w:rPr>
  </w:style>
  <w:style w:type="character" w:customStyle="1" w:styleId="77">
    <w:name w:val="已访问的超链接2"/>
    <w:uiPriority w:val="0"/>
    <w:rPr>
      <w:color w:val="800080"/>
      <w:u w:val="single"/>
    </w:rPr>
  </w:style>
  <w:style w:type="paragraph" w:customStyle="1" w:styleId="78">
    <w:name w:val="脚注文本2"/>
    <w:basedOn w:val="1"/>
    <w:uiPriority w:val="0"/>
    <w:pPr>
      <w:snapToGrid w:val="0"/>
      <w:jc w:val="left"/>
    </w:pPr>
    <w:rPr>
      <w:rFonts w:ascii="Times New Roman" w:hAnsi="Times New Roman" w:eastAsia="仿宋" w:cs="Times New Roman"/>
      <w:kern w:val="0"/>
      <w:sz w:val="18"/>
      <w:szCs w:val="18"/>
    </w:rPr>
  </w:style>
  <w:style w:type="character" w:customStyle="1" w:styleId="79">
    <w:name w:val="脚注引用2"/>
    <w:uiPriority w:val="0"/>
    <w:rPr>
      <w:vertAlign w:val="superscript"/>
    </w:rPr>
  </w:style>
  <w:style w:type="paragraph" w:customStyle="1" w:styleId="80">
    <w:name w:val="批注主题2"/>
    <w:basedOn w:val="76"/>
    <w:next w:val="76"/>
    <w:uiPriority w:val="0"/>
    <w:rPr>
      <w:b/>
      <w:bCs/>
    </w:rPr>
  </w:style>
  <w:style w:type="paragraph" w:customStyle="1" w:styleId="81">
    <w:name w:val="文档结构图2"/>
    <w:basedOn w:val="1"/>
    <w:uiPriority w:val="0"/>
    <w:pPr>
      <w:shd w:val="clear" w:color="auto" w:fill="000080"/>
    </w:pPr>
    <w:rPr>
      <w:rFonts w:ascii="Times New Roman" w:hAnsi="Times New Roman" w:eastAsia="仿宋" w:cs="Times New Roman"/>
      <w:kern w:val="0"/>
      <w:sz w:val="28"/>
      <w:szCs w:val="24"/>
      <w:shd w:val="clear" w:color="auto" w:fill="000080"/>
    </w:rPr>
  </w:style>
  <w:style w:type="character" w:customStyle="1" w:styleId="82">
    <w:name w:val="批注文字 Char1"/>
    <w:basedOn w:val="15"/>
    <w:link w:val="7"/>
    <w:semiHidden/>
    <w:uiPriority w:val="99"/>
  </w:style>
  <w:style w:type="character" w:customStyle="1" w:styleId="83">
    <w:name w:val="批注主题 Char1"/>
    <w:basedOn w:val="82"/>
    <w:link w:val="6"/>
    <w:semiHidden/>
    <w:uiPriority w:val="99"/>
    <w:rPr>
      <w:b/>
      <w:bCs/>
    </w:rPr>
  </w:style>
  <w:style w:type="character" w:customStyle="1" w:styleId="84">
    <w:name w:val="批注框文本 Char1"/>
    <w:basedOn w:val="15"/>
    <w:link w:val="9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85F87DD-2CE1-453E-9294-DE796BAE19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</Pages>
  <Words>3167</Words>
  <Characters>18058</Characters>
  <Lines>150</Lines>
  <Paragraphs>42</Paragraphs>
  <TotalTime>1578</TotalTime>
  <ScaleCrop>false</ScaleCrop>
  <LinksUpToDate>false</LinksUpToDate>
  <CharactersWithSpaces>21183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2016-12-11T08:24:00Z</dcterms:created>
  <dc:creator>X</dc:creator>
  <cp:lastModifiedBy>Administrator</cp:lastModifiedBy>
  <cp:lastPrinted>2017-04-19T08:34:00Z</cp:lastPrinted>
  <dcterms:modified xsi:type="dcterms:W3CDTF">2018-06-27T08:39:17Z</dcterms:modified>
  <cp:revision>145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